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59" w:lineRule="auto" w:before="189"/>
        <w:ind w:left="100" w:right="602" w:hanging="1"/>
      </w:pPr>
      <w:r>
        <w:rPr/>
        <w:t>Revisions to SAM sections are provided after the summary table below, and are indicated with the “track changes” display through the revised text on all revised SAM pages. Highlighted content indicates newly added information to the SAM chapter. “Track Changes” are not inserted for format changes.</w:t>
      </w:r>
    </w:p>
    <w:p>
      <w:pPr>
        <w:spacing w:before="158"/>
        <w:ind w:left="2569" w:right="0" w:firstLine="0"/>
        <w:jc w:val="left"/>
        <w:rPr>
          <w:rFonts w:ascii="Calibri"/>
          <w:b/>
          <w:i/>
          <w:sz w:val="22"/>
        </w:rPr>
      </w:pPr>
      <w:r>
        <w:rPr>
          <w:rFonts w:ascii="Calibri"/>
          <w:b/>
          <w:i/>
          <w:sz w:val="22"/>
        </w:rPr>
        <w:t>** Follow the link to the revised SAM Chapter **</w:t>
      </w:r>
    </w:p>
    <w:p>
      <w:pPr>
        <w:pStyle w:val="BodyText"/>
        <w:spacing w:before="2" w:after="1"/>
        <w:rPr>
          <w:rFonts w:ascii="Calibri"/>
          <w:b/>
          <w:i/>
          <w:sz w:val="15"/>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9"/>
        <w:gridCol w:w="7289"/>
      </w:tblGrid>
      <w:tr>
        <w:trPr>
          <w:trHeight w:val="794" w:hRule="exact"/>
        </w:trPr>
        <w:tc>
          <w:tcPr>
            <w:tcW w:w="2359" w:type="dxa"/>
            <w:shd w:val="clear" w:color="auto" w:fill="DADADA"/>
          </w:tcPr>
          <w:p>
            <w:pPr>
              <w:pStyle w:val="TableParagraph"/>
              <w:spacing w:line="256" w:lineRule="auto" w:before="117"/>
              <w:ind w:left="686" w:right="594" w:hanging="75"/>
              <w:rPr>
                <w:b/>
                <w:sz w:val="22"/>
              </w:rPr>
            </w:pPr>
            <w:r>
              <w:rPr>
                <w:b/>
                <w:sz w:val="22"/>
              </w:rPr>
              <w:t>CHAPTER/ SECTION</w:t>
            </w:r>
          </w:p>
        </w:tc>
        <w:tc>
          <w:tcPr>
            <w:tcW w:w="7289" w:type="dxa"/>
            <w:shd w:val="clear" w:color="auto" w:fill="DADADA"/>
          </w:tcPr>
          <w:p>
            <w:pPr>
              <w:pStyle w:val="TableParagraph"/>
              <w:spacing w:before="194"/>
              <w:ind w:left="3050" w:right="3051"/>
              <w:jc w:val="center"/>
              <w:rPr>
                <w:b/>
                <w:sz w:val="22"/>
              </w:rPr>
            </w:pPr>
            <w:r>
              <w:rPr>
                <w:b/>
                <w:sz w:val="22"/>
              </w:rPr>
              <w:t>SUMMARY</w:t>
            </w:r>
          </w:p>
        </w:tc>
      </w:tr>
      <w:tr>
        <w:trPr>
          <w:trHeight w:val="403" w:hRule="exact"/>
        </w:trPr>
        <w:tc>
          <w:tcPr>
            <w:tcW w:w="9648" w:type="dxa"/>
            <w:gridSpan w:val="2"/>
          </w:tcPr>
          <w:p>
            <w:pPr>
              <w:pStyle w:val="TableParagraph"/>
              <w:spacing w:before="57"/>
              <w:ind w:left="103"/>
              <w:rPr>
                <w:b/>
                <w:sz w:val="22"/>
              </w:rPr>
            </w:pPr>
            <w:hyperlink r:id="rId7">
              <w:r>
                <w:rPr>
                  <w:b/>
                  <w:color w:val="0000FF"/>
                  <w:sz w:val="22"/>
                  <w:u w:val="thick" w:color="0000FF"/>
                </w:rPr>
                <w:t>CHAPTER 1200</w:t>
              </w:r>
            </w:hyperlink>
          </w:p>
        </w:tc>
      </w:tr>
      <w:tr>
        <w:trPr>
          <w:trHeight w:val="1010" w:hRule="exact"/>
        </w:trPr>
        <w:tc>
          <w:tcPr>
            <w:tcW w:w="2359" w:type="dxa"/>
          </w:tcPr>
          <w:p>
            <w:pPr>
              <w:pStyle w:val="TableParagraph"/>
              <w:spacing w:before="8"/>
              <w:rPr>
                <w:rFonts w:ascii="Calibri"/>
                <w:b/>
                <w:i/>
                <w:sz w:val="29"/>
              </w:rPr>
            </w:pPr>
          </w:p>
          <w:p>
            <w:pPr>
              <w:pStyle w:val="TableParagraph"/>
              <w:ind w:left="818" w:right="818"/>
              <w:jc w:val="center"/>
              <w:rPr>
                <w:b/>
                <w:sz w:val="22"/>
              </w:rPr>
            </w:pPr>
            <w:r>
              <w:rPr>
                <w:b/>
                <w:sz w:val="22"/>
              </w:rPr>
              <w:t>1240</w:t>
            </w:r>
          </w:p>
        </w:tc>
        <w:tc>
          <w:tcPr>
            <w:tcW w:w="7289" w:type="dxa"/>
          </w:tcPr>
          <w:p>
            <w:pPr>
              <w:pStyle w:val="TableParagraph"/>
              <w:spacing w:line="259" w:lineRule="auto" w:before="60"/>
              <w:ind w:left="103" w:right="222"/>
              <w:rPr>
                <w:sz w:val="22"/>
              </w:rPr>
            </w:pPr>
            <w:r>
              <w:rPr>
                <w:sz w:val="22"/>
              </w:rPr>
              <w:t>Per MM 18-03 Added New Section for Electronic Signatures, Electronic Transactions and Electronic Record Management Policy</w:t>
            </w:r>
          </w:p>
        </w:tc>
      </w:tr>
      <w:tr>
        <w:trPr>
          <w:trHeight w:val="401" w:hRule="exact"/>
        </w:trPr>
        <w:tc>
          <w:tcPr>
            <w:tcW w:w="9648" w:type="dxa"/>
            <w:gridSpan w:val="2"/>
          </w:tcPr>
          <w:p>
            <w:pPr>
              <w:pStyle w:val="TableParagraph"/>
              <w:spacing w:before="57"/>
              <w:ind w:left="103"/>
              <w:rPr>
                <w:b/>
                <w:sz w:val="22"/>
              </w:rPr>
            </w:pPr>
            <w:hyperlink r:id="rId8">
              <w:r>
                <w:rPr>
                  <w:b/>
                  <w:color w:val="0000FF"/>
                  <w:sz w:val="22"/>
                  <w:u w:val="thick" w:color="0000FF"/>
                </w:rPr>
                <w:t>CHAPTER 4800</w:t>
              </w:r>
            </w:hyperlink>
          </w:p>
        </w:tc>
      </w:tr>
      <w:tr>
        <w:trPr>
          <w:trHeight w:val="2316" w:hRule="exact"/>
        </w:trPr>
        <w:tc>
          <w:tcPr>
            <w:tcW w:w="2359" w:type="dxa"/>
          </w:tcPr>
          <w:p>
            <w:pPr>
              <w:pStyle w:val="TableParagraph"/>
              <w:rPr>
                <w:rFonts w:ascii="Calibri"/>
                <w:b/>
                <w:i/>
                <w:sz w:val="24"/>
              </w:rPr>
            </w:pPr>
          </w:p>
          <w:p>
            <w:pPr>
              <w:pStyle w:val="TableParagraph"/>
              <w:rPr>
                <w:rFonts w:ascii="Calibri"/>
                <w:b/>
                <w:i/>
                <w:sz w:val="24"/>
              </w:rPr>
            </w:pPr>
          </w:p>
          <w:p>
            <w:pPr>
              <w:pStyle w:val="TableParagraph"/>
              <w:spacing w:before="2"/>
              <w:rPr>
                <w:rFonts w:ascii="Calibri"/>
                <w:b/>
                <w:i/>
                <w:sz w:val="35"/>
              </w:rPr>
            </w:pPr>
          </w:p>
          <w:p>
            <w:pPr>
              <w:pStyle w:val="TableParagraph"/>
              <w:ind w:right="835"/>
              <w:jc w:val="right"/>
              <w:rPr>
                <w:b/>
                <w:sz w:val="22"/>
              </w:rPr>
            </w:pPr>
            <w:r>
              <w:rPr>
                <w:b/>
                <w:sz w:val="22"/>
              </w:rPr>
              <w:t>4819.2</w:t>
            </w:r>
          </w:p>
        </w:tc>
        <w:tc>
          <w:tcPr>
            <w:tcW w:w="7289" w:type="dxa"/>
          </w:tcPr>
          <w:p>
            <w:pPr>
              <w:pStyle w:val="TableParagraph"/>
              <w:spacing w:line="259" w:lineRule="auto" w:before="62"/>
              <w:ind w:left="103" w:right="136"/>
              <w:rPr>
                <w:sz w:val="22"/>
              </w:rPr>
            </w:pPr>
            <w:r>
              <w:rPr>
                <w:sz w:val="22"/>
              </w:rPr>
              <w:t>Per TL 18-06, policy was updated to modify the definition of “Information Technology Project” to encompass a project’s entire lifecycle including clarification regarding procurement oversight of maintenance and operations contracts and removal of hour threshold. Additionally, the definition of “Information Technology Reportable Procurement” was changed to “Information Technology Non-delegated Procurement” and “Reportable Project” was changed to ‘Non-Delegated Project” to better align project related terminology with procurement terminology.</w:t>
            </w:r>
          </w:p>
        </w:tc>
      </w:tr>
      <w:tr>
        <w:trPr>
          <w:trHeight w:val="948" w:hRule="exact"/>
        </w:trPr>
        <w:tc>
          <w:tcPr>
            <w:tcW w:w="2359" w:type="dxa"/>
          </w:tcPr>
          <w:p>
            <w:pPr>
              <w:pStyle w:val="TableParagraph"/>
              <w:spacing w:before="4"/>
              <w:rPr>
                <w:rFonts w:ascii="Calibri"/>
                <w:b/>
                <w:i/>
                <w:sz w:val="27"/>
              </w:rPr>
            </w:pPr>
          </w:p>
          <w:p>
            <w:pPr>
              <w:pStyle w:val="TableParagraph"/>
              <w:ind w:right="773"/>
              <w:jc w:val="right"/>
              <w:rPr>
                <w:sz w:val="22"/>
              </w:rPr>
            </w:pPr>
            <w:r>
              <w:rPr>
                <w:sz w:val="22"/>
              </w:rPr>
              <w:t>4819.34</w:t>
            </w:r>
          </w:p>
        </w:tc>
        <w:tc>
          <w:tcPr>
            <w:tcW w:w="7289" w:type="dxa"/>
          </w:tcPr>
          <w:p>
            <w:pPr>
              <w:pStyle w:val="TableParagraph"/>
              <w:spacing w:line="259" w:lineRule="auto" w:before="60"/>
              <w:ind w:left="103" w:right="100"/>
              <w:rPr>
                <w:sz w:val="22"/>
              </w:rPr>
            </w:pPr>
            <w:r>
              <w:rPr>
                <w:sz w:val="22"/>
              </w:rPr>
              <w:t>Per TL 18-06, policy was updated to modify all references of “reportable” to “non-delegated” to better align project related terminology with procurement terminology.</w:t>
            </w:r>
          </w:p>
        </w:tc>
      </w:tr>
      <w:tr>
        <w:trPr>
          <w:trHeight w:val="948" w:hRule="exact"/>
        </w:trPr>
        <w:tc>
          <w:tcPr>
            <w:tcW w:w="2359" w:type="dxa"/>
          </w:tcPr>
          <w:p>
            <w:pPr>
              <w:pStyle w:val="TableParagraph"/>
              <w:spacing w:before="4"/>
              <w:rPr>
                <w:rFonts w:ascii="Calibri"/>
                <w:b/>
                <w:i/>
                <w:sz w:val="27"/>
              </w:rPr>
            </w:pPr>
          </w:p>
          <w:p>
            <w:pPr>
              <w:pStyle w:val="TableParagraph"/>
              <w:ind w:right="773"/>
              <w:jc w:val="right"/>
              <w:rPr>
                <w:sz w:val="22"/>
              </w:rPr>
            </w:pPr>
            <w:r>
              <w:rPr>
                <w:sz w:val="22"/>
              </w:rPr>
              <w:t>4819.37</w:t>
            </w:r>
          </w:p>
        </w:tc>
        <w:tc>
          <w:tcPr>
            <w:tcW w:w="7289" w:type="dxa"/>
          </w:tcPr>
          <w:p>
            <w:pPr>
              <w:pStyle w:val="TableParagraph"/>
              <w:spacing w:line="259" w:lineRule="auto" w:before="60"/>
              <w:ind w:left="103" w:right="495"/>
              <w:jc w:val="both"/>
              <w:rPr>
                <w:sz w:val="22"/>
              </w:rPr>
            </w:pPr>
            <w:r>
              <w:rPr>
                <w:sz w:val="22"/>
              </w:rPr>
              <w:t>Per TL 18-06, policy was updated to clarify project delegation criteria and provide Agency Information Officers (AIOs) the ability to request oversight for delegated projects.</w:t>
            </w:r>
          </w:p>
        </w:tc>
      </w:tr>
      <w:tr>
        <w:trPr>
          <w:trHeight w:val="1162" w:hRule="exact"/>
        </w:trPr>
        <w:tc>
          <w:tcPr>
            <w:tcW w:w="2359" w:type="dxa"/>
          </w:tcPr>
          <w:p>
            <w:pPr>
              <w:pStyle w:val="TableParagraph"/>
              <w:spacing w:before="12"/>
              <w:rPr>
                <w:rFonts w:ascii="Calibri"/>
                <w:b/>
                <w:i/>
                <w:sz w:val="35"/>
              </w:rPr>
            </w:pPr>
          </w:p>
          <w:p>
            <w:pPr>
              <w:pStyle w:val="TableParagraph"/>
              <w:ind w:right="773"/>
              <w:jc w:val="right"/>
              <w:rPr>
                <w:sz w:val="22"/>
              </w:rPr>
            </w:pPr>
            <w:r>
              <w:rPr>
                <w:sz w:val="22"/>
              </w:rPr>
              <w:t>4819.38</w:t>
            </w:r>
          </w:p>
        </w:tc>
        <w:tc>
          <w:tcPr>
            <w:tcW w:w="7289" w:type="dxa"/>
          </w:tcPr>
          <w:p>
            <w:pPr>
              <w:pStyle w:val="TableParagraph"/>
              <w:ind w:left="143" w:right="84"/>
              <w:rPr>
                <w:sz w:val="22"/>
              </w:rPr>
            </w:pPr>
            <w:r>
              <w:rPr>
                <w:sz w:val="22"/>
              </w:rPr>
              <w:t>Per TL 18-06, updated reference to SIMM 19 to update Project Approval Lifecycle Reporting</w:t>
            </w:r>
          </w:p>
          <w:p>
            <w:pPr>
              <w:pStyle w:val="TableParagraph"/>
              <w:spacing w:line="250" w:lineRule="exact"/>
              <w:ind w:left="143"/>
              <w:rPr>
                <w:sz w:val="22"/>
              </w:rPr>
            </w:pPr>
            <w:r>
              <w:rPr>
                <w:sz w:val="22"/>
              </w:rPr>
              <w:t>Exemption Request to Project Delegation Request.</w:t>
            </w:r>
          </w:p>
        </w:tc>
      </w:tr>
      <w:tr>
        <w:trPr>
          <w:trHeight w:val="948" w:hRule="exact"/>
        </w:trPr>
        <w:tc>
          <w:tcPr>
            <w:tcW w:w="2359" w:type="dxa"/>
          </w:tcPr>
          <w:p>
            <w:pPr>
              <w:pStyle w:val="TableParagraph"/>
              <w:spacing w:before="1"/>
              <w:rPr>
                <w:rFonts w:ascii="Calibri"/>
                <w:b/>
                <w:i/>
                <w:sz w:val="27"/>
              </w:rPr>
            </w:pPr>
          </w:p>
          <w:p>
            <w:pPr>
              <w:pStyle w:val="TableParagraph"/>
              <w:ind w:right="835"/>
              <w:jc w:val="right"/>
              <w:rPr>
                <w:b/>
                <w:sz w:val="22"/>
              </w:rPr>
            </w:pPr>
            <w:r>
              <w:rPr>
                <w:b/>
                <w:sz w:val="22"/>
              </w:rPr>
              <w:t>4833.2</w:t>
            </w:r>
          </w:p>
        </w:tc>
        <w:tc>
          <w:tcPr>
            <w:tcW w:w="7289" w:type="dxa"/>
          </w:tcPr>
          <w:p>
            <w:pPr>
              <w:pStyle w:val="TableParagraph"/>
              <w:spacing w:line="259" w:lineRule="auto" w:before="60"/>
              <w:ind w:left="103" w:right="198"/>
              <w:rPr>
                <w:sz w:val="22"/>
              </w:rPr>
            </w:pPr>
            <w:r>
              <w:rPr>
                <w:sz w:val="22"/>
              </w:rPr>
              <w:t>Per TL 18-05, new section was added to introduce the Website Accessibility Certification Policy which outlines the Agency/state entity’s requirements for website accessibility certification.</w:t>
            </w:r>
          </w:p>
        </w:tc>
      </w:tr>
      <w:tr>
        <w:trPr>
          <w:trHeight w:val="403" w:hRule="exact"/>
        </w:trPr>
        <w:tc>
          <w:tcPr>
            <w:tcW w:w="9648" w:type="dxa"/>
            <w:gridSpan w:val="2"/>
          </w:tcPr>
          <w:p>
            <w:pPr>
              <w:pStyle w:val="TableParagraph"/>
              <w:spacing w:before="57"/>
              <w:ind w:left="103"/>
              <w:rPr>
                <w:b/>
                <w:sz w:val="22"/>
              </w:rPr>
            </w:pPr>
            <w:hyperlink r:id="rId9">
              <w:r>
                <w:rPr>
                  <w:b/>
                  <w:color w:val="0000FF"/>
                  <w:sz w:val="22"/>
                  <w:u w:val="thick" w:color="0000FF"/>
                </w:rPr>
                <w:t>CHAPTER 5100</w:t>
              </w:r>
            </w:hyperlink>
          </w:p>
        </w:tc>
      </w:tr>
      <w:tr>
        <w:trPr>
          <w:trHeight w:val="677" w:hRule="exact"/>
        </w:trPr>
        <w:tc>
          <w:tcPr>
            <w:tcW w:w="2359" w:type="dxa"/>
          </w:tcPr>
          <w:p>
            <w:pPr>
              <w:pStyle w:val="TableParagraph"/>
              <w:spacing w:before="194"/>
              <w:ind w:left="818" w:right="818"/>
              <w:jc w:val="center"/>
              <w:rPr>
                <w:b/>
                <w:sz w:val="22"/>
              </w:rPr>
            </w:pPr>
            <w:r>
              <w:rPr>
                <w:b/>
                <w:sz w:val="22"/>
              </w:rPr>
              <w:t>5190</w:t>
            </w:r>
          </w:p>
        </w:tc>
        <w:tc>
          <w:tcPr>
            <w:tcW w:w="7289" w:type="dxa"/>
          </w:tcPr>
          <w:p>
            <w:pPr>
              <w:pStyle w:val="TableParagraph"/>
              <w:spacing w:line="259" w:lineRule="auto" w:before="60"/>
              <w:ind w:left="103" w:right="1030" w:hanging="1"/>
              <w:rPr>
                <w:sz w:val="22"/>
              </w:rPr>
            </w:pPr>
            <w:r>
              <w:rPr>
                <w:sz w:val="22"/>
              </w:rPr>
              <w:t>Per TL 18-04, new section was added to introduce the Website Standards Policy for the State of California.</w:t>
            </w:r>
          </w:p>
        </w:tc>
      </w:tr>
      <w:tr>
        <w:trPr>
          <w:trHeight w:val="950" w:hRule="exact"/>
        </w:trPr>
        <w:tc>
          <w:tcPr>
            <w:tcW w:w="2359" w:type="dxa"/>
          </w:tcPr>
          <w:p>
            <w:pPr>
              <w:pStyle w:val="TableParagraph"/>
              <w:spacing w:before="1"/>
              <w:rPr>
                <w:rFonts w:ascii="Calibri"/>
                <w:b/>
                <w:i/>
                <w:sz w:val="27"/>
              </w:rPr>
            </w:pPr>
          </w:p>
          <w:p>
            <w:pPr>
              <w:pStyle w:val="TableParagraph"/>
              <w:ind w:right="835"/>
              <w:jc w:val="right"/>
              <w:rPr>
                <w:b/>
                <w:sz w:val="22"/>
              </w:rPr>
            </w:pPr>
            <w:r>
              <w:rPr>
                <w:b/>
                <w:sz w:val="22"/>
              </w:rPr>
              <w:t>5190.1</w:t>
            </w:r>
          </w:p>
        </w:tc>
        <w:tc>
          <w:tcPr>
            <w:tcW w:w="7289" w:type="dxa"/>
          </w:tcPr>
          <w:p>
            <w:pPr>
              <w:pStyle w:val="TableParagraph"/>
              <w:spacing w:line="259" w:lineRule="auto" w:before="60"/>
              <w:ind w:left="103" w:right="136"/>
              <w:rPr>
                <w:sz w:val="22"/>
              </w:rPr>
            </w:pPr>
            <w:r>
              <w:rPr>
                <w:sz w:val="22"/>
              </w:rPr>
              <w:t>Per TL 18-04, new section was added which outlines website standards and requirements. Revised 8/2018 to Update Web links contained in document.</w:t>
            </w:r>
          </w:p>
        </w:tc>
      </w:tr>
    </w:tbl>
    <w:p>
      <w:pPr>
        <w:spacing w:after="0" w:line="259" w:lineRule="auto"/>
        <w:rPr>
          <w:sz w:val="22"/>
        </w:rPr>
        <w:sectPr>
          <w:headerReference w:type="default" r:id="rId5"/>
          <w:footerReference w:type="default" r:id="rId6"/>
          <w:type w:val="continuous"/>
          <w:pgSz w:w="12240" w:h="15840"/>
          <w:pgMar w:header="646" w:footer="1207" w:top="880" w:bottom="1400" w:left="1340" w:right="1020"/>
          <w:pgNumType w:start="1"/>
        </w:sectPr>
      </w:pPr>
    </w:p>
    <w:p>
      <w:pPr>
        <w:pStyle w:val="BodyText"/>
        <w:spacing w:before="5"/>
        <w:rPr>
          <w:rFonts w:ascii="Times New Roman"/>
          <w:sz w:val="16"/>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59"/>
        <w:gridCol w:w="7289"/>
      </w:tblGrid>
      <w:tr>
        <w:trPr>
          <w:trHeight w:val="1284" w:hRule="exact"/>
        </w:trPr>
        <w:tc>
          <w:tcPr>
            <w:tcW w:w="2359" w:type="dxa"/>
          </w:tcPr>
          <w:p>
            <w:pPr>
              <w:pStyle w:val="TableParagraph"/>
              <w:rPr>
                <w:rFonts w:ascii="Times New Roman"/>
                <w:sz w:val="24"/>
              </w:rPr>
            </w:pPr>
          </w:p>
          <w:p>
            <w:pPr>
              <w:pStyle w:val="TableParagraph"/>
              <w:spacing w:before="4"/>
              <w:rPr>
                <w:rFonts w:ascii="Times New Roman"/>
                <w:sz w:val="19"/>
              </w:rPr>
            </w:pPr>
          </w:p>
          <w:p>
            <w:pPr>
              <w:pStyle w:val="TableParagraph"/>
              <w:ind w:left="818" w:right="818"/>
              <w:jc w:val="center"/>
              <w:rPr>
                <w:b/>
                <w:sz w:val="22"/>
              </w:rPr>
            </w:pPr>
            <w:r>
              <w:rPr>
                <w:b/>
                <w:sz w:val="22"/>
              </w:rPr>
              <w:t>5190.2</w:t>
            </w:r>
          </w:p>
        </w:tc>
        <w:tc>
          <w:tcPr>
            <w:tcW w:w="7289" w:type="dxa"/>
          </w:tcPr>
          <w:p>
            <w:pPr>
              <w:pStyle w:val="TableParagraph"/>
              <w:spacing w:line="259" w:lineRule="auto" w:before="62"/>
              <w:ind w:left="103" w:right="100" w:hanging="1"/>
              <w:rPr>
                <w:sz w:val="22"/>
              </w:rPr>
            </w:pPr>
            <w:r>
              <w:rPr>
                <w:sz w:val="22"/>
              </w:rPr>
              <w:t>Per TL 18-04, new section was added which encourages Agencies/state entities to use the standard CA.GOV website template to achieve many of the website standards identified in this policy.</w:t>
            </w:r>
          </w:p>
        </w:tc>
      </w:tr>
      <w:tr>
        <w:trPr>
          <w:trHeight w:val="403" w:hRule="exact"/>
        </w:trPr>
        <w:tc>
          <w:tcPr>
            <w:tcW w:w="9648" w:type="dxa"/>
            <w:gridSpan w:val="2"/>
          </w:tcPr>
          <w:p>
            <w:pPr>
              <w:pStyle w:val="TableParagraph"/>
              <w:spacing w:before="57"/>
              <w:ind w:left="103"/>
              <w:rPr>
                <w:b/>
                <w:sz w:val="22"/>
              </w:rPr>
            </w:pPr>
            <w:hyperlink r:id="rId10">
              <w:r>
                <w:rPr>
                  <w:b/>
                  <w:color w:val="0000FF"/>
                  <w:sz w:val="22"/>
                  <w:u w:val="thick" w:color="0000FF"/>
                </w:rPr>
                <w:t>CHAPTER 5200</w:t>
              </w:r>
            </w:hyperlink>
          </w:p>
        </w:tc>
      </w:tr>
      <w:tr>
        <w:trPr>
          <w:trHeight w:val="634" w:hRule="exact"/>
        </w:trPr>
        <w:tc>
          <w:tcPr>
            <w:tcW w:w="2359" w:type="dxa"/>
          </w:tcPr>
          <w:p>
            <w:pPr>
              <w:pStyle w:val="TableParagraph"/>
              <w:spacing w:before="173"/>
              <w:ind w:left="818" w:right="818"/>
              <w:jc w:val="center"/>
              <w:rPr>
                <w:b/>
                <w:sz w:val="22"/>
              </w:rPr>
            </w:pPr>
            <w:r>
              <w:rPr>
                <w:b/>
                <w:sz w:val="22"/>
              </w:rPr>
              <w:t>5200.5</w:t>
            </w:r>
          </w:p>
        </w:tc>
        <w:tc>
          <w:tcPr>
            <w:tcW w:w="7289" w:type="dxa"/>
          </w:tcPr>
          <w:p>
            <w:pPr>
              <w:pStyle w:val="TableParagraph"/>
              <w:spacing w:before="57"/>
              <w:ind w:left="103" w:right="284"/>
              <w:rPr>
                <w:sz w:val="22"/>
              </w:rPr>
            </w:pPr>
            <w:r>
              <w:rPr>
                <w:sz w:val="22"/>
              </w:rPr>
              <w:t>Per TL 18-06, policy was updated to transition the responsibilities and authority of general IT project-related procurements from DGS to CDT.</w:t>
            </w:r>
          </w:p>
        </w:tc>
      </w:tr>
      <w:tr>
        <w:trPr>
          <w:trHeight w:val="890" w:hRule="exact"/>
        </w:trPr>
        <w:tc>
          <w:tcPr>
            <w:tcW w:w="2359" w:type="dxa"/>
          </w:tcPr>
          <w:p>
            <w:pPr>
              <w:pStyle w:val="TableParagraph"/>
              <w:spacing w:before="3"/>
              <w:rPr>
                <w:rFonts w:ascii="Times New Roman"/>
                <w:sz w:val="26"/>
              </w:rPr>
            </w:pPr>
          </w:p>
          <w:p>
            <w:pPr>
              <w:pStyle w:val="TableParagraph"/>
              <w:ind w:left="818" w:right="818"/>
              <w:jc w:val="center"/>
              <w:rPr>
                <w:b/>
                <w:sz w:val="22"/>
              </w:rPr>
            </w:pPr>
            <w:r>
              <w:rPr>
                <w:b/>
                <w:sz w:val="22"/>
              </w:rPr>
              <w:t>5210</w:t>
            </w:r>
          </w:p>
        </w:tc>
        <w:tc>
          <w:tcPr>
            <w:tcW w:w="7289" w:type="dxa"/>
          </w:tcPr>
          <w:p>
            <w:pPr>
              <w:pStyle w:val="TableParagraph"/>
              <w:spacing w:before="60"/>
              <w:ind w:left="103" w:right="125"/>
              <w:rPr>
                <w:sz w:val="22"/>
              </w:rPr>
            </w:pPr>
            <w:r>
              <w:rPr>
                <w:sz w:val="22"/>
              </w:rPr>
              <w:t>Per TL 18-06, new section was added to incorporate statutory changes into policy and clarifies CDT’s procurement authority over acquisitions of IT goods and services related to IT projects.</w:t>
            </w:r>
          </w:p>
        </w:tc>
      </w:tr>
      <w:tr>
        <w:trPr>
          <w:trHeight w:val="403" w:hRule="exact"/>
        </w:trPr>
        <w:tc>
          <w:tcPr>
            <w:tcW w:w="9648" w:type="dxa"/>
            <w:gridSpan w:val="2"/>
          </w:tcPr>
          <w:p>
            <w:pPr>
              <w:pStyle w:val="TableParagraph"/>
              <w:spacing w:before="57"/>
              <w:ind w:left="103"/>
              <w:rPr>
                <w:b/>
                <w:sz w:val="22"/>
              </w:rPr>
            </w:pPr>
            <w:hyperlink r:id="rId11">
              <w:r>
                <w:rPr>
                  <w:b/>
                  <w:color w:val="0000FF"/>
                  <w:sz w:val="22"/>
                  <w:u w:val="thick" w:color="0000FF"/>
                </w:rPr>
                <w:t>CHAPTER 8400</w:t>
              </w:r>
            </w:hyperlink>
          </w:p>
        </w:tc>
      </w:tr>
      <w:tr>
        <w:trPr>
          <w:trHeight w:val="674" w:hRule="exact"/>
        </w:trPr>
        <w:tc>
          <w:tcPr>
            <w:tcW w:w="2359" w:type="dxa"/>
          </w:tcPr>
          <w:p>
            <w:pPr>
              <w:pStyle w:val="TableParagraph"/>
              <w:spacing w:before="194"/>
              <w:ind w:left="818" w:right="818"/>
              <w:jc w:val="center"/>
              <w:rPr>
                <w:b/>
                <w:sz w:val="22"/>
              </w:rPr>
            </w:pPr>
            <w:r>
              <w:rPr>
                <w:b/>
                <w:sz w:val="22"/>
              </w:rPr>
              <w:t>8452</w:t>
            </w:r>
          </w:p>
        </w:tc>
        <w:tc>
          <w:tcPr>
            <w:tcW w:w="7289" w:type="dxa"/>
          </w:tcPr>
          <w:p>
            <w:pPr>
              <w:pStyle w:val="TableParagraph"/>
              <w:spacing w:line="259" w:lineRule="auto" w:before="60"/>
              <w:ind w:left="103" w:right="355"/>
              <w:rPr>
                <w:sz w:val="22"/>
              </w:rPr>
            </w:pPr>
            <w:r>
              <w:rPr>
                <w:sz w:val="22"/>
              </w:rPr>
              <w:t>Added language for requesting a new clearing program and additional information for PFA monthly transfers. Minor edits.</w:t>
            </w:r>
          </w:p>
        </w:tc>
      </w:tr>
      <w:tr>
        <w:trPr>
          <w:trHeight w:val="950" w:hRule="exact"/>
        </w:trPr>
        <w:tc>
          <w:tcPr>
            <w:tcW w:w="2359" w:type="dxa"/>
          </w:tcPr>
          <w:p>
            <w:pPr>
              <w:pStyle w:val="TableParagraph"/>
              <w:spacing w:before="9"/>
              <w:rPr>
                <w:rFonts w:ascii="Times New Roman"/>
                <w:sz w:val="28"/>
              </w:rPr>
            </w:pPr>
          </w:p>
          <w:p>
            <w:pPr>
              <w:pStyle w:val="TableParagraph"/>
              <w:ind w:left="818" w:right="818"/>
              <w:jc w:val="center"/>
              <w:rPr>
                <w:b/>
                <w:sz w:val="22"/>
              </w:rPr>
            </w:pPr>
            <w:r>
              <w:rPr>
                <w:b/>
                <w:sz w:val="22"/>
              </w:rPr>
              <w:t>8452.1</w:t>
            </w:r>
          </w:p>
        </w:tc>
        <w:tc>
          <w:tcPr>
            <w:tcW w:w="7289" w:type="dxa"/>
          </w:tcPr>
          <w:p>
            <w:pPr>
              <w:pStyle w:val="TableParagraph"/>
              <w:spacing w:line="259" w:lineRule="auto" w:before="62"/>
              <w:ind w:left="103" w:right="198"/>
              <w:rPr>
                <w:sz w:val="22"/>
              </w:rPr>
            </w:pPr>
            <w:r>
              <w:rPr>
                <w:sz w:val="22"/>
              </w:rPr>
              <w:t>Added language to establish a new clearing program in the illustration. Added illustration 3 for a combined PFA (General and Federal) request. Minor edits.</w:t>
            </w:r>
          </w:p>
        </w:tc>
      </w:tr>
    </w:tbl>
    <w:sectPr>
      <w:pgSz w:w="12240" w:h="15840"/>
      <w:pgMar w:header="646" w:footer="1207" w:top="880" w:bottom="1400" w:left="13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239990pt;margin-top:720.650024pt;width:37.4pt;height:12pt;mso-position-horizontal-relative:page;mso-position-vertical-relative:page;z-index:-5272" type="#_x0000_t202" filled="false" stroked="false">
          <v:textbox inset="0,0,0,0">
            <w:txbxContent>
              <w:p>
                <w:pPr>
                  <w:spacing w:line="223" w:lineRule="exact" w:before="0"/>
                  <w:ind w:left="20" w:right="0" w:firstLine="0"/>
                  <w:jc w:val="left"/>
                  <w:rPr>
                    <w:rFonts w:ascii="Calibri"/>
                    <w:b/>
                    <w:sz w:val="20"/>
                  </w:rPr>
                </w:pPr>
                <w:r>
                  <w:rPr>
                    <w:rFonts w:ascii="Calibri"/>
                    <w:b/>
                    <w:sz w:val="20"/>
                  </w:rPr>
                  <w:t>Rev. 442</w:t>
                </w:r>
              </w:p>
            </w:txbxContent>
          </v:textbox>
          <w10:wrap type="none"/>
        </v:shape>
      </w:pict>
    </w:r>
    <w:r>
      <w:rPr/>
      <w:pict>
        <v:shape style="position:absolute;margin-left:282.200226pt;margin-top:741.894653pt;width:47.4pt;height:12pt;mso-position-horizontal-relative:page;mso-position-vertical-relative:page;z-index:-5248" type="#_x0000_t202" filled="false" stroked="false">
          <v:textbox inset="0,0,0,0">
            <w:txbxContent>
              <w:p>
                <w:pPr>
                  <w:spacing w:line="223" w:lineRule="exact" w:before="0"/>
                  <w:ind w:left="20" w:right="0" w:firstLine="0"/>
                  <w:jc w:val="left"/>
                  <w:rPr>
                    <w:rFonts w:ascii="Calibri"/>
                    <w:b/>
                    <w:sz w:val="20"/>
                  </w:rPr>
                </w:pPr>
                <w:r>
                  <w:rPr>
                    <w:rFonts w:ascii="Calibri"/>
                    <w:b/>
                    <w:sz w:val="20"/>
                  </w:rPr>
                  <w:t>Page </w:t>
                </w:r>
                <w:r>
                  <w:rPr/>
                  <w:fldChar w:fldCharType="begin"/>
                </w:r>
                <w:r>
                  <w:rPr>
                    <w:rFonts w:ascii="Calibri"/>
                    <w:b/>
                    <w:sz w:val="20"/>
                  </w:rPr>
                  <w:instrText> PAGE </w:instrText>
                </w:r>
                <w:r>
                  <w:rPr/>
                  <w:fldChar w:fldCharType="separate"/>
                </w:r>
                <w:r>
                  <w:rPr/>
                  <w:t>1</w:t>
                </w:r>
                <w:r>
                  <w:rPr/>
                  <w:fldChar w:fldCharType="end"/>
                </w:r>
                <w:r>
                  <w:rPr>
                    <w:rFonts w:ascii="Calibri"/>
                    <w:b/>
                    <w:sz w:val="20"/>
                  </w:rPr>
                  <w:t> of 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24.360001pt;margin-top:31.280001pt;width:163.3pt;height:14pt;mso-position-horizontal-relative:page;mso-position-vertical-relative:page;z-index:-5296" type="#_x0000_t202" filled="false" stroked="false">
          <v:textbox inset="0,0,0,0">
            <w:txbxContent>
              <w:p>
                <w:pPr>
                  <w:spacing w:line="264" w:lineRule="exact" w:before="0"/>
                  <w:ind w:left="20" w:right="0" w:firstLine="0"/>
                  <w:jc w:val="left"/>
                  <w:rPr>
                    <w:rFonts w:ascii="Calibri" w:hAnsi="Calibri"/>
                    <w:b/>
                    <w:sz w:val="24"/>
                  </w:rPr>
                </w:pPr>
                <w:r>
                  <w:rPr>
                    <w:rFonts w:ascii="Calibri" w:hAnsi="Calibri"/>
                    <w:b/>
                    <w:sz w:val="24"/>
                  </w:rPr>
                  <w:t>SAM – REVISION SUMMARY 442</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am.dgs.ca.gov/TOC/1200.aspx" TargetMode="External"/><Relationship Id="rId8" Type="http://schemas.openxmlformats.org/officeDocument/2006/relationships/hyperlink" Target="http://sam.dgs.ca.gov/TOC/4800.aspx" TargetMode="External"/><Relationship Id="rId9" Type="http://schemas.openxmlformats.org/officeDocument/2006/relationships/hyperlink" Target="http://sam.dgs.ca.gov/TOC/5100.aspx" TargetMode="External"/><Relationship Id="rId10" Type="http://schemas.openxmlformats.org/officeDocument/2006/relationships/hyperlink" Target="http://sam.dgs.ca.gov/TOC/5200.aspx" TargetMode="External"/><Relationship Id="rId11" Type="http://schemas.openxmlformats.org/officeDocument/2006/relationships/hyperlink" Target="http://sam.dgs.ca.gov/TOC/840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2020-07-13T14:43:59Z</dcterms:created>
  <dcterms:modified xsi:type="dcterms:W3CDTF">2020-07-13T14:43:59Z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Creator">
    <vt:lpwstr>Acrobat PDFMaker 17 for Word</vt:lpwstr>
  </property>
  <property fmtid="{D5CDD505-2E9C-101B-9397-08002B2CF9AE}" pid="4" name="LastSaved">
    <vt:filetime>2020-07-13T00:00:00Z</vt:filetime>
  </property>
</Properties>
</file>