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Default Extension="jpeg" ContentType="image/jpeg"/>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Default Extension="png" ContentType="image/png"/>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93"/>
        <w:ind w:left="120" w:right="602" w:hanging="1"/>
        <w:jc w:val="left"/>
        <w:rPr>
          <w:sz w:val="22"/>
        </w:rPr>
      </w:pPr>
      <w:bookmarkStart w:name="Rev439" w:id="1"/>
      <w:bookmarkEnd w:id="1"/>
      <w:r>
        <w:rPr/>
      </w:r>
      <w:bookmarkStart w:name="RevSum439" w:id="2"/>
      <w:bookmarkEnd w:id="2"/>
      <w:r>
        <w:rPr/>
      </w:r>
      <w:r>
        <w:rPr>
          <w:sz w:val="22"/>
        </w:rPr>
        <w:t>Revisions to SAM sections are provided after the summary table below, and are indicated with the “track changes” display through the revised text on all revised SAM pages. Highlighted content indicates newly added information to the SAM chapter. “Track Changes” are not inserted for format changes.</w:t>
      </w:r>
    </w:p>
    <w:p>
      <w:pPr>
        <w:spacing w:line="267" w:lineRule="exact" w:before="0"/>
        <w:ind w:left="2589" w:right="0" w:firstLine="0"/>
        <w:jc w:val="left"/>
        <w:rPr>
          <w:rFonts w:ascii="Calibri"/>
          <w:b/>
          <w:i/>
          <w:sz w:val="22"/>
        </w:rPr>
      </w:pPr>
      <w:r>
        <w:rPr>
          <w:rFonts w:ascii="Calibri"/>
          <w:b/>
          <w:i/>
          <w:sz w:val="22"/>
        </w:rPr>
        <w:t>** Follow the link to the revised SAM Chapter **</w:t>
      </w:r>
    </w:p>
    <w:p>
      <w:pPr>
        <w:pStyle w:val="BodyText"/>
        <w:spacing w:before="2"/>
        <w:rPr>
          <w:rFonts w:ascii="Calibri"/>
          <w:b/>
          <w:i/>
          <w:sz w:val="10"/>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2"/>
        <w:gridCol w:w="7310"/>
      </w:tblGrid>
      <w:tr>
        <w:trPr>
          <w:trHeight w:val="756" w:hRule="exact"/>
        </w:trPr>
        <w:tc>
          <w:tcPr>
            <w:tcW w:w="2342" w:type="dxa"/>
            <w:shd w:val="clear" w:color="auto" w:fill="DADADA"/>
          </w:tcPr>
          <w:p>
            <w:pPr>
              <w:pStyle w:val="TableParagraph"/>
              <w:spacing w:before="115"/>
              <w:ind w:left="686" w:right="577" w:hanging="75"/>
              <w:rPr>
                <w:b/>
                <w:sz w:val="22"/>
              </w:rPr>
            </w:pPr>
            <w:r>
              <w:rPr>
                <w:b/>
                <w:sz w:val="22"/>
              </w:rPr>
              <w:t>CHAPTER/ SECTION</w:t>
            </w:r>
          </w:p>
        </w:tc>
        <w:tc>
          <w:tcPr>
            <w:tcW w:w="7310" w:type="dxa"/>
            <w:shd w:val="clear" w:color="auto" w:fill="DADADA"/>
          </w:tcPr>
          <w:p>
            <w:pPr>
              <w:pStyle w:val="TableParagraph"/>
              <w:spacing w:before="182"/>
              <w:ind w:left="3068" w:right="3056"/>
              <w:jc w:val="center"/>
              <w:rPr>
                <w:b/>
                <w:sz w:val="22"/>
              </w:rPr>
            </w:pPr>
            <w:r>
              <w:rPr>
                <w:b/>
                <w:sz w:val="22"/>
              </w:rPr>
              <w:t>SUMMARY</w:t>
            </w:r>
          </w:p>
        </w:tc>
      </w:tr>
      <w:tr>
        <w:trPr>
          <w:trHeight w:val="384" w:hRule="exact"/>
        </w:trPr>
        <w:tc>
          <w:tcPr>
            <w:tcW w:w="9653" w:type="dxa"/>
            <w:gridSpan w:val="2"/>
          </w:tcPr>
          <w:p>
            <w:pPr>
              <w:pStyle w:val="TableParagraph"/>
              <w:spacing w:before="55"/>
              <w:ind w:left="103"/>
              <w:rPr>
                <w:b/>
                <w:sz w:val="22"/>
              </w:rPr>
            </w:pPr>
            <w:hyperlink r:id="rId7">
              <w:r>
                <w:rPr>
                  <w:b/>
                  <w:color w:val="0000FF"/>
                  <w:sz w:val="22"/>
                  <w:u w:val="thick" w:color="0000FF"/>
                </w:rPr>
                <w:t>Subject Index</w:t>
              </w:r>
            </w:hyperlink>
          </w:p>
        </w:tc>
      </w:tr>
      <w:tr>
        <w:trPr>
          <w:trHeight w:val="398" w:hRule="exact"/>
        </w:trPr>
        <w:tc>
          <w:tcPr>
            <w:tcW w:w="2342" w:type="dxa"/>
          </w:tcPr>
          <w:p>
            <w:pPr>
              <w:pStyle w:val="TableParagraph"/>
              <w:spacing w:before="55"/>
              <w:ind w:left="137" w:right="137"/>
              <w:jc w:val="center"/>
              <w:rPr>
                <w:b/>
                <w:sz w:val="22"/>
              </w:rPr>
            </w:pPr>
            <w:r>
              <w:rPr>
                <w:b/>
                <w:sz w:val="22"/>
              </w:rPr>
              <w:t>Subject Index</w:t>
            </w:r>
          </w:p>
        </w:tc>
        <w:tc>
          <w:tcPr>
            <w:tcW w:w="7310" w:type="dxa"/>
          </w:tcPr>
          <w:p>
            <w:pPr>
              <w:pStyle w:val="TableParagraph"/>
              <w:spacing w:before="57"/>
              <w:ind w:left="100"/>
              <w:rPr>
                <w:rFonts w:ascii="Calibri"/>
                <w:sz w:val="22"/>
              </w:rPr>
            </w:pPr>
            <w:r>
              <w:rPr>
                <w:rFonts w:ascii="Calibri"/>
                <w:sz w:val="22"/>
              </w:rPr>
              <w:t>Reintroduction of the SAM Subject Index.</w:t>
            </w:r>
          </w:p>
        </w:tc>
      </w:tr>
      <w:tr>
        <w:trPr>
          <w:trHeight w:val="382" w:hRule="exact"/>
        </w:trPr>
        <w:tc>
          <w:tcPr>
            <w:tcW w:w="9653" w:type="dxa"/>
            <w:gridSpan w:val="2"/>
          </w:tcPr>
          <w:p>
            <w:pPr>
              <w:pStyle w:val="TableParagraph"/>
              <w:spacing w:before="55"/>
              <w:ind w:left="103"/>
              <w:rPr>
                <w:b/>
                <w:sz w:val="22"/>
              </w:rPr>
            </w:pPr>
            <w:hyperlink r:id="rId8">
              <w:r>
                <w:rPr>
                  <w:b/>
                  <w:color w:val="0000FF"/>
                  <w:sz w:val="22"/>
                  <w:u w:val="thick" w:color="0000FF"/>
                </w:rPr>
                <w:t>Chapter 1</w:t>
              </w:r>
            </w:hyperlink>
          </w:p>
        </w:tc>
      </w:tr>
      <w:tr>
        <w:trPr>
          <w:trHeight w:val="667" w:hRule="exact"/>
        </w:trPr>
        <w:tc>
          <w:tcPr>
            <w:tcW w:w="2342" w:type="dxa"/>
          </w:tcPr>
          <w:p>
            <w:pPr>
              <w:pStyle w:val="TableParagraph"/>
              <w:spacing w:before="55"/>
              <w:ind w:left="137" w:right="137"/>
              <w:jc w:val="center"/>
              <w:rPr>
                <w:b/>
                <w:sz w:val="22"/>
              </w:rPr>
            </w:pPr>
            <w:r>
              <w:rPr>
                <w:b/>
                <w:sz w:val="22"/>
              </w:rPr>
              <w:t>Section 0020</w:t>
            </w:r>
          </w:p>
        </w:tc>
        <w:tc>
          <w:tcPr>
            <w:tcW w:w="7310" w:type="dxa"/>
          </w:tcPr>
          <w:p>
            <w:pPr>
              <w:pStyle w:val="TableParagraph"/>
              <w:spacing w:before="57"/>
              <w:ind w:left="100" w:right="898"/>
              <w:rPr>
                <w:rFonts w:ascii="Calibri"/>
                <w:sz w:val="22"/>
              </w:rPr>
            </w:pPr>
            <w:r>
              <w:rPr>
                <w:rFonts w:ascii="Calibri"/>
                <w:sz w:val="22"/>
              </w:rPr>
              <w:t>Added SAM Subject Index to revision process: corrected typo; clarified hyperlink review.</w:t>
            </w:r>
          </w:p>
        </w:tc>
      </w:tr>
      <w:tr>
        <w:trPr>
          <w:trHeight w:val="667" w:hRule="exact"/>
        </w:trPr>
        <w:tc>
          <w:tcPr>
            <w:tcW w:w="2342" w:type="dxa"/>
          </w:tcPr>
          <w:p>
            <w:pPr>
              <w:pStyle w:val="TableParagraph"/>
              <w:spacing w:before="55"/>
              <w:ind w:left="137" w:right="137"/>
              <w:jc w:val="center"/>
              <w:rPr>
                <w:b/>
                <w:sz w:val="22"/>
              </w:rPr>
            </w:pPr>
            <w:r>
              <w:rPr>
                <w:b/>
                <w:sz w:val="22"/>
              </w:rPr>
              <w:t>Section 0030</w:t>
            </w:r>
          </w:p>
        </w:tc>
        <w:tc>
          <w:tcPr>
            <w:tcW w:w="7310" w:type="dxa"/>
          </w:tcPr>
          <w:p>
            <w:pPr>
              <w:pStyle w:val="TableParagraph"/>
              <w:spacing w:before="57"/>
              <w:ind w:left="100" w:right="214"/>
              <w:rPr>
                <w:rFonts w:ascii="Calibri"/>
                <w:sz w:val="22"/>
              </w:rPr>
            </w:pPr>
            <w:r>
              <w:rPr>
                <w:rFonts w:ascii="Calibri"/>
                <w:sz w:val="22"/>
              </w:rPr>
              <w:t>Update of SAM Author contact information for sections 30, 700-750, 753-780, 1600, 3500-3515, 3522.1-3590.5, 3600, and 5200.</w:t>
            </w:r>
          </w:p>
        </w:tc>
      </w:tr>
      <w:tr>
        <w:trPr>
          <w:trHeight w:val="384" w:hRule="exact"/>
        </w:trPr>
        <w:tc>
          <w:tcPr>
            <w:tcW w:w="9653" w:type="dxa"/>
            <w:gridSpan w:val="2"/>
          </w:tcPr>
          <w:p>
            <w:pPr>
              <w:pStyle w:val="TableParagraph"/>
              <w:spacing w:before="55"/>
              <w:ind w:left="103"/>
              <w:rPr>
                <w:b/>
                <w:sz w:val="22"/>
              </w:rPr>
            </w:pPr>
            <w:hyperlink r:id="rId9">
              <w:r>
                <w:rPr>
                  <w:b/>
                  <w:color w:val="0000FF"/>
                  <w:sz w:val="22"/>
                  <w:u w:val="thick" w:color="0000FF"/>
                </w:rPr>
                <w:t>Chapter 1330</w:t>
              </w:r>
            </w:hyperlink>
          </w:p>
        </w:tc>
      </w:tr>
      <w:tr>
        <w:trPr>
          <w:trHeight w:val="382" w:hRule="exact"/>
        </w:trPr>
        <w:tc>
          <w:tcPr>
            <w:tcW w:w="2342" w:type="dxa"/>
          </w:tcPr>
          <w:p>
            <w:pPr>
              <w:pStyle w:val="TableParagraph"/>
              <w:spacing w:before="55"/>
              <w:ind w:left="137" w:right="137"/>
              <w:jc w:val="center"/>
              <w:rPr>
                <w:b/>
                <w:sz w:val="22"/>
              </w:rPr>
            </w:pPr>
            <w:r>
              <w:rPr>
                <w:b/>
                <w:sz w:val="22"/>
              </w:rPr>
              <w:t>Section 1330</w:t>
            </w:r>
          </w:p>
        </w:tc>
        <w:tc>
          <w:tcPr>
            <w:tcW w:w="7310" w:type="dxa"/>
          </w:tcPr>
          <w:p>
            <w:pPr>
              <w:pStyle w:val="TableParagraph"/>
              <w:spacing w:before="57"/>
              <w:ind w:left="100"/>
              <w:rPr>
                <w:sz w:val="22"/>
              </w:rPr>
            </w:pPr>
            <w:r>
              <w:rPr>
                <w:sz w:val="22"/>
              </w:rPr>
              <w:t>Added references and links to TOC.</w:t>
            </w:r>
          </w:p>
        </w:tc>
      </w:tr>
      <w:tr>
        <w:trPr>
          <w:trHeight w:val="384" w:hRule="exact"/>
        </w:trPr>
        <w:tc>
          <w:tcPr>
            <w:tcW w:w="9653" w:type="dxa"/>
            <w:gridSpan w:val="2"/>
          </w:tcPr>
          <w:p>
            <w:pPr>
              <w:pStyle w:val="TableParagraph"/>
              <w:spacing w:before="55"/>
              <w:ind w:left="103"/>
              <w:rPr>
                <w:b/>
                <w:sz w:val="22"/>
              </w:rPr>
            </w:pPr>
            <w:hyperlink r:id="rId10">
              <w:r>
                <w:rPr>
                  <w:b/>
                  <w:color w:val="0000FF"/>
                  <w:sz w:val="22"/>
                  <w:u w:val="thick" w:color="0000FF"/>
                </w:rPr>
                <w:t>Chapter 2800</w:t>
              </w:r>
            </w:hyperlink>
          </w:p>
        </w:tc>
      </w:tr>
      <w:tr>
        <w:trPr>
          <w:trHeight w:val="398" w:hRule="exact"/>
        </w:trPr>
        <w:tc>
          <w:tcPr>
            <w:tcW w:w="2342" w:type="dxa"/>
          </w:tcPr>
          <w:p>
            <w:pPr>
              <w:pStyle w:val="TableParagraph"/>
              <w:spacing w:before="55"/>
              <w:ind w:left="137" w:right="137"/>
              <w:jc w:val="center"/>
              <w:rPr>
                <w:b/>
                <w:sz w:val="22"/>
              </w:rPr>
            </w:pPr>
            <w:r>
              <w:rPr>
                <w:b/>
                <w:sz w:val="22"/>
              </w:rPr>
              <w:t>Section 2810</w:t>
            </w:r>
          </w:p>
        </w:tc>
        <w:tc>
          <w:tcPr>
            <w:tcW w:w="7310" w:type="dxa"/>
          </w:tcPr>
          <w:p>
            <w:pPr>
              <w:pStyle w:val="TableParagraph"/>
              <w:spacing w:before="57"/>
              <w:ind w:left="100"/>
              <w:rPr>
                <w:rFonts w:ascii="Calibri"/>
                <w:sz w:val="22"/>
              </w:rPr>
            </w:pPr>
            <w:r>
              <w:rPr>
                <w:rFonts w:ascii="Calibri"/>
                <w:sz w:val="22"/>
              </w:rPr>
              <w:t>Updated to remove approval requirement as per MM16-06</w:t>
            </w:r>
          </w:p>
        </w:tc>
      </w:tr>
      <w:tr>
        <w:trPr>
          <w:trHeight w:val="382" w:hRule="exact"/>
        </w:trPr>
        <w:tc>
          <w:tcPr>
            <w:tcW w:w="9653" w:type="dxa"/>
            <w:gridSpan w:val="2"/>
          </w:tcPr>
          <w:p>
            <w:pPr>
              <w:pStyle w:val="TableParagraph"/>
              <w:spacing w:before="55"/>
              <w:ind w:left="103"/>
              <w:rPr>
                <w:b/>
                <w:sz w:val="22"/>
              </w:rPr>
            </w:pPr>
            <w:hyperlink r:id="rId11">
              <w:r>
                <w:rPr>
                  <w:b/>
                  <w:color w:val="0000FF"/>
                  <w:sz w:val="22"/>
                  <w:u w:val="thick" w:color="0000FF"/>
                </w:rPr>
                <w:t>Chapter 4100</w:t>
              </w:r>
            </w:hyperlink>
          </w:p>
        </w:tc>
      </w:tr>
      <w:tr>
        <w:trPr>
          <w:trHeight w:val="398" w:hRule="exact"/>
        </w:trPr>
        <w:tc>
          <w:tcPr>
            <w:tcW w:w="2342" w:type="dxa"/>
          </w:tcPr>
          <w:p>
            <w:pPr>
              <w:pStyle w:val="TableParagraph"/>
              <w:spacing w:before="57"/>
              <w:ind w:left="137" w:right="137"/>
              <w:jc w:val="center"/>
              <w:rPr>
                <w:b/>
                <w:sz w:val="22"/>
              </w:rPr>
            </w:pPr>
            <w:r>
              <w:rPr>
                <w:b/>
                <w:sz w:val="22"/>
              </w:rPr>
              <w:t>Chapter 4100 Index</w:t>
            </w:r>
          </w:p>
        </w:tc>
        <w:tc>
          <w:tcPr>
            <w:tcW w:w="7310" w:type="dxa"/>
          </w:tcPr>
          <w:p>
            <w:pPr>
              <w:pStyle w:val="TableParagraph"/>
              <w:spacing w:before="59"/>
              <w:ind w:left="100"/>
              <w:rPr>
                <w:rFonts w:ascii="Calibri"/>
                <w:sz w:val="22"/>
              </w:rPr>
            </w:pPr>
            <w:r>
              <w:rPr>
                <w:rFonts w:ascii="Calibri"/>
                <w:sz w:val="22"/>
              </w:rPr>
              <w:t>Added new section 4120.8</w:t>
            </w:r>
          </w:p>
        </w:tc>
      </w:tr>
      <w:tr>
        <w:trPr>
          <w:trHeight w:val="401" w:hRule="exact"/>
        </w:trPr>
        <w:tc>
          <w:tcPr>
            <w:tcW w:w="2342" w:type="dxa"/>
          </w:tcPr>
          <w:p>
            <w:pPr>
              <w:pStyle w:val="TableParagraph"/>
              <w:spacing w:before="57"/>
              <w:ind w:left="137" w:right="137"/>
              <w:jc w:val="center"/>
              <w:rPr>
                <w:b/>
                <w:sz w:val="22"/>
              </w:rPr>
            </w:pPr>
            <w:r>
              <w:rPr>
                <w:b/>
                <w:sz w:val="22"/>
              </w:rPr>
              <w:t>Section 4120.8</w:t>
            </w:r>
          </w:p>
        </w:tc>
        <w:tc>
          <w:tcPr>
            <w:tcW w:w="7310" w:type="dxa"/>
          </w:tcPr>
          <w:p>
            <w:pPr>
              <w:pStyle w:val="TableParagraph"/>
              <w:spacing w:before="59"/>
              <w:ind w:left="100"/>
              <w:rPr>
                <w:rFonts w:ascii="Calibri"/>
                <w:sz w:val="22"/>
              </w:rPr>
            </w:pPr>
            <w:r>
              <w:rPr>
                <w:rFonts w:ascii="Calibri"/>
                <w:sz w:val="22"/>
              </w:rPr>
              <w:t>New: abbreviated fleet acquisition process per Management Memo 17-02.</w:t>
            </w:r>
          </w:p>
        </w:tc>
      </w:tr>
      <w:tr>
        <w:trPr>
          <w:trHeight w:val="382" w:hRule="exact"/>
        </w:trPr>
        <w:tc>
          <w:tcPr>
            <w:tcW w:w="9653" w:type="dxa"/>
            <w:gridSpan w:val="2"/>
          </w:tcPr>
          <w:p>
            <w:pPr>
              <w:pStyle w:val="TableParagraph"/>
              <w:spacing w:before="55"/>
              <w:ind w:left="103"/>
              <w:rPr>
                <w:b/>
                <w:sz w:val="22"/>
              </w:rPr>
            </w:pPr>
            <w:hyperlink r:id="rId12">
              <w:r>
                <w:rPr>
                  <w:b/>
                  <w:color w:val="0000FF"/>
                  <w:sz w:val="22"/>
                  <w:u w:val="thick" w:color="0000FF"/>
                </w:rPr>
                <w:t>Chapter 4900</w:t>
              </w:r>
            </w:hyperlink>
          </w:p>
        </w:tc>
      </w:tr>
      <w:tr>
        <w:trPr>
          <w:trHeight w:val="636" w:hRule="exact"/>
        </w:trPr>
        <w:tc>
          <w:tcPr>
            <w:tcW w:w="2342" w:type="dxa"/>
          </w:tcPr>
          <w:p>
            <w:pPr>
              <w:pStyle w:val="TableParagraph"/>
              <w:spacing w:before="55"/>
              <w:ind w:left="137" w:right="137"/>
              <w:jc w:val="center"/>
              <w:rPr>
                <w:b/>
                <w:sz w:val="22"/>
              </w:rPr>
            </w:pPr>
            <w:r>
              <w:rPr>
                <w:b/>
                <w:sz w:val="22"/>
              </w:rPr>
              <w:t>Section 4983</w:t>
            </w:r>
          </w:p>
        </w:tc>
        <w:tc>
          <w:tcPr>
            <w:tcW w:w="7310" w:type="dxa"/>
          </w:tcPr>
          <w:p>
            <w:pPr>
              <w:pStyle w:val="TableParagraph"/>
              <w:spacing w:before="57"/>
              <w:ind w:left="100" w:right="393"/>
              <w:rPr>
                <w:sz w:val="22"/>
              </w:rPr>
            </w:pPr>
            <w:r>
              <w:rPr>
                <w:sz w:val="22"/>
              </w:rPr>
              <w:t>Per TL 17-06, policy was updated to incorporate lessons learned from Cloud implementation.</w:t>
            </w:r>
          </w:p>
        </w:tc>
      </w:tr>
      <w:tr>
        <w:trPr>
          <w:trHeight w:val="3425" w:hRule="exact"/>
        </w:trPr>
        <w:tc>
          <w:tcPr>
            <w:tcW w:w="2342" w:type="dxa"/>
          </w:tcPr>
          <w:p>
            <w:pPr>
              <w:pStyle w:val="TableParagraph"/>
              <w:spacing w:before="55"/>
              <w:ind w:left="137" w:right="137"/>
              <w:jc w:val="center"/>
              <w:rPr>
                <w:b/>
                <w:sz w:val="22"/>
              </w:rPr>
            </w:pPr>
            <w:r>
              <w:rPr>
                <w:b/>
                <w:sz w:val="22"/>
              </w:rPr>
              <w:t>Section 4983.1</w:t>
            </w:r>
          </w:p>
        </w:tc>
        <w:tc>
          <w:tcPr>
            <w:tcW w:w="7310" w:type="dxa"/>
          </w:tcPr>
          <w:p>
            <w:pPr>
              <w:pStyle w:val="TableParagraph"/>
              <w:spacing w:before="117"/>
              <w:ind w:left="100" w:right="417"/>
              <w:rPr>
                <w:sz w:val="22"/>
              </w:rPr>
            </w:pPr>
            <w:r>
              <w:rPr>
                <w:sz w:val="22"/>
              </w:rPr>
              <w:t>Per TL 17-06, section was updated to provide additional direction and information for all Agencies/state entities on cloud computing requirements including:</w:t>
            </w:r>
          </w:p>
          <w:p>
            <w:pPr>
              <w:pStyle w:val="TableParagraph"/>
              <w:numPr>
                <w:ilvl w:val="0"/>
                <w:numId w:val="1"/>
              </w:numPr>
              <w:tabs>
                <w:tab w:pos="532" w:val="left" w:leader="none"/>
                <w:tab w:pos="533" w:val="left" w:leader="none"/>
              </w:tabs>
              <w:spacing w:line="252" w:lineRule="exact" w:before="20" w:after="0"/>
              <w:ind w:left="532" w:right="210" w:hanging="360"/>
              <w:jc w:val="left"/>
              <w:rPr>
                <w:rFonts w:ascii="Symbol"/>
                <w:sz w:val="22"/>
              </w:rPr>
            </w:pPr>
            <w:r>
              <w:rPr>
                <w:sz w:val="22"/>
              </w:rPr>
              <w:t>Agencies/state entities are required to evaluate and use Infrastructure as a Service (IaaS) and Platform as a Service (PaaS) for all new technology, expansion or refresh</w:t>
            </w:r>
            <w:r>
              <w:rPr>
                <w:spacing w:val="-22"/>
                <w:sz w:val="22"/>
              </w:rPr>
              <w:t> </w:t>
            </w:r>
            <w:r>
              <w:rPr>
                <w:sz w:val="22"/>
              </w:rPr>
              <w:t>initiatives.</w:t>
            </w:r>
          </w:p>
          <w:p>
            <w:pPr>
              <w:pStyle w:val="TableParagraph"/>
              <w:numPr>
                <w:ilvl w:val="0"/>
                <w:numId w:val="1"/>
              </w:numPr>
              <w:tabs>
                <w:tab w:pos="532" w:val="left" w:leader="none"/>
                <w:tab w:pos="533" w:val="left" w:leader="none"/>
              </w:tabs>
              <w:spacing w:line="252" w:lineRule="exact" w:before="17" w:after="0"/>
              <w:ind w:left="532" w:right="491" w:hanging="360"/>
              <w:jc w:val="left"/>
              <w:rPr>
                <w:rFonts w:ascii="Symbol"/>
                <w:sz w:val="22"/>
              </w:rPr>
            </w:pPr>
            <w:r>
              <w:rPr>
                <w:sz w:val="22"/>
              </w:rPr>
              <w:t>Agencies/state entities must acquire all IaaS and PaaS solutions through the California Department of Technology</w:t>
            </w:r>
            <w:r>
              <w:rPr>
                <w:spacing w:val="-22"/>
                <w:sz w:val="22"/>
              </w:rPr>
              <w:t> </w:t>
            </w:r>
            <w:r>
              <w:rPr>
                <w:sz w:val="22"/>
              </w:rPr>
              <w:t>(CDT).</w:t>
            </w:r>
          </w:p>
          <w:p>
            <w:pPr>
              <w:pStyle w:val="TableParagraph"/>
              <w:numPr>
                <w:ilvl w:val="0"/>
                <w:numId w:val="1"/>
              </w:numPr>
              <w:tabs>
                <w:tab w:pos="533" w:val="left" w:leader="none"/>
              </w:tabs>
              <w:spacing w:line="240" w:lineRule="auto" w:before="0" w:after="0"/>
              <w:ind w:left="532" w:right="688" w:hanging="360"/>
              <w:jc w:val="both"/>
              <w:rPr>
                <w:rFonts w:ascii="Symbol" w:hAnsi="Symbol"/>
                <w:sz w:val="20"/>
              </w:rPr>
            </w:pPr>
            <w:r>
              <w:rPr>
                <w:sz w:val="22"/>
              </w:rPr>
              <w:t>Agencies/state entities must utilize the Department of General Services’ Cloud Computing Services Special Provisions when procuring commercial and/or government cloud services (SAM Section</w:t>
            </w:r>
            <w:r>
              <w:rPr>
                <w:spacing w:val="-4"/>
                <w:sz w:val="22"/>
              </w:rPr>
              <w:t> </w:t>
            </w:r>
            <w:r>
              <w:rPr>
                <w:sz w:val="22"/>
              </w:rPr>
              <w:t>4983.1).</w:t>
            </w:r>
          </w:p>
        </w:tc>
      </w:tr>
      <w:tr>
        <w:trPr>
          <w:trHeight w:val="384" w:hRule="exact"/>
        </w:trPr>
        <w:tc>
          <w:tcPr>
            <w:tcW w:w="9653" w:type="dxa"/>
            <w:gridSpan w:val="2"/>
          </w:tcPr>
          <w:p>
            <w:pPr>
              <w:pStyle w:val="TableParagraph"/>
              <w:spacing w:before="57"/>
              <w:ind w:left="103"/>
              <w:rPr>
                <w:b/>
                <w:sz w:val="22"/>
              </w:rPr>
            </w:pPr>
            <w:hyperlink r:id="rId13">
              <w:r>
                <w:rPr>
                  <w:b/>
                  <w:color w:val="0000FF"/>
                  <w:sz w:val="22"/>
                  <w:u w:val="thick" w:color="0000FF"/>
                </w:rPr>
                <w:t>Chapter 6800</w:t>
              </w:r>
            </w:hyperlink>
          </w:p>
        </w:tc>
      </w:tr>
      <w:tr>
        <w:trPr>
          <w:trHeight w:val="888" w:hRule="exact"/>
        </w:trPr>
        <w:tc>
          <w:tcPr>
            <w:tcW w:w="2342" w:type="dxa"/>
          </w:tcPr>
          <w:p>
            <w:pPr>
              <w:pStyle w:val="TableParagraph"/>
              <w:spacing w:before="55"/>
              <w:ind w:left="137" w:right="137"/>
              <w:jc w:val="center"/>
              <w:rPr>
                <w:b/>
                <w:sz w:val="22"/>
              </w:rPr>
            </w:pPr>
            <w:r>
              <w:rPr>
                <w:b/>
                <w:sz w:val="22"/>
              </w:rPr>
              <w:t>Section 6806</w:t>
            </w:r>
          </w:p>
        </w:tc>
        <w:tc>
          <w:tcPr>
            <w:tcW w:w="7310" w:type="dxa"/>
          </w:tcPr>
          <w:p>
            <w:pPr>
              <w:pStyle w:val="TableParagraph"/>
              <w:spacing w:before="57"/>
              <w:ind w:left="100" w:right="492"/>
              <w:rPr>
                <w:sz w:val="22"/>
              </w:rPr>
            </w:pPr>
            <w:r>
              <w:rPr>
                <w:sz w:val="22"/>
              </w:rPr>
              <w:t>Modified wording to clarify that a program or activity </w:t>
            </w:r>
            <w:r>
              <w:rPr>
                <w:i/>
                <w:sz w:val="22"/>
              </w:rPr>
              <w:t>should generally </w:t>
            </w:r>
            <w:r>
              <w:rPr>
                <w:sz w:val="22"/>
              </w:rPr>
              <w:t>follow that classification’s expenditure rules for character of appropriations.</w:t>
            </w:r>
          </w:p>
        </w:tc>
      </w:tr>
    </w:tbl>
    <w:p>
      <w:pPr>
        <w:spacing w:after="0"/>
        <w:rPr>
          <w:sz w:val="22"/>
        </w:rPr>
        <w:sectPr>
          <w:headerReference w:type="default" r:id="rId5"/>
          <w:footerReference w:type="default" r:id="rId6"/>
          <w:type w:val="continuous"/>
          <w:pgSz w:w="12240" w:h="15840"/>
          <w:pgMar w:header="648" w:footer="847" w:top="880" w:bottom="1040" w:left="1320" w:right="1020"/>
          <w:pgNumType w:start="1"/>
        </w:sectPr>
      </w:pPr>
    </w:p>
    <w:p>
      <w:pPr>
        <w:pStyle w:val="BodyText"/>
        <w:spacing w:before="4"/>
        <w:rPr>
          <w:rFonts w:ascii="Times New Roman"/>
          <w:sz w:val="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0"/>
        <w:gridCol w:w="7313"/>
      </w:tblGrid>
      <w:tr>
        <w:trPr>
          <w:trHeight w:val="384" w:hRule="exact"/>
        </w:trPr>
        <w:tc>
          <w:tcPr>
            <w:tcW w:w="9653" w:type="dxa"/>
            <w:gridSpan w:val="2"/>
          </w:tcPr>
          <w:p>
            <w:pPr>
              <w:pStyle w:val="TableParagraph"/>
              <w:spacing w:before="57"/>
              <w:ind w:left="103"/>
              <w:rPr>
                <w:b/>
                <w:sz w:val="22"/>
              </w:rPr>
            </w:pPr>
            <w:hyperlink r:id="rId14">
              <w:r>
                <w:rPr>
                  <w:b/>
                  <w:color w:val="0000FF"/>
                  <w:sz w:val="22"/>
                  <w:u w:val="thick" w:color="0000FF"/>
                </w:rPr>
                <w:t>Chapter 7900</w:t>
              </w:r>
            </w:hyperlink>
          </w:p>
        </w:tc>
      </w:tr>
      <w:tr>
        <w:trPr>
          <w:trHeight w:val="636" w:hRule="exact"/>
        </w:trPr>
        <w:tc>
          <w:tcPr>
            <w:tcW w:w="2340" w:type="dxa"/>
          </w:tcPr>
          <w:p>
            <w:pPr>
              <w:pStyle w:val="TableParagraph"/>
              <w:spacing w:before="55"/>
              <w:ind w:left="491"/>
              <w:rPr>
                <w:b/>
                <w:sz w:val="22"/>
              </w:rPr>
            </w:pPr>
            <w:r>
              <w:rPr>
                <w:b/>
                <w:sz w:val="22"/>
              </w:rPr>
              <w:t>Section 7977</w:t>
            </w:r>
          </w:p>
          <w:p>
            <w:pPr>
              <w:pStyle w:val="TableParagraph"/>
              <w:spacing w:before="1"/>
              <w:ind w:left="511"/>
              <w:rPr>
                <w:b/>
                <w:sz w:val="22"/>
              </w:rPr>
            </w:pPr>
            <w:r>
              <w:rPr>
                <w:b/>
                <w:sz w:val="22"/>
              </w:rPr>
              <w:t>Illustration 2</w:t>
            </w:r>
          </w:p>
        </w:tc>
        <w:tc>
          <w:tcPr>
            <w:tcW w:w="7313" w:type="dxa"/>
          </w:tcPr>
          <w:p>
            <w:pPr>
              <w:pStyle w:val="TableParagraph"/>
              <w:spacing w:before="57"/>
              <w:ind w:left="103"/>
              <w:rPr>
                <w:sz w:val="22"/>
              </w:rPr>
            </w:pPr>
            <w:r>
              <w:rPr>
                <w:sz w:val="22"/>
              </w:rPr>
              <w:t>Updated Illustration 2.</w:t>
            </w:r>
          </w:p>
        </w:tc>
      </w:tr>
      <w:tr>
        <w:trPr>
          <w:trHeight w:val="384" w:hRule="exact"/>
        </w:trPr>
        <w:tc>
          <w:tcPr>
            <w:tcW w:w="2340" w:type="dxa"/>
          </w:tcPr>
          <w:p>
            <w:pPr>
              <w:pStyle w:val="TableParagraph"/>
              <w:spacing w:before="55"/>
              <w:ind w:left="103"/>
              <w:rPr>
                <w:b/>
                <w:sz w:val="22"/>
              </w:rPr>
            </w:pPr>
            <w:hyperlink r:id="rId15">
              <w:r>
                <w:rPr>
                  <w:b/>
                  <w:color w:val="0000FF"/>
                  <w:sz w:val="22"/>
                  <w:u w:val="thick" w:color="0000FF"/>
                </w:rPr>
                <w:t>Chapter 8400</w:t>
              </w:r>
            </w:hyperlink>
          </w:p>
        </w:tc>
        <w:tc>
          <w:tcPr>
            <w:tcW w:w="7313" w:type="dxa"/>
          </w:tcPr>
          <w:p>
            <w:pPr/>
          </w:p>
        </w:tc>
      </w:tr>
      <w:tr>
        <w:trPr>
          <w:trHeight w:val="1217" w:hRule="exact"/>
        </w:trPr>
        <w:tc>
          <w:tcPr>
            <w:tcW w:w="2340" w:type="dxa"/>
          </w:tcPr>
          <w:p>
            <w:pPr>
              <w:pStyle w:val="TableParagraph"/>
              <w:spacing w:before="55"/>
              <w:ind w:left="491"/>
              <w:rPr>
                <w:b/>
                <w:sz w:val="22"/>
              </w:rPr>
            </w:pPr>
            <w:r>
              <w:rPr>
                <w:b/>
                <w:sz w:val="22"/>
              </w:rPr>
              <w:t>Section 8452</w:t>
            </w:r>
          </w:p>
        </w:tc>
        <w:tc>
          <w:tcPr>
            <w:tcW w:w="7313" w:type="dxa"/>
          </w:tcPr>
          <w:p>
            <w:pPr>
              <w:pStyle w:val="TableParagraph"/>
              <w:spacing w:before="57"/>
              <w:ind w:left="103" w:right="198"/>
              <w:rPr>
                <w:sz w:val="22"/>
              </w:rPr>
            </w:pPr>
            <w:r>
              <w:rPr>
                <w:sz w:val="22"/>
              </w:rPr>
              <w:t>Revised to clarify information on the Plan of Financial Adjustment (PFA) process and add reference to section 8452.1. Deleted reference to section 8715.  Minor edits.</w:t>
            </w:r>
          </w:p>
        </w:tc>
      </w:tr>
      <w:tr>
        <w:trPr>
          <w:trHeight w:val="636" w:hRule="exact"/>
        </w:trPr>
        <w:tc>
          <w:tcPr>
            <w:tcW w:w="2340" w:type="dxa"/>
          </w:tcPr>
          <w:p>
            <w:pPr>
              <w:pStyle w:val="TableParagraph"/>
              <w:spacing w:before="55"/>
              <w:ind w:right="396"/>
              <w:jc w:val="right"/>
              <w:rPr>
                <w:b/>
                <w:sz w:val="22"/>
              </w:rPr>
            </w:pPr>
            <w:r>
              <w:rPr>
                <w:b/>
                <w:sz w:val="22"/>
              </w:rPr>
              <w:t>Section 8452.1</w:t>
            </w:r>
          </w:p>
        </w:tc>
        <w:tc>
          <w:tcPr>
            <w:tcW w:w="7313" w:type="dxa"/>
          </w:tcPr>
          <w:p>
            <w:pPr>
              <w:pStyle w:val="TableParagraph"/>
              <w:spacing w:line="251" w:lineRule="exact"/>
              <w:ind w:left="103"/>
              <w:rPr>
                <w:sz w:val="22"/>
              </w:rPr>
            </w:pPr>
            <w:r>
              <w:rPr>
                <w:sz w:val="22"/>
              </w:rPr>
              <w:t>Minor edits</w:t>
            </w:r>
          </w:p>
        </w:tc>
      </w:tr>
      <w:tr>
        <w:trPr>
          <w:trHeight w:val="850" w:hRule="exact"/>
        </w:trPr>
        <w:tc>
          <w:tcPr>
            <w:tcW w:w="2340" w:type="dxa"/>
          </w:tcPr>
          <w:p>
            <w:pPr>
              <w:pStyle w:val="TableParagraph"/>
              <w:spacing w:before="55"/>
              <w:ind w:right="396"/>
              <w:jc w:val="right"/>
              <w:rPr>
                <w:b/>
                <w:sz w:val="22"/>
              </w:rPr>
            </w:pPr>
            <w:r>
              <w:rPr>
                <w:b/>
                <w:sz w:val="22"/>
              </w:rPr>
              <w:t>Section 8452.2</w:t>
            </w:r>
          </w:p>
        </w:tc>
        <w:tc>
          <w:tcPr>
            <w:tcW w:w="7313" w:type="dxa"/>
          </w:tcPr>
          <w:p>
            <w:pPr>
              <w:pStyle w:val="TableParagraph"/>
              <w:spacing w:before="57"/>
              <w:ind w:left="103"/>
              <w:rPr>
                <w:sz w:val="22"/>
              </w:rPr>
            </w:pPr>
            <w:r>
              <w:rPr>
                <w:sz w:val="22"/>
              </w:rPr>
              <w:t>Revised to clarify Finance’s review process for a PFA and minor edits.</w:t>
            </w:r>
          </w:p>
        </w:tc>
      </w:tr>
      <w:tr>
        <w:trPr>
          <w:trHeight w:val="384" w:hRule="exact"/>
        </w:trPr>
        <w:tc>
          <w:tcPr>
            <w:tcW w:w="2340" w:type="dxa"/>
          </w:tcPr>
          <w:p>
            <w:pPr>
              <w:pStyle w:val="TableParagraph"/>
              <w:spacing w:before="57"/>
              <w:ind w:left="103"/>
              <w:rPr>
                <w:b/>
                <w:sz w:val="22"/>
              </w:rPr>
            </w:pPr>
            <w:hyperlink r:id="rId16">
              <w:r>
                <w:rPr>
                  <w:b/>
                  <w:color w:val="0000FF"/>
                  <w:sz w:val="22"/>
                  <w:u w:val="thick" w:color="0000FF"/>
                </w:rPr>
                <w:t>Chapter 8700</w:t>
              </w:r>
            </w:hyperlink>
          </w:p>
        </w:tc>
        <w:tc>
          <w:tcPr>
            <w:tcW w:w="7313" w:type="dxa"/>
          </w:tcPr>
          <w:p>
            <w:pPr/>
          </w:p>
        </w:tc>
      </w:tr>
      <w:tr>
        <w:trPr>
          <w:trHeight w:val="636" w:hRule="exact"/>
        </w:trPr>
        <w:tc>
          <w:tcPr>
            <w:tcW w:w="2340" w:type="dxa"/>
          </w:tcPr>
          <w:p>
            <w:pPr>
              <w:pStyle w:val="TableParagraph"/>
              <w:spacing w:before="55"/>
              <w:ind w:left="919" w:right="204" w:hanging="696"/>
              <w:rPr>
                <w:b/>
                <w:sz w:val="22"/>
              </w:rPr>
            </w:pPr>
            <w:r>
              <w:rPr>
                <w:b/>
                <w:sz w:val="22"/>
              </w:rPr>
              <w:t>Index and Section 8715</w:t>
            </w:r>
          </w:p>
        </w:tc>
        <w:tc>
          <w:tcPr>
            <w:tcW w:w="7313" w:type="dxa"/>
          </w:tcPr>
          <w:p>
            <w:pPr>
              <w:pStyle w:val="TableParagraph"/>
              <w:spacing w:line="251" w:lineRule="exact"/>
              <w:ind w:left="103"/>
              <w:rPr>
                <w:sz w:val="22"/>
              </w:rPr>
            </w:pPr>
            <w:r>
              <w:rPr>
                <w:sz w:val="22"/>
              </w:rPr>
              <w:t>Deleted section due to obsolete information on journal entries.</w:t>
            </w:r>
          </w:p>
        </w:tc>
      </w:tr>
    </w:tbl>
    <w:p>
      <w:pPr>
        <w:spacing w:after="0" w:line="251" w:lineRule="exact"/>
        <w:rPr>
          <w:sz w:val="22"/>
        </w:rPr>
        <w:sectPr>
          <w:pgSz w:w="12240" w:h="15840"/>
          <w:pgMar w:header="648" w:footer="847" w:top="880" w:bottom="1040" w:left="1320" w:right="1020"/>
        </w:sectPr>
      </w:pPr>
    </w:p>
    <w:p>
      <w:pPr>
        <w:pStyle w:val="Heading1"/>
        <w:spacing w:before="73"/>
        <w:ind w:left="5420"/>
      </w:pPr>
      <w:bookmarkStart w:name="Sec20 track Changes" w:id="3"/>
      <w:bookmarkEnd w:id="3"/>
      <w:r>
        <w:rPr>
          <w:b w:val="0"/>
        </w:rPr>
      </w:r>
      <w:r>
        <w:rPr/>
        <w:t>SAM—INTRODUCTION</w:t>
      </w:r>
    </w:p>
    <w:p>
      <w:pPr>
        <w:pStyle w:val="BodyText"/>
        <w:spacing w:before="1"/>
        <w:rPr>
          <w:b/>
          <w:sz w:val="23"/>
        </w:rPr>
      </w:pPr>
    </w:p>
    <w:p>
      <w:pPr>
        <w:spacing w:before="0"/>
        <w:ind w:left="108" w:right="0" w:firstLine="0"/>
        <w:jc w:val="left"/>
        <w:rPr>
          <w:b/>
          <w:sz w:val="24"/>
        </w:rPr>
      </w:pPr>
      <w:r>
        <w:rPr>
          <w:b/>
          <w:sz w:val="24"/>
        </w:rPr>
        <w:t>SAM PUBLICATIONS AND CONTACTS</w:t>
      </w:r>
    </w:p>
    <w:p>
      <w:pPr>
        <w:pStyle w:val="BodyText"/>
        <w:ind w:left="108"/>
      </w:pPr>
      <w:r>
        <w:rPr>
          <w:spacing w:val="-1"/>
          <w:w w:val="99"/>
        </w:rPr>
        <w:t>(</w:t>
      </w:r>
      <w:r>
        <w:rPr>
          <w:spacing w:val="-95"/>
          <w:w w:val="99"/>
        </w:rPr>
        <w:t>R</w:t>
      </w:r>
      <w:r>
        <w:rPr>
          <w:spacing w:val="-1"/>
          <w:w w:val="99"/>
        </w:rPr>
        <w:t>(</w:t>
      </w:r>
      <w:r>
        <w:rPr>
          <w:spacing w:val="-159"/>
          <w:w w:val="99"/>
        </w:rPr>
        <w:t>C</w:t>
      </w:r>
      <w:r>
        <w:rPr>
          <w:w w:val="99"/>
        </w:rPr>
        <w:t>e</w:t>
      </w:r>
      <w:r>
        <w:rPr>
          <w:spacing w:val="-96"/>
        </w:rPr>
        <w:t>v</w:t>
      </w:r>
      <w:r>
        <w:rPr>
          <w:spacing w:val="-43"/>
          <w:w w:val="99"/>
        </w:rPr>
        <w:t>o</w:t>
      </w:r>
      <w:r>
        <w:rPr>
          <w:spacing w:val="-11"/>
          <w:w w:val="99"/>
        </w:rPr>
        <w:t>i</w:t>
      </w:r>
      <w:r>
        <w:rPr>
          <w:spacing w:val="-124"/>
          <w:w w:val="99"/>
        </w:rPr>
        <w:t>n</w:t>
      </w:r>
      <w:r>
        <w:rPr/>
        <w:t>s</w:t>
      </w:r>
      <w:r>
        <w:rPr>
          <w:spacing w:val="-129"/>
          <w:w w:val="99"/>
        </w:rPr>
        <w:t>e</w:t>
      </w:r>
      <w:r>
        <w:rPr>
          <w:w w:val="100"/>
        </w:rPr>
        <w:t>t</w:t>
      </w:r>
      <w:r>
        <w:rPr>
          <w:spacing w:val="-1"/>
          <w:w w:val="99"/>
        </w:rPr>
        <w:t>i</w:t>
      </w:r>
      <w:r>
        <w:rPr>
          <w:spacing w:val="-124"/>
          <w:w w:val="99"/>
        </w:rPr>
        <w:t>n</w:t>
      </w:r>
      <w:r>
        <w:rPr>
          <w:spacing w:val="-9"/>
          <w:w w:val="99"/>
        </w:rPr>
        <w:t>d</w:t>
      </w:r>
      <w:r>
        <w:rPr>
          <w:spacing w:val="-57"/>
          <w:w w:val="99"/>
        </w:rPr>
        <w:t>u</w:t>
      </w:r>
      <w:r>
        <w:rPr>
          <w:spacing w:val="-79"/>
          <w:w w:val="99"/>
        </w:rPr>
        <w:t>0</w:t>
      </w:r>
      <w:r>
        <w:rPr>
          <w:spacing w:val="-55"/>
          <w:w w:val="99"/>
        </w:rPr>
        <w:t>e</w:t>
      </w:r>
      <w:r>
        <w:rPr>
          <w:spacing w:val="-79"/>
          <w:w w:val="99"/>
        </w:rPr>
        <w:t>9</w:t>
      </w:r>
      <w:r>
        <w:rPr>
          <w:spacing w:val="-55"/>
          <w:w w:val="99"/>
        </w:rPr>
        <w:t>d</w:t>
      </w:r>
      <w:r>
        <w:rPr>
          <w:spacing w:val="-12"/>
          <w:w w:val="100"/>
        </w:rPr>
        <w:t>/</w:t>
      </w:r>
      <w:r>
        <w:rPr>
          <w:spacing w:val="-68"/>
          <w:w w:val="99"/>
        </w:rPr>
        <w:t>)</w:t>
      </w:r>
      <w:r>
        <w:rPr>
          <w:spacing w:val="-2"/>
          <w:w w:val="99"/>
        </w:rPr>
        <w:t>2</w:t>
      </w:r>
      <w:r>
        <w:rPr>
          <w:w w:val="99"/>
        </w:rPr>
        <w:t>0</w:t>
      </w:r>
      <w:r>
        <w:rPr>
          <w:spacing w:val="-2"/>
          <w:w w:val="99"/>
        </w:rPr>
        <w:t>1</w:t>
      </w:r>
      <w:r>
        <w:rPr>
          <w:w w:val="99"/>
        </w:rPr>
        <w:t>6)</w:t>
      </w:r>
    </w:p>
    <w:p>
      <w:pPr>
        <w:tabs>
          <w:tab w:pos="8026" w:val="left" w:leader="none"/>
        </w:tabs>
        <w:spacing w:before="0"/>
        <w:ind w:left="200" w:right="0" w:firstLine="0"/>
        <w:jc w:val="left"/>
        <w:rPr>
          <w:sz w:val="24"/>
        </w:rPr>
      </w:pPr>
      <w:bookmarkStart w:name="(Revised 09/2017)" w:id="4"/>
      <w:bookmarkEnd w:id="4"/>
      <w:r>
        <w:rPr/>
      </w:r>
      <w:r>
        <w:rPr>
          <w:b/>
          <w:sz w:val="24"/>
        </w:rPr>
        <w:t>REVISING</w:t>
      </w:r>
      <w:r>
        <w:rPr>
          <w:b/>
          <w:spacing w:val="-4"/>
          <w:sz w:val="24"/>
        </w:rPr>
        <w:t> </w:t>
      </w:r>
      <w:r>
        <w:rPr>
          <w:b/>
          <w:sz w:val="24"/>
        </w:rPr>
        <w:t>SAM</w:t>
        <w:tab/>
        <w:t>0020 </w:t>
      </w:r>
      <w:r>
        <w:rPr>
          <w:sz w:val="24"/>
        </w:rPr>
        <w:t>(Cont.</w:t>
      </w:r>
      <w:r>
        <w:rPr>
          <w:spacing w:val="-6"/>
          <w:sz w:val="24"/>
        </w:rPr>
        <w:t> </w:t>
      </w:r>
      <w:r>
        <w:rPr>
          <w:sz w:val="24"/>
        </w:rPr>
        <w:t>1)</w:t>
      </w:r>
    </w:p>
    <w:p>
      <w:pPr>
        <w:pStyle w:val="BodyText"/>
        <w:ind w:left="200"/>
      </w:pPr>
      <w:r>
        <w:rPr/>
        <w:t>(Revised 09/2017)</w:t>
      </w:r>
    </w:p>
    <w:p>
      <w:pPr>
        <w:pStyle w:val="BodyText"/>
        <w:spacing w:before="5"/>
        <w:rPr>
          <w:sz w:val="23"/>
        </w:rPr>
      </w:pPr>
    </w:p>
    <w:p>
      <w:pPr>
        <w:pStyle w:val="Heading1"/>
        <w:spacing w:before="0"/>
        <w:ind w:left="200"/>
      </w:pPr>
      <w:r>
        <w:rPr>
          <w:u w:val="thick"/>
        </w:rPr>
        <w:t>Completing Revisions/Reviews to SAM</w:t>
      </w:r>
    </w:p>
    <w:p>
      <w:pPr>
        <w:pStyle w:val="BodyText"/>
        <w:ind w:left="200" w:right="388"/>
      </w:pPr>
      <w:r>
        <w:rPr/>
        <w:pict>
          <v:shape style="position:absolute;margin-left:72pt;margin-top:53.792599pt;width:468pt;height:493.15pt;mso-position-horizontal-relative:page;mso-position-vertical-relative:paragraph;z-index: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1"/>
                    <w:gridCol w:w="737"/>
                    <w:gridCol w:w="6252"/>
                  </w:tblGrid>
                  <w:tr>
                    <w:trPr>
                      <w:trHeight w:val="553" w:hRule="exact"/>
                    </w:trPr>
                    <w:tc>
                      <w:tcPr>
                        <w:tcW w:w="2371" w:type="dxa"/>
                        <w:tcBorders>
                          <w:top w:val="nil"/>
                          <w:left w:val="nil"/>
                          <w:right w:val="nil"/>
                        </w:tcBorders>
                      </w:tcPr>
                      <w:p>
                        <w:pPr>
                          <w:pStyle w:val="TableParagraph"/>
                          <w:spacing w:line="268" w:lineRule="exact"/>
                          <w:ind w:left="108"/>
                          <w:rPr>
                            <w:b/>
                            <w:sz w:val="24"/>
                          </w:rPr>
                        </w:pPr>
                        <w:r>
                          <w:rPr>
                            <w:b/>
                            <w:sz w:val="24"/>
                            <w:u w:val="thick"/>
                          </w:rPr>
                          <w:t>Who</w:t>
                        </w:r>
                      </w:p>
                    </w:tc>
                    <w:tc>
                      <w:tcPr>
                        <w:tcW w:w="737" w:type="dxa"/>
                        <w:tcBorders>
                          <w:top w:val="nil"/>
                          <w:left w:val="nil"/>
                          <w:right w:val="nil"/>
                        </w:tcBorders>
                      </w:tcPr>
                      <w:p>
                        <w:pPr>
                          <w:pStyle w:val="TableParagraph"/>
                          <w:spacing w:before="9"/>
                          <w:ind w:left="87" w:right="89"/>
                          <w:jc w:val="center"/>
                          <w:rPr>
                            <w:b/>
                            <w:sz w:val="24"/>
                          </w:rPr>
                        </w:pPr>
                        <w:r>
                          <w:rPr>
                            <w:b/>
                            <w:sz w:val="24"/>
                            <w:u w:val="thick"/>
                          </w:rPr>
                          <w:t>Step</w:t>
                        </w:r>
                      </w:p>
                    </w:tc>
                    <w:tc>
                      <w:tcPr>
                        <w:tcW w:w="6252" w:type="dxa"/>
                        <w:tcBorders>
                          <w:top w:val="nil"/>
                          <w:left w:val="nil"/>
                          <w:right w:val="nil"/>
                        </w:tcBorders>
                      </w:tcPr>
                      <w:p>
                        <w:pPr>
                          <w:pStyle w:val="TableParagraph"/>
                          <w:spacing w:before="9"/>
                          <w:ind w:left="2205" w:right="2206"/>
                          <w:jc w:val="center"/>
                          <w:rPr>
                            <w:b/>
                            <w:sz w:val="24"/>
                          </w:rPr>
                        </w:pPr>
                        <w:r>
                          <w:rPr>
                            <w:b/>
                            <w:sz w:val="24"/>
                            <w:u w:val="thick"/>
                          </w:rPr>
                          <w:t>Action(s) Taken</w:t>
                        </w:r>
                      </w:p>
                    </w:tc>
                  </w:tr>
                  <w:tr>
                    <w:trPr>
                      <w:trHeight w:val="1018" w:hRule="exact"/>
                    </w:trPr>
                    <w:tc>
                      <w:tcPr>
                        <w:tcW w:w="2371" w:type="dxa"/>
                        <w:vMerge w:val="restart"/>
                        <w:tcBorders>
                          <w:left w:val="nil"/>
                        </w:tcBorders>
                      </w:tcPr>
                      <w:p>
                        <w:pPr>
                          <w:pStyle w:val="TableParagraph"/>
                          <w:spacing w:before="7"/>
                          <w:rPr>
                            <w:sz w:val="23"/>
                          </w:rPr>
                        </w:pPr>
                      </w:p>
                      <w:p>
                        <w:pPr>
                          <w:pStyle w:val="TableParagraph"/>
                          <w:ind w:left="108"/>
                          <w:rPr>
                            <w:b/>
                            <w:sz w:val="24"/>
                          </w:rPr>
                        </w:pPr>
                        <w:r>
                          <w:rPr>
                            <w:b/>
                            <w:sz w:val="24"/>
                          </w:rPr>
                          <w:t>SAM Author</w:t>
                        </w:r>
                      </w:p>
                    </w:tc>
                    <w:tc>
                      <w:tcPr>
                        <w:tcW w:w="737" w:type="dxa"/>
                      </w:tcPr>
                      <w:p>
                        <w:pPr>
                          <w:pStyle w:val="TableParagraph"/>
                          <w:spacing w:before="4"/>
                          <w:rPr>
                            <w:sz w:val="31"/>
                          </w:rPr>
                        </w:pPr>
                      </w:p>
                      <w:p>
                        <w:pPr>
                          <w:pStyle w:val="TableParagraph"/>
                          <w:ind w:right="6"/>
                          <w:jc w:val="center"/>
                          <w:rPr>
                            <w:sz w:val="24"/>
                          </w:rPr>
                        </w:pPr>
                        <w:r>
                          <w:rPr>
                            <w:w w:val="99"/>
                            <w:sz w:val="24"/>
                          </w:rPr>
                          <w:t>1</w:t>
                        </w:r>
                      </w:p>
                    </w:tc>
                    <w:tc>
                      <w:tcPr>
                        <w:tcW w:w="6252" w:type="dxa"/>
                        <w:tcBorders>
                          <w:right w:val="nil"/>
                        </w:tcBorders>
                      </w:tcPr>
                      <w:p>
                        <w:pPr>
                          <w:pStyle w:val="TableParagraph"/>
                          <w:spacing w:before="84"/>
                          <w:ind w:left="103" w:right="521"/>
                          <w:rPr>
                            <w:sz w:val="24"/>
                          </w:rPr>
                        </w:pPr>
                        <w:r>
                          <w:rPr>
                            <w:sz w:val="24"/>
                          </w:rPr>
                          <w:t>Receives working Word Version for SAM Chapter/Section(s) to be revised/reviewed from SAM Coordinator.</w:t>
                        </w:r>
                      </w:p>
                    </w:tc>
                  </w:tr>
                  <w:tr>
                    <w:trPr>
                      <w:trHeight w:val="874" w:hRule="exact"/>
                    </w:trPr>
                    <w:tc>
                      <w:tcPr>
                        <w:tcW w:w="2371" w:type="dxa"/>
                        <w:vMerge/>
                        <w:tcBorders>
                          <w:left w:val="nil"/>
                        </w:tcBorders>
                      </w:tcPr>
                      <w:p>
                        <w:pPr/>
                      </w:p>
                    </w:tc>
                    <w:tc>
                      <w:tcPr>
                        <w:tcW w:w="737" w:type="dxa"/>
                      </w:tcPr>
                      <w:p>
                        <w:pPr>
                          <w:pStyle w:val="TableParagraph"/>
                          <w:spacing w:before="3"/>
                          <w:rPr>
                            <w:sz w:val="25"/>
                          </w:rPr>
                        </w:pPr>
                      </w:p>
                      <w:p>
                        <w:pPr>
                          <w:pStyle w:val="TableParagraph"/>
                          <w:ind w:right="6"/>
                          <w:jc w:val="center"/>
                          <w:rPr>
                            <w:sz w:val="24"/>
                          </w:rPr>
                        </w:pPr>
                        <w:r>
                          <w:rPr>
                            <w:w w:val="99"/>
                            <w:sz w:val="24"/>
                          </w:rPr>
                          <w:t>2</w:t>
                        </w:r>
                      </w:p>
                    </w:tc>
                    <w:tc>
                      <w:tcPr>
                        <w:tcW w:w="6252" w:type="dxa"/>
                        <w:tcBorders>
                          <w:right w:val="nil"/>
                        </w:tcBorders>
                      </w:tcPr>
                      <w:p>
                        <w:pPr>
                          <w:pStyle w:val="TableParagraph"/>
                          <w:spacing w:line="275" w:lineRule="exact" w:before="5"/>
                          <w:ind w:left="103"/>
                          <w:rPr>
                            <w:sz w:val="24"/>
                          </w:rPr>
                        </w:pPr>
                        <w:r>
                          <w:rPr>
                            <w:sz w:val="24"/>
                          </w:rPr>
                          <w:t>Reviews SAM Chapter/Section(s)</w:t>
                        </w:r>
                      </w:p>
                      <w:p>
                        <w:pPr>
                          <w:pStyle w:val="TableParagraph"/>
                          <w:numPr>
                            <w:ilvl w:val="0"/>
                            <w:numId w:val="2"/>
                          </w:numPr>
                          <w:tabs>
                            <w:tab w:pos="823" w:val="left" w:leader="none"/>
                            <w:tab w:pos="824" w:val="left" w:leader="none"/>
                          </w:tabs>
                          <w:spacing w:line="240" w:lineRule="auto" w:before="0" w:after="0"/>
                          <w:ind w:left="823" w:right="338" w:hanging="360"/>
                          <w:jc w:val="left"/>
                          <w:rPr>
                            <w:i/>
                            <w:sz w:val="24"/>
                          </w:rPr>
                        </w:pPr>
                        <w:r>
                          <w:rPr>
                            <w:i/>
                            <w:sz w:val="24"/>
                          </w:rPr>
                          <w:t>If it is determined that content is current and still </w:t>
                        </w:r>
                        <w:r>
                          <w:rPr>
                            <w:i/>
                            <w:sz w:val="24"/>
                          </w:rPr>
                          <w:t>in practice, go to</w:t>
                        </w:r>
                        <w:r>
                          <w:rPr>
                            <w:i/>
                            <w:spacing w:val="-7"/>
                            <w:sz w:val="24"/>
                          </w:rPr>
                          <w:t> </w:t>
                        </w:r>
                        <w:r>
                          <w:rPr>
                            <w:i/>
                            <w:sz w:val="24"/>
                          </w:rPr>
                          <w:t>2a</w:t>
                        </w:r>
                      </w:p>
                    </w:tc>
                  </w:tr>
                  <w:tr>
                    <w:trPr>
                      <w:trHeight w:val="1018" w:hRule="exact"/>
                    </w:trPr>
                    <w:tc>
                      <w:tcPr>
                        <w:tcW w:w="2371" w:type="dxa"/>
                        <w:vMerge/>
                        <w:tcBorders>
                          <w:left w:val="nil"/>
                        </w:tcBorders>
                      </w:tcPr>
                      <w:p>
                        <w:pPr/>
                      </w:p>
                    </w:tc>
                    <w:tc>
                      <w:tcPr>
                        <w:tcW w:w="737" w:type="dxa"/>
                      </w:tcPr>
                      <w:p>
                        <w:pPr>
                          <w:pStyle w:val="TableParagraph"/>
                          <w:spacing w:before="6"/>
                          <w:rPr>
                            <w:sz w:val="31"/>
                          </w:rPr>
                        </w:pPr>
                      </w:p>
                      <w:p>
                        <w:pPr>
                          <w:pStyle w:val="TableParagraph"/>
                          <w:ind w:left="210" w:right="210"/>
                          <w:jc w:val="center"/>
                          <w:rPr>
                            <w:sz w:val="24"/>
                          </w:rPr>
                        </w:pPr>
                        <w:r>
                          <w:rPr>
                            <w:sz w:val="24"/>
                          </w:rPr>
                          <w:t>2a</w:t>
                        </w:r>
                      </w:p>
                    </w:tc>
                    <w:tc>
                      <w:tcPr>
                        <w:tcW w:w="6252" w:type="dxa"/>
                        <w:tcBorders>
                          <w:right w:val="nil"/>
                        </w:tcBorders>
                      </w:tcPr>
                      <w:p>
                        <w:pPr>
                          <w:pStyle w:val="TableParagraph"/>
                          <w:spacing w:before="87"/>
                          <w:ind w:left="103" w:right="254"/>
                          <w:rPr>
                            <w:sz w:val="24"/>
                          </w:rPr>
                        </w:pPr>
                        <w:r>
                          <w:rPr>
                            <w:sz w:val="24"/>
                          </w:rPr>
                          <w:t>Gives authorization (via email) to SAM Coordinator to change reviewed date to current date. No further action required.</w:t>
                        </w:r>
                      </w:p>
                    </w:tc>
                  </w:tr>
                  <w:tr>
                    <w:trPr>
                      <w:trHeight w:val="2179" w:hRule="exact"/>
                    </w:trPr>
                    <w:tc>
                      <w:tcPr>
                        <w:tcW w:w="2371" w:type="dxa"/>
                        <w:vMerge/>
                        <w:tcBorders>
                          <w:left w:val="nil"/>
                        </w:tcBorders>
                      </w:tcPr>
                      <w:p>
                        <w:pPr/>
                      </w:p>
                    </w:tc>
                    <w:tc>
                      <w:tcPr>
                        <w:tcW w:w="737" w:type="dxa"/>
                      </w:tcPr>
                      <w:p>
                        <w:pPr>
                          <w:pStyle w:val="TableParagraph"/>
                          <w:rPr>
                            <w:sz w:val="26"/>
                          </w:rPr>
                        </w:pPr>
                      </w:p>
                      <w:p>
                        <w:pPr>
                          <w:pStyle w:val="TableParagraph"/>
                          <w:rPr>
                            <w:sz w:val="26"/>
                          </w:rPr>
                        </w:pPr>
                      </w:p>
                      <w:p>
                        <w:pPr>
                          <w:pStyle w:val="TableParagraph"/>
                          <w:rPr>
                            <w:sz w:val="30"/>
                          </w:rPr>
                        </w:pPr>
                      </w:p>
                      <w:p>
                        <w:pPr>
                          <w:pStyle w:val="TableParagraph"/>
                          <w:ind w:right="6"/>
                          <w:jc w:val="center"/>
                          <w:rPr>
                            <w:sz w:val="24"/>
                          </w:rPr>
                        </w:pPr>
                        <w:r>
                          <w:rPr>
                            <w:w w:val="99"/>
                            <w:sz w:val="24"/>
                          </w:rPr>
                          <w:t>3</w:t>
                        </w:r>
                      </w:p>
                    </w:tc>
                    <w:tc>
                      <w:tcPr>
                        <w:tcW w:w="6252" w:type="dxa"/>
                        <w:tcBorders>
                          <w:right w:val="nil"/>
                        </w:tcBorders>
                      </w:tcPr>
                      <w:p>
                        <w:pPr>
                          <w:pStyle w:val="TableParagraph"/>
                          <w:ind w:left="103" w:right="375"/>
                          <w:rPr>
                            <w:sz w:val="24"/>
                          </w:rPr>
                        </w:pPr>
                        <w:r>
                          <w:rPr>
                            <w:sz w:val="24"/>
                          </w:rPr>
                          <w:t>Revises SAM Chapter/Section(s) and completes the Revision Package sent from the SAM Coordinator (via email).</w:t>
                        </w:r>
                      </w:p>
                      <w:p>
                        <w:pPr>
                          <w:pStyle w:val="TableParagraph"/>
                          <w:numPr>
                            <w:ilvl w:val="0"/>
                            <w:numId w:val="3"/>
                          </w:numPr>
                          <w:tabs>
                            <w:tab w:pos="823" w:val="left" w:leader="none"/>
                            <w:tab w:pos="824" w:val="left" w:leader="none"/>
                          </w:tabs>
                          <w:spacing w:line="269" w:lineRule="exact" w:before="6" w:after="0"/>
                          <w:ind w:left="823" w:right="0" w:hanging="360"/>
                          <w:jc w:val="left"/>
                          <w:rPr>
                            <w:sz w:val="22"/>
                          </w:rPr>
                        </w:pPr>
                        <w:r>
                          <w:rPr>
                            <w:sz w:val="22"/>
                          </w:rPr>
                          <w:t>Revision Package consists of the</w:t>
                        </w:r>
                        <w:r>
                          <w:rPr>
                            <w:spacing w:val="-14"/>
                            <w:sz w:val="22"/>
                          </w:rPr>
                          <w:t> </w:t>
                        </w:r>
                        <w:r>
                          <w:rPr>
                            <w:sz w:val="22"/>
                          </w:rPr>
                          <w:t>following:</w:t>
                        </w:r>
                      </w:p>
                      <w:p>
                        <w:pPr>
                          <w:pStyle w:val="TableParagraph"/>
                          <w:numPr>
                            <w:ilvl w:val="1"/>
                            <w:numId w:val="3"/>
                          </w:numPr>
                          <w:tabs>
                            <w:tab w:pos="1543" w:val="left" w:leader="none"/>
                            <w:tab w:pos="1544" w:val="left" w:leader="none"/>
                          </w:tabs>
                          <w:spacing w:line="262" w:lineRule="exact" w:before="0" w:after="0"/>
                          <w:ind w:left="1543" w:right="0" w:hanging="360"/>
                          <w:jc w:val="left"/>
                          <w:rPr>
                            <w:i/>
                            <w:sz w:val="22"/>
                          </w:rPr>
                        </w:pPr>
                        <w:r>
                          <w:rPr>
                            <w:i/>
                            <w:sz w:val="22"/>
                          </w:rPr>
                          <w:t>Author Revisions (Clean and Track</w:t>
                        </w:r>
                        <w:r>
                          <w:rPr>
                            <w:i/>
                            <w:spacing w:val="-14"/>
                            <w:sz w:val="22"/>
                          </w:rPr>
                          <w:t> </w:t>
                        </w:r>
                        <w:r>
                          <w:rPr>
                            <w:i/>
                            <w:sz w:val="22"/>
                          </w:rPr>
                          <w:t>Changes)</w:t>
                        </w:r>
                      </w:p>
                      <w:p>
                        <w:pPr>
                          <w:pStyle w:val="TableParagraph"/>
                          <w:numPr>
                            <w:ilvl w:val="1"/>
                            <w:numId w:val="3"/>
                          </w:numPr>
                          <w:tabs>
                            <w:tab w:pos="1543" w:val="left" w:leader="none"/>
                            <w:tab w:pos="1544" w:val="left" w:leader="none"/>
                          </w:tabs>
                          <w:spacing w:line="253" w:lineRule="exact" w:before="0" w:after="0"/>
                          <w:ind w:left="1543" w:right="0" w:hanging="360"/>
                          <w:jc w:val="left"/>
                          <w:rPr>
                            <w:i/>
                            <w:sz w:val="22"/>
                          </w:rPr>
                        </w:pPr>
                        <w:r>
                          <w:rPr>
                            <w:i/>
                            <w:sz w:val="22"/>
                          </w:rPr>
                          <w:t>Revision Summary (Two column</w:t>
                        </w:r>
                        <w:r>
                          <w:rPr>
                            <w:i/>
                            <w:spacing w:val="-12"/>
                            <w:sz w:val="22"/>
                          </w:rPr>
                          <w:t> </w:t>
                        </w:r>
                        <w:r>
                          <w:rPr>
                            <w:i/>
                            <w:sz w:val="22"/>
                          </w:rPr>
                          <w:t>table)</w:t>
                        </w:r>
                      </w:p>
                      <w:p>
                        <w:pPr>
                          <w:pStyle w:val="TableParagraph"/>
                          <w:numPr>
                            <w:ilvl w:val="1"/>
                            <w:numId w:val="3"/>
                          </w:numPr>
                          <w:tabs>
                            <w:tab w:pos="1543" w:val="left" w:leader="none"/>
                            <w:tab w:pos="1544" w:val="left" w:leader="none"/>
                          </w:tabs>
                          <w:spacing w:line="253" w:lineRule="exact" w:before="0" w:after="0"/>
                          <w:ind w:left="1543" w:right="0" w:hanging="360"/>
                          <w:jc w:val="left"/>
                          <w:rPr>
                            <w:i/>
                            <w:sz w:val="22"/>
                          </w:rPr>
                        </w:pPr>
                        <w:r>
                          <w:rPr>
                            <w:i/>
                            <w:sz w:val="22"/>
                          </w:rPr>
                          <w:t>Author Checklist  (Form GS 237</w:t>
                        </w:r>
                        <w:r>
                          <w:rPr>
                            <w:i/>
                            <w:spacing w:val="-21"/>
                            <w:sz w:val="22"/>
                          </w:rPr>
                          <w:t> </w:t>
                        </w:r>
                        <w:r>
                          <w:rPr>
                            <w:i/>
                            <w:sz w:val="22"/>
                          </w:rPr>
                          <w:t>authorization)</w:t>
                        </w:r>
                      </w:p>
                      <w:p>
                        <w:pPr>
                          <w:pStyle w:val="TableParagraph"/>
                          <w:numPr>
                            <w:ilvl w:val="1"/>
                            <w:numId w:val="3"/>
                          </w:numPr>
                          <w:tabs>
                            <w:tab w:pos="1543" w:val="left" w:leader="none"/>
                            <w:tab w:pos="1544" w:val="left" w:leader="none"/>
                          </w:tabs>
                          <w:spacing w:line="262" w:lineRule="exact" w:before="0" w:after="0"/>
                          <w:ind w:left="1543" w:right="0" w:hanging="360"/>
                          <w:jc w:val="left"/>
                          <w:rPr>
                            <w:i/>
                            <w:sz w:val="22"/>
                          </w:rPr>
                        </w:pPr>
                        <w:r>
                          <w:rPr>
                            <w:i/>
                            <w:color w:val="FF0000"/>
                            <w:sz w:val="22"/>
                          </w:rPr>
                          <w:t>Subject Index Changes (If</w:t>
                        </w:r>
                        <w:r>
                          <w:rPr>
                            <w:i/>
                            <w:color w:val="FF0000"/>
                            <w:spacing w:val="-11"/>
                            <w:sz w:val="22"/>
                          </w:rPr>
                          <w:t> </w:t>
                        </w:r>
                        <w:r>
                          <w:rPr>
                            <w:i/>
                            <w:color w:val="FF0000"/>
                            <w:sz w:val="22"/>
                          </w:rPr>
                          <w:t>necessary)</w:t>
                        </w:r>
                      </w:p>
                    </w:tc>
                  </w:tr>
                  <w:tr>
                    <w:trPr>
                      <w:trHeight w:val="874" w:hRule="exact"/>
                    </w:trPr>
                    <w:tc>
                      <w:tcPr>
                        <w:tcW w:w="2371" w:type="dxa"/>
                        <w:vMerge w:val="restart"/>
                        <w:tcBorders>
                          <w:left w:val="nil"/>
                        </w:tcBorders>
                      </w:tcPr>
                      <w:p>
                        <w:pPr>
                          <w:pStyle w:val="TableParagraph"/>
                          <w:spacing w:before="5"/>
                          <w:rPr>
                            <w:sz w:val="20"/>
                          </w:rPr>
                        </w:pPr>
                      </w:p>
                      <w:p>
                        <w:pPr>
                          <w:pStyle w:val="TableParagraph"/>
                          <w:ind w:left="108"/>
                          <w:rPr>
                            <w:b/>
                            <w:sz w:val="24"/>
                          </w:rPr>
                        </w:pPr>
                        <w:r>
                          <w:rPr>
                            <w:b/>
                            <w:sz w:val="24"/>
                          </w:rPr>
                          <w:t>SAM Coordinator</w:t>
                        </w:r>
                      </w:p>
                    </w:tc>
                    <w:tc>
                      <w:tcPr>
                        <w:tcW w:w="737" w:type="dxa"/>
                      </w:tcPr>
                      <w:p>
                        <w:pPr>
                          <w:pStyle w:val="TableParagraph"/>
                          <w:spacing w:before="1"/>
                          <w:rPr>
                            <w:sz w:val="25"/>
                          </w:rPr>
                        </w:pPr>
                      </w:p>
                      <w:p>
                        <w:pPr>
                          <w:pStyle w:val="TableParagraph"/>
                          <w:ind w:right="6"/>
                          <w:jc w:val="center"/>
                          <w:rPr>
                            <w:sz w:val="24"/>
                          </w:rPr>
                        </w:pPr>
                        <w:r>
                          <w:rPr>
                            <w:w w:val="99"/>
                            <w:sz w:val="24"/>
                          </w:rPr>
                          <w:t>4</w:t>
                        </w:r>
                      </w:p>
                    </w:tc>
                    <w:tc>
                      <w:tcPr>
                        <w:tcW w:w="6252" w:type="dxa"/>
                        <w:tcBorders>
                          <w:right w:val="nil"/>
                        </w:tcBorders>
                      </w:tcPr>
                      <w:p>
                        <w:pPr>
                          <w:pStyle w:val="TableParagraph"/>
                          <w:spacing w:before="151"/>
                          <w:ind w:left="103" w:right="788"/>
                          <w:rPr>
                            <w:sz w:val="24"/>
                          </w:rPr>
                        </w:pPr>
                        <w:r>
                          <w:rPr>
                            <w:sz w:val="24"/>
                          </w:rPr>
                          <w:t>Submits the Completed Revision Package to SAM Coordinator via email.</w:t>
                        </w:r>
                      </w:p>
                    </w:tc>
                  </w:tr>
                  <w:tr>
                    <w:trPr>
                      <w:trHeight w:val="874" w:hRule="exact"/>
                    </w:trPr>
                    <w:tc>
                      <w:tcPr>
                        <w:tcW w:w="2371" w:type="dxa"/>
                        <w:vMerge/>
                        <w:tcBorders>
                          <w:left w:val="nil"/>
                        </w:tcBorders>
                      </w:tcPr>
                      <w:p>
                        <w:pPr/>
                      </w:p>
                    </w:tc>
                    <w:tc>
                      <w:tcPr>
                        <w:tcW w:w="737" w:type="dxa"/>
                      </w:tcPr>
                      <w:p>
                        <w:pPr>
                          <w:pStyle w:val="TableParagraph"/>
                          <w:spacing w:before="1"/>
                          <w:rPr>
                            <w:sz w:val="25"/>
                          </w:rPr>
                        </w:pPr>
                      </w:p>
                      <w:p>
                        <w:pPr>
                          <w:pStyle w:val="TableParagraph"/>
                          <w:ind w:right="6"/>
                          <w:jc w:val="center"/>
                          <w:rPr>
                            <w:sz w:val="24"/>
                          </w:rPr>
                        </w:pPr>
                        <w:r>
                          <w:rPr>
                            <w:w w:val="99"/>
                            <w:sz w:val="24"/>
                          </w:rPr>
                          <w:t>5</w:t>
                        </w:r>
                      </w:p>
                    </w:tc>
                    <w:tc>
                      <w:tcPr>
                        <w:tcW w:w="6252" w:type="dxa"/>
                        <w:tcBorders>
                          <w:right w:val="nil"/>
                        </w:tcBorders>
                      </w:tcPr>
                      <w:p>
                        <w:pPr>
                          <w:pStyle w:val="TableParagraph"/>
                          <w:spacing w:before="12"/>
                          <w:ind w:left="103" w:right="908"/>
                          <w:rPr>
                            <w:sz w:val="24"/>
                          </w:rPr>
                        </w:pPr>
                        <w:r>
                          <w:rPr>
                            <w:sz w:val="24"/>
                          </w:rPr>
                          <w:t>Receives Completed Revision Package and incorporates the Author Revisions into the Author Revision-Website Version.</w:t>
                        </w:r>
                      </w:p>
                    </w:tc>
                  </w:tr>
                  <w:tr>
                    <w:trPr>
                      <w:trHeight w:val="1594" w:hRule="exact"/>
                    </w:trPr>
                    <w:tc>
                      <w:tcPr>
                        <w:tcW w:w="2371" w:type="dxa"/>
                        <w:vMerge/>
                        <w:tcBorders>
                          <w:left w:val="nil"/>
                        </w:tcBorders>
                      </w:tcPr>
                      <w:p>
                        <w:pPr/>
                      </w:p>
                    </w:tc>
                    <w:tc>
                      <w:tcPr>
                        <w:tcW w:w="737" w:type="dxa"/>
                      </w:tcPr>
                      <w:p>
                        <w:pPr>
                          <w:pStyle w:val="TableParagraph"/>
                          <w:rPr>
                            <w:sz w:val="26"/>
                          </w:rPr>
                        </w:pPr>
                      </w:p>
                      <w:p>
                        <w:pPr>
                          <w:pStyle w:val="TableParagraph"/>
                          <w:spacing w:before="6"/>
                          <w:rPr>
                            <w:sz w:val="30"/>
                          </w:rPr>
                        </w:pPr>
                      </w:p>
                      <w:p>
                        <w:pPr>
                          <w:pStyle w:val="TableParagraph"/>
                          <w:spacing w:before="1"/>
                          <w:ind w:right="6"/>
                          <w:jc w:val="center"/>
                          <w:rPr>
                            <w:sz w:val="24"/>
                          </w:rPr>
                        </w:pPr>
                        <w:r>
                          <w:rPr>
                            <w:w w:val="99"/>
                            <w:sz w:val="24"/>
                          </w:rPr>
                          <w:t>6</w:t>
                        </w:r>
                      </w:p>
                    </w:tc>
                    <w:tc>
                      <w:tcPr>
                        <w:tcW w:w="6252" w:type="dxa"/>
                        <w:tcBorders>
                          <w:right w:val="nil"/>
                        </w:tcBorders>
                      </w:tcPr>
                      <w:p>
                        <w:pPr>
                          <w:pStyle w:val="TableParagraph"/>
                          <w:spacing w:before="99"/>
                          <w:ind w:left="103" w:right="120"/>
                          <w:rPr>
                            <w:sz w:val="24"/>
                          </w:rPr>
                        </w:pPr>
                        <w:r>
                          <w:rPr>
                            <w:sz w:val="24"/>
                          </w:rPr>
                          <w:t>Reviews cross-references in revised SAM material with Management Memorandums (MMs), Budget Letters (BLs), Technology Letters (TLs), and other mentioned agencies, departments, and sections to ensure accuracy and validity.</w:t>
                        </w:r>
                      </w:p>
                    </w:tc>
                  </w:tr>
                  <w:tr>
                    <w:trPr>
                      <w:trHeight w:val="876" w:hRule="exact"/>
                    </w:trPr>
                    <w:tc>
                      <w:tcPr>
                        <w:tcW w:w="2371" w:type="dxa"/>
                        <w:vMerge/>
                        <w:tcBorders>
                          <w:left w:val="nil"/>
                        </w:tcBorders>
                      </w:tcPr>
                      <w:p>
                        <w:pPr/>
                      </w:p>
                    </w:tc>
                    <w:tc>
                      <w:tcPr>
                        <w:tcW w:w="737" w:type="dxa"/>
                      </w:tcPr>
                      <w:p>
                        <w:pPr>
                          <w:pStyle w:val="TableParagraph"/>
                          <w:spacing w:before="3"/>
                          <w:rPr>
                            <w:sz w:val="25"/>
                          </w:rPr>
                        </w:pPr>
                      </w:p>
                      <w:p>
                        <w:pPr>
                          <w:pStyle w:val="TableParagraph"/>
                          <w:ind w:right="6"/>
                          <w:jc w:val="center"/>
                          <w:rPr>
                            <w:sz w:val="24"/>
                          </w:rPr>
                        </w:pPr>
                        <w:r>
                          <w:rPr>
                            <w:w w:val="99"/>
                            <w:sz w:val="24"/>
                          </w:rPr>
                          <w:t>7</w:t>
                        </w:r>
                      </w:p>
                    </w:tc>
                    <w:tc>
                      <w:tcPr>
                        <w:tcW w:w="6252" w:type="dxa"/>
                        <w:tcBorders>
                          <w:right w:val="nil"/>
                        </w:tcBorders>
                      </w:tcPr>
                      <w:p>
                        <w:pPr>
                          <w:pStyle w:val="TableParagraph"/>
                          <w:spacing w:before="151"/>
                          <w:ind w:left="103" w:right="415"/>
                          <w:rPr>
                            <w:sz w:val="24"/>
                          </w:rPr>
                        </w:pPr>
                        <w:r>
                          <w:rPr>
                            <w:sz w:val="24"/>
                          </w:rPr>
                          <w:t>Sends Author-Draft Revision-Website Version back to SAM Author for Final Author Review</w:t>
                        </w:r>
                      </w:p>
                    </w:tc>
                  </w:tr>
                </w:tbl>
                <w:p>
                  <w:pPr>
                    <w:pStyle w:val="BodyText"/>
                  </w:pPr>
                </w:p>
              </w:txbxContent>
            </v:textbox>
            <w10:wrap type="none"/>
          </v:shape>
        </w:pict>
      </w:r>
      <w:r>
        <w:rPr/>
        <w:t>When it has been determined that revisions or reviews to the SAM are necessary, the following steps should be taken by the SAM Author and Coordinator to complete revisions/reviews: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7"/>
        </w:rPr>
      </w:pPr>
    </w:p>
    <w:p>
      <w:pPr>
        <w:pStyle w:val="Heading1"/>
        <w:spacing w:before="0"/>
        <w:ind w:left="6228"/>
      </w:pPr>
      <w:r>
        <w:rPr/>
        <w:t>Rev. 435</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16"/>
        <w:ind w:left="200"/>
      </w:pPr>
      <w:r>
        <w:rPr/>
        <w:t>(Continued)</w:t>
      </w:r>
    </w:p>
    <w:p>
      <w:pPr>
        <w:spacing w:after="0"/>
        <w:sectPr>
          <w:headerReference w:type="default" r:id="rId17"/>
          <w:footerReference w:type="default" r:id="rId18"/>
          <w:pgSz w:w="12240" w:h="15840"/>
          <w:pgMar w:header="0" w:footer="0" w:top="640" w:bottom="280" w:left="1240" w:right="1320"/>
        </w:sectPr>
      </w:pPr>
    </w:p>
    <w:p>
      <w:pPr>
        <w:spacing w:before="37"/>
        <w:ind w:left="100" w:right="0" w:firstLine="0"/>
        <w:jc w:val="left"/>
        <w:rPr>
          <w:rFonts w:ascii="Calibri" w:hAnsi="Calibri"/>
          <w:sz w:val="22"/>
        </w:rPr>
      </w:pPr>
      <w:r>
        <w:rPr/>
        <w:pict>
          <v:line style="position:absolute;mso-position-horizontal-relative:page;mso-position-vertical-relative:page;z-index:-50008" from="444.959991pt,242.339996pt" to="450.479991pt,242.339996pt" stroked="true" strokeweight=".6pt" strokecolor="#ff0000">
            <v:stroke dashstyle="solid"/>
            <w10:wrap type="none"/>
          </v:line>
        </w:pict>
      </w:r>
      <w:r>
        <w:rPr/>
        <w:pict>
          <v:line style="position:absolute;mso-position-horizontal-relative:page;mso-position-vertical-relative:page;z-index:-49984" from="413.519989pt,255.060501pt" to="482.039989pt,255.060501pt" stroked="true" strokeweight=".599pt" strokecolor="#ff0000">
            <v:stroke dashstyle="solid"/>
            <w10:wrap type="none"/>
          </v:line>
        </w:pict>
      </w:r>
      <w:bookmarkStart w:name="SAM Sectin 30 track changes 2" w:id="5"/>
      <w:bookmarkEnd w:id="5"/>
      <w:r>
        <w:rPr/>
      </w:r>
      <w:r>
        <w:rPr>
          <w:rFonts w:ascii="Calibri" w:hAnsi="Calibri"/>
          <w:sz w:val="22"/>
        </w:rPr>
        <w:t>SAM Sectin 30 – SAM Author Changes</w:t>
      </w:r>
    </w:p>
    <w:p>
      <w:pPr>
        <w:pStyle w:val="BodyText"/>
        <w:rPr>
          <w:rFonts w:ascii="Calibri"/>
          <w:sz w:val="20"/>
        </w:rPr>
      </w:pPr>
    </w:p>
    <w:p>
      <w:pPr>
        <w:pStyle w:val="BodyText"/>
        <w:spacing w:before="3" w:after="1"/>
        <w:rPr>
          <w:rFonts w:ascii="Calibri"/>
        </w:rPr>
      </w:pPr>
    </w:p>
    <w:tbl>
      <w:tblPr>
        <w:tblW w:w="0" w:type="auto"/>
        <w:jc w:val="left"/>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9"/>
        <w:gridCol w:w="1349"/>
        <w:gridCol w:w="2520"/>
        <w:gridCol w:w="3511"/>
      </w:tblGrid>
      <w:tr>
        <w:trPr>
          <w:trHeight w:val="955" w:hRule="exact"/>
        </w:trPr>
        <w:tc>
          <w:tcPr>
            <w:tcW w:w="1769" w:type="dxa"/>
            <w:vMerge w:val="restart"/>
          </w:tcPr>
          <w:p>
            <w:pPr>
              <w:pStyle w:val="TableParagraph"/>
              <w:rPr>
                <w:rFonts w:ascii="Calibri"/>
                <w:sz w:val="24"/>
              </w:rPr>
            </w:pPr>
          </w:p>
          <w:p>
            <w:pPr>
              <w:pStyle w:val="TableParagraph"/>
              <w:spacing w:line="252" w:lineRule="exact" w:before="211"/>
              <w:ind w:left="513"/>
              <w:rPr>
                <w:sz w:val="22"/>
              </w:rPr>
            </w:pPr>
            <w:r>
              <w:rPr>
                <w:sz w:val="22"/>
              </w:rPr>
              <w:t>0001-0030</w:t>
            </w:r>
          </w:p>
          <w:p>
            <w:pPr>
              <w:pStyle w:val="TableParagraph"/>
              <w:spacing w:line="252" w:lineRule="exact"/>
              <w:ind w:left="463"/>
              <w:rPr>
                <w:sz w:val="22"/>
              </w:rPr>
            </w:pPr>
            <w:r>
              <w:rPr>
                <w:sz w:val="22"/>
              </w:rPr>
              <w:t>Introduction</w:t>
            </w:r>
          </w:p>
        </w:tc>
        <w:tc>
          <w:tcPr>
            <w:tcW w:w="1349" w:type="dxa"/>
            <w:vMerge w:val="restart"/>
          </w:tcPr>
          <w:p>
            <w:pPr>
              <w:pStyle w:val="TableParagraph"/>
              <w:spacing w:before="2"/>
              <w:rPr>
                <w:rFonts w:ascii="Calibri"/>
                <w:sz w:val="21"/>
              </w:rPr>
            </w:pPr>
          </w:p>
          <w:p>
            <w:pPr>
              <w:pStyle w:val="TableParagraph"/>
              <w:spacing w:before="1"/>
              <w:ind w:left="180" w:right="197"/>
              <w:rPr>
                <w:sz w:val="22"/>
              </w:rPr>
            </w:pPr>
            <w:r>
              <w:rPr>
                <w:sz w:val="22"/>
              </w:rPr>
              <w:t>General Services, Office of Strategic Planning, Policy &amp; Research (OSPPR)</w:t>
            </w:r>
          </w:p>
        </w:tc>
        <w:tc>
          <w:tcPr>
            <w:tcW w:w="2520" w:type="dxa"/>
            <w:vMerge w:val="restart"/>
          </w:tcPr>
          <w:p>
            <w:pPr>
              <w:pStyle w:val="TableParagraph"/>
              <w:spacing w:before="3"/>
              <w:rPr>
                <w:rFonts w:ascii="Calibri"/>
                <w:sz w:val="31"/>
              </w:rPr>
            </w:pPr>
          </w:p>
          <w:p>
            <w:pPr>
              <w:pStyle w:val="TableParagraph"/>
              <w:ind w:left="273" w:right="278"/>
              <w:jc w:val="center"/>
              <w:rPr>
                <w:sz w:val="22"/>
              </w:rPr>
            </w:pPr>
            <w:r>
              <w:rPr>
                <w:sz w:val="22"/>
              </w:rPr>
              <w:t>State Administrative Manual (</w:t>
            </w:r>
            <w:hyperlink r:id="rId21">
              <w:r>
                <w:rPr>
                  <w:color w:val="0000FF"/>
                  <w:sz w:val="22"/>
                  <w:u w:val="single" w:color="0000FF"/>
                </w:rPr>
                <w:t>SAM</w:t>
              </w:r>
            </w:hyperlink>
            <w:r>
              <w:rPr>
                <w:sz w:val="22"/>
              </w:rPr>
              <w:t>)</w:t>
            </w:r>
          </w:p>
          <w:p>
            <w:pPr>
              <w:pStyle w:val="TableParagraph"/>
              <w:ind w:left="578" w:right="628" w:firstLine="960"/>
              <w:rPr>
                <w:sz w:val="22"/>
              </w:rPr>
            </w:pPr>
            <w:r>
              <w:rPr>
                <w:sz w:val="22"/>
              </w:rPr>
              <w:t>&amp; Management Memos</w:t>
            </w:r>
          </w:p>
          <w:p>
            <w:pPr>
              <w:pStyle w:val="TableParagraph"/>
              <w:spacing w:before="2"/>
              <w:ind w:left="268" w:right="278"/>
              <w:jc w:val="center"/>
              <w:rPr>
                <w:sz w:val="22"/>
              </w:rPr>
            </w:pPr>
            <w:r>
              <w:rPr>
                <w:sz w:val="22"/>
              </w:rPr>
              <w:t>(</w:t>
            </w:r>
            <w:hyperlink r:id="rId22">
              <w:r>
                <w:rPr>
                  <w:color w:val="0000FF"/>
                  <w:sz w:val="22"/>
                  <w:u w:val="single" w:color="0000FF"/>
                </w:rPr>
                <w:t>MM</w:t>
              </w:r>
            </w:hyperlink>
            <w:r>
              <w:rPr>
                <w:sz w:val="22"/>
              </w:rPr>
              <w:t>)</w:t>
            </w:r>
          </w:p>
        </w:tc>
        <w:tc>
          <w:tcPr>
            <w:tcW w:w="3511" w:type="dxa"/>
          </w:tcPr>
          <w:p>
            <w:pPr>
              <w:pStyle w:val="TableParagraph"/>
              <w:spacing w:before="117"/>
              <w:ind w:left="467" w:right="471" w:firstLine="3"/>
              <w:jc w:val="center"/>
              <w:rPr>
                <w:sz w:val="22"/>
              </w:rPr>
            </w:pPr>
            <w:r>
              <w:rPr>
                <w:sz w:val="22"/>
              </w:rPr>
              <w:t>Emin Nabiyev </w:t>
            </w:r>
            <w:hyperlink r:id="rId23">
              <w:r>
                <w:rPr>
                  <w:color w:val="0000FF"/>
                  <w:spacing w:val="-2"/>
                  <w:sz w:val="22"/>
                  <w:u w:val="single" w:color="0000FF"/>
                </w:rPr>
                <w:t>emin.nabiyev@dgs.ca.gov</w:t>
              </w:r>
            </w:hyperlink>
            <w:r>
              <w:rPr>
                <w:color w:val="0000FF"/>
                <w:spacing w:val="-2"/>
                <w:sz w:val="22"/>
                <w:u w:val="single" w:color="0000FF"/>
              </w:rPr>
              <w:t> </w:t>
            </w:r>
            <w:r>
              <w:rPr>
                <w:sz w:val="22"/>
              </w:rPr>
              <w:t>916-376-5062</w:t>
            </w:r>
          </w:p>
        </w:tc>
      </w:tr>
      <w:tr>
        <w:trPr>
          <w:trHeight w:val="2206" w:hRule="exact"/>
        </w:trPr>
        <w:tc>
          <w:tcPr>
            <w:tcW w:w="1769" w:type="dxa"/>
            <w:vMerge/>
          </w:tcPr>
          <w:p>
            <w:pPr/>
          </w:p>
        </w:tc>
        <w:tc>
          <w:tcPr>
            <w:tcW w:w="1349" w:type="dxa"/>
            <w:vMerge/>
          </w:tcPr>
          <w:p>
            <w:pPr/>
          </w:p>
        </w:tc>
        <w:tc>
          <w:tcPr>
            <w:tcW w:w="2520" w:type="dxa"/>
            <w:vMerge/>
          </w:tcPr>
          <w:p>
            <w:pPr/>
          </w:p>
        </w:tc>
        <w:tc>
          <w:tcPr>
            <w:tcW w:w="3511" w:type="dxa"/>
          </w:tcPr>
          <w:p>
            <w:pPr>
              <w:pStyle w:val="TableParagraph"/>
              <w:rPr>
                <w:rFonts w:ascii="Calibri"/>
                <w:sz w:val="24"/>
              </w:rPr>
            </w:pPr>
          </w:p>
          <w:p>
            <w:pPr>
              <w:pStyle w:val="TableParagraph"/>
              <w:spacing w:before="4"/>
              <w:rPr>
                <w:rFonts w:ascii="Calibri"/>
                <w:sz w:val="25"/>
              </w:rPr>
            </w:pPr>
          </w:p>
          <w:p>
            <w:pPr>
              <w:pStyle w:val="TableParagraph"/>
              <w:ind w:left="474" w:right="416" w:firstLine="2"/>
              <w:jc w:val="center"/>
              <w:rPr>
                <w:sz w:val="22"/>
              </w:rPr>
            </w:pPr>
            <w:r>
              <w:rPr>
                <w:color w:val="FF0000"/>
                <w:sz w:val="22"/>
              </w:rPr>
              <w:t>Jason Tyburczy </w:t>
            </w:r>
            <w:hyperlink r:id="rId24">
              <w:r>
                <w:rPr>
                  <w:color w:val="FF0000"/>
                  <w:spacing w:val="-3"/>
                  <w:sz w:val="22"/>
                  <w:u w:val="single" w:color="FF0000"/>
                </w:rPr>
                <w:t>Jason.</w:t>
              </w:r>
            </w:hyperlink>
            <w:hyperlink r:id="rId25">
              <w:r>
                <w:rPr>
                  <w:color w:val="FF0000"/>
                  <w:spacing w:val="-3"/>
                  <w:sz w:val="22"/>
                  <w:u w:val="single" w:color="FF0000"/>
                </w:rPr>
                <w:t>tyburczy@dgs.ca.go</w:t>
              </w:r>
            </w:hyperlink>
            <w:r>
              <w:rPr>
                <w:color w:val="FF0000"/>
                <w:spacing w:val="-3"/>
                <w:sz w:val="22"/>
                <w:u w:val="single" w:color="FF0000"/>
              </w:rPr>
              <w:t> </w:t>
            </w:r>
            <w:r>
              <w:rPr>
                <w:color w:val="FF0000"/>
                <w:sz w:val="22"/>
              </w:rPr>
              <w:t>v</w:t>
            </w:r>
          </w:p>
          <w:p>
            <w:pPr>
              <w:pStyle w:val="TableParagraph"/>
              <w:spacing w:line="45" w:lineRule="exact"/>
              <w:ind w:left="421"/>
              <w:rPr>
                <w:rFonts w:ascii="Calibri"/>
                <w:sz w:val="4"/>
              </w:rPr>
            </w:pPr>
            <w:r>
              <w:rPr>
                <w:rFonts w:ascii="Calibri"/>
                <w:position w:val="0"/>
                <w:sz w:val="4"/>
              </w:rPr>
              <w:pict>
                <v:group style="width:132.85pt;height:2.3pt;mso-position-horizontal-relative:char;mso-position-vertical-relative:line" coordorigin="0,0" coordsize="2657,46">
                  <v:line style="position:absolute" from="6,40" to="2651,40" stroked="true" strokeweight=".6pt" strokecolor="#ff0000">
                    <v:stroke dashstyle="solid"/>
                  </v:line>
                  <v:line style="position:absolute" from="1309,9" to="1410,9" stroked="true" strokeweight=".84pt" strokecolor="#ff0000">
                    <v:stroke dashstyle="solid"/>
                  </v:line>
                </v:group>
              </w:pict>
            </w:r>
            <w:r>
              <w:rPr>
                <w:rFonts w:ascii="Calibri"/>
                <w:position w:val="0"/>
                <w:sz w:val="4"/>
              </w:rPr>
            </w:r>
          </w:p>
          <w:p>
            <w:pPr>
              <w:pStyle w:val="TableParagraph"/>
              <w:ind w:left="1074" w:right="1016"/>
              <w:jc w:val="center"/>
              <w:rPr>
                <w:sz w:val="22"/>
              </w:rPr>
            </w:pPr>
            <w:r>
              <w:rPr>
                <w:color w:val="FF0000"/>
                <w:sz w:val="22"/>
              </w:rPr>
              <w:t>916-376-5069</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29"/>
        </w:rPr>
      </w:pPr>
    </w:p>
    <w:tbl>
      <w:tblPr>
        <w:tblW w:w="0" w:type="auto"/>
        <w:jc w:val="left"/>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9"/>
        <w:gridCol w:w="1325"/>
        <w:gridCol w:w="2472"/>
        <w:gridCol w:w="3607"/>
      </w:tblGrid>
      <w:tr>
        <w:trPr>
          <w:trHeight w:val="768" w:hRule="exact"/>
        </w:trPr>
        <w:tc>
          <w:tcPr>
            <w:tcW w:w="1819" w:type="dxa"/>
            <w:vMerge w:val="restart"/>
          </w:tcPr>
          <w:p>
            <w:pPr>
              <w:pStyle w:val="TableParagraph"/>
              <w:rPr>
                <w:rFonts w:ascii="Calibri"/>
                <w:sz w:val="24"/>
              </w:rPr>
            </w:pPr>
          </w:p>
          <w:p>
            <w:pPr>
              <w:pStyle w:val="TableParagraph"/>
              <w:spacing w:before="10"/>
              <w:rPr>
                <w:rFonts w:ascii="Calibri"/>
                <w:sz w:val="17"/>
              </w:rPr>
            </w:pPr>
          </w:p>
          <w:p>
            <w:pPr>
              <w:pStyle w:val="TableParagraph"/>
              <w:ind w:left="633" w:right="636"/>
              <w:jc w:val="center"/>
              <w:rPr>
                <w:sz w:val="22"/>
              </w:rPr>
            </w:pPr>
            <w:r>
              <w:rPr>
                <w:sz w:val="22"/>
              </w:rPr>
              <w:t>1600</w:t>
            </w:r>
          </w:p>
          <w:p>
            <w:pPr>
              <w:pStyle w:val="TableParagraph"/>
              <w:ind w:left="261" w:right="263" w:firstLine="3"/>
              <w:jc w:val="center"/>
              <w:rPr>
                <w:sz w:val="22"/>
              </w:rPr>
            </w:pPr>
            <w:r>
              <w:rPr>
                <w:sz w:val="22"/>
              </w:rPr>
              <w:t>Records </w:t>
            </w:r>
            <w:r>
              <w:rPr>
                <w:spacing w:val="-2"/>
                <w:sz w:val="22"/>
              </w:rPr>
              <w:t>Management</w:t>
            </w:r>
          </w:p>
        </w:tc>
        <w:tc>
          <w:tcPr>
            <w:tcW w:w="1325" w:type="dxa"/>
            <w:vMerge w:val="restart"/>
          </w:tcPr>
          <w:p>
            <w:pPr>
              <w:pStyle w:val="TableParagraph"/>
              <w:rPr>
                <w:rFonts w:ascii="Calibri"/>
                <w:sz w:val="24"/>
              </w:rPr>
            </w:pPr>
          </w:p>
          <w:p>
            <w:pPr>
              <w:pStyle w:val="TableParagraph"/>
              <w:rPr>
                <w:rFonts w:ascii="Calibri"/>
                <w:sz w:val="18"/>
              </w:rPr>
            </w:pPr>
          </w:p>
          <w:p>
            <w:pPr>
              <w:pStyle w:val="TableParagraph"/>
              <w:spacing w:before="1"/>
              <w:ind w:left="170" w:right="190" w:hanging="8"/>
              <w:jc w:val="center"/>
              <w:rPr>
                <w:sz w:val="22"/>
              </w:rPr>
            </w:pPr>
            <w:r>
              <w:rPr>
                <w:sz w:val="22"/>
              </w:rPr>
              <w:t>California Secretary of State (SOS)</w:t>
            </w:r>
          </w:p>
        </w:tc>
        <w:tc>
          <w:tcPr>
            <w:tcW w:w="2472" w:type="dxa"/>
            <w:vMerge w:val="restart"/>
          </w:tcPr>
          <w:p>
            <w:pPr>
              <w:pStyle w:val="TableParagraph"/>
              <w:rPr>
                <w:rFonts w:ascii="Calibri"/>
                <w:sz w:val="24"/>
              </w:rPr>
            </w:pPr>
          </w:p>
          <w:p>
            <w:pPr>
              <w:pStyle w:val="TableParagraph"/>
              <w:rPr>
                <w:rFonts w:ascii="Calibri"/>
                <w:sz w:val="24"/>
              </w:rPr>
            </w:pPr>
          </w:p>
          <w:p>
            <w:pPr>
              <w:pStyle w:val="TableParagraph"/>
              <w:spacing w:before="179"/>
              <w:ind w:left="422"/>
              <w:rPr>
                <w:sz w:val="22"/>
              </w:rPr>
            </w:pPr>
            <w:hyperlink r:id="rId26">
              <w:r>
                <w:rPr>
                  <w:color w:val="0000FF"/>
                  <w:sz w:val="22"/>
                  <w:u w:val="single" w:color="0000FF"/>
                </w:rPr>
                <w:t>www.sos.ca.gov</w:t>
              </w:r>
            </w:hyperlink>
          </w:p>
        </w:tc>
        <w:tc>
          <w:tcPr>
            <w:tcW w:w="3607" w:type="dxa"/>
          </w:tcPr>
          <w:p>
            <w:pPr>
              <w:pStyle w:val="TableParagraph"/>
              <w:ind w:left="395" w:right="418" w:firstLine="1"/>
              <w:jc w:val="center"/>
              <w:rPr>
                <w:sz w:val="22"/>
              </w:rPr>
            </w:pPr>
            <w:r>
              <w:rPr>
                <w:strike/>
                <w:sz w:val="22"/>
              </w:rPr>
              <w:t>Rebecca Wendt </w:t>
            </w:r>
            <w:hyperlink r:id="rId27">
              <w:r>
                <w:rPr>
                  <w:strike/>
                  <w:color w:val="0000FF"/>
                  <w:spacing w:val="-2"/>
                  <w:sz w:val="22"/>
                  <w:u w:val="single" w:color="0000FF"/>
                </w:rPr>
                <w:t>Rebecca.wendt@sos.ca.gov</w:t>
              </w:r>
            </w:hyperlink>
            <w:r>
              <w:rPr>
                <w:strike/>
                <w:color w:val="0000FF"/>
                <w:spacing w:val="-2"/>
                <w:sz w:val="22"/>
                <w:u w:val="single" w:color="0000FF"/>
              </w:rPr>
              <w:t> </w:t>
            </w:r>
            <w:r>
              <w:rPr>
                <w:strike/>
                <w:sz w:val="22"/>
              </w:rPr>
              <w:t>916-651-8420</w:t>
            </w:r>
          </w:p>
        </w:tc>
      </w:tr>
      <w:tr>
        <w:trPr>
          <w:trHeight w:val="1332" w:hRule="exact"/>
        </w:trPr>
        <w:tc>
          <w:tcPr>
            <w:tcW w:w="1819" w:type="dxa"/>
            <w:vMerge/>
          </w:tcPr>
          <w:p>
            <w:pPr/>
          </w:p>
        </w:tc>
        <w:tc>
          <w:tcPr>
            <w:tcW w:w="1325" w:type="dxa"/>
            <w:vMerge/>
          </w:tcPr>
          <w:p>
            <w:pPr/>
          </w:p>
        </w:tc>
        <w:tc>
          <w:tcPr>
            <w:tcW w:w="2472" w:type="dxa"/>
            <w:vMerge/>
          </w:tcPr>
          <w:p>
            <w:pPr/>
          </w:p>
        </w:tc>
        <w:tc>
          <w:tcPr>
            <w:tcW w:w="3607" w:type="dxa"/>
          </w:tcPr>
          <w:p>
            <w:pPr>
              <w:pStyle w:val="TableParagraph"/>
              <w:ind w:left="300" w:firstLine="909"/>
              <w:rPr>
                <w:sz w:val="22"/>
              </w:rPr>
            </w:pPr>
            <w:r>
              <w:rPr>
                <w:strike/>
                <w:sz w:val="22"/>
              </w:rPr>
              <w:t>Jenny Chakonova </w:t>
            </w:r>
            <w:hyperlink r:id="rId28">
              <w:r>
                <w:rPr>
                  <w:strike/>
                  <w:color w:val="0000FF"/>
                  <w:sz w:val="22"/>
                  <w:u w:val="single" w:color="0000FF"/>
                </w:rPr>
                <w:t>Jenny.chakonova@sos.ca.gov</w:t>
              </w:r>
            </w:hyperlink>
          </w:p>
          <w:p>
            <w:pPr>
              <w:pStyle w:val="TableParagraph"/>
              <w:ind w:left="268" w:right="596" w:firstLine="1"/>
              <w:jc w:val="center"/>
              <w:rPr>
                <w:rFonts w:ascii="Calibri"/>
                <w:sz w:val="22"/>
              </w:rPr>
            </w:pPr>
            <w:r>
              <w:rPr>
                <w:rFonts w:ascii="Calibri"/>
                <w:color w:val="C00000"/>
                <w:sz w:val="22"/>
              </w:rPr>
              <w:t>Dennis Supachana </w:t>
            </w:r>
            <w:hyperlink r:id="rId29">
              <w:r>
                <w:rPr>
                  <w:rFonts w:ascii="Calibri"/>
                  <w:color w:val="C00000"/>
                  <w:sz w:val="22"/>
                  <w:u w:val="single" w:color="C00000"/>
                </w:rPr>
                <w:t>dennis.supachana@sos.ca.gov</w:t>
              </w:r>
            </w:hyperlink>
            <w:r>
              <w:rPr>
                <w:rFonts w:ascii="Calibri"/>
                <w:color w:val="C00000"/>
                <w:sz w:val="22"/>
                <w:u w:val="single" w:color="C00000"/>
              </w:rPr>
              <w:t> </w:t>
            </w:r>
            <w:r>
              <w:rPr>
                <w:rFonts w:ascii="Calibri"/>
                <w:color w:val="C00000"/>
                <w:sz w:val="22"/>
              </w:rPr>
              <w:t>916-653-4329</w:t>
            </w:r>
          </w:p>
        </w:tc>
      </w:tr>
      <w:tr>
        <w:trPr>
          <w:trHeight w:val="1332" w:hRule="exact"/>
        </w:trPr>
        <w:tc>
          <w:tcPr>
            <w:tcW w:w="1819" w:type="dxa"/>
            <w:vMerge/>
          </w:tcPr>
          <w:p>
            <w:pPr/>
          </w:p>
        </w:tc>
        <w:tc>
          <w:tcPr>
            <w:tcW w:w="1325" w:type="dxa"/>
            <w:vMerge/>
          </w:tcPr>
          <w:p>
            <w:pPr/>
          </w:p>
        </w:tc>
        <w:tc>
          <w:tcPr>
            <w:tcW w:w="2472" w:type="dxa"/>
            <w:vMerge/>
          </w:tcPr>
          <w:p>
            <w:pPr/>
          </w:p>
        </w:tc>
        <w:tc>
          <w:tcPr>
            <w:tcW w:w="3607" w:type="dxa"/>
          </w:tcPr>
          <w:p>
            <w:pPr>
              <w:pStyle w:val="TableParagraph"/>
              <w:ind w:left="470" w:firstLine="928"/>
              <w:rPr>
                <w:sz w:val="22"/>
              </w:rPr>
            </w:pPr>
            <w:r>
              <w:rPr>
                <w:strike/>
                <w:sz w:val="22"/>
              </w:rPr>
              <w:t>Sydney Bailey </w:t>
            </w:r>
            <w:hyperlink r:id="rId30">
              <w:r>
                <w:rPr>
                  <w:strike/>
                  <w:color w:val="0000FF"/>
                  <w:sz w:val="22"/>
                  <w:u w:val="single" w:color="0000FF"/>
                </w:rPr>
                <w:t>Sydney.bailey@sos.ca.gov</w:t>
              </w:r>
            </w:hyperlink>
          </w:p>
          <w:p>
            <w:pPr>
              <w:pStyle w:val="TableParagraph"/>
              <w:ind w:left="326" w:right="827" w:firstLine="2"/>
              <w:jc w:val="center"/>
              <w:rPr>
                <w:rFonts w:ascii="Calibri"/>
                <w:sz w:val="22"/>
              </w:rPr>
            </w:pPr>
            <w:r>
              <w:rPr>
                <w:rFonts w:ascii="Calibri"/>
                <w:color w:val="C00000"/>
                <w:sz w:val="22"/>
              </w:rPr>
              <w:t>Andrew Hyslop </w:t>
            </w:r>
            <w:hyperlink r:id="rId31">
              <w:r>
                <w:rPr>
                  <w:rFonts w:ascii="Calibri"/>
                  <w:color w:val="C00000"/>
                  <w:sz w:val="22"/>
                  <w:u w:val="single" w:color="C00000"/>
                </w:rPr>
                <w:t>andrew.hyslop@sos.ca.gov</w:t>
              </w:r>
            </w:hyperlink>
            <w:r>
              <w:rPr>
                <w:rFonts w:ascii="Calibri"/>
                <w:color w:val="C00000"/>
                <w:sz w:val="22"/>
                <w:u w:val="single" w:color="C00000"/>
              </w:rPr>
              <w:t> </w:t>
            </w:r>
            <w:r>
              <w:rPr>
                <w:rFonts w:ascii="Calibri"/>
                <w:color w:val="C00000"/>
                <w:sz w:val="22"/>
              </w:rPr>
              <w:t>916-651-1368</w:t>
            </w:r>
          </w:p>
        </w:tc>
      </w:tr>
    </w:tbl>
    <w:p>
      <w:pPr>
        <w:spacing w:after="0"/>
        <w:jc w:val="center"/>
        <w:rPr>
          <w:rFonts w:ascii="Calibri"/>
          <w:sz w:val="22"/>
        </w:rPr>
        <w:sectPr>
          <w:headerReference w:type="default" r:id="rId19"/>
          <w:footerReference w:type="default" r:id="rId20"/>
          <w:pgSz w:w="12240" w:h="15840"/>
          <w:pgMar w:header="0" w:footer="0" w:top="1400" w:bottom="280" w:left="1340" w:right="1320"/>
        </w:sectPr>
      </w:pPr>
    </w:p>
    <w:p>
      <w:pPr>
        <w:pStyle w:val="BodyText"/>
        <w:spacing w:before="7"/>
        <w:rPr>
          <w:rFonts w:ascii="Calibri"/>
          <w:sz w:val="38"/>
        </w:rPr>
      </w:pPr>
    </w:p>
    <w:p>
      <w:pPr>
        <w:pStyle w:val="BodyText"/>
        <w:spacing w:before="1"/>
        <w:ind w:left="865"/>
      </w:pPr>
      <w:bookmarkStart w:name="30 Track Changes " w:id="6"/>
      <w:bookmarkEnd w:id="6"/>
      <w:r>
        <w:rPr/>
      </w:r>
      <w:r>
        <w:rPr/>
        <w:t>(Continued)</w:t>
      </w:r>
    </w:p>
    <w:p>
      <w:pPr>
        <w:pStyle w:val="Heading1"/>
        <w:spacing w:before="0"/>
        <w:ind w:left="865"/>
      </w:pPr>
      <w:r>
        <w:rPr>
          <w:spacing w:val="-2"/>
        </w:rPr>
        <w:t>SAM </w:t>
      </w:r>
      <w:r>
        <w:rPr/>
        <w:t>PUBLICATIONS </w:t>
      </w:r>
      <w:r>
        <w:rPr>
          <w:spacing w:val="-5"/>
        </w:rPr>
        <w:t>AND </w:t>
      </w:r>
      <w:r>
        <w:rPr/>
        <w:t>CONTACTS</w:t>
      </w:r>
    </w:p>
    <w:p>
      <w:pPr>
        <w:pStyle w:val="BodyText"/>
        <w:ind w:left="865"/>
      </w:pPr>
      <w:r>
        <w:rPr/>
        <w:t>(Revised 09/2016)</w:t>
      </w:r>
    </w:p>
    <w:p>
      <w:pPr>
        <w:pStyle w:val="Heading1"/>
        <w:spacing w:before="73"/>
        <w:ind w:left="865"/>
      </w:pPr>
      <w:r>
        <w:rPr>
          <w:b w:val="0"/>
        </w:rPr>
        <w:br w:type="column"/>
      </w:r>
      <w:r>
        <w:rPr>
          <w:spacing w:val="-1"/>
        </w:rPr>
        <w:t>SAM—INTRODUCTION</w:t>
      </w:r>
    </w:p>
    <w:p>
      <w:pPr>
        <w:pStyle w:val="BodyText"/>
        <w:rPr>
          <w:b/>
          <w:sz w:val="26"/>
        </w:rPr>
      </w:pPr>
      <w:r>
        <w:rPr/>
        <w:br w:type="column"/>
      </w:r>
      <w:r>
        <w:rPr>
          <w:b/>
          <w:sz w:val="26"/>
        </w:rPr>
      </w:r>
    </w:p>
    <w:p>
      <w:pPr>
        <w:pStyle w:val="BodyText"/>
        <w:spacing w:before="3"/>
        <w:rPr>
          <w:b/>
          <w:sz w:val="27"/>
        </w:rPr>
      </w:pPr>
    </w:p>
    <w:p>
      <w:pPr>
        <w:spacing w:before="1"/>
        <w:ind w:left="865" w:right="0" w:firstLine="0"/>
        <w:jc w:val="left"/>
        <w:rPr>
          <w:sz w:val="24"/>
        </w:rPr>
      </w:pPr>
      <w:r>
        <w:rPr>
          <w:b/>
          <w:sz w:val="24"/>
        </w:rPr>
        <w:t>0030 </w:t>
      </w:r>
      <w:r>
        <w:rPr>
          <w:sz w:val="24"/>
        </w:rPr>
        <w:t>(Cont. 2)</w:t>
      </w:r>
    </w:p>
    <w:p>
      <w:pPr>
        <w:spacing w:after="0"/>
        <w:jc w:val="left"/>
        <w:rPr>
          <w:sz w:val="24"/>
        </w:rPr>
        <w:sectPr>
          <w:headerReference w:type="default" r:id="rId32"/>
          <w:footerReference w:type="default" r:id="rId33"/>
          <w:pgSz w:w="15840" w:h="12240" w:orient="landscape"/>
          <w:pgMar w:header="0" w:footer="0" w:top="640" w:bottom="280" w:left="440" w:right="1300"/>
          <w:cols w:num="3" w:equalWidth="0">
            <w:col w:w="5233" w:space="121"/>
            <w:col w:w="3473" w:space="2753"/>
            <w:col w:w="2520"/>
          </w:cols>
        </w:sectPr>
      </w:pPr>
    </w:p>
    <w:p>
      <w:pPr>
        <w:pStyle w:val="BodyText"/>
        <w:spacing w:after="1"/>
        <w:rPr>
          <w:sz w:val="12"/>
        </w:rPr>
      </w:pPr>
      <w:r>
        <w:rPr/>
        <w:pict>
          <v:line style="position:absolute;mso-position-horizontal-relative:page;mso-position-vertical-relative:page;z-index:1120" from="28.32pt,209.401001pt" to="28.32pt,260.040001pt" stroked="true" strokeweight=".72pt" strokecolor="#000000">
            <v:stroke dashstyle="solid"/>
            <w10:wrap type="none"/>
          </v:line>
        </w:pict>
      </w:r>
    </w:p>
    <w:tbl>
      <w:tblPr>
        <w:tblW w:w="0" w:type="auto"/>
        <w:jc w:val="left"/>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9"/>
        <w:gridCol w:w="4049"/>
        <w:gridCol w:w="3240"/>
        <w:gridCol w:w="3528"/>
      </w:tblGrid>
      <w:tr>
        <w:trPr>
          <w:trHeight w:val="562" w:hRule="exact"/>
        </w:trPr>
        <w:tc>
          <w:tcPr>
            <w:tcW w:w="2359" w:type="dxa"/>
          </w:tcPr>
          <w:p>
            <w:pPr>
              <w:pStyle w:val="TableParagraph"/>
              <w:ind w:left="561" w:right="541"/>
              <w:rPr>
                <w:b/>
                <w:sz w:val="24"/>
              </w:rPr>
            </w:pPr>
            <w:r>
              <w:rPr>
                <w:b/>
                <w:sz w:val="24"/>
              </w:rPr>
              <w:t>CHAPTER/ SECTIONS</w:t>
            </w:r>
          </w:p>
        </w:tc>
        <w:tc>
          <w:tcPr>
            <w:tcW w:w="4049" w:type="dxa"/>
          </w:tcPr>
          <w:p>
            <w:pPr>
              <w:pStyle w:val="TableParagraph"/>
              <w:spacing w:before="132"/>
              <w:ind w:left="805" w:right="808"/>
              <w:jc w:val="center"/>
              <w:rPr>
                <w:b/>
                <w:sz w:val="24"/>
              </w:rPr>
            </w:pPr>
            <w:r>
              <w:rPr>
                <w:b/>
                <w:sz w:val="24"/>
              </w:rPr>
              <w:t>DEPT.</w:t>
            </w:r>
          </w:p>
        </w:tc>
        <w:tc>
          <w:tcPr>
            <w:tcW w:w="3240" w:type="dxa"/>
          </w:tcPr>
          <w:p>
            <w:pPr>
              <w:pStyle w:val="TableParagraph"/>
              <w:spacing w:before="132"/>
              <w:ind w:left="851"/>
              <w:rPr>
                <w:b/>
                <w:sz w:val="24"/>
              </w:rPr>
            </w:pPr>
            <w:r>
              <w:rPr>
                <w:b/>
                <w:sz w:val="24"/>
              </w:rPr>
              <w:t>RESOURCES</w:t>
            </w:r>
          </w:p>
        </w:tc>
        <w:tc>
          <w:tcPr>
            <w:tcW w:w="3528" w:type="dxa"/>
          </w:tcPr>
          <w:p>
            <w:pPr>
              <w:pStyle w:val="TableParagraph"/>
              <w:spacing w:before="132"/>
              <w:ind w:left="290"/>
              <w:rPr>
                <w:b/>
                <w:sz w:val="24"/>
              </w:rPr>
            </w:pPr>
            <w:r>
              <w:rPr>
                <w:b/>
                <w:sz w:val="24"/>
              </w:rPr>
              <w:t>CONTACT INFORMATION</w:t>
            </w:r>
          </w:p>
        </w:tc>
      </w:tr>
      <w:tr>
        <w:trPr>
          <w:trHeight w:val="768" w:hRule="exact"/>
        </w:trPr>
        <w:tc>
          <w:tcPr>
            <w:tcW w:w="2359" w:type="dxa"/>
            <w:vMerge w:val="restart"/>
          </w:tcPr>
          <w:p>
            <w:pPr>
              <w:pStyle w:val="TableParagraph"/>
              <w:rPr>
                <w:sz w:val="24"/>
              </w:rPr>
            </w:pPr>
          </w:p>
          <w:p>
            <w:pPr>
              <w:pStyle w:val="TableParagraph"/>
              <w:spacing w:before="9"/>
              <w:rPr>
                <w:sz w:val="19"/>
              </w:rPr>
            </w:pPr>
          </w:p>
          <w:p>
            <w:pPr>
              <w:pStyle w:val="TableParagraph"/>
              <w:spacing w:line="252" w:lineRule="exact"/>
              <w:ind w:left="213" w:right="213"/>
              <w:jc w:val="center"/>
              <w:rPr>
                <w:sz w:val="22"/>
              </w:rPr>
            </w:pPr>
            <w:r>
              <w:rPr>
                <w:sz w:val="22"/>
              </w:rPr>
              <w:t>500-580</w:t>
            </w:r>
          </w:p>
          <w:p>
            <w:pPr>
              <w:pStyle w:val="TableParagraph"/>
              <w:spacing w:line="252" w:lineRule="exact"/>
              <w:ind w:left="213" w:right="213"/>
              <w:jc w:val="center"/>
              <w:rPr>
                <w:sz w:val="22"/>
              </w:rPr>
            </w:pPr>
            <w:r>
              <w:rPr>
                <w:sz w:val="22"/>
              </w:rPr>
              <w:t>Advertising</w:t>
            </w:r>
          </w:p>
        </w:tc>
        <w:tc>
          <w:tcPr>
            <w:tcW w:w="4049" w:type="dxa"/>
            <w:vMerge w:val="restart"/>
          </w:tcPr>
          <w:p>
            <w:pPr>
              <w:pStyle w:val="TableParagraph"/>
              <w:spacing w:before="11"/>
              <w:rPr>
                <w:sz w:val="32"/>
              </w:rPr>
            </w:pPr>
          </w:p>
          <w:p>
            <w:pPr>
              <w:pStyle w:val="TableParagraph"/>
              <w:spacing w:line="252" w:lineRule="exact"/>
              <w:ind w:left="1140"/>
              <w:rPr>
                <w:sz w:val="22"/>
              </w:rPr>
            </w:pPr>
            <w:r>
              <w:rPr>
                <w:sz w:val="22"/>
              </w:rPr>
              <w:t>General Services,</w:t>
            </w:r>
          </w:p>
          <w:p>
            <w:pPr>
              <w:pStyle w:val="TableParagraph"/>
              <w:ind w:left="1710" w:right="196" w:hanging="929"/>
              <w:rPr>
                <w:sz w:val="22"/>
              </w:rPr>
            </w:pPr>
            <w:r>
              <w:rPr>
                <w:sz w:val="22"/>
              </w:rPr>
              <w:t>Office of State Publishing (OSP)</w:t>
            </w:r>
          </w:p>
        </w:tc>
        <w:tc>
          <w:tcPr>
            <w:tcW w:w="3240" w:type="dxa"/>
            <w:vMerge w:val="restart"/>
          </w:tcPr>
          <w:p>
            <w:pPr>
              <w:pStyle w:val="TableParagraph"/>
              <w:rPr>
                <w:sz w:val="24"/>
              </w:rPr>
            </w:pPr>
          </w:p>
          <w:p>
            <w:pPr>
              <w:pStyle w:val="TableParagraph"/>
              <w:spacing w:before="1"/>
              <w:rPr>
                <w:sz w:val="31"/>
              </w:rPr>
            </w:pPr>
          </w:p>
          <w:p>
            <w:pPr>
              <w:pStyle w:val="TableParagraph"/>
              <w:ind w:left="602"/>
              <w:rPr>
                <w:sz w:val="22"/>
              </w:rPr>
            </w:pPr>
            <w:hyperlink r:id="rId34">
              <w:r>
                <w:rPr>
                  <w:color w:val="0000FF"/>
                  <w:sz w:val="22"/>
                  <w:u w:val="single" w:color="0000FF"/>
                </w:rPr>
                <w:t>www.dgs.ca.gov/osp</w:t>
              </w:r>
            </w:hyperlink>
          </w:p>
        </w:tc>
        <w:tc>
          <w:tcPr>
            <w:tcW w:w="3528" w:type="dxa"/>
          </w:tcPr>
          <w:p>
            <w:pPr>
              <w:pStyle w:val="TableParagraph"/>
              <w:ind w:left="302" w:right="299" w:hanging="12"/>
              <w:jc w:val="center"/>
              <w:rPr>
                <w:sz w:val="22"/>
              </w:rPr>
            </w:pPr>
            <w:r>
              <w:rPr>
                <w:sz w:val="22"/>
              </w:rPr>
              <w:t>Danielle Mahood </w:t>
            </w:r>
            <w:hyperlink r:id="rId35">
              <w:r>
                <w:rPr>
                  <w:color w:val="0000FF"/>
                  <w:spacing w:val="-2"/>
                  <w:sz w:val="22"/>
                  <w:u w:val="single" w:color="0000FF"/>
                </w:rPr>
                <w:t>Danielle.mahood@dgs.ca.gov</w:t>
              </w:r>
            </w:hyperlink>
            <w:r>
              <w:rPr>
                <w:color w:val="0000FF"/>
                <w:spacing w:val="-2"/>
                <w:sz w:val="22"/>
                <w:u w:val="single" w:color="0000FF"/>
              </w:rPr>
              <w:t> </w:t>
            </w:r>
            <w:r>
              <w:rPr>
                <w:sz w:val="22"/>
              </w:rPr>
              <w:t>916-323-0309</w:t>
            </w:r>
          </w:p>
        </w:tc>
      </w:tr>
      <w:tr>
        <w:trPr>
          <w:trHeight w:val="770" w:hRule="exact"/>
        </w:trPr>
        <w:tc>
          <w:tcPr>
            <w:tcW w:w="2359" w:type="dxa"/>
            <w:vMerge/>
          </w:tcPr>
          <w:p>
            <w:pPr/>
          </w:p>
        </w:tc>
        <w:tc>
          <w:tcPr>
            <w:tcW w:w="4049" w:type="dxa"/>
            <w:vMerge/>
          </w:tcPr>
          <w:p>
            <w:pPr/>
          </w:p>
        </w:tc>
        <w:tc>
          <w:tcPr>
            <w:tcW w:w="3240" w:type="dxa"/>
            <w:vMerge/>
          </w:tcPr>
          <w:p>
            <w:pPr/>
          </w:p>
        </w:tc>
        <w:tc>
          <w:tcPr>
            <w:tcW w:w="3528" w:type="dxa"/>
          </w:tcPr>
          <w:p>
            <w:pPr>
              <w:pStyle w:val="TableParagraph"/>
              <w:ind w:left="451" w:right="454" w:hanging="2"/>
              <w:jc w:val="center"/>
              <w:rPr>
                <w:sz w:val="22"/>
              </w:rPr>
            </w:pPr>
            <w:r>
              <w:rPr>
                <w:sz w:val="22"/>
              </w:rPr>
              <w:t>Robin Erskine </w:t>
            </w:r>
            <w:hyperlink r:id="rId36">
              <w:r>
                <w:rPr>
                  <w:color w:val="0000FF"/>
                  <w:spacing w:val="-2"/>
                  <w:sz w:val="22"/>
                  <w:u w:val="single" w:color="0000FF"/>
                </w:rPr>
                <w:t>Robin.erskine@dgs.ca.gov</w:t>
              </w:r>
            </w:hyperlink>
            <w:r>
              <w:rPr>
                <w:color w:val="0000FF"/>
                <w:spacing w:val="-2"/>
                <w:sz w:val="22"/>
                <w:u w:val="single" w:color="0000FF"/>
              </w:rPr>
              <w:t> </w:t>
            </w:r>
            <w:r>
              <w:rPr>
                <w:sz w:val="22"/>
              </w:rPr>
              <w:t>916-323-4301</w:t>
            </w:r>
          </w:p>
        </w:tc>
      </w:tr>
      <w:tr>
        <w:trPr>
          <w:trHeight w:val="768" w:hRule="exact"/>
        </w:trPr>
        <w:tc>
          <w:tcPr>
            <w:tcW w:w="2359" w:type="dxa"/>
          </w:tcPr>
          <w:p>
            <w:pPr>
              <w:pStyle w:val="TableParagraph"/>
              <w:spacing w:line="247" w:lineRule="exact"/>
              <w:ind w:left="213" w:right="213"/>
              <w:jc w:val="center"/>
              <w:rPr>
                <w:sz w:val="22"/>
              </w:rPr>
            </w:pPr>
            <w:r>
              <w:rPr>
                <w:sz w:val="22"/>
              </w:rPr>
              <w:t>700-750</w:t>
            </w:r>
          </w:p>
          <w:p>
            <w:pPr>
              <w:pStyle w:val="TableParagraph"/>
              <w:spacing w:line="251" w:lineRule="exact"/>
              <w:ind w:left="213" w:right="213"/>
              <w:jc w:val="center"/>
              <w:rPr>
                <w:sz w:val="22"/>
              </w:rPr>
            </w:pPr>
            <w:r>
              <w:rPr>
                <w:sz w:val="22"/>
              </w:rPr>
              <w:t>753-780</w:t>
            </w:r>
          </w:p>
          <w:p>
            <w:pPr>
              <w:pStyle w:val="TableParagraph"/>
              <w:spacing w:before="1"/>
              <w:ind w:left="213" w:right="213"/>
              <w:jc w:val="center"/>
              <w:rPr>
                <w:sz w:val="22"/>
              </w:rPr>
            </w:pPr>
            <w:r>
              <w:rPr>
                <w:sz w:val="22"/>
              </w:rPr>
              <w:t>Travel</w:t>
            </w:r>
          </w:p>
        </w:tc>
        <w:tc>
          <w:tcPr>
            <w:tcW w:w="4049" w:type="dxa"/>
          </w:tcPr>
          <w:p>
            <w:pPr>
              <w:pStyle w:val="TableParagraph"/>
              <w:ind w:left="805" w:right="814"/>
              <w:jc w:val="center"/>
              <w:rPr>
                <w:sz w:val="22"/>
              </w:rPr>
            </w:pPr>
            <w:r>
              <w:rPr>
                <w:sz w:val="22"/>
              </w:rPr>
              <w:t>California Department of Human Resources (CalHR)</w:t>
            </w:r>
          </w:p>
        </w:tc>
        <w:tc>
          <w:tcPr>
            <w:tcW w:w="3240" w:type="dxa"/>
          </w:tcPr>
          <w:p>
            <w:pPr>
              <w:pStyle w:val="TableParagraph"/>
              <w:spacing w:before="5"/>
              <w:rPr>
                <w:sz w:val="21"/>
              </w:rPr>
            </w:pPr>
          </w:p>
          <w:p>
            <w:pPr>
              <w:pStyle w:val="TableParagraph"/>
              <w:ind w:left="751"/>
              <w:rPr>
                <w:sz w:val="22"/>
              </w:rPr>
            </w:pPr>
            <w:hyperlink r:id="rId37">
              <w:r>
                <w:rPr>
                  <w:color w:val="0000FF"/>
                  <w:sz w:val="22"/>
                  <w:u w:val="single" w:color="0000FF"/>
                </w:rPr>
                <w:t>www.calhr.ca.gov</w:t>
              </w:r>
            </w:hyperlink>
          </w:p>
        </w:tc>
        <w:tc>
          <w:tcPr>
            <w:tcW w:w="3528" w:type="dxa"/>
          </w:tcPr>
          <w:p>
            <w:pPr>
              <w:pStyle w:val="TableParagraph"/>
              <w:ind w:left="537" w:right="538" w:firstLine="33"/>
              <w:jc w:val="both"/>
              <w:rPr>
                <w:sz w:val="22"/>
              </w:rPr>
            </w:pPr>
            <w:r>
              <w:rPr>
                <w:strike/>
                <w:color w:val="B5082E"/>
                <w:sz w:val="22"/>
              </w:rPr>
              <w:t>Ray Asbell</w:t>
            </w:r>
            <w:r>
              <w:rPr>
                <w:strike w:val="0"/>
                <w:color w:val="B5082E"/>
                <w:sz w:val="22"/>
                <w:u w:val="single" w:color="B5082E"/>
              </w:rPr>
              <w:t>Theresa Reid </w:t>
            </w:r>
            <w:hyperlink r:id="rId38">
              <w:r>
                <w:rPr>
                  <w:strike/>
                  <w:color w:val="B5082E"/>
                  <w:spacing w:val="-1"/>
                  <w:sz w:val="22"/>
                  <w:u w:val="single" w:color="0000FF"/>
                </w:rPr>
                <w:t>Ray.asbell@calhr.ca.gov</w:t>
              </w:r>
            </w:hyperlink>
            <w:r>
              <w:rPr>
                <w:strike/>
                <w:color w:val="B5082E"/>
                <w:spacing w:val="-1"/>
                <w:sz w:val="22"/>
                <w:u w:val="single" w:color="0000FF"/>
              </w:rPr>
              <w:t> </w:t>
            </w:r>
            <w:hyperlink r:id="rId38">
              <w:r>
                <w:rPr>
                  <w:strike w:val="0"/>
                  <w:color w:val="B5082E"/>
                  <w:spacing w:val="-2"/>
                  <w:sz w:val="22"/>
                  <w:u w:val="single" w:color="B5082E"/>
                </w:rPr>
                <w:t>theresa.reid@calhr.ca.go</w:t>
              </w:r>
            </w:hyperlink>
          </w:p>
        </w:tc>
      </w:tr>
      <w:tr>
        <w:trPr>
          <w:trHeight w:val="770" w:hRule="exact"/>
        </w:trPr>
        <w:tc>
          <w:tcPr>
            <w:tcW w:w="2359" w:type="dxa"/>
          </w:tcPr>
          <w:p>
            <w:pPr>
              <w:pStyle w:val="TableParagraph"/>
              <w:spacing w:line="252" w:lineRule="exact" w:before="120"/>
              <w:ind w:left="213" w:right="213"/>
              <w:jc w:val="center"/>
              <w:rPr>
                <w:sz w:val="22"/>
              </w:rPr>
            </w:pPr>
            <w:r>
              <w:rPr>
                <w:sz w:val="22"/>
              </w:rPr>
              <w:t>751-752</w:t>
            </w:r>
          </w:p>
          <w:p>
            <w:pPr>
              <w:pStyle w:val="TableParagraph"/>
              <w:spacing w:line="252" w:lineRule="exact"/>
              <w:ind w:left="213" w:right="213"/>
              <w:jc w:val="center"/>
              <w:rPr>
                <w:sz w:val="22"/>
              </w:rPr>
            </w:pPr>
            <w:r>
              <w:rPr>
                <w:sz w:val="22"/>
              </w:rPr>
              <w:t>Travel</w:t>
            </w:r>
          </w:p>
        </w:tc>
        <w:tc>
          <w:tcPr>
            <w:tcW w:w="4049" w:type="dxa"/>
          </w:tcPr>
          <w:p>
            <w:pPr>
              <w:pStyle w:val="TableParagraph"/>
              <w:spacing w:line="242" w:lineRule="auto"/>
              <w:ind w:left="849" w:right="835" w:firstLine="290"/>
              <w:rPr>
                <w:sz w:val="22"/>
              </w:rPr>
            </w:pPr>
            <w:r>
              <w:rPr>
                <w:sz w:val="22"/>
              </w:rPr>
              <w:t>General Services, Risk &amp; Insurance Mgmt.</w:t>
            </w:r>
          </w:p>
          <w:p>
            <w:pPr>
              <w:pStyle w:val="TableParagraph"/>
              <w:spacing w:line="252" w:lineRule="exact" w:before="2"/>
              <w:ind w:left="805" w:right="805"/>
              <w:jc w:val="center"/>
              <w:rPr>
                <w:sz w:val="22"/>
              </w:rPr>
            </w:pPr>
            <w:r>
              <w:rPr>
                <w:sz w:val="22"/>
              </w:rPr>
              <w:t>(ORIM)</w:t>
            </w:r>
          </w:p>
        </w:tc>
        <w:tc>
          <w:tcPr>
            <w:tcW w:w="3240" w:type="dxa"/>
          </w:tcPr>
          <w:p>
            <w:pPr>
              <w:pStyle w:val="TableParagraph"/>
              <w:spacing w:before="8"/>
              <w:rPr>
                <w:sz w:val="21"/>
              </w:rPr>
            </w:pPr>
          </w:p>
          <w:p>
            <w:pPr>
              <w:pStyle w:val="TableParagraph"/>
              <w:ind w:right="571"/>
              <w:jc w:val="right"/>
              <w:rPr>
                <w:sz w:val="22"/>
              </w:rPr>
            </w:pPr>
            <w:hyperlink r:id="rId39">
              <w:r>
                <w:rPr>
                  <w:color w:val="0000FF"/>
                  <w:sz w:val="22"/>
                  <w:u w:val="single" w:color="0000FF"/>
                </w:rPr>
                <w:t>www.dgs.ca.gov/orim</w:t>
              </w:r>
            </w:hyperlink>
          </w:p>
        </w:tc>
        <w:tc>
          <w:tcPr>
            <w:tcW w:w="3528" w:type="dxa"/>
          </w:tcPr>
          <w:p>
            <w:pPr>
              <w:pStyle w:val="TableParagraph"/>
              <w:ind w:left="501" w:right="505" w:firstLine="1"/>
              <w:jc w:val="center"/>
              <w:rPr>
                <w:sz w:val="22"/>
              </w:rPr>
            </w:pPr>
            <w:hyperlink r:id="rId38">
              <w:r>
                <w:rPr>
                  <w:sz w:val="22"/>
                </w:rPr>
                <w:t>Is</w:t>
              </w:r>
            </w:hyperlink>
            <w:r>
              <w:rPr>
                <w:sz w:val="22"/>
              </w:rPr>
              <w:t>abel Cortez-Raj </w:t>
            </w:r>
            <w:hyperlink r:id="rId40">
              <w:r>
                <w:rPr>
                  <w:color w:val="0000FF"/>
                  <w:spacing w:val="-2"/>
                  <w:sz w:val="22"/>
                  <w:u w:val="single" w:color="0000FF"/>
                </w:rPr>
                <w:t>Isabel.cortez@dgs.ca.gov</w:t>
              </w:r>
            </w:hyperlink>
            <w:r>
              <w:rPr>
                <w:color w:val="0000FF"/>
                <w:spacing w:val="-2"/>
                <w:sz w:val="22"/>
                <w:u w:val="single" w:color="0000FF"/>
              </w:rPr>
              <w:t> </w:t>
            </w:r>
            <w:r>
              <w:rPr>
                <w:sz w:val="22"/>
              </w:rPr>
              <w:t>916-376-5297</w:t>
            </w:r>
          </w:p>
        </w:tc>
      </w:tr>
      <w:tr>
        <w:trPr>
          <w:trHeight w:val="768" w:hRule="exact"/>
        </w:trPr>
        <w:tc>
          <w:tcPr>
            <w:tcW w:w="2359" w:type="dxa"/>
          </w:tcPr>
          <w:p>
            <w:pPr>
              <w:pStyle w:val="TableParagraph"/>
              <w:spacing w:line="252" w:lineRule="exact" w:before="120"/>
              <w:ind w:left="213" w:right="213"/>
              <w:jc w:val="center"/>
              <w:rPr>
                <w:sz w:val="22"/>
              </w:rPr>
            </w:pPr>
            <w:r>
              <w:rPr>
                <w:sz w:val="22"/>
              </w:rPr>
              <w:t>900-911</w:t>
            </w:r>
          </w:p>
          <w:p>
            <w:pPr>
              <w:pStyle w:val="TableParagraph"/>
              <w:spacing w:line="252" w:lineRule="exact"/>
              <w:ind w:left="213" w:right="210"/>
              <w:jc w:val="center"/>
              <w:rPr>
                <w:sz w:val="22"/>
              </w:rPr>
            </w:pPr>
            <w:r>
              <w:rPr>
                <w:sz w:val="22"/>
              </w:rPr>
              <w:t>Grants</w:t>
            </w:r>
          </w:p>
        </w:tc>
        <w:tc>
          <w:tcPr>
            <w:tcW w:w="4049" w:type="dxa"/>
          </w:tcPr>
          <w:p>
            <w:pPr>
              <w:pStyle w:val="TableParagraph"/>
              <w:spacing w:before="120"/>
              <w:ind w:left="983" w:right="969" w:firstLine="175"/>
              <w:rPr>
                <w:sz w:val="22"/>
              </w:rPr>
            </w:pPr>
            <w:r>
              <w:rPr>
                <w:sz w:val="22"/>
              </w:rPr>
              <w:t>Governor’s Office Planning &amp; Research</w:t>
            </w:r>
          </w:p>
        </w:tc>
        <w:tc>
          <w:tcPr>
            <w:tcW w:w="3240" w:type="dxa"/>
          </w:tcPr>
          <w:p>
            <w:pPr>
              <w:pStyle w:val="TableParagraph"/>
              <w:spacing w:before="5"/>
              <w:rPr>
                <w:sz w:val="21"/>
              </w:rPr>
            </w:pPr>
          </w:p>
          <w:p>
            <w:pPr>
              <w:pStyle w:val="TableParagraph"/>
              <w:ind w:left="811"/>
              <w:rPr>
                <w:sz w:val="22"/>
              </w:rPr>
            </w:pPr>
            <w:hyperlink r:id="rId41">
              <w:r>
                <w:rPr>
                  <w:color w:val="0000FF"/>
                  <w:sz w:val="22"/>
                  <w:u w:val="single" w:color="0000FF"/>
                </w:rPr>
                <w:t>www.gov.ca.gov</w:t>
              </w:r>
            </w:hyperlink>
          </w:p>
        </w:tc>
        <w:tc>
          <w:tcPr>
            <w:tcW w:w="3528" w:type="dxa"/>
          </w:tcPr>
          <w:p>
            <w:pPr>
              <w:pStyle w:val="TableParagraph"/>
              <w:ind w:left="489" w:right="493" w:firstLine="3"/>
              <w:jc w:val="center"/>
              <w:rPr>
                <w:sz w:val="22"/>
              </w:rPr>
            </w:pPr>
            <w:r>
              <w:rPr>
                <w:sz w:val="22"/>
              </w:rPr>
              <w:t>Scott Morgan </w:t>
            </w:r>
            <w:hyperlink r:id="rId42">
              <w:r>
                <w:rPr>
                  <w:color w:val="0000FF"/>
                  <w:spacing w:val="-2"/>
                  <w:sz w:val="22"/>
                  <w:u w:val="single" w:color="0000FF"/>
                </w:rPr>
                <w:t>Scott.morgan@opr.ca.gov</w:t>
              </w:r>
            </w:hyperlink>
            <w:r>
              <w:rPr>
                <w:color w:val="0000FF"/>
                <w:spacing w:val="-2"/>
                <w:sz w:val="22"/>
                <w:u w:val="single" w:color="0000FF"/>
              </w:rPr>
              <w:t> </w:t>
            </w:r>
            <w:r>
              <w:rPr>
                <w:sz w:val="22"/>
              </w:rPr>
              <w:t>916-322-2318</w:t>
            </w:r>
          </w:p>
        </w:tc>
      </w:tr>
      <w:tr>
        <w:trPr>
          <w:trHeight w:val="550" w:hRule="exact"/>
        </w:trPr>
        <w:tc>
          <w:tcPr>
            <w:tcW w:w="2359" w:type="dxa"/>
          </w:tcPr>
          <w:p>
            <w:pPr>
              <w:pStyle w:val="TableParagraph"/>
              <w:spacing w:line="252" w:lineRule="exact" w:before="12"/>
              <w:ind w:left="213" w:right="213"/>
              <w:jc w:val="center"/>
              <w:rPr>
                <w:sz w:val="22"/>
              </w:rPr>
            </w:pPr>
            <w:r>
              <w:rPr>
                <w:sz w:val="22"/>
              </w:rPr>
              <w:t>912</w:t>
            </w:r>
          </w:p>
          <w:p>
            <w:pPr>
              <w:pStyle w:val="TableParagraph"/>
              <w:spacing w:line="252" w:lineRule="exact"/>
              <w:ind w:left="213" w:right="210"/>
              <w:jc w:val="center"/>
              <w:rPr>
                <w:sz w:val="22"/>
              </w:rPr>
            </w:pPr>
            <w:r>
              <w:rPr>
                <w:sz w:val="22"/>
              </w:rPr>
              <w:t>Federal Grants</w:t>
            </w:r>
          </w:p>
        </w:tc>
        <w:tc>
          <w:tcPr>
            <w:tcW w:w="4049" w:type="dxa"/>
          </w:tcPr>
          <w:p>
            <w:pPr>
              <w:pStyle w:val="TableParagraph"/>
              <w:spacing w:line="252" w:lineRule="exact" w:before="12"/>
              <w:ind w:left="805" w:right="811"/>
              <w:jc w:val="center"/>
              <w:rPr>
                <w:sz w:val="22"/>
              </w:rPr>
            </w:pPr>
            <w:r>
              <w:rPr>
                <w:sz w:val="22"/>
              </w:rPr>
              <w:t>Finance,</w:t>
            </w:r>
          </w:p>
          <w:p>
            <w:pPr>
              <w:pStyle w:val="TableParagraph"/>
              <w:spacing w:line="252" w:lineRule="exact"/>
              <w:ind w:left="564" w:right="565"/>
              <w:jc w:val="center"/>
              <w:rPr>
                <w:sz w:val="22"/>
              </w:rPr>
            </w:pPr>
            <w:r>
              <w:rPr>
                <w:sz w:val="22"/>
              </w:rPr>
              <w:t>Budget Operations Support</w:t>
            </w:r>
          </w:p>
        </w:tc>
        <w:tc>
          <w:tcPr>
            <w:tcW w:w="3240" w:type="dxa"/>
          </w:tcPr>
          <w:p>
            <w:pPr>
              <w:pStyle w:val="TableParagraph"/>
              <w:spacing w:before="139"/>
              <w:ind w:left="835"/>
              <w:rPr>
                <w:sz w:val="22"/>
              </w:rPr>
            </w:pPr>
            <w:hyperlink r:id="rId43">
              <w:r>
                <w:rPr>
                  <w:color w:val="0000FF"/>
                  <w:sz w:val="22"/>
                  <w:u w:val="single" w:color="0000FF"/>
                </w:rPr>
                <w:t>www.dof.ca.gov</w:t>
              </w:r>
            </w:hyperlink>
          </w:p>
        </w:tc>
        <w:tc>
          <w:tcPr>
            <w:tcW w:w="3528" w:type="dxa"/>
          </w:tcPr>
          <w:p>
            <w:pPr>
              <w:pStyle w:val="TableParagraph"/>
              <w:spacing w:line="252" w:lineRule="exact" w:before="12"/>
              <w:ind w:left="463" w:right="463"/>
              <w:jc w:val="center"/>
              <w:rPr>
                <w:sz w:val="22"/>
              </w:rPr>
            </w:pPr>
            <w:r>
              <w:rPr>
                <w:sz w:val="22"/>
              </w:rPr>
              <w:t>916-322-5540</w:t>
            </w:r>
          </w:p>
          <w:p>
            <w:pPr>
              <w:pStyle w:val="TableParagraph"/>
              <w:spacing w:line="252" w:lineRule="exact"/>
              <w:ind w:left="463" w:right="464"/>
              <w:jc w:val="center"/>
              <w:rPr>
                <w:sz w:val="22"/>
              </w:rPr>
            </w:pPr>
            <w:hyperlink r:id="rId44">
              <w:r>
                <w:rPr>
                  <w:color w:val="0000FF"/>
                  <w:sz w:val="22"/>
                  <w:u w:val="single" w:color="0000FF"/>
                </w:rPr>
                <w:t>foinbox@dof.ca.gov</w:t>
              </w:r>
            </w:hyperlink>
          </w:p>
        </w:tc>
      </w:tr>
      <w:tr>
        <w:trPr>
          <w:trHeight w:val="770" w:hRule="exact"/>
        </w:trPr>
        <w:tc>
          <w:tcPr>
            <w:tcW w:w="2359" w:type="dxa"/>
          </w:tcPr>
          <w:p>
            <w:pPr>
              <w:pStyle w:val="TableParagraph"/>
              <w:spacing w:line="252" w:lineRule="exact" w:before="120"/>
              <w:ind w:left="213" w:right="213"/>
              <w:jc w:val="center"/>
              <w:rPr>
                <w:sz w:val="22"/>
              </w:rPr>
            </w:pPr>
            <w:r>
              <w:rPr>
                <w:sz w:val="22"/>
              </w:rPr>
              <w:t>1100-1107</w:t>
            </w:r>
          </w:p>
          <w:p>
            <w:pPr>
              <w:pStyle w:val="TableParagraph"/>
              <w:spacing w:line="252" w:lineRule="exact"/>
              <w:ind w:left="213" w:right="213"/>
              <w:jc w:val="center"/>
              <w:rPr>
                <w:sz w:val="22"/>
              </w:rPr>
            </w:pPr>
            <w:r>
              <w:rPr>
                <w:sz w:val="22"/>
              </w:rPr>
              <w:t>Statewide Planning</w:t>
            </w:r>
          </w:p>
        </w:tc>
        <w:tc>
          <w:tcPr>
            <w:tcW w:w="4049" w:type="dxa"/>
          </w:tcPr>
          <w:p>
            <w:pPr>
              <w:pStyle w:val="TableParagraph"/>
              <w:spacing w:before="122"/>
              <w:ind w:left="873" w:right="859" w:firstLine="283"/>
              <w:rPr>
                <w:sz w:val="22"/>
              </w:rPr>
            </w:pPr>
            <w:r>
              <w:rPr>
                <w:sz w:val="22"/>
              </w:rPr>
              <w:t>Governor’s Office Planning and Research</w:t>
            </w:r>
          </w:p>
        </w:tc>
        <w:tc>
          <w:tcPr>
            <w:tcW w:w="3240" w:type="dxa"/>
          </w:tcPr>
          <w:p>
            <w:pPr>
              <w:pStyle w:val="TableParagraph"/>
              <w:spacing w:before="8"/>
              <w:rPr>
                <w:sz w:val="21"/>
              </w:rPr>
            </w:pPr>
          </w:p>
          <w:p>
            <w:pPr>
              <w:pStyle w:val="TableParagraph"/>
              <w:ind w:left="811"/>
              <w:rPr>
                <w:sz w:val="22"/>
              </w:rPr>
            </w:pPr>
            <w:hyperlink r:id="rId41">
              <w:r>
                <w:rPr>
                  <w:color w:val="0000FF"/>
                  <w:sz w:val="22"/>
                  <w:u w:val="single" w:color="0000FF"/>
                </w:rPr>
                <w:t>www.gov.ca.gov</w:t>
              </w:r>
            </w:hyperlink>
          </w:p>
        </w:tc>
        <w:tc>
          <w:tcPr>
            <w:tcW w:w="3528" w:type="dxa"/>
          </w:tcPr>
          <w:p>
            <w:pPr>
              <w:pStyle w:val="TableParagraph"/>
              <w:ind w:left="463" w:right="467"/>
              <w:jc w:val="center"/>
              <w:rPr>
                <w:sz w:val="22"/>
              </w:rPr>
            </w:pPr>
            <w:r>
              <w:rPr>
                <w:sz w:val="22"/>
              </w:rPr>
              <w:t>Scott Morgan </w:t>
            </w:r>
            <w:hyperlink r:id="rId42">
              <w:r>
                <w:rPr>
                  <w:color w:val="0000FF"/>
                  <w:sz w:val="22"/>
                  <w:u w:val="single" w:color="0000FF"/>
                </w:rPr>
                <w:t>Scott.morgan@opr.ca.gov</w:t>
              </w:r>
            </w:hyperlink>
            <w:r>
              <w:rPr>
                <w:color w:val="0000FF"/>
                <w:sz w:val="22"/>
                <w:u w:val="single" w:color="0000FF"/>
              </w:rPr>
              <w:t> </w:t>
            </w:r>
            <w:r>
              <w:rPr>
                <w:sz w:val="22"/>
              </w:rPr>
              <w:t>916-322-2318</w:t>
            </w:r>
          </w:p>
        </w:tc>
      </w:tr>
      <w:tr>
        <w:trPr>
          <w:trHeight w:val="768" w:hRule="exact"/>
        </w:trPr>
        <w:tc>
          <w:tcPr>
            <w:tcW w:w="2359" w:type="dxa"/>
          </w:tcPr>
          <w:p>
            <w:pPr>
              <w:pStyle w:val="TableParagraph"/>
              <w:spacing w:line="252" w:lineRule="exact" w:before="120"/>
              <w:ind w:left="648"/>
              <w:rPr>
                <w:sz w:val="22"/>
              </w:rPr>
            </w:pPr>
            <w:r>
              <w:rPr>
                <w:sz w:val="22"/>
              </w:rPr>
              <w:t>1200-1233</w:t>
            </w:r>
          </w:p>
          <w:p>
            <w:pPr>
              <w:pStyle w:val="TableParagraph"/>
              <w:spacing w:line="252" w:lineRule="exact"/>
              <w:ind w:left="703"/>
              <w:rPr>
                <w:sz w:val="22"/>
              </w:rPr>
            </w:pPr>
            <w:r>
              <w:rPr>
                <w:sz w:val="22"/>
              </w:rPr>
              <w:t>Contracts</w:t>
            </w:r>
          </w:p>
        </w:tc>
        <w:tc>
          <w:tcPr>
            <w:tcW w:w="4049" w:type="dxa"/>
          </w:tcPr>
          <w:p>
            <w:pPr>
              <w:pStyle w:val="TableParagraph"/>
              <w:ind w:left="1123" w:right="1127"/>
              <w:jc w:val="center"/>
              <w:rPr>
                <w:sz w:val="22"/>
              </w:rPr>
            </w:pPr>
            <w:r>
              <w:rPr>
                <w:sz w:val="22"/>
              </w:rPr>
              <w:t>General Services, Legal Services (OLS)</w:t>
            </w:r>
          </w:p>
        </w:tc>
        <w:tc>
          <w:tcPr>
            <w:tcW w:w="3240" w:type="dxa"/>
          </w:tcPr>
          <w:p>
            <w:pPr>
              <w:pStyle w:val="TableParagraph"/>
              <w:spacing w:before="5"/>
              <w:rPr>
                <w:sz w:val="21"/>
              </w:rPr>
            </w:pPr>
          </w:p>
          <w:p>
            <w:pPr>
              <w:pStyle w:val="TableParagraph"/>
              <w:ind w:right="641"/>
              <w:jc w:val="right"/>
              <w:rPr>
                <w:sz w:val="22"/>
              </w:rPr>
            </w:pPr>
            <w:hyperlink r:id="rId45">
              <w:r>
                <w:rPr>
                  <w:color w:val="0000FF"/>
                  <w:sz w:val="22"/>
                  <w:u w:val="single" w:color="0000FF"/>
                </w:rPr>
                <w:t>www.dgs.ca.gov/ols</w:t>
              </w:r>
            </w:hyperlink>
          </w:p>
        </w:tc>
        <w:tc>
          <w:tcPr>
            <w:tcW w:w="3528" w:type="dxa"/>
          </w:tcPr>
          <w:p>
            <w:pPr>
              <w:pStyle w:val="TableParagraph"/>
              <w:ind w:left="263" w:right="265" w:hanging="2"/>
              <w:jc w:val="center"/>
              <w:rPr>
                <w:sz w:val="22"/>
              </w:rPr>
            </w:pPr>
            <w:r>
              <w:rPr>
                <w:sz w:val="22"/>
              </w:rPr>
              <w:t>Richard Goldberg </w:t>
            </w:r>
            <w:hyperlink r:id="rId46">
              <w:r>
                <w:rPr>
                  <w:color w:val="0000FF"/>
                  <w:spacing w:val="-2"/>
                  <w:sz w:val="22"/>
                  <w:u w:val="single" w:color="0000FF"/>
                </w:rPr>
                <w:t>Richard.Goldberg@dgs.ca.gov</w:t>
              </w:r>
            </w:hyperlink>
            <w:r>
              <w:rPr>
                <w:color w:val="0000FF"/>
                <w:spacing w:val="-2"/>
                <w:sz w:val="22"/>
                <w:u w:val="single" w:color="0000FF"/>
              </w:rPr>
              <w:t> </w:t>
            </w:r>
            <w:r>
              <w:rPr>
                <w:sz w:val="22"/>
              </w:rPr>
              <w:t>916-376-5108</w:t>
            </w:r>
          </w:p>
        </w:tc>
      </w:tr>
      <w:tr>
        <w:trPr>
          <w:trHeight w:val="768" w:hRule="exact"/>
        </w:trPr>
        <w:tc>
          <w:tcPr>
            <w:tcW w:w="2359" w:type="dxa"/>
            <w:vMerge w:val="restart"/>
          </w:tcPr>
          <w:p>
            <w:pPr>
              <w:pStyle w:val="TableParagraph"/>
              <w:rPr>
                <w:sz w:val="24"/>
              </w:rPr>
            </w:pPr>
          </w:p>
          <w:p>
            <w:pPr>
              <w:pStyle w:val="TableParagraph"/>
              <w:spacing w:before="3"/>
              <w:rPr>
                <w:sz w:val="31"/>
              </w:rPr>
            </w:pPr>
          </w:p>
          <w:p>
            <w:pPr>
              <w:pStyle w:val="TableParagraph"/>
              <w:ind w:left="213" w:right="213"/>
              <w:jc w:val="center"/>
              <w:rPr>
                <w:sz w:val="22"/>
              </w:rPr>
            </w:pPr>
            <w:r>
              <w:rPr>
                <w:sz w:val="22"/>
              </w:rPr>
              <w:t>1300</w:t>
            </w:r>
          </w:p>
          <w:p>
            <w:pPr>
              <w:pStyle w:val="TableParagraph"/>
              <w:ind w:left="789" w:right="52" w:hanging="636"/>
              <w:rPr>
                <w:sz w:val="22"/>
              </w:rPr>
            </w:pPr>
            <w:r>
              <w:rPr>
                <w:sz w:val="22"/>
              </w:rPr>
              <w:t>Real Estate Services Division (RESD)</w:t>
            </w:r>
          </w:p>
        </w:tc>
        <w:tc>
          <w:tcPr>
            <w:tcW w:w="4049" w:type="dxa"/>
            <w:vMerge w:val="restart"/>
          </w:tcPr>
          <w:p>
            <w:pPr>
              <w:pStyle w:val="TableParagraph"/>
              <w:rPr>
                <w:sz w:val="24"/>
              </w:rPr>
            </w:pPr>
          </w:p>
          <w:p>
            <w:pPr>
              <w:pStyle w:val="TableParagraph"/>
              <w:rPr>
                <w:sz w:val="24"/>
              </w:rPr>
            </w:pPr>
          </w:p>
          <w:p>
            <w:pPr>
              <w:pStyle w:val="TableParagraph"/>
              <w:spacing w:line="252" w:lineRule="exact" w:before="211"/>
              <w:ind w:left="805" w:right="811"/>
              <w:jc w:val="center"/>
              <w:rPr>
                <w:sz w:val="22"/>
              </w:rPr>
            </w:pPr>
            <w:r>
              <w:rPr>
                <w:sz w:val="22"/>
              </w:rPr>
              <w:t>General Services,</w:t>
            </w:r>
          </w:p>
          <w:p>
            <w:pPr>
              <w:pStyle w:val="TableParagraph"/>
              <w:ind w:left="564" w:right="565"/>
              <w:jc w:val="center"/>
              <w:rPr>
                <w:sz w:val="22"/>
              </w:rPr>
            </w:pPr>
            <w:r>
              <w:rPr>
                <w:sz w:val="22"/>
              </w:rPr>
              <w:t>Real Estate Services Division (RESD)</w:t>
            </w:r>
          </w:p>
        </w:tc>
        <w:tc>
          <w:tcPr>
            <w:tcW w:w="3240" w:type="dxa"/>
            <w:vMerge w:val="restart"/>
          </w:tcPr>
          <w:p>
            <w:pPr>
              <w:pStyle w:val="TableParagraph"/>
              <w:rPr>
                <w:sz w:val="24"/>
              </w:rPr>
            </w:pPr>
          </w:p>
          <w:p>
            <w:pPr>
              <w:pStyle w:val="TableParagraph"/>
              <w:rPr>
                <w:sz w:val="24"/>
              </w:rPr>
            </w:pPr>
          </w:p>
          <w:p>
            <w:pPr>
              <w:pStyle w:val="TableParagraph"/>
              <w:rPr>
                <w:sz w:val="24"/>
              </w:rPr>
            </w:pPr>
          </w:p>
          <w:p>
            <w:pPr>
              <w:pStyle w:val="TableParagraph"/>
              <w:spacing w:before="189"/>
              <w:ind w:left="566"/>
              <w:rPr>
                <w:sz w:val="22"/>
              </w:rPr>
            </w:pPr>
            <w:hyperlink r:id="rId47">
              <w:r>
                <w:rPr>
                  <w:color w:val="0000FF"/>
                  <w:sz w:val="22"/>
                  <w:u w:val="single" w:color="0000FF"/>
                </w:rPr>
                <w:t>www.dgs.ca.gov/resd</w:t>
              </w:r>
            </w:hyperlink>
          </w:p>
        </w:tc>
        <w:tc>
          <w:tcPr>
            <w:tcW w:w="3528" w:type="dxa"/>
          </w:tcPr>
          <w:p>
            <w:pPr>
              <w:pStyle w:val="TableParagraph"/>
              <w:ind w:left="537" w:right="536" w:hanging="12"/>
              <w:jc w:val="center"/>
              <w:rPr>
                <w:sz w:val="22"/>
              </w:rPr>
            </w:pPr>
            <w:r>
              <w:rPr>
                <w:sz w:val="22"/>
              </w:rPr>
              <w:t>James Beck </w:t>
            </w:r>
            <w:hyperlink r:id="rId48">
              <w:r>
                <w:rPr>
                  <w:color w:val="0000FF"/>
                  <w:spacing w:val="-2"/>
                  <w:sz w:val="22"/>
                  <w:u w:val="single" w:color="0000FF"/>
                </w:rPr>
                <w:t>James.beck@dgs.ca.gov</w:t>
              </w:r>
            </w:hyperlink>
            <w:r>
              <w:rPr>
                <w:color w:val="0000FF"/>
                <w:spacing w:val="-2"/>
                <w:sz w:val="22"/>
                <w:u w:val="single" w:color="0000FF"/>
              </w:rPr>
              <w:t> </w:t>
            </w:r>
            <w:r>
              <w:rPr>
                <w:sz w:val="22"/>
              </w:rPr>
              <w:t>916-375-4154</w:t>
            </w:r>
          </w:p>
        </w:tc>
      </w:tr>
      <w:tr>
        <w:trPr>
          <w:trHeight w:val="768" w:hRule="exact"/>
        </w:trPr>
        <w:tc>
          <w:tcPr>
            <w:tcW w:w="2359" w:type="dxa"/>
            <w:vMerge/>
          </w:tcPr>
          <w:p>
            <w:pPr/>
          </w:p>
        </w:tc>
        <w:tc>
          <w:tcPr>
            <w:tcW w:w="4049" w:type="dxa"/>
            <w:vMerge/>
          </w:tcPr>
          <w:p>
            <w:pPr/>
          </w:p>
        </w:tc>
        <w:tc>
          <w:tcPr>
            <w:tcW w:w="3240" w:type="dxa"/>
            <w:vMerge/>
          </w:tcPr>
          <w:p>
            <w:pPr/>
          </w:p>
        </w:tc>
        <w:tc>
          <w:tcPr>
            <w:tcW w:w="3528" w:type="dxa"/>
          </w:tcPr>
          <w:p>
            <w:pPr>
              <w:pStyle w:val="TableParagraph"/>
              <w:ind w:left="359" w:right="361" w:firstLine="3"/>
              <w:jc w:val="center"/>
              <w:rPr>
                <w:sz w:val="22"/>
              </w:rPr>
            </w:pPr>
            <w:r>
              <w:rPr>
                <w:sz w:val="22"/>
              </w:rPr>
              <w:t>Karena Benskin </w:t>
            </w:r>
            <w:hyperlink r:id="rId49">
              <w:r>
                <w:rPr>
                  <w:color w:val="0000FF"/>
                  <w:spacing w:val="-2"/>
                  <w:sz w:val="22"/>
                  <w:u w:val="single" w:color="0000FF"/>
                </w:rPr>
                <w:t>Karena.benskin@dgs.ca.gov</w:t>
              </w:r>
            </w:hyperlink>
            <w:r>
              <w:rPr>
                <w:color w:val="0000FF"/>
                <w:spacing w:val="-2"/>
                <w:sz w:val="22"/>
                <w:u w:val="single" w:color="0000FF"/>
              </w:rPr>
              <w:t> </w:t>
            </w:r>
            <w:r>
              <w:rPr>
                <w:sz w:val="22"/>
              </w:rPr>
              <w:t>916-375-4326</w:t>
            </w:r>
          </w:p>
        </w:tc>
      </w:tr>
      <w:tr>
        <w:trPr>
          <w:trHeight w:val="770" w:hRule="exact"/>
        </w:trPr>
        <w:tc>
          <w:tcPr>
            <w:tcW w:w="2359" w:type="dxa"/>
            <w:vMerge/>
          </w:tcPr>
          <w:p>
            <w:pPr/>
          </w:p>
        </w:tc>
        <w:tc>
          <w:tcPr>
            <w:tcW w:w="4049" w:type="dxa"/>
            <w:vMerge/>
          </w:tcPr>
          <w:p>
            <w:pPr/>
          </w:p>
        </w:tc>
        <w:tc>
          <w:tcPr>
            <w:tcW w:w="3240" w:type="dxa"/>
            <w:vMerge/>
          </w:tcPr>
          <w:p>
            <w:pPr/>
          </w:p>
        </w:tc>
        <w:tc>
          <w:tcPr>
            <w:tcW w:w="3528" w:type="dxa"/>
          </w:tcPr>
          <w:p>
            <w:pPr/>
          </w:p>
        </w:tc>
      </w:tr>
    </w:tbl>
    <w:p>
      <w:pPr>
        <w:pStyle w:val="BodyText"/>
        <w:spacing w:before="5"/>
        <w:rPr>
          <w:sz w:val="21"/>
        </w:rPr>
      </w:pPr>
    </w:p>
    <w:p>
      <w:pPr>
        <w:pStyle w:val="Heading1"/>
        <w:spacing w:before="92"/>
        <w:ind w:left="7006" w:right="5946"/>
        <w:jc w:val="center"/>
      </w:pPr>
      <w:r>
        <w:rPr/>
        <w:pict>
          <v:line style="position:absolute;mso-position-horizontal-relative:page;mso-position-vertical-relative:paragraph;z-index:1144" from="28.32pt,5.41686pt" to="28.32pt,18.615860pt" stroked="true" strokeweight=".72pt" strokecolor="#000000">
            <v:stroke dashstyle="solid"/>
            <w10:wrap type="none"/>
          </v:line>
        </w:pict>
      </w:r>
      <w:r>
        <w:rPr/>
        <w:t>Rev. 43</w:t>
      </w:r>
      <w:r>
        <w:rPr>
          <w:color w:val="B5082E"/>
          <w:u w:val="thick" w:color="B5082E"/>
        </w:rPr>
        <w:t>9</w:t>
      </w:r>
      <w:r>
        <w:rPr>
          <w:strike/>
          <w:color w:val="B5082E"/>
        </w:rPr>
        <w:t>5</w:t>
      </w:r>
    </w:p>
    <w:p>
      <w:pPr>
        <w:spacing w:after="0"/>
        <w:jc w:val="center"/>
        <w:sectPr>
          <w:type w:val="continuous"/>
          <w:pgSz w:w="15840" w:h="12240" w:orient="landscape"/>
          <w:pgMar w:top="880" w:bottom="1040" w:left="440" w:right="1300"/>
        </w:sectPr>
      </w:pPr>
    </w:p>
    <w:p>
      <w:pPr>
        <w:pStyle w:val="Heading1"/>
        <w:spacing w:before="71"/>
        <w:ind w:left="2033"/>
      </w:pPr>
      <w:bookmarkStart w:name="Chap1330INDEX Track Changes" w:id="7"/>
      <w:bookmarkEnd w:id="7"/>
      <w:r>
        <w:rPr>
          <w:b w:val="0"/>
        </w:rPr>
      </w:r>
      <w:r>
        <w:rPr/>
        <w:t>SAM - DGS FACILITIES MANAGEMENT DIVISION</w:t>
      </w:r>
    </w:p>
    <w:p>
      <w:pPr>
        <w:pStyle w:val="BodyText"/>
        <w:spacing w:before="3"/>
        <w:rPr>
          <w:b/>
          <w:sz w:val="23"/>
        </w:rPr>
      </w:pPr>
    </w:p>
    <w:p>
      <w:pPr>
        <w:spacing w:before="0"/>
        <w:ind w:left="0" w:right="339" w:firstLine="0"/>
        <w:jc w:val="right"/>
        <w:rPr>
          <w:b/>
          <w:sz w:val="22"/>
        </w:rPr>
      </w:pPr>
      <w:r>
        <w:rPr>
          <w:b/>
          <w:sz w:val="22"/>
        </w:rPr>
        <w:t>Chapter 1330 INDEX</w:t>
      </w:r>
    </w:p>
    <w:p>
      <w:pPr>
        <w:pStyle w:val="BodyText"/>
        <w:rPr>
          <w:b/>
          <w:sz w:val="20"/>
        </w:rPr>
      </w:pPr>
    </w:p>
    <w:p>
      <w:pPr>
        <w:pStyle w:val="BodyText"/>
        <w:spacing w:before="1"/>
        <w:rPr>
          <w:b/>
          <w:sz w:val="14"/>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0"/>
        <w:gridCol w:w="1085"/>
      </w:tblGrid>
      <w:tr>
        <w:trPr>
          <w:trHeight w:val="442" w:hRule="exact"/>
        </w:trPr>
        <w:tc>
          <w:tcPr>
            <w:tcW w:w="8520" w:type="dxa"/>
            <w:tcBorders>
              <w:left w:val="nil"/>
            </w:tcBorders>
          </w:tcPr>
          <w:p>
            <w:pPr>
              <w:pStyle w:val="TableParagraph"/>
              <w:spacing w:before="67"/>
              <w:ind w:left="136"/>
              <w:rPr>
                <w:b/>
                <w:sz w:val="22"/>
              </w:rPr>
            </w:pPr>
            <w:r>
              <w:rPr>
                <w:b/>
                <w:sz w:val="22"/>
              </w:rPr>
              <w:t>PROGRAM SUMMARY, RESOURCES, AND CONTACTS</w:t>
            </w:r>
          </w:p>
        </w:tc>
        <w:tc>
          <w:tcPr>
            <w:tcW w:w="1085" w:type="dxa"/>
            <w:tcBorders>
              <w:right w:val="nil"/>
            </w:tcBorders>
          </w:tcPr>
          <w:p>
            <w:pPr>
              <w:pStyle w:val="TableParagraph"/>
              <w:spacing w:before="67"/>
              <w:ind w:left="103"/>
              <w:rPr>
                <w:b/>
                <w:sz w:val="22"/>
              </w:rPr>
            </w:pPr>
            <w:r>
              <w:rPr>
                <w:b/>
                <w:sz w:val="22"/>
              </w:rPr>
              <w:t>1330</w:t>
            </w:r>
          </w:p>
        </w:tc>
      </w:tr>
      <w:tr>
        <w:trPr>
          <w:trHeight w:val="442" w:hRule="exact"/>
        </w:trPr>
        <w:tc>
          <w:tcPr>
            <w:tcW w:w="8520" w:type="dxa"/>
            <w:tcBorders>
              <w:left w:val="nil"/>
            </w:tcBorders>
          </w:tcPr>
          <w:p>
            <w:pPr>
              <w:pStyle w:val="TableParagraph"/>
              <w:spacing w:before="67"/>
              <w:ind w:left="856"/>
              <w:rPr>
                <w:b/>
                <w:sz w:val="22"/>
              </w:rPr>
            </w:pPr>
            <w:r>
              <w:rPr>
                <w:b/>
                <w:sz w:val="22"/>
              </w:rPr>
              <w:t>Cost Of Services</w:t>
            </w:r>
          </w:p>
        </w:tc>
        <w:tc>
          <w:tcPr>
            <w:tcW w:w="1085" w:type="dxa"/>
            <w:tcBorders>
              <w:right w:val="nil"/>
            </w:tcBorders>
          </w:tcPr>
          <w:p>
            <w:pPr>
              <w:pStyle w:val="TableParagraph"/>
              <w:spacing w:before="67"/>
              <w:ind w:left="103"/>
              <w:rPr>
                <w:b/>
                <w:sz w:val="22"/>
              </w:rPr>
            </w:pPr>
            <w:r>
              <w:rPr>
                <w:b/>
                <w:sz w:val="22"/>
              </w:rPr>
              <w:t>1330.1</w:t>
            </w:r>
          </w:p>
        </w:tc>
      </w:tr>
      <w:tr>
        <w:trPr>
          <w:trHeight w:val="442" w:hRule="exact"/>
        </w:trPr>
        <w:tc>
          <w:tcPr>
            <w:tcW w:w="8520" w:type="dxa"/>
            <w:tcBorders>
              <w:left w:val="nil"/>
            </w:tcBorders>
          </w:tcPr>
          <w:p>
            <w:pPr>
              <w:pStyle w:val="TableParagraph"/>
              <w:spacing w:before="67"/>
              <w:ind w:left="856"/>
              <w:rPr>
                <w:b/>
                <w:sz w:val="22"/>
              </w:rPr>
            </w:pPr>
            <w:r>
              <w:rPr>
                <w:b/>
                <w:sz w:val="22"/>
              </w:rPr>
              <w:t>Building Alterations</w:t>
            </w:r>
          </w:p>
        </w:tc>
        <w:tc>
          <w:tcPr>
            <w:tcW w:w="1085" w:type="dxa"/>
            <w:tcBorders>
              <w:right w:val="nil"/>
            </w:tcBorders>
          </w:tcPr>
          <w:p>
            <w:pPr>
              <w:pStyle w:val="TableParagraph"/>
              <w:spacing w:before="67"/>
              <w:ind w:left="103"/>
              <w:rPr>
                <w:b/>
                <w:sz w:val="22"/>
              </w:rPr>
            </w:pPr>
            <w:r>
              <w:rPr>
                <w:b/>
                <w:sz w:val="22"/>
              </w:rPr>
              <w:t>1330.2</w:t>
            </w:r>
          </w:p>
        </w:tc>
      </w:tr>
      <w:tr>
        <w:trPr>
          <w:trHeight w:val="442" w:hRule="exact"/>
        </w:trPr>
        <w:tc>
          <w:tcPr>
            <w:tcW w:w="8520" w:type="dxa"/>
            <w:tcBorders>
              <w:left w:val="nil"/>
            </w:tcBorders>
          </w:tcPr>
          <w:p>
            <w:pPr>
              <w:pStyle w:val="TableParagraph"/>
              <w:spacing w:before="67"/>
              <w:ind w:left="856"/>
              <w:rPr>
                <w:b/>
                <w:sz w:val="22"/>
              </w:rPr>
            </w:pPr>
            <w:r>
              <w:rPr>
                <w:b/>
                <w:sz w:val="22"/>
              </w:rPr>
              <w:t>Use Of Buildings Outside Regular Working Hours</w:t>
            </w:r>
          </w:p>
        </w:tc>
        <w:tc>
          <w:tcPr>
            <w:tcW w:w="1085" w:type="dxa"/>
            <w:tcBorders>
              <w:right w:val="nil"/>
            </w:tcBorders>
          </w:tcPr>
          <w:p>
            <w:pPr>
              <w:pStyle w:val="TableParagraph"/>
              <w:spacing w:before="67"/>
              <w:ind w:left="103"/>
              <w:rPr>
                <w:b/>
                <w:sz w:val="22"/>
              </w:rPr>
            </w:pPr>
            <w:r>
              <w:rPr>
                <w:b/>
                <w:sz w:val="22"/>
              </w:rPr>
              <w:t>1330.3</w:t>
            </w:r>
          </w:p>
        </w:tc>
      </w:tr>
      <w:tr>
        <w:trPr>
          <w:trHeight w:val="444" w:hRule="exact"/>
        </w:trPr>
        <w:tc>
          <w:tcPr>
            <w:tcW w:w="8520" w:type="dxa"/>
            <w:tcBorders>
              <w:left w:val="nil"/>
            </w:tcBorders>
          </w:tcPr>
          <w:p>
            <w:pPr>
              <w:pStyle w:val="TableParagraph"/>
              <w:spacing w:before="72"/>
              <w:ind w:left="856"/>
              <w:rPr>
                <w:b/>
                <w:sz w:val="22"/>
              </w:rPr>
            </w:pPr>
            <w:r>
              <w:rPr>
                <w:b/>
                <w:sz w:val="22"/>
              </w:rPr>
              <w:t>Parking In Loading Dock Areas Of State Buildings</w:t>
            </w:r>
          </w:p>
        </w:tc>
        <w:tc>
          <w:tcPr>
            <w:tcW w:w="1085" w:type="dxa"/>
            <w:tcBorders>
              <w:right w:val="nil"/>
            </w:tcBorders>
          </w:tcPr>
          <w:p>
            <w:pPr>
              <w:pStyle w:val="TableParagraph"/>
              <w:spacing w:before="72"/>
              <w:ind w:left="103"/>
              <w:rPr>
                <w:b/>
                <w:sz w:val="22"/>
              </w:rPr>
            </w:pPr>
            <w:r>
              <w:rPr>
                <w:b/>
                <w:sz w:val="22"/>
              </w:rPr>
              <w:t>1330.4</w:t>
            </w:r>
          </w:p>
        </w:tc>
      </w:tr>
      <w:tr>
        <w:trPr>
          <w:trHeight w:val="444" w:hRule="exact"/>
        </w:trPr>
        <w:tc>
          <w:tcPr>
            <w:tcW w:w="8520" w:type="dxa"/>
            <w:tcBorders>
              <w:left w:val="nil"/>
            </w:tcBorders>
          </w:tcPr>
          <w:p>
            <w:pPr>
              <w:pStyle w:val="TableParagraph"/>
              <w:spacing w:before="74"/>
              <w:ind w:left="856"/>
              <w:rPr>
                <w:b/>
                <w:sz w:val="22"/>
              </w:rPr>
            </w:pPr>
            <w:r>
              <w:rPr>
                <w:b/>
                <w:sz w:val="22"/>
              </w:rPr>
              <w:t>Smoking In State Buildings</w:t>
            </w:r>
          </w:p>
        </w:tc>
        <w:tc>
          <w:tcPr>
            <w:tcW w:w="1085" w:type="dxa"/>
            <w:tcBorders>
              <w:right w:val="nil"/>
            </w:tcBorders>
          </w:tcPr>
          <w:p>
            <w:pPr>
              <w:pStyle w:val="TableParagraph"/>
              <w:spacing w:before="74"/>
              <w:ind w:left="103"/>
              <w:rPr>
                <w:b/>
                <w:sz w:val="22"/>
              </w:rPr>
            </w:pPr>
            <w:r>
              <w:rPr>
                <w:b/>
                <w:sz w:val="22"/>
              </w:rPr>
              <w:t>1330.5</w:t>
            </w:r>
          </w:p>
        </w:tc>
      </w:tr>
      <w:tr>
        <w:trPr>
          <w:trHeight w:val="444" w:hRule="exact"/>
        </w:trPr>
        <w:tc>
          <w:tcPr>
            <w:tcW w:w="8520" w:type="dxa"/>
            <w:tcBorders>
              <w:left w:val="nil"/>
            </w:tcBorders>
          </w:tcPr>
          <w:p>
            <w:pPr>
              <w:pStyle w:val="TableParagraph"/>
              <w:spacing w:before="69"/>
              <w:ind w:left="856"/>
              <w:rPr>
                <w:b/>
                <w:sz w:val="22"/>
              </w:rPr>
            </w:pPr>
            <w:r>
              <w:rPr>
                <w:b/>
                <w:sz w:val="22"/>
              </w:rPr>
              <w:t>Office Plants</w:t>
            </w:r>
          </w:p>
        </w:tc>
        <w:tc>
          <w:tcPr>
            <w:tcW w:w="1085" w:type="dxa"/>
            <w:tcBorders>
              <w:right w:val="nil"/>
            </w:tcBorders>
          </w:tcPr>
          <w:p>
            <w:pPr>
              <w:pStyle w:val="TableParagraph"/>
              <w:spacing w:before="69"/>
              <w:ind w:left="103"/>
              <w:rPr>
                <w:b/>
                <w:sz w:val="22"/>
              </w:rPr>
            </w:pPr>
            <w:r>
              <w:rPr>
                <w:b/>
                <w:sz w:val="22"/>
              </w:rPr>
              <w:t>1330.6</w:t>
            </w:r>
          </w:p>
        </w:tc>
      </w:tr>
      <w:tr>
        <w:trPr>
          <w:trHeight w:val="442" w:hRule="exact"/>
        </w:trPr>
        <w:tc>
          <w:tcPr>
            <w:tcW w:w="8520" w:type="dxa"/>
            <w:tcBorders>
              <w:left w:val="nil"/>
            </w:tcBorders>
          </w:tcPr>
          <w:p>
            <w:pPr>
              <w:pStyle w:val="TableParagraph"/>
              <w:spacing w:before="67"/>
              <w:ind w:left="856"/>
              <w:rPr>
                <w:b/>
                <w:sz w:val="22"/>
              </w:rPr>
            </w:pPr>
            <w:r>
              <w:rPr>
                <w:b/>
                <w:sz w:val="22"/>
              </w:rPr>
              <w:t>Display Of Art, Posters, And Notices In State Buildings</w:t>
            </w:r>
          </w:p>
        </w:tc>
        <w:tc>
          <w:tcPr>
            <w:tcW w:w="1085" w:type="dxa"/>
            <w:tcBorders>
              <w:right w:val="nil"/>
            </w:tcBorders>
          </w:tcPr>
          <w:p>
            <w:pPr>
              <w:pStyle w:val="TableParagraph"/>
              <w:spacing w:before="67"/>
              <w:ind w:left="103"/>
              <w:rPr>
                <w:b/>
                <w:sz w:val="22"/>
              </w:rPr>
            </w:pPr>
            <w:r>
              <w:rPr>
                <w:b/>
                <w:sz w:val="22"/>
              </w:rPr>
              <w:t>1330.7</w:t>
            </w:r>
          </w:p>
        </w:tc>
      </w:tr>
      <w:tr>
        <w:trPr>
          <w:trHeight w:val="442" w:hRule="exact"/>
        </w:trPr>
        <w:tc>
          <w:tcPr>
            <w:tcW w:w="8520" w:type="dxa"/>
            <w:tcBorders>
              <w:left w:val="nil"/>
            </w:tcBorders>
          </w:tcPr>
          <w:p>
            <w:pPr>
              <w:pStyle w:val="TableParagraph"/>
              <w:spacing w:before="67"/>
              <w:ind w:left="856"/>
              <w:rPr>
                <w:b/>
                <w:sz w:val="22"/>
              </w:rPr>
            </w:pPr>
            <w:r>
              <w:rPr>
                <w:b/>
                <w:sz w:val="22"/>
              </w:rPr>
              <w:t>Purchase And Display Of Flags At State Buildings</w:t>
            </w:r>
          </w:p>
        </w:tc>
        <w:tc>
          <w:tcPr>
            <w:tcW w:w="1085" w:type="dxa"/>
            <w:tcBorders>
              <w:right w:val="nil"/>
            </w:tcBorders>
          </w:tcPr>
          <w:p>
            <w:pPr>
              <w:pStyle w:val="TableParagraph"/>
              <w:spacing w:before="67"/>
              <w:ind w:left="103"/>
              <w:rPr>
                <w:b/>
                <w:sz w:val="22"/>
              </w:rPr>
            </w:pPr>
            <w:r>
              <w:rPr>
                <w:b/>
                <w:sz w:val="22"/>
              </w:rPr>
              <w:t>1330.8</w:t>
            </w:r>
          </w:p>
        </w:tc>
      </w:tr>
    </w:tbl>
    <w:p>
      <w:pPr>
        <w:pStyle w:val="BodyText"/>
        <w:rPr>
          <w:b/>
          <w:sz w:val="20"/>
        </w:rPr>
      </w:pPr>
    </w:p>
    <w:p>
      <w:pPr>
        <w:pStyle w:val="BodyText"/>
        <w:rPr>
          <w:b/>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0"/>
        <w:gridCol w:w="1085"/>
      </w:tblGrid>
      <w:tr>
        <w:trPr>
          <w:trHeight w:val="442" w:hRule="exact"/>
        </w:trPr>
        <w:tc>
          <w:tcPr>
            <w:tcW w:w="8520" w:type="dxa"/>
            <w:tcBorders>
              <w:left w:val="nil"/>
            </w:tcBorders>
          </w:tcPr>
          <w:p>
            <w:pPr>
              <w:pStyle w:val="TableParagraph"/>
              <w:spacing w:before="67"/>
              <w:ind w:left="1960"/>
              <w:rPr>
                <w:b/>
                <w:sz w:val="22"/>
              </w:rPr>
            </w:pPr>
            <w:r>
              <w:rPr>
                <w:b/>
                <w:color w:val="FF0000"/>
                <w:sz w:val="22"/>
                <w:u w:val="thick" w:color="FF0000"/>
              </w:rPr>
              <w:t>Additional Building References</w:t>
            </w:r>
          </w:p>
        </w:tc>
        <w:tc>
          <w:tcPr>
            <w:tcW w:w="1085" w:type="dxa"/>
            <w:tcBorders>
              <w:right w:val="nil"/>
            </w:tcBorders>
          </w:tcPr>
          <w:p>
            <w:pPr/>
          </w:p>
        </w:tc>
      </w:tr>
      <w:tr>
        <w:trPr>
          <w:trHeight w:val="660" w:hRule="exact"/>
        </w:trPr>
        <w:tc>
          <w:tcPr>
            <w:tcW w:w="8520" w:type="dxa"/>
            <w:tcBorders>
              <w:left w:val="nil"/>
            </w:tcBorders>
          </w:tcPr>
          <w:p>
            <w:pPr>
              <w:pStyle w:val="TableParagraph"/>
              <w:spacing w:before="67"/>
              <w:ind w:left="856" w:right="1746"/>
              <w:rPr>
                <w:b/>
                <w:sz w:val="22"/>
              </w:rPr>
            </w:pPr>
            <w:hyperlink r:id="rId52">
              <w:r>
                <w:rPr>
                  <w:b/>
                  <w:color w:val="FF0000"/>
                  <w:sz w:val="22"/>
                  <w:u w:val="thick" w:color="FF0000"/>
                </w:rPr>
                <w:t>Standard Operating Procedures for Energy Management</w:t>
              </w:r>
            </w:hyperlink>
            <w:r>
              <w:rPr>
                <w:b/>
                <w:color w:val="FF0000"/>
                <w:sz w:val="22"/>
                <w:u w:val="thick" w:color="FF0000"/>
              </w:rPr>
              <w:t> </w:t>
            </w:r>
            <w:hyperlink r:id="rId52">
              <w:r>
                <w:rPr>
                  <w:b/>
                  <w:color w:val="FF0000"/>
                  <w:sz w:val="22"/>
                  <w:u w:val="thick" w:color="FF0000"/>
                </w:rPr>
                <w:t>in State Buildings</w:t>
              </w:r>
            </w:hyperlink>
          </w:p>
        </w:tc>
        <w:tc>
          <w:tcPr>
            <w:tcW w:w="1085" w:type="dxa"/>
            <w:tcBorders>
              <w:right w:val="nil"/>
            </w:tcBorders>
          </w:tcPr>
          <w:p>
            <w:pPr>
              <w:pStyle w:val="TableParagraph"/>
              <w:spacing w:before="67"/>
              <w:ind w:left="103"/>
              <w:rPr>
                <w:b/>
                <w:sz w:val="22"/>
              </w:rPr>
            </w:pPr>
            <w:r>
              <w:rPr>
                <w:b/>
                <w:color w:val="FF0000"/>
                <w:sz w:val="22"/>
                <w:u w:val="thick" w:color="FF0000"/>
              </w:rPr>
              <w:t>1805.3</w:t>
            </w:r>
          </w:p>
        </w:tc>
      </w:tr>
      <w:tr>
        <w:trPr>
          <w:trHeight w:val="451" w:hRule="exact"/>
        </w:trPr>
        <w:tc>
          <w:tcPr>
            <w:tcW w:w="8520" w:type="dxa"/>
            <w:tcBorders>
              <w:left w:val="nil"/>
            </w:tcBorders>
          </w:tcPr>
          <w:p>
            <w:pPr>
              <w:pStyle w:val="TableParagraph"/>
              <w:spacing w:before="67"/>
              <w:ind w:left="856"/>
              <w:rPr>
                <w:b/>
                <w:sz w:val="22"/>
              </w:rPr>
            </w:pPr>
            <w:hyperlink r:id="rId53">
              <w:r>
                <w:rPr>
                  <w:b/>
                  <w:color w:val="FF0000"/>
                  <w:sz w:val="22"/>
                  <w:u w:val="thick" w:color="FF0000"/>
                </w:rPr>
                <w:t>State Buildings and Grounds Maintenance and Operation</w:t>
              </w:r>
            </w:hyperlink>
          </w:p>
        </w:tc>
        <w:tc>
          <w:tcPr>
            <w:tcW w:w="1085" w:type="dxa"/>
            <w:tcBorders>
              <w:right w:val="nil"/>
            </w:tcBorders>
          </w:tcPr>
          <w:p>
            <w:pPr>
              <w:pStyle w:val="TableParagraph"/>
              <w:spacing w:before="67"/>
              <w:ind w:left="103"/>
              <w:rPr>
                <w:b/>
                <w:sz w:val="22"/>
              </w:rPr>
            </w:pPr>
            <w:r>
              <w:rPr>
                <w:b/>
                <w:color w:val="FF0000"/>
                <w:sz w:val="22"/>
                <w:u w:val="thick" w:color="FF0000"/>
              </w:rPr>
              <w:t>1821</w:t>
            </w:r>
          </w:p>
        </w:tc>
      </w:tr>
    </w:tbl>
    <w:p>
      <w:pPr>
        <w:spacing w:after="0"/>
        <w:rPr>
          <w:sz w:val="22"/>
        </w:rPr>
        <w:sectPr>
          <w:headerReference w:type="default" r:id="rId50"/>
          <w:footerReference w:type="default" r:id="rId51"/>
          <w:pgSz w:w="12240" w:h="15840"/>
          <w:pgMar w:header="0" w:footer="1005" w:top="680" w:bottom="1200" w:left="1300" w:right="1100"/>
        </w:sectPr>
      </w:pPr>
    </w:p>
    <w:p>
      <w:pPr>
        <w:pStyle w:val="Heading1"/>
        <w:spacing w:before="75"/>
        <w:ind w:left="3752"/>
      </w:pPr>
      <w:r>
        <w:rPr/>
        <w:pict>
          <v:line style="position:absolute;mso-position-horizontal-relative:page;mso-position-vertical-relative:page;z-index:1192" from="36.360001pt,398.76001pt" to="36.360001pt,711.60001pt" stroked="true" strokeweight=".72pt" strokecolor="#000000">
            <v:stroke dashstyle="solid"/>
            <w10:wrap type="none"/>
          </v:line>
        </w:pict>
      </w:r>
      <w:bookmarkStart w:name="Sec2810 Trackchanges" w:id="8"/>
      <w:bookmarkEnd w:id="8"/>
      <w:r>
        <w:rPr>
          <w:b w:val="0"/>
        </w:rPr>
      </w:r>
      <w:r>
        <w:rPr/>
        <w:t>SAM – PUBLISHING/PRINTING</w:t>
      </w:r>
    </w:p>
    <w:p>
      <w:pPr>
        <w:pStyle w:val="BodyText"/>
        <w:rPr>
          <w:b/>
          <w:sz w:val="26"/>
        </w:rPr>
      </w:pPr>
    </w:p>
    <w:p>
      <w:pPr>
        <w:pStyle w:val="BodyText"/>
        <w:rPr>
          <w:b/>
          <w:sz w:val="26"/>
        </w:rPr>
      </w:pPr>
    </w:p>
    <w:p>
      <w:pPr>
        <w:pStyle w:val="BodyText"/>
        <w:rPr>
          <w:b/>
          <w:sz w:val="27"/>
        </w:rPr>
      </w:pPr>
    </w:p>
    <w:p>
      <w:pPr>
        <w:tabs>
          <w:tab w:pos="9061" w:val="left" w:leader="none"/>
        </w:tabs>
        <w:spacing w:before="0"/>
        <w:ind w:left="820" w:right="0" w:firstLine="0"/>
        <w:jc w:val="left"/>
        <w:rPr>
          <w:b/>
          <w:sz w:val="24"/>
        </w:rPr>
      </w:pPr>
      <w:r>
        <w:rPr>
          <w:b/>
          <w:sz w:val="24"/>
        </w:rPr>
        <w:t>HOW TO ORDER</w:t>
      </w:r>
      <w:r>
        <w:rPr>
          <w:b/>
          <w:spacing w:val="-4"/>
          <w:sz w:val="24"/>
        </w:rPr>
        <w:t> </w:t>
      </w:r>
      <w:r>
        <w:rPr>
          <w:b/>
          <w:sz w:val="24"/>
        </w:rPr>
        <w:t>OSP</w:t>
      </w:r>
      <w:r>
        <w:rPr>
          <w:b/>
          <w:spacing w:val="-1"/>
          <w:sz w:val="24"/>
        </w:rPr>
        <w:t> </w:t>
      </w:r>
      <w:r>
        <w:rPr>
          <w:b/>
          <w:sz w:val="24"/>
        </w:rPr>
        <w:t>SERVICES</w:t>
        <w:tab/>
        <w:t>2810</w:t>
      </w:r>
    </w:p>
    <w:p>
      <w:pPr>
        <w:pStyle w:val="BodyText"/>
        <w:ind w:left="820"/>
      </w:pPr>
      <w:r>
        <w:rPr/>
        <w:t>(Reviewed 12/2013)</w:t>
      </w:r>
    </w:p>
    <w:p>
      <w:pPr>
        <w:pStyle w:val="BodyText"/>
      </w:pPr>
    </w:p>
    <w:p>
      <w:pPr>
        <w:pStyle w:val="BodyText"/>
        <w:ind w:left="820" w:right="88"/>
      </w:pPr>
      <w:r>
        <w:rPr/>
        <w:pict>
          <v:line style="position:absolute;mso-position-horizontal-relative:page;mso-position-vertical-relative:paragraph;z-index:1168" from="36.360001pt,55.29689pt" to="36.360001pt,124.29589pt" stroked="true" strokeweight=".72pt" strokecolor="#000000">
            <v:stroke dashstyle="solid"/>
            <w10:wrap type="none"/>
          </v:line>
        </w:pict>
      </w:r>
      <w:r>
        <w:rPr>
          <w:b/>
        </w:rPr>
        <w:t>Ordering Form</w:t>
      </w:r>
      <w:r>
        <w:rPr/>
        <w:t>. The requisitioning of printing and mailing is initiated by the use of a Printing/Support Service Order form, </w:t>
      </w:r>
      <w:hyperlink r:id="rId56">
        <w:r>
          <w:rPr>
            <w:color w:val="0000FF"/>
            <w:u w:val="single" w:color="0000FF"/>
          </w:rPr>
          <w:t>STD. 67</w:t>
        </w:r>
      </w:hyperlink>
      <w:r>
        <w:rPr/>
        <w:t>. Facsimile or Internet transmissions are acceptable. The reverse side of STD. 67 provides instructions on how to complete the form. The STD 67 must have the name or signature of the person authorizing the expenditure. </w:t>
      </w:r>
      <w:r>
        <w:rPr>
          <w:strike/>
          <w:color w:val="B5082E"/>
        </w:rPr>
        <w:t>Effective February 11, 2010, no work will be initiated, no documents will be reviewed, and no contracts will be approved by the Department of General Services (DGS) that would result in the expenditure of funds unless the certification by the Agency’s Secretary or Department’s Director, or their designees, that the purchase is vital and mission critical for the agency or department making the purchase. </w:t>
      </w:r>
      <w:r>
        <w:rPr>
          <w:strike w:val="0"/>
        </w:rPr>
        <w:t>For additional information, call (916) 322-1031.</w:t>
      </w:r>
    </w:p>
    <w:p>
      <w:pPr>
        <w:pStyle w:val="BodyText"/>
        <w:spacing w:before="11"/>
        <w:rPr>
          <w:sz w:val="23"/>
        </w:rPr>
      </w:pPr>
    </w:p>
    <w:p>
      <w:pPr>
        <w:pStyle w:val="BodyText"/>
        <w:ind w:left="819" w:right="222"/>
      </w:pPr>
      <w:r>
        <w:rPr>
          <w:b/>
        </w:rPr>
        <w:t>Estimates</w:t>
      </w:r>
      <w:r>
        <w:rPr/>
        <w:t>. Upon request, </w:t>
      </w:r>
      <w:hyperlink r:id="rId57">
        <w:r>
          <w:rPr>
            <w:color w:val="0000FF"/>
            <w:u w:val="single" w:color="0000FF"/>
          </w:rPr>
          <w:t>OSP </w:t>
        </w:r>
      </w:hyperlink>
      <w:r>
        <w:rPr/>
        <w:t>will provide cost estimates based upon the information available for budgeting or other purposes. Firm prices will be made only when all information and specifications are complete, or materials for printing or reproduction have been examined. All estimates and firm prices are valid for thirty calendar days.</w:t>
      </w:r>
    </w:p>
    <w:p>
      <w:pPr>
        <w:pStyle w:val="BodyText"/>
        <w:ind w:left="819"/>
      </w:pPr>
      <w:r>
        <w:rPr/>
        <w:t>OSP is subject to yearly rate changes.</w:t>
      </w:r>
    </w:p>
    <w:p>
      <w:pPr>
        <w:pStyle w:val="BodyText"/>
      </w:pPr>
    </w:p>
    <w:p>
      <w:pPr>
        <w:pStyle w:val="BodyText"/>
        <w:ind w:left="820" w:right="713"/>
      </w:pPr>
      <w:r>
        <w:rPr>
          <w:b/>
        </w:rPr>
        <w:t>Scheduling</w:t>
      </w:r>
      <w:r>
        <w:rPr/>
        <w:t>. The Printing Operations Unit will assist in working out non-standard schedules that are reasonable and attainable. Dependent upon material and labor resources available, a satisfactory solution or alternative may be worked out.</w:t>
      </w:r>
    </w:p>
    <w:p>
      <w:pPr>
        <w:spacing w:after="0"/>
        <w:sectPr>
          <w:headerReference w:type="default" r:id="rId54"/>
          <w:footerReference w:type="default" r:id="rId55"/>
          <w:pgSz w:w="12240" w:h="15840"/>
          <w:pgMar w:header="0" w:footer="1636" w:top="640" w:bottom="1820" w:left="620" w:right="1380"/>
        </w:sectPr>
      </w:pPr>
    </w:p>
    <w:p>
      <w:pPr>
        <w:pStyle w:val="BodyText"/>
        <w:spacing w:before="9"/>
        <w:rPr>
          <w:sz w:val="15"/>
        </w:rPr>
      </w:pPr>
    </w:p>
    <w:p>
      <w:pPr>
        <w:pStyle w:val="BodyText"/>
        <w:spacing w:before="92"/>
        <w:ind w:left="100" w:right="195"/>
      </w:pPr>
      <w:bookmarkStart w:name="Chap4100 Index and 4120.8 Track Changes" w:id="9"/>
      <w:bookmarkEnd w:id="9"/>
      <w:r>
        <w:rPr/>
      </w:r>
      <w:r>
        <w:rPr/>
        <w:t>This chapter discusses the operational policies of all aspects of transportation services. This includes state-owned or operated mobile equipment, commercial vehicle rentals, airline transportation, parking and commuter services.</w:t>
      </w:r>
    </w:p>
    <w:p>
      <w:pPr>
        <w:pStyle w:val="BodyText"/>
        <w:spacing w:before="4"/>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8"/>
        <w:gridCol w:w="1092"/>
      </w:tblGrid>
      <w:tr>
        <w:trPr>
          <w:trHeight w:val="437" w:hRule="exact"/>
        </w:trPr>
        <w:tc>
          <w:tcPr>
            <w:tcW w:w="8268" w:type="dxa"/>
            <w:tcBorders>
              <w:top w:val="nil"/>
              <w:left w:val="nil"/>
            </w:tcBorders>
          </w:tcPr>
          <w:p>
            <w:pPr>
              <w:pStyle w:val="TableParagraph"/>
              <w:spacing w:before="75"/>
              <w:ind w:left="108"/>
              <w:rPr>
                <w:b/>
                <w:sz w:val="24"/>
              </w:rPr>
            </w:pPr>
            <w:r>
              <w:rPr>
                <w:b/>
                <w:sz w:val="24"/>
              </w:rPr>
              <w:t>INTRODUCTION AND GARAGE OPERATIONS</w:t>
            </w:r>
          </w:p>
        </w:tc>
        <w:tc>
          <w:tcPr>
            <w:tcW w:w="1092" w:type="dxa"/>
            <w:tcBorders>
              <w:top w:val="nil"/>
              <w:right w:val="nil"/>
            </w:tcBorders>
          </w:tcPr>
          <w:p>
            <w:pPr>
              <w:pStyle w:val="TableParagraph"/>
              <w:spacing w:before="75"/>
              <w:ind w:left="103"/>
              <w:rPr>
                <w:b/>
                <w:sz w:val="24"/>
              </w:rPr>
            </w:pPr>
            <w:r>
              <w:rPr>
                <w:b/>
                <w:sz w:val="24"/>
              </w:rPr>
              <w:t>4100</w:t>
            </w:r>
          </w:p>
        </w:tc>
      </w:tr>
      <w:tr>
        <w:trPr>
          <w:trHeight w:val="444" w:hRule="exact"/>
        </w:trPr>
        <w:tc>
          <w:tcPr>
            <w:tcW w:w="8268" w:type="dxa"/>
            <w:tcBorders>
              <w:left w:val="nil"/>
            </w:tcBorders>
          </w:tcPr>
          <w:p>
            <w:pPr>
              <w:pStyle w:val="TableParagraph"/>
              <w:spacing w:before="75"/>
              <w:ind w:left="108"/>
              <w:rPr>
                <w:b/>
                <w:sz w:val="24"/>
              </w:rPr>
            </w:pPr>
            <w:r>
              <w:rPr>
                <w:b/>
                <w:sz w:val="24"/>
              </w:rPr>
              <w:t>MAINTENANCE</w:t>
            </w:r>
          </w:p>
        </w:tc>
        <w:tc>
          <w:tcPr>
            <w:tcW w:w="1092" w:type="dxa"/>
            <w:tcBorders>
              <w:right w:val="nil"/>
            </w:tcBorders>
          </w:tcPr>
          <w:p>
            <w:pPr>
              <w:pStyle w:val="TableParagraph"/>
              <w:spacing w:before="75"/>
              <w:ind w:left="103"/>
              <w:rPr>
                <w:b/>
                <w:sz w:val="24"/>
              </w:rPr>
            </w:pPr>
            <w:r>
              <w:rPr>
                <w:b/>
                <w:sz w:val="24"/>
              </w:rPr>
              <w:t>4101</w:t>
            </w:r>
          </w:p>
        </w:tc>
      </w:tr>
      <w:tr>
        <w:trPr>
          <w:trHeight w:val="442" w:hRule="exact"/>
        </w:trPr>
        <w:tc>
          <w:tcPr>
            <w:tcW w:w="8268" w:type="dxa"/>
            <w:tcBorders>
              <w:left w:val="nil"/>
            </w:tcBorders>
          </w:tcPr>
          <w:p>
            <w:pPr>
              <w:pStyle w:val="TableParagraph"/>
              <w:spacing w:before="72"/>
              <w:ind w:left="108"/>
              <w:rPr>
                <w:b/>
                <w:sz w:val="24"/>
              </w:rPr>
            </w:pPr>
            <w:r>
              <w:rPr>
                <w:b/>
                <w:sz w:val="24"/>
              </w:rPr>
              <w:t>NO SMOKING IN STATE VEHICLES</w:t>
            </w:r>
          </w:p>
        </w:tc>
        <w:tc>
          <w:tcPr>
            <w:tcW w:w="1092" w:type="dxa"/>
            <w:tcBorders>
              <w:right w:val="nil"/>
            </w:tcBorders>
          </w:tcPr>
          <w:p>
            <w:pPr>
              <w:pStyle w:val="TableParagraph"/>
              <w:spacing w:before="72"/>
              <w:ind w:left="103"/>
              <w:rPr>
                <w:b/>
                <w:sz w:val="24"/>
              </w:rPr>
            </w:pPr>
            <w:r>
              <w:rPr>
                <w:b/>
                <w:sz w:val="24"/>
              </w:rPr>
              <w:t>4102</w:t>
            </w:r>
          </w:p>
        </w:tc>
      </w:tr>
      <w:tr>
        <w:trPr>
          <w:trHeight w:val="442" w:hRule="exact"/>
        </w:trPr>
        <w:tc>
          <w:tcPr>
            <w:tcW w:w="8268" w:type="dxa"/>
            <w:tcBorders>
              <w:left w:val="nil"/>
            </w:tcBorders>
          </w:tcPr>
          <w:p>
            <w:pPr>
              <w:pStyle w:val="TableParagraph"/>
              <w:spacing w:before="72"/>
              <w:ind w:left="108"/>
              <w:rPr>
                <w:b/>
                <w:sz w:val="24"/>
              </w:rPr>
            </w:pPr>
            <w:r>
              <w:rPr>
                <w:b/>
                <w:sz w:val="24"/>
              </w:rPr>
              <w:t>MODIFICATIONS</w:t>
            </w:r>
          </w:p>
        </w:tc>
        <w:tc>
          <w:tcPr>
            <w:tcW w:w="1092" w:type="dxa"/>
            <w:tcBorders>
              <w:right w:val="nil"/>
            </w:tcBorders>
          </w:tcPr>
          <w:p>
            <w:pPr>
              <w:pStyle w:val="TableParagraph"/>
              <w:spacing w:before="72"/>
              <w:ind w:left="103"/>
              <w:rPr>
                <w:b/>
                <w:sz w:val="24"/>
              </w:rPr>
            </w:pPr>
            <w:r>
              <w:rPr>
                <w:b/>
                <w:sz w:val="24"/>
              </w:rPr>
              <w:t>4103</w:t>
            </w:r>
          </w:p>
        </w:tc>
      </w:tr>
      <w:tr>
        <w:trPr>
          <w:trHeight w:val="442" w:hRule="exact"/>
        </w:trPr>
        <w:tc>
          <w:tcPr>
            <w:tcW w:w="8268" w:type="dxa"/>
            <w:tcBorders>
              <w:left w:val="nil"/>
            </w:tcBorders>
          </w:tcPr>
          <w:p>
            <w:pPr>
              <w:pStyle w:val="TableParagraph"/>
              <w:spacing w:before="75"/>
              <w:ind w:left="108"/>
              <w:rPr>
                <w:b/>
                <w:sz w:val="24"/>
              </w:rPr>
            </w:pPr>
            <w:r>
              <w:rPr>
                <w:b/>
                <w:sz w:val="24"/>
              </w:rPr>
              <w:t>IDENTIFICATION</w:t>
            </w:r>
          </w:p>
        </w:tc>
        <w:tc>
          <w:tcPr>
            <w:tcW w:w="1092" w:type="dxa"/>
            <w:tcBorders>
              <w:right w:val="nil"/>
            </w:tcBorders>
          </w:tcPr>
          <w:p>
            <w:pPr>
              <w:pStyle w:val="TableParagraph"/>
              <w:spacing w:before="75"/>
              <w:ind w:left="103"/>
              <w:rPr>
                <w:b/>
                <w:sz w:val="24"/>
              </w:rPr>
            </w:pPr>
            <w:r>
              <w:rPr>
                <w:b/>
                <w:sz w:val="24"/>
              </w:rPr>
              <w:t>4104</w:t>
            </w:r>
          </w:p>
        </w:tc>
      </w:tr>
      <w:tr>
        <w:trPr>
          <w:trHeight w:val="442" w:hRule="exact"/>
        </w:trPr>
        <w:tc>
          <w:tcPr>
            <w:tcW w:w="8268" w:type="dxa"/>
            <w:tcBorders>
              <w:left w:val="nil"/>
            </w:tcBorders>
          </w:tcPr>
          <w:p>
            <w:pPr>
              <w:pStyle w:val="TableParagraph"/>
              <w:spacing w:before="75"/>
              <w:ind w:left="108"/>
              <w:rPr>
                <w:b/>
                <w:sz w:val="24"/>
              </w:rPr>
            </w:pPr>
            <w:r>
              <w:rPr>
                <w:b/>
                <w:sz w:val="24"/>
              </w:rPr>
              <w:t>UTILIZATION</w:t>
            </w:r>
          </w:p>
        </w:tc>
        <w:tc>
          <w:tcPr>
            <w:tcW w:w="1092" w:type="dxa"/>
            <w:tcBorders>
              <w:right w:val="nil"/>
            </w:tcBorders>
          </w:tcPr>
          <w:p>
            <w:pPr>
              <w:pStyle w:val="TableParagraph"/>
              <w:spacing w:before="75"/>
              <w:ind w:left="103"/>
              <w:rPr>
                <w:b/>
                <w:sz w:val="24"/>
              </w:rPr>
            </w:pPr>
            <w:r>
              <w:rPr>
                <w:b/>
                <w:sz w:val="24"/>
              </w:rPr>
              <w:t>4105</w:t>
            </w:r>
          </w:p>
        </w:tc>
      </w:tr>
      <w:tr>
        <w:trPr>
          <w:trHeight w:val="442" w:hRule="exact"/>
        </w:trPr>
        <w:tc>
          <w:tcPr>
            <w:tcW w:w="8268" w:type="dxa"/>
            <w:tcBorders>
              <w:left w:val="nil"/>
            </w:tcBorders>
          </w:tcPr>
          <w:p>
            <w:pPr>
              <w:pStyle w:val="TableParagraph"/>
              <w:spacing w:before="75"/>
              <w:ind w:left="108"/>
              <w:rPr>
                <w:b/>
                <w:sz w:val="24"/>
              </w:rPr>
            </w:pPr>
            <w:r>
              <w:rPr>
                <w:b/>
                <w:sz w:val="24"/>
              </w:rPr>
              <w:t>PASSENGER MOBILE EQUIPMENT USAGE REPORT</w:t>
            </w:r>
          </w:p>
        </w:tc>
        <w:tc>
          <w:tcPr>
            <w:tcW w:w="1092" w:type="dxa"/>
            <w:tcBorders>
              <w:right w:val="nil"/>
            </w:tcBorders>
          </w:tcPr>
          <w:p>
            <w:pPr>
              <w:pStyle w:val="TableParagraph"/>
              <w:spacing w:before="75"/>
              <w:ind w:left="103"/>
              <w:rPr>
                <w:b/>
                <w:sz w:val="24"/>
              </w:rPr>
            </w:pPr>
            <w:r>
              <w:rPr>
                <w:b/>
                <w:sz w:val="24"/>
              </w:rPr>
              <w:t>4106</w:t>
            </w:r>
          </w:p>
        </w:tc>
      </w:tr>
      <w:tr>
        <w:trPr>
          <w:trHeight w:val="444" w:hRule="exact"/>
        </w:trPr>
        <w:tc>
          <w:tcPr>
            <w:tcW w:w="8268" w:type="dxa"/>
            <w:tcBorders>
              <w:left w:val="nil"/>
            </w:tcBorders>
          </w:tcPr>
          <w:p>
            <w:pPr>
              <w:pStyle w:val="TableParagraph"/>
              <w:spacing w:before="75"/>
              <w:ind w:left="108"/>
              <w:rPr>
                <w:b/>
                <w:sz w:val="24"/>
              </w:rPr>
            </w:pPr>
            <w:r>
              <w:rPr>
                <w:b/>
                <w:sz w:val="24"/>
              </w:rPr>
              <w:t>TRAVEL LOGS</w:t>
            </w:r>
          </w:p>
        </w:tc>
        <w:tc>
          <w:tcPr>
            <w:tcW w:w="1092" w:type="dxa"/>
            <w:tcBorders>
              <w:right w:val="nil"/>
            </w:tcBorders>
          </w:tcPr>
          <w:p>
            <w:pPr>
              <w:pStyle w:val="TableParagraph"/>
              <w:spacing w:before="75"/>
              <w:ind w:left="103"/>
              <w:rPr>
                <w:b/>
                <w:sz w:val="24"/>
              </w:rPr>
            </w:pPr>
            <w:r>
              <w:rPr>
                <w:b/>
                <w:sz w:val="24"/>
              </w:rPr>
              <w:t>4107</w:t>
            </w:r>
          </w:p>
        </w:tc>
      </w:tr>
      <w:tr>
        <w:trPr>
          <w:trHeight w:val="442" w:hRule="exact"/>
        </w:trPr>
        <w:tc>
          <w:tcPr>
            <w:tcW w:w="8268" w:type="dxa"/>
            <w:tcBorders>
              <w:left w:val="nil"/>
            </w:tcBorders>
          </w:tcPr>
          <w:p>
            <w:pPr>
              <w:pStyle w:val="TableParagraph"/>
              <w:spacing w:before="72"/>
              <w:ind w:left="108"/>
              <w:rPr>
                <w:b/>
                <w:sz w:val="24"/>
              </w:rPr>
            </w:pPr>
            <w:r>
              <w:rPr>
                <w:b/>
                <w:sz w:val="24"/>
              </w:rPr>
              <w:t>FUEL CARD MANAGEMENT</w:t>
            </w:r>
          </w:p>
        </w:tc>
        <w:tc>
          <w:tcPr>
            <w:tcW w:w="1092" w:type="dxa"/>
            <w:tcBorders>
              <w:right w:val="nil"/>
            </w:tcBorders>
          </w:tcPr>
          <w:p>
            <w:pPr>
              <w:pStyle w:val="TableParagraph"/>
              <w:spacing w:before="72"/>
              <w:ind w:left="103"/>
              <w:rPr>
                <w:b/>
                <w:sz w:val="24"/>
              </w:rPr>
            </w:pPr>
            <w:r>
              <w:rPr>
                <w:b/>
                <w:sz w:val="24"/>
              </w:rPr>
              <w:t>4108</w:t>
            </w:r>
          </w:p>
        </w:tc>
      </w:tr>
      <w:tr>
        <w:trPr>
          <w:trHeight w:val="442" w:hRule="exact"/>
        </w:trPr>
        <w:tc>
          <w:tcPr>
            <w:tcW w:w="8268" w:type="dxa"/>
            <w:tcBorders>
              <w:left w:val="nil"/>
            </w:tcBorders>
          </w:tcPr>
          <w:p>
            <w:pPr>
              <w:pStyle w:val="TableParagraph"/>
              <w:spacing w:before="72"/>
              <w:ind w:left="108"/>
              <w:rPr>
                <w:b/>
                <w:sz w:val="24"/>
              </w:rPr>
            </w:pPr>
            <w:r>
              <w:rPr>
                <w:b/>
                <w:sz w:val="24"/>
              </w:rPr>
              <w:t>GENERAL SERVICES CHARGE CARD</w:t>
            </w:r>
          </w:p>
        </w:tc>
        <w:tc>
          <w:tcPr>
            <w:tcW w:w="1092" w:type="dxa"/>
            <w:tcBorders>
              <w:right w:val="nil"/>
            </w:tcBorders>
          </w:tcPr>
          <w:p>
            <w:pPr>
              <w:pStyle w:val="TableParagraph"/>
              <w:spacing w:before="72"/>
              <w:ind w:left="103"/>
              <w:rPr>
                <w:b/>
                <w:sz w:val="24"/>
              </w:rPr>
            </w:pPr>
            <w:r>
              <w:rPr>
                <w:b/>
                <w:sz w:val="24"/>
              </w:rPr>
              <w:t>4108.1</w:t>
            </w:r>
          </w:p>
        </w:tc>
      </w:tr>
      <w:tr>
        <w:trPr>
          <w:trHeight w:val="442" w:hRule="exact"/>
        </w:trPr>
        <w:tc>
          <w:tcPr>
            <w:tcW w:w="8268" w:type="dxa"/>
            <w:tcBorders>
              <w:left w:val="nil"/>
            </w:tcBorders>
          </w:tcPr>
          <w:p>
            <w:pPr>
              <w:pStyle w:val="TableParagraph"/>
              <w:spacing w:before="75"/>
              <w:ind w:left="108"/>
              <w:rPr>
                <w:b/>
                <w:sz w:val="24"/>
              </w:rPr>
            </w:pPr>
            <w:r>
              <w:rPr>
                <w:b/>
                <w:sz w:val="24"/>
              </w:rPr>
              <w:t>HOME STORAGE</w:t>
            </w:r>
          </w:p>
        </w:tc>
        <w:tc>
          <w:tcPr>
            <w:tcW w:w="1092" w:type="dxa"/>
            <w:tcBorders>
              <w:right w:val="nil"/>
            </w:tcBorders>
          </w:tcPr>
          <w:p>
            <w:pPr>
              <w:pStyle w:val="TableParagraph"/>
              <w:spacing w:before="75"/>
              <w:ind w:left="103"/>
              <w:rPr>
                <w:b/>
                <w:sz w:val="24"/>
              </w:rPr>
            </w:pPr>
            <w:r>
              <w:rPr>
                <w:b/>
                <w:sz w:val="24"/>
              </w:rPr>
              <w:t>4109</w:t>
            </w:r>
          </w:p>
        </w:tc>
      </w:tr>
      <w:tr>
        <w:trPr>
          <w:trHeight w:val="442" w:hRule="exact"/>
        </w:trPr>
        <w:tc>
          <w:tcPr>
            <w:tcW w:w="8268" w:type="dxa"/>
            <w:tcBorders>
              <w:left w:val="nil"/>
            </w:tcBorders>
          </w:tcPr>
          <w:p>
            <w:pPr>
              <w:pStyle w:val="TableParagraph"/>
              <w:spacing w:before="75"/>
              <w:ind w:left="108"/>
              <w:rPr>
                <w:b/>
                <w:sz w:val="24"/>
              </w:rPr>
            </w:pPr>
            <w:r>
              <w:rPr>
                <w:b/>
                <w:sz w:val="24"/>
              </w:rPr>
              <w:t>MOBILE EQUIPMENT PURCHASES</w:t>
            </w:r>
          </w:p>
        </w:tc>
        <w:tc>
          <w:tcPr>
            <w:tcW w:w="1092" w:type="dxa"/>
            <w:tcBorders>
              <w:right w:val="nil"/>
            </w:tcBorders>
          </w:tcPr>
          <w:p>
            <w:pPr>
              <w:pStyle w:val="TableParagraph"/>
              <w:spacing w:before="75"/>
              <w:ind w:left="103"/>
              <w:rPr>
                <w:b/>
                <w:sz w:val="24"/>
              </w:rPr>
            </w:pPr>
            <w:r>
              <w:rPr>
                <w:b/>
                <w:sz w:val="24"/>
              </w:rPr>
              <w:t>4110</w:t>
            </w:r>
          </w:p>
        </w:tc>
      </w:tr>
      <w:tr>
        <w:trPr>
          <w:trHeight w:val="442" w:hRule="exact"/>
        </w:trPr>
        <w:tc>
          <w:tcPr>
            <w:tcW w:w="8268" w:type="dxa"/>
            <w:tcBorders>
              <w:left w:val="nil"/>
            </w:tcBorders>
          </w:tcPr>
          <w:p>
            <w:pPr>
              <w:pStyle w:val="TableParagraph"/>
              <w:spacing w:before="75"/>
              <w:ind w:left="108"/>
              <w:rPr>
                <w:b/>
                <w:sz w:val="24"/>
              </w:rPr>
            </w:pPr>
            <w:r>
              <w:rPr>
                <w:b/>
                <w:sz w:val="24"/>
              </w:rPr>
              <w:t>DISPOSITION</w:t>
            </w:r>
          </w:p>
        </w:tc>
        <w:tc>
          <w:tcPr>
            <w:tcW w:w="1092" w:type="dxa"/>
            <w:tcBorders>
              <w:right w:val="nil"/>
            </w:tcBorders>
          </w:tcPr>
          <w:p>
            <w:pPr>
              <w:pStyle w:val="TableParagraph"/>
              <w:spacing w:before="75"/>
              <w:ind w:left="103"/>
              <w:rPr>
                <w:b/>
                <w:sz w:val="24"/>
              </w:rPr>
            </w:pPr>
            <w:r>
              <w:rPr>
                <w:b/>
                <w:sz w:val="24"/>
              </w:rPr>
              <w:t>4111</w:t>
            </w:r>
          </w:p>
        </w:tc>
      </w:tr>
      <w:tr>
        <w:trPr>
          <w:trHeight w:val="444" w:hRule="exact"/>
        </w:trPr>
        <w:tc>
          <w:tcPr>
            <w:tcW w:w="8268" w:type="dxa"/>
            <w:tcBorders>
              <w:left w:val="nil"/>
            </w:tcBorders>
          </w:tcPr>
          <w:p>
            <w:pPr>
              <w:pStyle w:val="TableParagraph"/>
              <w:spacing w:before="75"/>
              <w:ind w:left="108"/>
              <w:rPr>
                <w:b/>
                <w:sz w:val="24"/>
              </w:rPr>
            </w:pPr>
            <w:r>
              <w:rPr>
                <w:b/>
                <w:sz w:val="24"/>
              </w:rPr>
              <w:t>REUTILIZATION OR TRANSFER</w:t>
            </w:r>
          </w:p>
        </w:tc>
        <w:tc>
          <w:tcPr>
            <w:tcW w:w="1092" w:type="dxa"/>
            <w:tcBorders>
              <w:right w:val="nil"/>
            </w:tcBorders>
          </w:tcPr>
          <w:p>
            <w:pPr>
              <w:pStyle w:val="TableParagraph"/>
              <w:spacing w:before="75"/>
              <w:ind w:left="103"/>
              <w:rPr>
                <w:b/>
                <w:sz w:val="24"/>
              </w:rPr>
            </w:pPr>
            <w:r>
              <w:rPr>
                <w:b/>
                <w:sz w:val="24"/>
              </w:rPr>
              <w:t>4112</w:t>
            </w:r>
          </w:p>
        </w:tc>
      </w:tr>
      <w:tr>
        <w:trPr>
          <w:trHeight w:val="442" w:hRule="exact"/>
        </w:trPr>
        <w:tc>
          <w:tcPr>
            <w:tcW w:w="8268" w:type="dxa"/>
            <w:tcBorders>
              <w:left w:val="nil"/>
            </w:tcBorders>
          </w:tcPr>
          <w:p>
            <w:pPr>
              <w:pStyle w:val="TableParagraph"/>
              <w:spacing w:before="72"/>
              <w:ind w:left="108"/>
              <w:rPr>
                <w:b/>
                <w:sz w:val="24"/>
              </w:rPr>
            </w:pPr>
            <w:r>
              <w:rPr>
                <w:b/>
                <w:sz w:val="24"/>
              </w:rPr>
              <w:t>INSPECTION SERVICES</w:t>
            </w:r>
          </w:p>
        </w:tc>
        <w:tc>
          <w:tcPr>
            <w:tcW w:w="1092" w:type="dxa"/>
            <w:tcBorders>
              <w:right w:val="nil"/>
            </w:tcBorders>
          </w:tcPr>
          <w:p>
            <w:pPr>
              <w:pStyle w:val="TableParagraph"/>
              <w:spacing w:before="72"/>
              <w:ind w:left="103"/>
              <w:rPr>
                <w:b/>
                <w:sz w:val="24"/>
              </w:rPr>
            </w:pPr>
            <w:r>
              <w:rPr>
                <w:b/>
                <w:sz w:val="24"/>
              </w:rPr>
              <w:t>4113</w:t>
            </w:r>
          </w:p>
        </w:tc>
      </w:tr>
      <w:tr>
        <w:trPr>
          <w:trHeight w:val="442" w:hRule="exact"/>
        </w:trPr>
        <w:tc>
          <w:tcPr>
            <w:tcW w:w="8268" w:type="dxa"/>
            <w:tcBorders>
              <w:left w:val="nil"/>
            </w:tcBorders>
          </w:tcPr>
          <w:p>
            <w:pPr>
              <w:pStyle w:val="TableParagraph"/>
              <w:spacing w:before="72"/>
              <w:ind w:left="108"/>
              <w:rPr>
                <w:b/>
                <w:sz w:val="24"/>
              </w:rPr>
            </w:pPr>
            <w:r>
              <w:rPr>
                <w:b/>
                <w:sz w:val="24"/>
              </w:rPr>
              <w:t>ANNUAL INVENTORY OF MOBILE EQUIPMENT</w:t>
            </w:r>
          </w:p>
        </w:tc>
        <w:tc>
          <w:tcPr>
            <w:tcW w:w="1092" w:type="dxa"/>
            <w:tcBorders>
              <w:right w:val="nil"/>
            </w:tcBorders>
          </w:tcPr>
          <w:p>
            <w:pPr>
              <w:pStyle w:val="TableParagraph"/>
              <w:spacing w:before="72"/>
              <w:ind w:left="103"/>
              <w:rPr>
                <w:b/>
                <w:sz w:val="24"/>
              </w:rPr>
            </w:pPr>
            <w:r>
              <w:rPr>
                <w:b/>
                <w:sz w:val="24"/>
              </w:rPr>
              <w:t>4114</w:t>
            </w:r>
          </w:p>
        </w:tc>
      </w:tr>
      <w:tr>
        <w:trPr>
          <w:trHeight w:val="442" w:hRule="exact"/>
        </w:trPr>
        <w:tc>
          <w:tcPr>
            <w:tcW w:w="8268" w:type="dxa"/>
            <w:tcBorders>
              <w:left w:val="nil"/>
            </w:tcBorders>
          </w:tcPr>
          <w:p>
            <w:pPr>
              <w:pStyle w:val="TableParagraph"/>
              <w:spacing w:before="75"/>
              <w:ind w:left="108"/>
              <w:rPr>
                <w:b/>
                <w:sz w:val="24"/>
              </w:rPr>
            </w:pPr>
            <w:r>
              <w:rPr>
                <w:b/>
                <w:sz w:val="24"/>
              </w:rPr>
              <w:t>REPAIRS AT COMMERCIAL/STATE FACILITIES</w:t>
            </w:r>
          </w:p>
        </w:tc>
        <w:tc>
          <w:tcPr>
            <w:tcW w:w="1092" w:type="dxa"/>
            <w:tcBorders>
              <w:right w:val="nil"/>
            </w:tcBorders>
          </w:tcPr>
          <w:p>
            <w:pPr>
              <w:pStyle w:val="TableParagraph"/>
              <w:spacing w:before="75"/>
              <w:ind w:left="103"/>
              <w:rPr>
                <w:b/>
                <w:sz w:val="24"/>
              </w:rPr>
            </w:pPr>
            <w:r>
              <w:rPr>
                <w:b/>
                <w:sz w:val="24"/>
              </w:rPr>
              <w:t>4115</w:t>
            </w:r>
          </w:p>
        </w:tc>
      </w:tr>
      <w:tr>
        <w:trPr>
          <w:trHeight w:val="437" w:hRule="exact"/>
        </w:trPr>
        <w:tc>
          <w:tcPr>
            <w:tcW w:w="8268" w:type="dxa"/>
            <w:tcBorders>
              <w:left w:val="nil"/>
              <w:bottom w:val="nil"/>
            </w:tcBorders>
          </w:tcPr>
          <w:p>
            <w:pPr>
              <w:pStyle w:val="TableParagraph"/>
              <w:spacing w:before="75"/>
              <w:ind w:left="108"/>
              <w:rPr>
                <w:b/>
                <w:sz w:val="24"/>
              </w:rPr>
            </w:pPr>
            <w:r>
              <w:rPr>
                <w:b/>
                <w:sz w:val="24"/>
              </w:rPr>
              <w:t>ACCIDENT REPAIRS</w:t>
            </w:r>
          </w:p>
        </w:tc>
        <w:tc>
          <w:tcPr>
            <w:tcW w:w="1092" w:type="dxa"/>
            <w:tcBorders>
              <w:bottom w:val="nil"/>
              <w:right w:val="nil"/>
            </w:tcBorders>
          </w:tcPr>
          <w:p>
            <w:pPr>
              <w:pStyle w:val="TableParagraph"/>
              <w:spacing w:before="75"/>
              <w:ind w:left="103"/>
              <w:rPr>
                <w:b/>
                <w:sz w:val="24"/>
              </w:rPr>
            </w:pPr>
            <w:r>
              <w:rPr>
                <w:b/>
                <w:sz w:val="24"/>
              </w:rPr>
              <w:t>4116</w:t>
            </w:r>
          </w:p>
        </w:tc>
      </w:tr>
    </w:tbl>
    <w:p>
      <w:pPr>
        <w:spacing w:after="0"/>
        <w:rPr>
          <w:sz w:val="24"/>
        </w:rPr>
        <w:sectPr>
          <w:headerReference w:type="default" r:id="rId58"/>
          <w:footerReference w:type="default" r:id="rId59"/>
          <w:pgSz w:w="12240" w:h="15840"/>
          <w:pgMar w:header="1355" w:footer="792" w:top="1620" w:bottom="980" w:left="1340" w:right="1340"/>
        </w:sectPr>
      </w:pPr>
    </w:p>
    <w:p>
      <w:pPr>
        <w:pStyle w:val="BodyText"/>
        <w:rPr>
          <w:rFonts w:ascii="Times New Roman"/>
          <w:sz w:val="20"/>
        </w:rPr>
      </w:pPr>
    </w:p>
    <w:p>
      <w:pPr>
        <w:pStyle w:val="BodyText"/>
        <w:spacing w:before="2"/>
        <w:rPr>
          <w:rFonts w:ascii="Times New Roman"/>
          <w:sz w:val="20"/>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9"/>
        <w:gridCol w:w="1097"/>
      </w:tblGrid>
      <w:tr>
        <w:trPr>
          <w:trHeight w:val="437" w:hRule="exact"/>
        </w:trPr>
        <w:tc>
          <w:tcPr>
            <w:tcW w:w="8479" w:type="dxa"/>
            <w:tcBorders>
              <w:top w:val="nil"/>
              <w:left w:val="nil"/>
            </w:tcBorders>
          </w:tcPr>
          <w:p>
            <w:pPr>
              <w:pStyle w:val="TableParagraph"/>
              <w:spacing w:before="75"/>
              <w:ind w:left="108"/>
              <w:rPr>
                <w:b/>
                <w:sz w:val="24"/>
              </w:rPr>
            </w:pPr>
            <w:r>
              <w:rPr>
                <w:b/>
                <w:sz w:val="24"/>
              </w:rPr>
              <w:t>STATEWIDE TRAVEL MANAGEMENT PROGRAMS</w:t>
            </w:r>
          </w:p>
        </w:tc>
        <w:tc>
          <w:tcPr>
            <w:tcW w:w="1097" w:type="dxa"/>
            <w:tcBorders>
              <w:top w:val="nil"/>
              <w:right w:val="nil"/>
            </w:tcBorders>
          </w:tcPr>
          <w:p>
            <w:pPr>
              <w:pStyle w:val="TableParagraph"/>
              <w:spacing w:before="75"/>
              <w:ind w:left="100"/>
              <w:rPr>
                <w:b/>
                <w:sz w:val="24"/>
              </w:rPr>
            </w:pPr>
            <w:r>
              <w:rPr>
                <w:b/>
                <w:sz w:val="24"/>
              </w:rPr>
              <w:t>4117</w:t>
            </w:r>
          </w:p>
        </w:tc>
      </w:tr>
      <w:tr>
        <w:trPr>
          <w:trHeight w:val="442" w:hRule="exact"/>
        </w:trPr>
        <w:tc>
          <w:tcPr>
            <w:tcW w:w="8479" w:type="dxa"/>
            <w:tcBorders>
              <w:left w:val="nil"/>
            </w:tcBorders>
          </w:tcPr>
          <w:p>
            <w:pPr>
              <w:pStyle w:val="TableParagraph"/>
              <w:spacing w:before="75"/>
              <w:ind w:left="108"/>
              <w:rPr>
                <w:b/>
                <w:sz w:val="24"/>
              </w:rPr>
            </w:pPr>
            <w:r>
              <w:rPr>
                <w:b/>
                <w:sz w:val="24"/>
              </w:rPr>
              <w:t>AIRLINES</w:t>
            </w:r>
          </w:p>
        </w:tc>
        <w:tc>
          <w:tcPr>
            <w:tcW w:w="1097" w:type="dxa"/>
            <w:tcBorders>
              <w:right w:val="nil"/>
            </w:tcBorders>
          </w:tcPr>
          <w:p>
            <w:pPr>
              <w:pStyle w:val="TableParagraph"/>
              <w:spacing w:before="75"/>
              <w:ind w:left="100"/>
              <w:rPr>
                <w:b/>
                <w:sz w:val="24"/>
              </w:rPr>
            </w:pPr>
            <w:r>
              <w:rPr>
                <w:b/>
                <w:sz w:val="24"/>
              </w:rPr>
              <w:t>4117.1</w:t>
            </w:r>
          </w:p>
        </w:tc>
      </w:tr>
      <w:tr>
        <w:trPr>
          <w:trHeight w:val="442" w:hRule="exact"/>
        </w:trPr>
        <w:tc>
          <w:tcPr>
            <w:tcW w:w="8479" w:type="dxa"/>
            <w:tcBorders>
              <w:left w:val="nil"/>
            </w:tcBorders>
          </w:tcPr>
          <w:p>
            <w:pPr>
              <w:pStyle w:val="TableParagraph"/>
              <w:spacing w:before="75"/>
              <w:ind w:left="108"/>
              <w:rPr>
                <w:b/>
                <w:sz w:val="24"/>
              </w:rPr>
            </w:pPr>
            <w:r>
              <w:rPr>
                <w:b/>
                <w:sz w:val="24"/>
              </w:rPr>
              <w:t>CAR RENTALS</w:t>
            </w:r>
          </w:p>
        </w:tc>
        <w:tc>
          <w:tcPr>
            <w:tcW w:w="1097" w:type="dxa"/>
            <w:tcBorders>
              <w:right w:val="nil"/>
            </w:tcBorders>
          </w:tcPr>
          <w:p>
            <w:pPr>
              <w:pStyle w:val="TableParagraph"/>
              <w:spacing w:before="75"/>
              <w:ind w:left="100"/>
              <w:rPr>
                <w:b/>
                <w:sz w:val="24"/>
              </w:rPr>
            </w:pPr>
            <w:r>
              <w:rPr>
                <w:b/>
                <w:sz w:val="24"/>
              </w:rPr>
              <w:t>4117.2</w:t>
            </w:r>
          </w:p>
        </w:tc>
      </w:tr>
      <w:tr>
        <w:trPr>
          <w:trHeight w:val="444" w:hRule="exact"/>
        </w:trPr>
        <w:tc>
          <w:tcPr>
            <w:tcW w:w="8479" w:type="dxa"/>
            <w:tcBorders>
              <w:left w:val="nil"/>
            </w:tcBorders>
          </w:tcPr>
          <w:p>
            <w:pPr>
              <w:pStyle w:val="TableParagraph"/>
              <w:spacing w:before="75"/>
              <w:ind w:left="108"/>
              <w:rPr>
                <w:b/>
                <w:sz w:val="24"/>
              </w:rPr>
            </w:pPr>
            <w:r>
              <w:rPr>
                <w:b/>
                <w:sz w:val="24"/>
              </w:rPr>
              <w:t>TRAVEL AGENCIES</w:t>
            </w:r>
          </w:p>
        </w:tc>
        <w:tc>
          <w:tcPr>
            <w:tcW w:w="1097" w:type="dxa"/>
            <w:tcBorders>
              <w:right w:val="nil"/>
            </w:tcBorders>
          </w:tcPr>
          <w:p>
            <w:pPr>
              <w:pStyle w:val="TableParagraph"/>
              <w:spacing w:before="75"/>
              <w:ind w:left="100"/>
              <w:rPr>
                <w:b/>
                <w:sz w:val="24"/>
              </w:rPr>
            </w:pPr>
            <w:r>
              <w:rPr>
                <w:b/>
                <w:sz w:val="24"/>
              </w:rPr>
              <w:t>4117.3</w:t>
            </w:r>
          </w:p>
        </w:tc>
      </w:tr>
      <w:tr>
        <w:trPr>
          <w:trHeight w:val="442" w:hRule="exact"/>
        </w:trPr>
        <w:tc>
          <w:tcPr>
            <w:tcW w:w="8479" w:type="dxa"/>
            <w:tcBorders>
              <w:left w:val="nil"/>
            </w:tcBorders>
          </w:tcPr>
          <w:p>
            <w:pPr>
              <w:pStyle w:val="TableParagraph"/>
              <w:spacing w:before="72"/>
              <w:ind w:left="108"/>
              <w:rPr>
                <w:b/>
                <w:sz w:val="24"/>
              </w:rPr>
            </w:pPr>
            <w:r>
              <w:rPr>
                <w:b/>
                <w:sz w:val="24"/>
              </w:rPr>
              <w:t>TRAVEL PAYMENT SYSTEM</w:t>
            </w:r>
          </w:p>
        </w:tc>
        <w:tc>
          <w:tcPr>
            <w:tcW w:w="1097" w:type="dxa"/>
            <w:tcBorders>
              <w:right w:val="nil"/>
            </w:tcBorders>
          </w:tcPr>
          <w:p>
            <w:pPr>
              <w:pStyle w:val="TableParagraph"/>
              <w:spacing w:before="72"/>
              <w:ind w:left="100"/>
              <w:rPr>
                <w:b/>
                <w:sz w:val="24"/>
              </w:rPr>
            </w:pPr>
            <w:r>
              <w:rPr>
                <w:b/>
                <w:sz w:val="24"/>
              </w:rPr>
              <w:t>4117.4</w:t>
            </w:r>
          </w:p>
        </w:tc>
      </w:tr>
      <w:tr>
        <w:trPr>
          <w:trHeight w:val="442" w:hRule="exact"/>
        </w:trPr>
        <w:tc>
          <w:tcPr>
            <w:tcW w:w="8479" w:type="dxa"/>
            <w:tcBorders>
              <w:left w:val="nil"/>
            </w:tcBorders>
          </w:tcPr>
          <w:p>
            <w:pPr>
              <w:pStyle w:val="TableParagraph"/>
              <w:spacing w:before="72"/>
              <w:ind w:left="108"/>
              <w:rPr>
                <w:b/>
                <w:sz w:val="24"/>
              </w:rPr>
            </w:pPr>
            <w:r>
              <w:rPr>
                <w:b/>
                <w:sz w:val="24"/>
              </w:rPr>
              <w:t>PARKING AND COMMUTE SERVICES</w:t>
            </w:r>
          </w:p>
        </w:tc>
        <w:tc>
          <w:tcPr>
            <w:tcW w:w="1097" w:type="dxa"/>
            <w:tcBorders>
              <w:right w:val="nil"/>
            </w:tcBorders>
          </w:tcPr>
          <w:p>
            <w:pPr>
              <w:pStyle w:val="TableParagraph"/>
              <w:spacing w:before="72"/>
              <w:ind w:left="100"/>
              <w:rPr>
                <w:b/>
                <w:sz w:val="24"/>
              </w:rPr>
            </w:pPr>
            <w:r>
              <w:rPr>
                <w:b/>
                <w:sz w:val="24"/>
              </w:rPr>
              <w:t>4118</w:t>
            </w:r>
          </w:p>
        </w:tc>
      </w:tr>
      <w:tr>
        <w:trPr>
          <w:trHeight w:val="442" w:hRule="exact"/>
        </w:trPr>
        <w:tc>
          <w:tcPr>
            <w:tcW w:w="8479" w:type="dxa"/>
            <w:tcBorders>
              <w:left w:val="nil"/>
            </w:tcBorders>
          </w:tcPr>
          <w:p>
            <w:pPr>
              <w:pStyle w:val="TableParagraph"/>
              <w:spacing w:before="75"/>
              <w:ind w:left="108"/>
              <w:rPr>
                <w:b/>
                <w:sz w:val="24"/>
              </w:rPr>
            </w:pPr>
            <w:r>
              <w:rPr>
                <w:b/>
                <w:sz w:val="24"/>
              </w:rPr>
              <w:t>ACQUISITION OF VEHICLES</w:t>
            </w:r>
          </w:p>
        </w:tc>
        <w:tc>
          <w:tcPr>
            <w:tcW w:w="1097" w:type="dxa"/>
            <w:tcBorders>
              <w:right w:val="nil"/>
            </w:tcBorders>
          </w:tcPr>
          <w:p>
            <w:pPr>
              <w:pStyle w:val="TableParagraph"/>
              <w:spacing w:before="75"/>
              <w:ind w:left="100"/>
              <w:rPr>
                <w:b/>
                <w:sz w:val="24"/>
              </w:rPr>
            </w:pPr>
            <w:r>
              <w:rPr>
                <w:b/>
                <w:sz w:val="24"/>
              </w:rPr>
              <w:t>4120</w:t>
            </w:r>
          </w:p>
        </w:tc>
      </w:tr>
      <w:tr>
        <w:trPr>
          <w:trHeight w:val="442" w:hRule="exact"/>
        </w:trPr>
        <w:tc>
          <w:tcPr>
            <w:tcW w:w="8479" w:type="dxa"/>
            <w:tcBorders>
              <w:left w:val="nil"/>
            </w:tcBorders>
          </w:tcPr>
          <w:p>
            <w:pPr>
              <w:pStyle w:val="TableParagraph"/>
              <w:spacing w:before="75"/>
              <w:ind w:left="828"/>
              <w:rPr>
                <w:b/>
                <w:sz w:val="24"/>
              </w:rPr>
            </w:pPr>
            <w:r>
              <w:rPr>
                <w:b/>
                <w:sz w:val="24"/>
              </w:rPr>
              <w:t>FLEET ASSET REPORTING</w:t>
            </w:r>
          </w:p>
        </w:tc>
        <w:tc>
          <w:tcPr>
            <w:tcW w:w="1097" w:type="dxa"/>
            <w:tcBorders>
              <w:right w:val="nil"/>
            </w:tcBorders>
          </w:tcPr>
          <w:p>
            <w:pPr>
              <w:pStyle w:val="TableParagraph"/>
              <w:spacing w:before="75"/>
              <w:ind w:left="100"/>
              <w:rPr>
                <w:b/>
                <w:sz w:val="24"/>
              </w:rPr>
            </w:pPr>
            <w:r>
              <w:rPr>
                <w:b/>
                <w:sz w:val="24"/>
              </w:rPr>
              <w:t>4120.1</w:t>
            </w:r>
          </w:p>
        </w:tc>
      </w:tr>
      <w:tr>
        <w:trPr>
          <w:trHeight w:val="562" w:hRule="exact"/>
        </w:trPr>
        <w:tc>
          <w:tcPr>
            <w:tcW w:w="8479" w:type="dxa"/>
            <w:tcBorders>
              <w:left w:val="nil"/>
            </w:tcBorders>
          </w:tcPr>
          <w:p>
            <w:pPr>
              <w:pStyle w:val="TableParagraph"/>
              <w:ind w:left="828" w:right="958"/>
              <w:rPr>
                <w:b/>
                <w:sz w:val="24"/>
              </w:rPr>
            </w:pPr>
            <w:r>
              <w:rPr>
                <w:b/>
                <w:sz w:val="24"/>
              </w:rPr>
              <w:t>PURCHASE ORDER STD. 65 &amp; PURCHASE ESTIMATE STD. 66, 66A</w:t>
            </w:r>
          </w:p>
        </w:tc>
        <w:tc>
          <w:tcPr>
            <w:tcW w:w="1097" w:type="dxa"/>
            <w:tcBorders>
              <w:right w:val="nil"/>
            </w:tcBorders>
          </w:tcPr>
          <w:p>
            <w:pPr>
              <w:pStyle w:val="TableParagraph"/>
              <w:spacing w:before="135"/>
              <w:ind w:left="100"/>
              <w:rPr>
                <w:b/>
                <w:sz w:val="24"/>
              </w:rPr>
            </w:pPr>
            <w:r>
              <w:rPr>
                <w:b/>
                <w:sz w:val="24"/>
              </w:rPr>
              <w:t>4120.2</w:t>
            </w:r>
          </w:p>
        </w:tc>
      </w:tr>
      <w:tr>
        <w:trPr>
          <w:trHeight w:val="444" w:hRule="exact"/>
        </w:trPr>
        <w:tc>
          <w:tcPr>
            <w:tcW w:w="8479" w:type="dxa"/>
            <w:tcBorders>
              <w:left w:val="nil"/>
            </w:tcBorders>
          </w:tcPr>
          <w:p>
            <w:pPr>
              <w:pStyle w:val="TableParagraph"/>
              <w:spacing w:before="75"/>
              <w:ind w:left="828"/>
              <w:rPr>
                <w:b/>
                <w:sz w:val="24"/>
              </w:rPr>
            </w:pPr>
            <w:r>
              <w:rPr>
                <w:b/>
                <w:sz w:val="24"/>
              </w:rPr>
              <w:t>FLEET ASSET APPROVAL EXPIRATION</w:t>
            </w:r>
          </w:p>
        </w:tc>
        <w:tc>
          <w:tcPr>
            <w:tcW w:w="1097" w:type="dxa"/>
            <w:tcBorders>
              <w:right w:val="nil"/>
            </w:tcBorders>
          </w:tcPr>
          <w:p>
            <w:pPr>
              <w:pStyle w:val="TableParagraph"/>
              <w:spacing w:before="75"/>
              <w:ind w:left="100"/>
              <w:rPr>
                <w:b/>
                <w:sz w:val="24"/>
              </w:rPr>
            </w:pPr>
            <w:r>
              <w:rPr>
                <w:b/>
                <w:sz w:val="24"/>
              </w:rPr>
              <w:t>4120.3</w:t>
            </w:r>
          </w:p>
        </w:tc>
      </w:tr>
      <w:tr>
        <w:trPr>
          <w:trHeight w:val="442" w:hRule="exact"/>
        </w:trPr>
        <w:tc>
          <w:tcPr>
            <w:tcW w:w="8479" w:type="dxa"/>
            <w:tcBorders>
              <w:left w:val="nil"/>
            </w:tcBorders>
          </w:tcPr>
          <w:p>
            <w:pPr>
              <w:pStyle w:val="TableParagraph"/>
              <w:spacing w:before="72"/>
              <w:ind w:left="828"/>
              <w:rPr>
                <w:b/>
                <w:sz w:val="24"/>
              </w:rPr>
            </w:pPr>
            <w:r>
              <w:rPr>
                <w:b/>
                <w:sz w:val="24"/>
              </w:rPr>
              <w:t>ADDENDUMS</w:t>
            </w:r>
          </w:p>
        </w:tc>
        <w:tc>
          <w:tcPr>
            <w:tcW w:w="1097" w:type="dxa"/>
            <w:tcBorders>
              <w:right w:val="nil"/>
            </w:tcBorders>
          </w:tcPr>
          <w:p>
            <w:pPr>
              <w:pStyle w:val="TableParagraph"/>
              <w:spacing w:before="72"/>
              <w:ind w:left="100"/>
              <w:rPr>
                <w:b/>
                <w:sz w:val="24"/>
              </w:rPr>
            </w:pPr>
            <w:r>
              <w:rPr>
                <w:b/>
                <w:sz w:val="24"/>
              </w:rPr>
              <w:t>4120.4</w:t>
            </w:r>
          </w:p>
        </w:tc>
      </w:tr>
      <w:tr>
        <w:trPr>
          <w:trHeight w:val="442" w:hRule="exact"/>
        </w:trPr>
        <w:tc>
          <w:tcPr>
            <w:tcW w:w="8479" w:type="dxa"/>
            <w:tcBorders>
              <w:left w:val="nil"/>
            </w:tcBorders>
          </w:tcPr>
          <w:p>
            <w:pPr>
              <w:pStyle w:val="TableParagraph"/>
              <w:spacing w:before="72"/>
              <w:ind w:left="828"/>
              <w:rPr>
                <w:b/>
                <w:sz w:val="24"/>
              </w:rPr>
            </w:pPr>
            <w:r>
              <w:rPr>
                <w:b/>
                <w:sz w:val="24"/>
              </w:rPr>
              <w:t>LEASES/RENTALS</w:t>
            </w:r>
          </w:p>
        </w:tc>
        <w:tc>
          <w:tcPr>
            <w:tcW w:w="1097" w:type="dxa"/>
            <w:tcBorders>
              <w:right w:val="nil"/>
            </w:tcBorders>
          </w:tcPr>
          <w:p>
            <w:pPr>
              <w:pStyle w:val="TableParagraph"/>
              <w:spacing w:before="72"/>
              <w:ind w:left="100"/>
              <w:rPr>
                <w:b/>
                <w:sz w:val="24"/>
              </w:rPr>
            </w:pPr>
            <w:r>
              <w:rPr>
                <w:b/>
                <w:sz w:val="24"/>
              </w:rPr>
              <w:t>4120.5</w:t>
            </w:r>
          </w:p>
        </w:tc>
      </w:tr>
      <w:tr>
        <w:trPr>
          <w:trHeight w:val="442" w:hRule="exact"/>
        </w:trPr>
        <w:tc>
          <w:tcPr>
            <w:tcW w:w="8479" w:type="dxa"/>
            <w:tcBorders>
              <w:left w:val="nil"/>
            </w:tcBorders>
          </w:tcPr>
          <w:p>
            <w:pPr>
              <w:pStyle w:val="TableParagraph"/>
              <w:spacing w:before="75"/>
              <w:ind w:left="828"/>
              <w:rPr>
                <w:b/>
                <w:sz w:val="24"/>
              </w:rPr>
            </w:pPr>
            <w:r>
              <w:rPr>
                <w:b/>
                <w:sz w:val="24"/>
              </w:rPr>
              <w:t>TEMPORARY LEASES OF PASSENGER VEHICLES</w:t>
            </w:r>
          </w:p>
        </w:tc>
        <w:tc>
          <w:tcPr>
            <w:tcW w:w="1097" w:type="dxa"/>
            <w:tcBorders>
              <w:right w:val="nil"/>
            </w:tcBorders>
          </w:tcPr>
          <w:p>
            <w:pPr>
              <w:pStyle w:val="TableParagraph"/>
              <w:spacing w:before="75"/>
              <w:ind w:left="100"/>
              <w:rPr>
                <w:b/>
                <w:sz w:val="24"/>
              </w:rPr>
            </w:pPr>
            <w:r>
              <w:rPr>
                <w:b/>
                <w:sz w:val="24"/>
              </w:rPr>
              <w:t>4120.6</w:t>
            </w:r>
          </w:p>
        </w:tc>
      </w:tr>
      <w:tr>
        <w:trPr>
          <w:trHeight w:val="442" w:hRule="exact"/>
        </w:trPr>
        <w:tc>
          <w:tcPr>
            <w:tcW w:w="8479" w:type="dxa"/>
            <w:tcBorders>
              <w:left w:val="nil"/>
            </w:tcBorders>
          </w:tcPr>
          <w:p>
            <w:pPr>
              <w:pStyle w:val="TableParagraph"/>
              <w:spacing w:before="75"/>
              <w:ind w:left="828"/>
              <w:rPr>
                <w:b/>
                <w:sz w:val="24"/>
              </w:rPr>
            </w:pPr>
            <w:r>
              <w:rPr>
                <w:b/>
                <w:sz w:val="24"/>
              </w:rPr>
              <w:t>SUBSTITUTIONS</w:t>
            </w:r>
          </w:p>
        </w:tc>
        <w:tc>
          <w:tcPr>
            <w:tcW w:w="1097" w:type="dxa"/>
            <w:tcBorders>
              <w:right w:val="nil"/>
            </w:tcBorders>
          </w:tcPr>
          <w:p>
            <w:pPr>
              <w:pStyle w:val="TableParagraph"/>
              <w:spacing w:before="75"/>
              <w:ind w:left="100"/>
              <w:rPr>
                <w:b/>
                <w:sz w:val="24"/>
              </w:rPr>
            </w:pPr>
            <w:r>
              <w:rPr>
                <w:b/>
                <w:sz w:val="24"/>
              </w:rPr>
              <w:t>4120.7</w:t>
            </w:r>
          </w:p>
        </w:tc>
      </w:tr>
      <w:tr>
        <w:trPr>
          <w:trHeight w:val="562" w:hRule="exact"/>
        </w:trPr>
        <w:tc>
          <w:tcPr>
            <w:tcW w:w="8479" w:type="dxa"/>
            <w:tcBorders>
              <w:left w:val="nil"/>
            </w:tcBorders>
          </w:tcPr>
          <w:p>
            <w:pPr>
              <w:pStyle w:val="TableParagraph"/>
              <w:ind w:left="828" w:right="2132"/>
              <w:rPr>
                <w:b/>
                <w:sz w:val="24"/>
              </w:rPr>
            </w:pPr>
            <w:r>
              <w:rPr>
                <w:b/>
                <w:sz w:val="24"/>
                <w:shd w:fill="FFFF00" w:color="auto" w:val="clear"/>
              </w:rPr>
              <w:t>ABBREVIATED FAP PROCESS FOR NON-LIGHT DUTY FLEET ASSETS</w:t>
            </w:r>
          </w:p>
        </w:tc>
        <w:tc>
          <w:tcPr>
            <w:tcW w:w="1097" w:type="dxa"/>
            <w:tcBorders>
              <w:right w:val="nil"/>
            </w:tcBorders>
          </w:tcPr>
          <w:p>
            <w:pPr>
              <w:pStyle w:val="TableParagraph"/>
              <w:spacing w:before="135"/>
              <w:ind w:left="100"/>
              <w:rPr>
                <w:b/>
                <w:sz w:val="24"/>
              </w:rPr>
            </w:pPr>
            <w:r>
              <w:rPr>
                <w:b/>
                <w:sz w:val="24"/>
                <w:shd w:fill="FFFF00" w:color="auto" w:val="clear"/>
              </w:rPr>
              <w:t>4120.8</w:t>
            </w:r>
          </w:p>
        </w:tc>
      </w:tr>
      <w:tr>
        <w:trPr>
          <w:trHeight w:val="444" w:hRule="exact"/>
        </w:trPr>
        <w:tc>
          <w:tcPr>
            <w:tcW w:w="8479" w:type="dxa"/>
            <w:tcBorders>
              <w:left w:val="nil"/>
            </w:tcBorders>
          </w:tcPr>
          <w:p>
            <w:pPr>
              <w:pStyle w:val="TableParagraph"/>
              <w:spacing w:before="75"/>
              <w:ind w:left="108"/>
              <w:rPr>
                <w:b/>
                <w:sz w:val="24"/>
              </w:rPr>
            </w:pPr>
            <w:r>
              <w:rPr>
                <w:b/>
                <w:sz w:val="24"/>
              </w:rPr>
              <w:t>EXECUTIVE ORDER B-16-12 ZERO EMISSION PURCHASING MANDATE</w:t>
            </w:r>
          </w:p>
        </w:tc>
        <w:tc>
          <w:tcPr>
            <w:tcW w:w="1097" w:type="dxa"/>
            <w:tcBorders>
              <w:right w:val="nil"/>
            </w:tcBorders>
          </w:tcPr>
          <w:p>
            <w:pPr>
              <w:pStyle w:val="TableParagraph"/>
              <w:spacing w:before="75"/>
              <w:ind w:left="100"/>
              <w:rPr>
                <w:b/>
                <w:sz w:val="24"/>
              </w:rPr>
            </w:pPr>
            <w:r>
              <w:rPr>
                <w:b/>
                <w:sz w:val="24"/>
              </w:rPr>
              <w:t>4121</w:t>
            </w:r>
          </w:p>
        </w:tc>
      </w:tr>
      <w:tr>
        <w:trPr>
          <w:trHeight w:val="442" w:hRule="exact"/>
        </w:trPr>
        <w:tc>
          <w:tcPr>
            <w:tcW w:w="8479" w:type="dxa"/>
            <w:tcBorders>
              <w:left w:val="nil"/>
            </w:tcBorders>
          </w:tcPr>
          <w:p>
            <w:pPr>
              <w:pStyle w:val="TableParagraph"/>
              <w:spacing w:before="72"/>
              <w:ind w:left="108"/>
              <w:rPr>
                <w:b/>
                <w:sz w:val="24"/>
              </w:rPr>
            </w:pPr>
            <w:r>
              <w:rPr>
                <w:b/>
                <w:sz w:val="24"/>
              </w:rPr>
              <w:t>DONATIONS AND GIFT OF FLEET ASSETS</w:t>
            </w:r>
          </w:p>
        </w:tc>
        <w:tc>
          <w:tcPr>
            <w:tcW w:w="1097" w:type="dxa"/>
            <w:tcBorders>
              <w:right w:val="nil"/>
            </w:tcBorders>
          </w:tcPr>
          <w:p>
            <w:pPr>
              <w:pStyle w:val="TableParagraph"/>
              <w:spacing w:before="72"/>
              <w:ind w:left="100"/>
              <w:rPr>
                <w:b/>
                <w:sz w:val="24"/>
              </w:rPr>
            </w:pPr>
            <w:r>
              <w:rPr>
                <w:b/>
                <w:sz w:val="24"/>
              </w:rPr>
              <w:t>4123</w:t>
            </w:r>
          </w:p>
        </w:tc>
      </w:tr>
      <w:tr>
        <w:trPr>
          <w:trHeight w:val="442" w:hRule="exact"/>
        </w:trPr>
        <w:tc>
          <w:tcPr>
            <w:tcW w:w="8479" w:type="dxa"/>
            <w:tcBorders>
              <w:left w:val="nil"/>
            </w:tcBorders>
          </w:tcPr>
          <w:p>
            <w:pPr>
              <w:pStyle w:val="TableParagraph"/>
              <w:spacing w:before="72"/>
              <w:ind w:left="108"/>
              <w:rPr>
                <w:b/>
                <w:sz w:val="24"/>
              </w:rPr>
            </w:pPr>
            <w:r>
              <w:rPr>
                <w:b/>
                <w:sz w:val="24"/>
              </w:rPr>
              <w:t>VEHICLE INSPECTIONS</w:t>
            </w:r>
          </w:p>
        </w:tc>
        <w:tc>
          <w:tcPr>
            <w:tcW w:w="1097" w:type="dxa"/>
            <w:tcBorders>
              <w:right w:val="nil"/>
            </w:tcBorders>
          </w:tcPr>
          <w:p>
            <w:pPr>
              <w:pStyle w:val="TableParagraph"/>
              <w:spacing w:before="72"/>
              <w:ind w:left="100"/>
              <w:rPr>
                <w:b/>
                <w:sz w:val="24"/>
              </w:rPr>
            </w:pPr>
            <w:r>
              <w:rPr>
                <w:b/>
                <w:sz w:val="24"/>
              </w:rPr>
              <w:t>4124</w:t>
            </w:r>
          </w:p>
        </w:tc>
      </w:tr>
      <w:tr>
        <w:trPr>
          <w:trHeight w:val="442" w:hRule="exact"/>
        </w:trPr>
        <w:tc>
          <w:tcPr>
            <w:tcW w:w="8479" w:type="dxa"/>
            <w:tcBorders>
              <w:left w:val="nil"/>
            </w:tcBorders>
          </w:tcPr>
          <w:p>
            <w:pPr>
              <w:pStyle w:val="TableParagraph"/>
              <w:spacing w:before="75"/>
              <w:ind w:left="108"/>
              <w:rPr>
                <w:b/>
                <w:sz w:val="24"/>
              </w:rPr>
            </w:pPr>
            <w:r>
              <w:rPr>
                <w:b/>
                <w:sz w:val="24"/>
              </w:rPr>
              <w:t>REPLACEMENT SCHEDULE CRITERIA</w:t>
            </w:r>
          </w:p>
        </w:tc>
        <w:tc>
          <w:tcPr>
            <w:tcW w:w="1097" w:type="dxa"/>
            <w:tcBorders>
              <w:right w:val="nil"/>
            </w:tcBorders>
          </w:tcPr>
          <w:p>
            <w:pPr>
              <w:pStyle w:val="TableParagraph"/>
              <w:spacing w:before="75"/>
              <w:ind w:left="100"/>
              <w:rPr>
                <w:b/>
                <w:sz w:val="24"/>
              </w:rPr>
            </w:pPr>
            <w:r>
              <w:rPr>
                <w:b/>
                <w:sz w:val="24"/>
              </w:rPr>
              <w:t>4126</w:t>
            </w:r>
          </w:p>
        </w:tc>
      </w:tr>
      <w:tr>
        <w:trPr>
          <w:trHeight w:val="442" w:hRule="exact"/>
        </w:trPr>
        <w:tc>
          <w:tcPr>
            <w:tcW w:w="8479" w:type="dxa"/>
            <w:tcBorders>
              <w:left w:val="nil"/>
            </w:tcBorders>
          </w:tcPr>
          <w:p>
            <w:pPr/>
          </w:p>
        </w:tc>
        <w:tc>
          <w:tcPr>
            <w:tcW w:w="1097" w:type="dxa"/>
            <w:tcBorders>
              <w:right w:val="nil"/>
            </w:tcBorders>
          </w:tcPr>
          <w:p>
            <w:pPr/>
          </w:p>
        </w:tc>
      </w:tr>
      <w:tr>
        <w:trPr>
          <w:trHeight w:val="437" w:hRule="exact"/>
        </w:trPr>
        <w:tc>
          <w:tcPr>
            <w:tcW w:w="8479" w:type="dxa"/>
            <w:tcBorders>
              <w:left w:val="nil"/>
              <w:bottom w:val="nil"/>
            </w:tcBorders>
          </w:tcPr>
          <w:p>
            <w:pPr/>
          </w:p>
        </w:tc>
        <w:tc>
          <w:tcPr>
            <w:tcW w:w="1097" w:type="dxa"/>
            <w:tcBorders>
              <w:bottom w:val="nil"/>
              <w:right w:val="nil"/>
            </w:tcBorders>
          </w:tcPr>
          <w:p>
            <w:pPr/>
          </w:p>
        </w:tc>
      </w:tr>
    </w:tbl>
    <w:p>
      <w:pPr>
        <w:spacing w:after="0"/>
        <w:sectPr>
          <w:headerReference w:type="default" r:id="rId60"/>
          <w:pgSz w:w="12240" w:h="15840"/>
          <w:pgMar w:header="1355" w:footer="792" w:top="1620" w:bottom="980" w:left="1340" w:right="1120"/>
        </w:sectPr>
      </w:pPr>
    </w:p>
    <w:p>
      <w:pPr>
        <w:pStyle w:val="BodyText"/>
        <w:spacing w:line="274" w:lineRule="exact"/>
        <w:ind w:left="820"/>
      </w:pPr>
      <w:r>
        <w:rPr/>
        <w:pict>
          <v:line style="position:absolute;mso-position-horizontal-relative:page;mso-position-vertical-relative:paragraph;z-index:1216" from="36.360001pt,.097031pt" to="36.360001pt,13.897031pt" stroked="true" strokeweight=".72pt" strokecolor="#000000">
            <v:stroke dashstyle="solid"/>
            <w10:wrap type="none"/>
          </v:line>
        </w:pict>
      </w:r>
      <w:r>
        <w:rPr/>
        <w:t>(New 08</w:t>
      </w:r>
      <w:r>
        <w:rPr>
          <w:strike/>
          <w:color w:val="B5082E"/>
        </w:rPr>
        <w:t>3</w:t>
      </w:r>
      <w:r>
        <w:rPr>
          <w:strike w:val="0"/>
        </w:rPr>
        <w:t>/2017)</w:t>
      </w:r>
    </w:p>
    <w:p>
      <w:pPr>
        <w:pStyle w:val="BodyText"/>
        <w:spacing w:before="11"/>
        <w:rPr>
          <w:sz w:val="15"/>
        </w:rPr>
      </w:pPr>
    </w:p>
    <w:p>
      <w:pPr>
        <w:pStyle w:val="BodyText"/>
        <w:spacing w:before="92"/>
        <w:ind w:left="820" w:right="116"/>
      </w:pPr>
      <w:r>
        <w:rPr/>
        <w:pict>
          <v:line style="position:absolute;mso-position-horizontal-relative:page;mso-position-vertical-relative:paragraph;z-index:1240" from="36.360001pt,87.614853pt" to="36.360001pt,101.415853pt" stroked="true" strokeweight=".72pt" strokecolor="#000000">
            <v:stroke dashstyle="solid"/>
            <w10:wrap type="none"/>
          </v:line>
        </w:pict>
      </w:r>
      <w:r>
        <w:rPr/>
        <w:t>Replacement mobile equipment and vehicles (fleet assets), excluding aircraft, having a gross vehicle weight rating (GVWR) of 8,501 pounds or more, may be processed through an abbreviated Fleet Acquisition Plan (FAP) process. This abbreviated process replaces the traditional FAP Memo narrative with a shortened approval form and authorizes approval of eligible fleet asset acquisition requests by the Chief of the Department of General Services (DGS), Office of Fleet and Asset Management (OFAM) or by the Deputy Director of the DGS Int</w:t>
      </w:r>
      <w:r>
        <w:rPr>
          <w:strike/>
          <w:color w:val="B5082E"/>
        </w:rPr>
        <w:t>g</w:t>
      </w:r>
      <w:r>
        <w:rPr>
          <w:strike w:val="0"/>
        </w:rPr>
        <w:t>eragency Support Division, as applicable. All requested fleet assets must still meet all applicable fleet policies and requirements.</w:t>
      </w:r>
    </w:p>
    <w:p>
      <w:pPr>
        <w:pStyle w:val="BodyText"/>
        <w:spacing w:before="11"/>
        <w:rPr>
          <w:sz w:val="23"/>
        </w:rPr>
      </w:pPr>
    </w:p>
    <w:p>
      <w:pPr>
        <w:pStyle w:val="BodyText"/>
        <w:ind w:left="819" w:right="143"/>
      </w:pPr>
      <w:r>
        <w:rPr/>
        <w:t>To use the abbreviated FAP process agencies will need to submit a complete FAP in the same manner they do now; combined with both light-duty asset (assets having a GVWR of 8,500 pounds or lower) and additional fleet asset requests. OFAM will identify the assets that meet the abbreviated process criteria, and will separate them out onto their own abbreviated FAP.</w:t>
      </w:r>
    </w:p>
    <w:p>
      <w:pPr>
        <w:pStyle w:val="BodyText"/>
      </w:pPr>
    </w:p>
    <w:p>
      <w:pPr>
        <w:pStyle w:val="BodyText"/>
        <w:ind w:left="819" w:right="315"/>
      </w:pPr>
      <w:r>
        <w:rPr/>
        <w:t>In addition, state agencies shall certify on the Fleet Acquisition Certification, in accordance with </w:t>
      </w:r>
      <w:hyperlink r:id="rId62">
        <w:r>
          <w:rPr>
            <w:color w:val="0000FF"/>
            <w:u w:val="single" w:color="0000FF"/>
          </w:rPr>
          <w:t>State Administrative Manual Section 4120</w:t>
        </w:r>
      </w:hyperlink>
      <w:r>
        <w:rPr/>
        <w:t>, that a utilization analysis was conducted on all fleet assets that are like-type to those being processed through the abbreviated process, and that no assets could be redirected to meet that replacement fleet asset need. The utilization analysis shall be conducted and retained according to the following criteria:</w:t>
      </w:r>
    </w:p>
    <w:p>
      <w:pPr>
        <w:pStyle w:val="BodyText"/>
      </w:pPr>
    </w:p>
    <w:p>
      <w:pPr>
        <w:pStyle w:val="ListParagraph"/>
        <w:numPr>
          <w:ilvl w:val="0"/>
          <w:numId w:val="4"/>
        </w:numPr>
        <w:tabs>
          <w:tab w:pos="1610" w:val="left" w:leader="none"/>
        </w:tabs>
        <w:spacing w:line="240" w:lineRule="auto" w:before="0" w:after="0"/>
        <w:ind w:left="1609" w:right="608" w:hanging="360"/>
        <w:jc w:val="left"/>
        <w:rPr>
          <w:sz w:val="24"/>
        </w:rPr>
      </w:pPr>
      <w:r>
        <w:rPr/>
        <w:pict>
          <v:line style="position:absolute;mso-position-horizontal-relative:page;mso-position-vertical-relative:paragraph;z-index:1264" from="36.360001pt,14.015848pt" to="36.360001pt,27.815848pt" stroked="true" strokeweight=".72pt" strokecolor="#000000">
            <v:stroke dashstyle="solid"/>
            <w10:wrap type="none"/>
          </v:line>
        </w:pict>
      </w:r>
      <w:r>
        <w:rPr>
          <w:sz w:val="24"/>
        </w:rPr>
        <w:t>Utilization analyses shall be conducted using the provided Fleet Utilization Analysis Template, and shall contain, at minimum, the following</w:t>
      </w:r>
      <w:r>
        <w:rPr>
          <w:spacing w:val="-38"/>
          <w:sz w:val="24"/>
        </w:rPr>
        <w:t> </w:t>
      </w:r>
      <w:r>
        <w:rPr>
          <w:sz w:val="24"/>
        </w:rPr>
        <w:t>information:</w:t>
      </w:r>
    </w:p>
    <w:p>
      <w:pPr>
        <w:pStyle w:val="BodyText"/>
        <w:spacing w:before="2"/>
      </w:pPr>
    </w:p>
    <w:p>
      <w:pPr>
        <w:pStyle w:val="ListParagraph"/>
        <w:numPr>
          <w:ilvl w:val="1"/>
          <w:numId w:val="4"/>
        </w:numPr>
        <w:tabs>
          <w:tab w:pos="2330" w:val="left" w:leader="none"/>
        </w:tabs>
        <w:spacing w:line="276" w:lineRule="auto" w:before="0" w:after="0"/>
        <w:ind w:left="2329" w:right="490" w:hanging="360"/>
        <w:jc w:val="left"/>
        <w:rPr>
          <w:sz w:val="24"/>
        </w:rPr>
      </w:pPr>
      <w:r>
        <w:rPr/>
        <w:pict>
          <v:line style="position:absolute;mso-position-horizontal-relative:page;mso-position-vertical-relative:paragraph;z-index:1288" from="36.360001pt,.095859pt" to="36.360001pt,15.935859pt" stroked="true" strokeweight=".72pt" strokecolor="#000000">
            <v:stroke dashstyle="solid"/>
            <w10:wrap type="none"/>
          </v:line>
        </w:pict>
      </w:r>
      <w:r>
        <w:rPr/>
        <w:pict>
          <v:line style="position:absolute;mso-position-horizontal-relative:page;mso-position-vertical-relative:paragraph;z-index:1312" from="36.360001pt,31.895859pt" to="36.360001pt,79.415859pt" stroked="true" strokeweight=".72pt" strokecolor="#000000">
            <v:stroke dashstyle="solid"/>
            <w10:wrap type="none"/>
          </v:line>
        </w:pict>
      </w:r>
      <w:r>
        <w:rPr>
          <w:sz w:val="24"/>
        </w:rPr>
        <w:t>Each like type fleet asset included in the analysis with asset make and model, model year, equipment number and</w:t>
      </w:r>
      <w:r>
        <w:rPr>
          <w:spacing w:val="-24"/>
          <w:sz w:val="24"/>
        </w:rPr>
        <w:t> </w:t>
      </w:r>
      <w:r>
        <w:rPr>
          <w:sz w:val="24"/>
        </w:rPr>
        <w:t>VIN</w:t>
      </w:r>
    </w:p>
    <w:p>
      <w:pPr>
        <w:pStyle w:val="ListParagraph"/>
        <w:numPr>
          <w:ilvl w:val="1"/>
          <w:numId w:val="4"/>
        </w:numPr>
        <w:tabs>
          <w:tab w:pos="2330" w:val="left" w:leader="none"/>
        </w:tabs>
        <w:spacing w:line="240" w:lineRule="auto" w:before="2" w:after="0"/>
        <w:ind w:left="2329" w:right="0" w:hanging="360"/>
        <w:jc w:val="left"/>
        <w:rPr>
          <w:sz w:val="24"/>
        </w:rPr>
      </w:pPr>
      <w:r>
        <w:rPr>
          <w:sz w:val="24"/>
        </w:rPr>
        <w:t>Annual mileage or hours, as</w:t>
      </w:r>
      <w:r>
        <w:rPr>
          <w:spacing w:val="-18"/>
          <w:sz w:val="24"/>
        </w:rPr>
        <w:t> </w:t>
      </w:r>
      <w:r>
        <w:rPr>
          <w:sz w:val="24"/>
        </w:rPr>
        <w:t>applicable</w:t>
      </w:r>
    </w:p>
    <w:p>
      <w:pPr>
        <w:pStyle w:val="ListParagraph"/>
        <w:numPr>
          <w:ilvl w:val="1"/>
          <w:numId w:val="4"/>
        </w:numPr>
        <w:tabs>
          <w:tab w:pos="2330" w:val="left" w:leader="none"/>
        </w:tabs>
        <w:spacing w:line="240" w:lineRule="auto" w:before="40" w:after="0"/>
        <w:ind w:left="2329" w:right="0" w:hanging="360"/>
        <w:jc w:val="left"/>
        <w:rPr>
          <w:sz w:val="24"/>
        </w:rPr>
      </w:pPr>
      <w:r>
        <w:rPr>
          <w:sz w:val="24"/>
        </w:rPr>
        <w:t>Annual days</w:t>
      </w:r>
      <w:r>
        <w:rPr>
          <w:spacing w:val="-8"/>
          <w:sz w:val="24"/>
        </w:rPr>
        <w:t> </w:t>
      </w:r>
      <w:r>
        <w:rPr>
          <w:sz w:val="24"/>
        </w:rPr>
        <w:t>used</w:t>
      </w:r>
    </w:p>
    <w:p>
      <w:pPr>
        <w:pStyle w:val="ListParagraph"/>
        <w:numPr>
          <w:ilvl w:val="1"/>
          <w:numId w:val="4"/>
        </w:numPr>
        <w:tabs>
          <w:tab w:pos="2330" w:val="left" w:leader="none"/>
        </w:tabs>
        <w:spacing w:line="276" w:lineRule="auto" w:before="40" w:after="0"/>
        <w:ind w:left="2329" w:right="222" w:hanging="360"/>
        <w:jc w:val="left"/>
        <w:rPr>
          <w:sz w:val="24"/>
        </w:rPr>
      </w:pPr>
      <w:r>
        <w:rPr/>
        <w:pict>
          <v:line style="position:absolute;mso-position-horizontal-relative:page;mso-position-vertical-relative:paragraph;z-index:1336" from="36.360001pt,49.735847pt" to="36.360001pt,81.415847pt" stroked="true" strokeweight=".72pt" strokecolor="#000000">
            <v:stroke dashstyle="solid"/>
            <w10:wrap type="none"/>
          </v:line>
        </w:pict>
      </w:r>
      <w:r>
        <w:rPr>
          <w:sz w:val="24"/>
        </w:rPr>
        <w:t>The applicable minimum annual utilization standard, as listed by department on the Fleet Utilization Analysis Template, and days used for each vehicle</w:t>
      </w:r>
      <w:r>
        <w:rPr>
          <w:spacing w:val="-7"/>
          <w:sz w:val="24"/>
        </w:rPr>
        <w:t> </w:t>
      </w:r>
      <w:r>
        <w:rPr>
          <w:sz w:val="24"/>
        </w:rPr>
        <w:t>type</w:t>
      </w:r>
    </w:p>
    <w:p>
      <w:pPr>
        <w:pStyle w:val="ListParagraph"/>
        <w:numPr>
          <w:ilvl w:val="1"/>
          <w:numId w:val="4"/>
        </w:numPr>
        <w:tabs>
          <w:tab w:pos="2330" w:val="left" w:leader="none"/>
        </w:tabs>
        <w:spacing w:line="240" w:lineRule="auto" w:before="0" w:after="0"/>
        <w:ind w:left="2329" w:right="0" w:hanging="360"/>
        <w:jc w:val="left"/>
        <w:rPr>
          <w:sz w:val="24"/>
        </w:rPr>
      </w:pPr>
      <w:r>
        <w:rPr>
          <w:sz w:val="24"/>
        </w:rPr>
        <w:t>Each asset clearly marked with which standard it</w:t>
      </w:r>
      <w:r>
        <w:rPr>
          <w:spacing w:val="-16"/>
          <w:sz w:val="24"/>
        </w:rPr>
        <w:t> </w:t>
      </w:r>
      <w:r>
        <w:rPr>
          <w:sz w:val="24"/>
        </w:rPr>
        <w:t>meets</w:t>
      </w:r>
    </w:p>
    <w:p>
      <w:pPr>
        <w:pStyle w:val="ListParagraph"/>
        <w:numPr>
          <w:ilvl w:val="1"/>
          <w:numId w:val="4"/>
        </w:numPr>
        <w:tabs>
          <w:tab w:pos="2329" w:val="left" w:leader="none"/>
          <w:tab w:pos="2330" w:val="left" w:leader="none"/>
        </w:tabs>
        <w:spacing w:line="276" w:lineRule="auto" w:before="40" w:after="0"/>
        <w:ind w:left="2329" w:right="168" w:hanging="360"/>
        <w:jc w:val="left"/>
        <w:rPr>
          <w:sz w:val="24"/>
        </w:rPr>
      </w:pPr>
      <w:r>
        <w:rPr/>
        <w:pict>
          <v:line style="position:absolute;mso-position-horizontal-relative:page;mso-position-vertical-relative:paragraph;z-index:1360" from="36.360001pt,65.575851pt" to="36.360001pt,97.375851pt" stroked="true" strokeweight=".72pt" strokecolor="#000000">
            <v:stroke dashstyle="solid"/>
            <w10:wrap type="none"/>
          </v:line>
        </w:pict>
      </w:r>
      <w:r>
        <w:rPr>
          <w:sz w:val="24"/>
        </w:rPr>
        <w:t>Justifications detailing why underutilized assets are not available to be redirected and what measures the department is taking to ensure best fleet management practices are implemented to increase utilization of the fleet</w:t>
      </w:r>
      <w:r>
        <w:rPr>
          <w:spacing w:val="-4"/>
          <w:sz w:val="24"/>
        </w:rPr>
        <w:t> </w:t>
      </w:r>
      <w:r>
        <w:rPr>
          <w:sz w:val="24"/>
        </w:rPr>
        <w:t>asset</w:t>
      </w:r>
    </w:p>
    <w:p>
      <w:pPr>
        <w:pStyle w:val="ListParagraph"/>
        <w:numPr>
          <w:ilvl w:val="1"/>
          <w:numId w:val="4"/>
        </w:numPr>
        <w:tabs>
          <w:tab w:pos="2330" w:val="left" w:leader="none"/>
        </w:tabs>
        <w:spacing w:line="276" w:lineRule="auto" w:before="0" w:after="0"/>
        <w:ind w:left="2329" w:right="369" w:hanging="360"/>
        <w:jc w:val="left"/>
        <w:rPr>
          <w:sz w:val="24"/>
        </w:rPr>
      </w:pPr>
      <w:r>
        <w:rPr>
          <w:sz w:val="24"/>
        </w:rPr>
        <w:t>The 12 month timeframe the utilization analysis covered, which shall be based on either the prior 12 months, or the previous calendar</w:t>
      </w:r>
      <w:r>
        <w:rPr>
          <w:spacing w:val="-34"/>
          <w:sz w:val="24"/>
        </w:rPr>
        <w:t> </w:t>
      </w:r>
      <w:r>
        <w:rPr>
          <w:sz w:val="24"/>
        </w:rPr>
        <w:t>year</w:t>
      </w:r>
    </w:p>
    <w:p>
      <w:pPr>
        <w:pStyle w:val="BodyText"/>
        <w:spacing w:before="7"/>
        <w:rPr>
          <w:sz w:val="27"/>
        </w:rPr>
      </w:pPr>
    </w:p>
    <w:p>
      <w:pPr>
        <w:pStyle w:val="ListParagraph"/>
        <w:numPr>
          <w:ilvl w:val="0"/>
          <w:numId w:val="4"/>
        </w:numPr>
        <w:tabs>
          <w:tab w:pos="1610" w:val="left" w:leader="none"/>
        </w:tabs>
        <w:spacing w:line="240" w:lineRule="auto" w:before="0" w:after="0"/>
        <w:ind w:left="1609" w:right="101" w:hanging="360"/>
        <w:jc w:val="left"/>
        <w:rPr>
          <w:sz w:val="24"/>
        </w:rPr>
      </w:pPr>
      <w:r>
        <w:rPr>
          <w:sz w:val="24"/>
        </w:rPr>
        <w:t>A copy of the utilization analysis shall be retained by the conducting agency for a period of three</w:t>
      </w:r>
      <w:r>
        <w:rPr>
          <w:spacing w:val="-9"/>
          <w:sz w:val="24"/>
        </w:rPr>
        <w:t> </w:t>
      </w:r>
      <w:r>
        <w:rPr>
          <w:sz w:val="24"/>
        </w:rPr>
        <w:t>years.</w:t>
      </w:r>
    </w:p>
    <w:p>
      <w:pPr>
        <w:spacing w:after="0" w:line="240" w:lineRule="auto"/>
        <w:jc w:val="left"/>
        <w:rPr>
          <w:sz w:val="24"/>
        </w:rPr>
        <w:sectPr>
          <w:headerReference w:type="default" r:id="rId61"/>
          <w:pgSz w:w="12240" w:h="15840"/>
          <w:pgMar w:header="1355" w:footer="792" w:top="1620" w:bottom="980" w:left="620" w:right="1340"/>
        </w:sectPr>
      </w:pPr>
    </w:p>
    <w:p>
      <w:pPr>
        <w:pStyle w:val="ListParagraph"/>
        <w:numPr>
          <w:ilvl w:val="0"/>
          <w:numId w:val="4"/>
        </w:numPr>
        <w:tabs>
          <w:tab w:pos="910" w:val="left" w:leader="none"/>
        </w:tabs>
        <w:spacing w:line="274" w:lineRule="exact" w:before="72" w:after="0"/>
        <w:ind w:left="909" w:right="205" w:hanging="360"/>
        <w:jc w:val="left"/>
        <w:rPr>
          <w:sz w:val="24"/>
        </w:rPr>
      </w:pPr>
      <w:r>
        <w:rPr>
          <w:sz w:val="24"/>
        </w:rPr>
        <w:t>OFAM may, at any time, request a copy of the utilization analysis completed for a specified</w:t>
      </w:r>
      <w:r>
        <w:rPr>
          <w:spacing w:val="-6"/>
          <w:sz w:val="24"/>
        </w:rPr>
        <w:t> </w:t>
      </w:r>
      <w:r>
        <w:rPr>
          <w:sz w:val="24"/>
        </w:rPr>
        <w:t>FAP.</w:t>
      </w:r>
    </w:p>
    <w:p>
      <w:pPr>
        <w:pStyle w:val="ListParagraph"/>
        <w:numPr>
          <w:ilvl w:val="0"/>
          <w:numId w:val="4"/>
        </w:numPr>
        <w:tabs>
          <w:tab w:pos="910" w:val="left" w:leader="none"/>
        </w:tabs>
        <w:spacing w:line="240" w:lineRule="auto" w:before="0" w:after="0"/>
        <w:ind w:left="909" w:right="138" w:hanging="360"/>
        <w:jc w:val="left"/>
        <w:rPr>
          <w:sz w:val="24"/>
        </w:rPr>
      </w:pPr>
      <w:r>
        <w:rPr>
          <w:sz w:val="24"/>
        </w:rPr>
        <w:t>State agencies not in compliance with the required utilization analysis standards and document retention requirements, may have their eligibility for the abbreviated FAP process</w:t>
      </w:r>
      <w:r>
        <w:rPr>
          <w:spacing w:val="-17"/>
          <w:sz w:val="24"/>
        </w:rPr>
        <w:t> </w:t>
      </w:r>
      <w:r>
        <w:rPr>
          <w:sz w:val="24"/>
        </w:rPr>
        <w:t>revoked.</w:t>
      </w:r>
    </w:p>
    <w:p>
      <w:pPr>
        <w:pStyle w:val="BodyText"/>
        <w:spacing w:before="4"/>
      </w:pPr>
    </w:p>
    <w:p>
      <w:pPr>
        <w:pStyle w:val="BodyText"/>
        <w:ind w:left="119" w:right="102"/>
      </w:pPr>
      <w:r>
        <w:rPr/>
        <w:t>Fleet assets eligible to be processed through the abbreviated process are subject to the FAP due dates and timeframes noted in SAM Section 4127.</w:t>
      </w:r>
    </w:p>
    <w:p>
      <w:pPr>
        <w:spacing w:after="0"/>
        <w:sectPr>
          <w:headerReference w:type="default" r:id="rId63"/>
          <w:pgSz w:w="12240" w:h="15840"/>
          <w:pgMar w:header="0" w:footer="792" w:top="1280" w:bottom="980" w:left="1320" w:right="1380"/>
        </w:sectPr>
      </w:pPr>
    </w:p>
    <w:p>
      <w:pPr>
        <w:pStyle w:val="BodyText"/>
        <w:rPr>
          <w:sz w:val="20"/>
        </w:rPr>
      </w:pPr>
    </w:p>
    <w:p>
      <w:pPr>
        <w:pStyle w:val="BodyText"/>
        <w:spacing w:before="2"/>
        <w:rPr>
          <w:sz w:val="16"/>
        </w:rPr>
      </w:pPr>
    </w:p>
    <w:p>
      <w:pPr>
        <w:tabs>
          <w:tab w:pos="9639" w:val="left" w:leader="none"/>
        </w:tabs>
        <w:spacing w:before="93"/>
        <w:ind w:left="820" w:right="0" w:firstLine="0"/>
        <w:jc w:val="left"/>
        <w:rPr>
          <w:b/>
          <w:sz w:val="24"/>
        </w:rPr>
      </w:pPr>
      <w:r>
        <w:rPr/>
        <w:pict>
          <v:line style="position:absolute;mso-position-horizontal-relative:page;mso-position-vertical-relative:paragraph;z-index:1432" from="36.360001pt,18.665878pt" to="36.360001pt,32.465878pt" stroked="true" strokeweight=".72pt" strokecolor="#000000">
            <v:stroke dashstyle="solid"/>
            <w10:wrap type="none"/>
          </v:line>
        </w:pict>
      </w:r>
      <w:bookmarkStart w:name="4983CDTTrackChanges" w:id="10"/>
      <w:bookmarkEnd w:id="10"/>
      <w:r>
        <w:rPr/>
      </w:r>
      <w:r>
        <w:rPr>
          <w:b/>
          <w:sz w:val="24"/>
        </w:rPr>
        <w:t>INTRODUCTION</w:t>
        <w:tab/>
        <w:t>4983</w:t>
      </w:r>
    </w:p>
    <w:p>
      <w:pPr>
        <w:pStyle w:val="BodyText"/>
        <w:ind w:left="820"/>
      </w:pPr>
      <w:r>
        <w:rPr/>
        <w:t>(Revised </w:t>
      </w:r>
      <w:r>
        <w:rPr>
          <w:strike/>
          <w:color w:val="B5082E"/>
        </w:rPr>
        <w:t>6/2015</w:t>
      </w:r>
      <w:r>
        <w:rPr>
          <w:strike/>
          <w:color w:val="2E97D3"/>
          <w:u w:val="single" w:color="B5082E"/>
        </w:rPr>
        <w:t>7</w:t>
      </w:r>
      <w:r>
        <w:rPr>
          <w:strike w:val="0"/>
          <w:color w:val="2E97D3"/>
          <w:u w:val="single" w:color="B5082E"/>
        </w:rPr>
        <w:t>8</w:t>
      </w:r>
      <w:r>
        <w:rPr>
          <w:strike w:val="0"/>
          <w:color w:val="B5082E"/>
          <w:u w:val="single" w:color="B5082E"/>
        </w:rPr>
        <w:t>/2017</w:t>
      </w:r>
      <w:r>
        <w:rPr>
          <w:strike w:val="0"/>
        </w:rPr>
        <w:t>)</w:t>
      </w:r>
    </w:p>
    <w:p>
      <w:pPr>
        <w:pStyle w:val="BodyText"/>
        <w:spacing w:before="11"/>
        <w:rPr>
          <w:sz w:val="15"/>
        </w:rPr>
      </w:pPr>
    </w:p>
    <w:p>
      <w:pPr>
        <w:pStyle w:val="BodyText"/>
        <w:spacing w:before="92"/>
        <w:ind w:left="820" w:right="142"/>
      </w:pPr>
      <w:r>
        <w:rPr/>
        <w:pict>
          <v:line style="position:absolute;mso-position-horizontal-relative:page;mso-position-vertical-relative:paragraph;z-index:-49696" from="156.839996pt,26.835854pt" to="160.079996pt,26.835854pt" stroked="true" strokeweight=".6pt" strokecolor="#b5082e">
            <v:stroke dashstyle="solid"/>
            <w10:wrap type="none"/>
          </v:line>
        </w:pict>
      </w:r>
      <w:r>
        <w:rPr/>
        <w:pict>
          <v:line style="position:absolute;mso-position-horizontal-relative:page;mso-position-vertical-relative:paragraph;z-index:-49672" from="338.76001pt,26.835854pt" to="342.12001pt,26.835854pt" stroked="true" strokeweight=".6pt" strokecolor="#b5082e">
            <v:stroke dashstyle="solid"/>
            <w10:wrap type="none"/>
          </v:line>
        </w:pict>
      </w:r>
      <w:r>
        <w:rPr/>
        <w:pict>
          <v:line style="position:absolute;mso-position-horizontal-relative:page;mso-position-vertical-relative:paragraph;z-index:1456" from="36.360001pt,4.815855pt" to="36.360001pt,87.615855pt" stroked="true" strokeweight=".72pt" strokecolor="#000000">
            <v:stroke dashstyle="solid"/>
            <w10:wrap type="none"/>
          </v:line>
        </w:pict>
      </w:r>
      <w:r>
        <w:rPr>
          <w:strike/>
          <w:color w:val="B5082E"/>
        </w:rPr>
        <w:t>In recent years, </w:t>
      </w:r>
      <w:r>
        <w:rPr>
          <w:strike w:val="0"/>
        </w:rPr>
        <w:t>Cloud Computing </w:t>
      </w:r>
      <w:r>
        <w:rPr>
          <w:strike w:val="0"/>
          <w:color w:val="B5082E"/>
          <w:u w:val="single" w:color="B5082E"/>
        </w:rPr>
        <w:t>is </w:t>
      </w:r>
      <w:r>
        <w:rPr>
          <w:strike/>
          <w:color w:val="B5082E"/>
        </w:rPr>
        <w:t>has emerged as </w:t>
      </w:r>
      <w:r>
        <w:rPr>
          <w:strike w:val="0"/>
        </w:rPr>
        <w:t>an </w:t>
      </w:r>
      <w:r>
        <w:rPr>
          <w:strike w:val="0"/>
          <w:color w:val="B5082E"/>
          <w:u w:val="single" w:color="B5082E"/>
        </w:rPr>
        <w:t>effective </w:t>
      </w:r>
      <w:r>
        <w:rPr>
          <w:strike/>
          <w:color w:val="B5082E"/>
        </w:rPr>
        <w:t>important solution</w:t>
      </w:r>
      <w:r>
        <w:rPr>
          <w:strike w:val="0"/>
          <w:color w:val="B5082E"/>
          <w:u w:val="single" w:color="B5082E"/>
        </w:rPr>
        <w:t>method </w:t>
      </w:r>
      <w:r>
        <w:rPr>
          <w:strike w:val="0"/>
        </w:rPr>
        <w:t>for </w:t>
      </w:r>
      <w:r>
        <w:rPr>
          <w:strike w:val="0"/>
          <w:color w:val="B5082E"/>
          <w:u w:val="single" w:color="B5082E"/>
        </w:rPr>
        <w:t>the </w:t>
      </w:r>
      <w:r>
        <w:rPr>
          <w:strike/>
          <w:color w:val="B5082E"/>
        </w:rPr>
        <w:t>cost effective</w:t>
      </w:r>
      <w:r>
        <w:rPr>
          <w:strike w:val="0"/>
          <w:color w:val="B5082E"/>
          <w:u w:val="single" w:color="B5082E"/>
        </w:rPr>
        <w:t>secure, agile </w:t>
      </w:r>
      <w:r>
        <w:rPr>
          <w:strike w:val="0"/>
        </w:rPr>
        <w:t>and reliable </w:t>
      </w:r>
      <w:r>
        <w:rPr>
          <w:strike/>
          <w:color w:val="B5082E"/>
        </w:rPr>
        <w:t>delivery of IT services. Cloud Computing will play a major role in improving the </w:t>
      </w:r>
      <w:r>
        <w:rPr>
          <w:strike w:val="0"/>
        </w:rPr>
        <w:t>delivery of government services in the State of California. </w:t>
      </w:r>
      <w:r>
        <w:rPr>
          <w:strike w:val="0"/>
          <w:color w:val="B5082E"/>
          <w:u w:val="single" w:color="B5082E"/>
        </w:rPr>
        <w:t>Cloud computing enables business programs to enhance service delivery while ensuring the underlying technologies are transparent, ubiquitous, and interchangeable.</w:t>
      </w:r>
    </w:p>
    <w:p>
      <w:pPr>
        <w:pStyle w:val="BodyText"/>
        <w:spacing w:before="11"/>
        <w:rPr>
          <w:sz w:val="15"/>
        </w:rPr>
      </w:pPr>
    </w:p>
    <w:p>
      <w:pPr>
        <w:pStyle w:val="BodyText"/>
        <w:spacing w:before="92"/>
        <w:ind w:left="820" w:right="102"/>
      </w:pPr>
      <w:r>
        <w:rPr/>
        <w:pict>
          <v:line style="position:absolute;mso-position-horizontal-relative:page;mso-position-vertical-relative:paragraph;z-index:1480" from="36.360001pt,4.815879pt" to="36.360001pt,46.215879pt" stroked="true" strokeweight=".72pt" strokecolor="#000000">
            <v:stroke dashstyle="solid"/>
            <w10:wrap type="none"/>
          </v:line>
        </w:pict>
      </w:r>
      <w:r>
        <w:rPr/>
        <w:pict>
          <v:line style="position:absolute;mso-position-horizontal-relative:page;mso-position-vertical-relative:paragraph;z-index:1504" from="36.360001pt,73.815880pt" to="36.360001pt,211.81588pt" stroked="true" strokeweight=".72pt" strokecolor="#000000">
            <v:stroke dashstyle="solid"/>
            <w10:wrap type="none"/>
          </v:line>
        </w:pict>
      </w:r>
      <w:r>
        <w:rPr/>
        <w:t>To harness the benefits of </w:t>
      </w:r>
      <w:r>
        <w:rPr>
          <w:color w:val="B5082E"/>
          <w:u w:val="single" w:color="B5082E"/>
        </w:rPr>
        <w:t>c</w:t>
      </w:r>
      <w:r>
        <w:rPr>
          <w:strike/>
          <w:color w:val="B5082E"/>
        </w:rPr>
        <w:t>C</w:t>
      </w:r>
      <w:r>
        <w:rPr>
          <w:strike w:val="0"/>
        </w:rPr>
        <w:t>loud </w:t>
      </w:r>
      <w:r>
        <w:rPr>
          <w:strike w:val="0"/>
          <w:color w:val="B5082E"/>
          <w:u w:val="single" w:color="B5082E"/>
        </w:rPr>
        <w:t>c</w:t>
      </w:r>
      <w:r>
        <w:rPr>
          <w:strike/>
          <w:color w:val="B5082E"/>
        </w:rPr>
        <w:t>C</w:t>
      </w:r>
      <w:r>
        <w:rPr>
          <w:strike w:val="0"/>
        </w:rPr>
        <w:t>omputing, </w:t>
      </w:r>
      <w:r>
        <w:rPr>
          <w:strike w:val="0"/>
          <w:color w:val="B5082E"/>
          <w:u w:val="single" w:color="B5082E"/>
        </w:rPr>
        <w:t>the State of California has adopted this Cloud Computing Policy. </w:t>
      </w:r>
      <w:r>
        <w:rPr>
          <w:strike/>
          <w:color w:val="B5082E"/>
        </w:rPr>
        <w:t>Agencies/state entities shall adopt a “Cloud First” policy. </w:t>
      </w:r>
      <w:r>
        <w:rPr>
          <w:strike w:val="0"/>
        </w:rPr>
        <w:t>This policy is intended to accelerate the pace at which </w:t>
      </w:r>
      <w:r>
        <w:rPr>
          <w:strike/>
          <w:color w:val="B5082E"/>
        </w:rPr>
        <w:t>the </w:t>
      </w:r>
      <w:r>
        <w:rPr>
          <w:strike w:val="0"/>
        </w:rPr>
        <w:t>Agencies/state entities will realize the benefits of cloud computing while adequately addressing relevant statutory and policy requirements associated with State IT systems, including information security and risk management, privacy, legal issues, and other applicable requirements. </w:t>
      </w:r>
      <w:r>
        <w:rPr>
          <w:strike/>
          <w:color w:val="B5082E"/>
        </w:rPr>
        <w:t>As such, Agencies/state entities must evaluate Cloud Computing as an alternative for all reportable and non-reportable IT projects. Whenever feasible, Agencies/state entities must utilize cloud services provided by the Office of Technology Services (OTech). If required services are not available through OTech, Agencies/state entities must utilize other commercially available Software as a Service (SaaS), Platform as a Service (PaaS), or Infrastructure as a Service (IaaS) cloud service models when feasible and cost effective. Additionally, Agencies/state entities must utilize the Department of General Services’ Cloud Computing Services Special Provisions when procuring commercial cloud services.</w:t>
      </w:r>
    </w:p>
    <w:p>
      <w:pPr>
        <w:spacing w:after="0"/>
        <w:sectPr>
          <w:headerReference w:type="default" r:id="rId64"/>
          <w:footerReference w:type="default" r:id="rId65"/>
          <w:pgSz w:w="12240" w:h="15840"/>
          <w:pgMar w:header="714" w:footer="1061" w:top="1240" w:bottom="1260" w:left="620" w:right="1340"/>
        </w:sectPr>
      </w:pPr>
    </w:p>
    <w:p>
      <w:pPr>
        <w:pStyle w:val="BodyText"/>
        <w:rPr>
          <w:sz w:val="20"/>
        </w:rPr>
      </w:pPr>
    </w:p>
    <w:p>
      <w:pPr>
        <w:pStyle w:val="BodyText"/>
        <w:spacing w:before="2"/>
        <w:rPr>
          <w:sz w:val="16"/>
        </w:rPr>
      </w:pPr>
    </w:p>
    <w:p>
      <w:pPr>
        <w:pStyle w:val="Heading1"/>
        <w:tabs>
          <w:tab w:pos="10008" w:val="right" w:leader="none"/>
        </w:tabs>
        <w:spacing w:before="93"/>
        <w:ind w:left="820"/>
      </w:pPr>
      <w:r>
        <w:rPr/>
        <w:pict>
          <v:line style="position:absolute;mso-position-horizontal-relative:page;mso-position-vertical-relative:paragraph;z-index:1552" from="36.360001pt,18.665878pt" to="36.360001pt,32.465878pt" stroked="true" strokeweight=".72pt" strokecolor="#000000">
            <v:stroke dashstyle="solid"/>
            <w10:wrap type="none"/>
          </v:line>
        </w:pict>
      </w:r>
      <w:bookmarkStart w:name="4983.1CDTtrackchanges" w:id="11"/>
      <w:bookmarkEnd w:id="11"/>
      <w:r>
        <w:rPr>
          <w:b w:val="0"/>
        </w:rPr>
      </w:r>
      <w:r>
        <w:rPr/>
        <w:t>POLICY</w:t>
        <w:tab/>
        <w:t>4983.1</w:t>
      </w:r>
    </w:p>
    <w:p>
      <w:pPr>
        <w:pStyle w:val="BodyText"/>
        <w:ind w:left="820"/>
      </w:pPr>
      <w:r>
        <w:rPr/>
        <w:t>(</w:t>
      </w:r>
      <w:r>
        <w:rPr>
          <w:strike/>
          <w:color w:val="B5082E"/>
        </w:rPr>
        <w:t>Reviewed </w:t>
      </w:r>
      <w:r>
        <w:rPr>
          <w:strike w:val="0"/>
          <w:color w:val="B5082E"/>
          <w:u w:val="single" w:color="B5082E"/>
        </w:rPr>
        <w:t>Revised 7/2017</w:t>
      </w:r>
      <w:r>
        <w:rPr>
          <w:strike/>
          <w:color w:val="B5082E"/>
        </w:rPr>
        <w:t>6/2015</w:t>
      </w:r>
      <w:r>
        <w:rPr>
          <w:strike w:val="0"/>
        </w:rPr>
        <w:t>)</w:t>
      </w:r>
    </w:p>
    <w:p>
      <w:pPr>
        <w:pStyle w:val="BodyText"/>
        <w:spacing w:before="11"/>
        <w:rPr>
          <w:sz w:val="23"/>
        </w:rPr>
      </w:pPr>
    </w:p>
    <w:p>
      <w:pPr>
        <w:pStyle w:val="BodyText"/>
        <w:ind w:left="820"/>
      </w:pPr>
      <w:r>
        <w:rPr/>
        <w:pict>
          <v:line style="position:absolute;mso-position-horizontal-relative:page;mso-position-vertical-relative:paragraph;z-index:1576" from="36.360001pt,.215854pt" to="36.360001pt,164.015854pt" stroked="true" strokeweight=".72pt" strokecolor="#000000">
            <v:stroke dashstyle="solid"/>
            <w10:wrap type="none"/>
          </v:line>
        </w:pict>
      </w:r>
      <w:r>
        <w:rPr/>
        <w:t>As part of the Cloud </w:t>
      </w:r>
      <w:r>
        <w:rPr>
          <w:color w:val="B5082E"/>
          <w:u w:val="single" w:color="B5082E"/>
        </w:rPr>
        <w:t>Computing</w:t>
      </w:r>
      <w:r>
        <w:rPr>
          <w:strike/>
          <w:color w:val="B5082E"/>
        </w:rPr>
        <w:t>First </w:t>
      </w:r>
      <w:r>
        <w:rPr>
          <w:strike w:val="0"/>
        </w:rPr>
        <w:t>policy, each Agency/state entity shall:</w:t>
      </w:r>
    </w:p>
    <w:p>
      <w:pPr>
        <w:pStyle w:val="ListParagraph"/>
        <w:numPr>
          <w:ilvl w:val="0"/>
          <w:numId w:val="5"/>
        </w:numPr>
        <w:tabs>
          <w:tab w:pos="1540" w:val="left" w:leader="none"/>
        </w:tabs>
        <w:spacing w:line="240" w:lineRule="auto" w:before="119" w:after="0"/>
        <w:ind w:left="1540" w:right="145" w:hanging="360"/>
        <w:jc w:val="left"/>
        <w:rPr>
          <w:sz w:val="24"/>
        </w:rPr>
      </w:pPr>
      <w:r>
        <w:rPr>
          <w:strike/>
          <w:color w:val="B5082E"/>
          <w:sz w:val="24"/>
        </w:rPr>
        <w:t>Evaluate </w:t>
      </w:r>
      <w:r>
        <w:rPr>
          <w:strike w:val="0"/>
          <w:color w:val="B5082E"/>
          <w:sz w:val="24"/>
          <w:u w:val="single" w:color="B5082E"/>
        </w:rPr>
        <w:t>Evaluate, </w:t>
      </w:r>
      <w:r>
        <w:rPr>
          <w:strike w:val="0"/>
          <w:sz w:val="24"/>
        </w:rPr>
        <w:t>in consultation with their IT organization secure cloud computing </w:t>
      </w:r>
      <w:r>
        <w:rPr>
          <w:strike w:val="0"/>
          <w:color w:val="B5082E"/>
          <w:sz w:val="24"/>
          <w:u w:val="single" w:color="B5082E"/>
        </w:rPr>
        <w:t>alternatives for all IT projects and infrastructure initiatives (e.g., storage, servers, and Wide Area Network equipment).</w:t>
      </w:r>
      <w:r>
        <w:rPr>
          <w:strike/>
          <w:color w:val="B5082E"/>
          <w:sz w:val="24"/>
        </w:rPr>
        <w:t>solution options for all new reportable and non-reportable IT</w:t>
      </w:r>
      <w:r>
        <w:rPr>
          <w:strike/>
          <w:color w:val="B5082E"/>
          <w:spacing w:val="-22"/>
          <w:sz w:val="24"/>
        </w:rPr>
        <w:t> </w:t>
      </w:r>
      <w:r>
        <w:rPr>
          <w:strike/>
          <w:color w:val="B5082E"/>
          <w:sz w:val="24"/>
        </w:rPr>
        <w:t>projects.</w:t>
      </w:r>
    </w:p>
    <w:p>
      <w:pPr>
        <w:pStyle w:val="ListParagraph"/>
        <w:numPr>
          <w:ilvl w:val="0"/>
          <w:numId w:val="5"/>
        </w:numPr>
        <w:tabs>
          <w:tab w:pos="1540" w:val="left" w:leader="none"/>
        </w:tabs>
        <w:spacing w:line="240" w:lineRule="auto" w:before="119" w:after="0"/>
        <w:ind w:left="1540" w:right="105" w:hanging="360"/>
        <w:jc w:val="left"/>
        <w:rPr>
          <w:sz w:val="24"/>
        </w:rPr>
      </w:pPr>
      <w:r>
        <w:rPr/>
        <w:pict>
          <v:line style="position:absolute;mso-position-horizontal-relative:page;mso-position-vertical-relative:paragraph;z-index:-49552" from="260.160004pt,60.345856pt" to="263.520004pt,60.345856pt" stroked="true" strokeweight=".84pt" strokecolor="#b5082e">
            <v:stroke dashstyle="solid"/>
            <w10:wrap type="none"/>
          </v:line>
        </w:pict>
      </w:r>
      <w:r>
        <w:rPr/>
        <w:pict>
          <v:line style="position:absolute;mso-position-horizontal-relative:page;mso-position-vertical-relative:paragraph;z-index:1600" from="36.360001pt,102.765854pt" to="36.360001pt,491.565854pt" stroked="true" strokeweight=".72pt" strokecolor="#000000">
            <v:stroke dashstyle="solid"/>
            <w10:wrap type="none"/>
          </v:line>
        </w:pict>
      </w:r>
      <w:r>
        <w:rPr>
          <w:sz w:val="24"/>
        </w:rPr>
        <w:t>Use a cloud service model, i.e., </w:t>
      </w:r>
      <w:r>
        <w:rPr>
          <w:strike/>
          <w:color w:val="B5082E"/>
          <w:sz w:val="24"/>
        </w:rPr>
        <w:t>Cloud </w:t>
      </w:r>
      <w:r>
        <w:rPr>
          <w:strike w:val="0"/>
          <w:sz w:val="24"/>
        </w:rPr>
        <w:t>Software as a Service (SaaS), </w:t>
      </w:r>
      <w:r>
        <w:rPr>
          <w:strike/>
          <w:color w:val="B5082E"/>
          <w:sz w:val="24"/>
        </w:rPr>
        <w:t>Cloud </w:t>
      </w:r>
      <w:r>
        <w:rPr>
          <w:strike w:val="0"/>
          <w:sz w:val="24"/>
        </w:rPr>
        <w:t>Platform as a Service (PaaS), or </w:t>
      </w:r>
      <w:r>
        <w:rPr>
          <w:strike/>
          <w:color w:val="B5082E"/>
          <w:sz w:val="24"/>
        </w:rPr>
        <w:t>Cloud </w:t>
      </w:r>
      <w:r>
        <w:rPr>
          <w:strike w:val="0"/>
          <w:sz w:val="24"/>
        </w:rPr>
        <w:t>Infrastructure as a Service (IaaS), </w:t>
      </w:r>
      <w:r>
        <w:rPr>
          <w:strike/>
          <w:color w:val="B5082E"/>
          <w:sz w:val="24"/>
        </w:rPr>
        <w:t>for all new reportable and non-reportable IT projects </w:t>
      </w:r>
      <w:r>
        <w:rPr>
          <w:strike w:val="0"/>
          <w:sz w:val="24"/>
        </w:rPr>
        <w:t>whenever a feasible and cost effective solution is available</w:t>
      </w:r>
      <w:r>
        <w:rPr>
          <w:strike w:val="0"/>
          <w:color w:val="B5082E"/>
          <w:sz w:val="24"/>
        </w:rPr>
        <w:t>. </w:t>
      </w:r>
      <w:r>
        <w:rPr>
          <w:strike/>
          <w:color w:val="B5082E"/>
          <w:sz w:val="24"/>
        </w:rPr>
        <w:t>that meets the Agency/state entity requirements, and provides the required level of security, performance and availability, and is</w:t>
      </w:r>
      <w:r>
        <w:rPr>
          <w:strike w:val="0"/>
          <w:color w:val="B5082E"/>
          <w:sz w:val="24"/>
          <w:u w:val="single" w:color="B5082E"/>
        </w:rPr>
        <w:t>The use of cloud services must be </w:t>
      </w:r>
      <w:r>
        <w:rPr>
          <w:strike w:val="0"/>
          <w:sz w:val="24"/>
        </w:rPr>
        <w:t>consistent with the factors described in SAM 4981.1.</w:t>
      </w:r>
    </w:p>
    <w:p>
      <w:pPr>
        <w:pStyle w:val="ListParagraph"/>
        <w:numPr>
          <w:ilvl w:val="0"/>
          <w:numId w:val="5"/>
        </w:numPr>
        <w:tabs>
          <w:tab w:pos="1540" w:val="left" w:leader="none"/>
        </w:tabs>
        <w:spacing w:line="240" w:lineRule="auto" w:before="119" w:after="0"/>
        <w:ind w:left="1540" w:right="171" w:hanging="360"/>
        <w:jc w:val="left"/>
        <w:rPr>
          <w:sz w:val="24"/>
        </w:rPr>
      </w:pPr>
      <w:r>
        <w:rPr>
          <w:sz w:val="24"/>
        </w:rPr>
        <w:t>Use </w:t>
      </w:r>
      <w:r>
        <w:rPr>
          <w:color w:val="B5082E"/>
          <w:sz w:val="24"/>
          <w:u w:val="single" w:color="B5082E"/>
        </w:rPr>
        <w:t>IaaS or PaaS solutions for new, expansion or refresh initiatives. </w:t>
      </w:r>
      <w:r>
        <w:rPr>
          <w:strike/>
          <w:color w:val="B5082E"/>
          <w:sz w:val="24"/>
        </w:rPr>
        <w:t>cloud services provided through the Office of Technology Services (OTech) as the first choice cloud computing solution for all new IT projects. If required services are not available through OTech, use other commercially available SaaS, PaaS or IaaS</w:t>
      </w:r>
      <w:r>
        <w:rPr>
          <w:strike/>
          <w:color w:val="B5082E"/>
          <w:spacing w:val="-7"/>
          <w:sz w:val="24"/>
        </w:rPr>
        <w:t> </w:t>
      </w:r>
      <w:r>
        <w:rPr>
          <w:strike/>
          <w:color w:val="B5082E"/>
          <w:sz w:val="24"/>
        </w:rPr>
        <w:t>solutions.</w:t>
      </w:r>
    </w:p>
    <w:p>
      <w:pPr>
        <w:pStyle w:val="ListParagraph"/>
        <w:numPr>
          <w:ilvl w:val="0"/>
          <w:numId w:val="5"/>
        </w:numPr>
        <w:tabs>
          <w:tab w:pos="1540" w:val="left" w:leader="none"/>
        </w:tabs>
        <w:spacing w:line="240" w:lineRule="auto" w:before="119" w:after="0"/>
        <w:ind w:left="1540" w:right="214" w:hanging="360"/>
        <w:jc w:val="left"/>
        <w:rPr>
          <w:sz w:val="24"/>
        </w:rPr>
      </w:pPr>
      <w:r>
        <w:rPr>
          <w:color w:val="B5082E"/>
          <w:sz w:val="24"/>
          <w:u w:val="single" w:color="B5082E"/>
        </w:rPr>
        <w:t>Use IaaS and PaaS solutions provided through the California Department of Technology (CDT). Requests shall be submitted to CDT through a Remedy Service Request. </w:t>
      </w:r>
      <w:r>
        <w:rPr>
          <w:strike/>
          <w:color w:val="B5082E"/>
          <w:sz w:val="24"/>
        </w:rPr>
        <w:t>If using a commercially available SaaS service model, utilize it for commodity applications such as office productivity tools, virtual desktop, customer relationship management, human resources management, finance, project management, open data, and inventory management (refer to National Institute of Standards and Technology (NIST) Special Publication </w:t>
      </w:r>
      <w:r>
        <w:rPr>
          <w:strike/>
          <w:color w:val="B5082E"/>
          <w:sz w:val="24"/>
          <w:u w:val="single" w:color="B5082E"/>
        </w:rPr>
        <w:t>800-146 </w:t>
      </w:r>
      <w:r>
        <w:rPr>
          <w:strike/>
          <w:color w:val="B5082E"/>
          <w:sz w:val="24"/>
        </w:rPr>
        <w:t>for candidate SaaS application classes). Use a PaaS or an IaaS service model for all other application categories when</w:t>
      </w:r>
      <w:r>
        <w:rPr>
          <w:strike/>
          <w:color w:val="B5082E"/>
          <w:spacing w:val="-24"/>
          <w:sz w:val="24"/>
        </w:rPr>
        <w:t> </w:t>
      </w:r>
      <w:r>
        <w:rPr>
          <w:strike/>
          <w:color w:val="B5082E"/>
          <w:sz w:val="24"/>
        </w:rPr>
        <w:t>feasible.</w:t>
      </w:r>
    </w:p>
    <w:p>
      <w:pPr>
        <w:pStyle w:val="ListParagraph"/>
        <w:numPr>
          <w:ilvl w:val="0"/>
          <w:numId w:val="5"/>
        </w:numPr>
        <w:tabs>
          <w:tab w:pos="1540" w:val="left" w:leader="none"/>
        </w:tabs>
        <w:spacing w:line="240" w:lineRule="auto" w:before="119" w:after="0"/>
        <w:ind w:left="1540" w:right="308" w:hanging="360"/>
        <w:jc w:val="left"/>
        <w:rPr>
          <w:sz w:val="24"/>
        </w:rPr>
      </w:pPr>
      <w:r>
        <w:rPr>
          <w:color w:val="B5082E"/>
          <w:sz w:val="24"/>
          <w:u w:val="single" w:color="B5082E"/>
        </w:rPr>
        <w:t>If required IaaS or PaaS solutions are not available through CDT, CDT will partner with the Department of General Services (DGS) to determine the best procurement method. </w:t>
      </w:r>
      <w:r>
        <w:rPr>
          <w:strike/>
          <w:color w:val="B5082E"/>
          <w:sz w:val="24"/>
        </w:rPr>
        <w:t>Classify the data managed by the applications that</w:t>
      </w:r>
      <w:r>
        <w:rPr>
          <w:strike/>
          <w:color w:val="B5082E"/>
          <w:spacing w:val="-41"/>
          <w:sz w:val="24"/>
        </w:rPr>
        <w:t> </w:t>
      </w:r>
      <w:r>
        <w:rPr>
          <w:strike/>
          <w:color w:val="B5082E"/>
          <w:sz w:val="24"/>
        </w:rPr>
        <w:t>utilize cloud service models in accordance with SAM</w:t>
      </w:r>
      <w:r>
        <w:rPr>
          <w:strike/>
          <w:color w:val="B5082E"/>
          <w:spacing w:val="-23"/>
          <w:sz w:val="24"/>
        </w:rPr>
        <w:t> </w:t>
      </w:r>
      <w:r>
        <w:rPr>
          <w:strike/>
          <w:color w:val="B5082E"/>
          <w:sz w:val="24"/>
          <w:u w:val="single" w:color="B5082E"/>
        </w:rPr>
        <w:t>5305.5</w:t>
      </w:r>
      <w:r>
        <w:rPr>
          <w:strike/>
          <w:color w:val="B5082E"/>
          <w:sz w:val="24"/>
        </w:rPr>
        <w:t>.</w:t>
      </w:r>
    </w:p>
    <w:p>
      <w:pPr>
        <w:pStyle w:val="ListParagraph"/>
        <w:numPr>
          <w:ilvl w:val="0"/>
          <w:numId w:val="5"/>
        </w:numPr>
        <w:tabs>
          <w:tab w:pos="1540" w:val="left" w:leader="none"/>
        </w:tabs>
        <w:spacing w:line="240" w:lineRule="auto" w:before="119" w:after="0"/>
        <w:ind w:left="1540" w:right="344" w:hanging="360"/>
        <w:jc w:val="left"/>
        <w:rPr>
          <w:color w:val="B5082E"/>
          <w:sz w:val="24"/>
        </w:rPr>
      </w:pPr>
      <w:r>
        <w:rPr>
          <w:color w:val="B5082E"/>
          <w:sz w:val="24"/>
          <w:u w:val="single" w:color="B5082E"/>
        </w:rPr>
        <w:t>Use SaaS solutions provided through CDT, e.g., all office productivity software (including email*), or through DGS’ Software Licensing Program (SLP), when implementing commercial and/or government SaaS cloud computing</w:t>
      </w:r>
      <w:r>
        <w:rPr>
          <w:color w:val="B5082E"/>
          <w:spacing w:val="-36"/>
          <w:sz w:val="24"/>
          <w:u w:val="single" w:color="B5082E"/>
        </w:rPr>
        <w:t> </w:t>
      </w:r>
      <w:r>
        <w:rPr>
          <w:color w:val="B5082E"/>
          <w:sz w:val="24"/>
          <w:u w:val="single" w:color="B5082E"/>
        </w:rPr>
        <w:t>solutions.</w:t>
      </w:r>
    </w:p>
    <w:p>
      <w:pPr>
        <w:pStyle w:val="BodyText"/>
        <w:spacing w:before="4"/>
        <w:rPr>
          <w:sz w:val="26"/>
        </w:rPr>
      </w:pPr>
    </w:p>
    <w:p>
      <w:pPr>
        <w:pStyle w:val="BodyText"/>
        <w:spacing w:before="92"/>
        <w:ind w:left="1540" w:right="409"/>
      </w:pPr>
      <w:r>
        <w:rPr>
          <w:color w:val="B5082E"/>
          <w:u w:val="single" w:color="B5082E"/>
        </w:rPr>
        <w:t>*Per Chapter 404, Statutes of 2010 (Assembly Bill 2408), all Agencies/state entities within the executive branch that are under the direct authority of the Governor must consolidate to the state’s share e-mail solution. </w:t>
      </w:r>
      <w:r>
        <w:rPr>
          <w:strike/>
          <w:color w:val="B5082E"/>
        </w:rPr>
        <w:t>Ensure compliance with the security provisions of the SAM (Chapters </w:t>
      </w:r>
      <w:r>
        <w:rPr>
          <w:strike/>
          <w:color w:val="B5082E"/>
          <w:u w:val="single" w:color="B5082E"/>
        </w:rPr>
        <w:t>5100 </w:t>
      </w:r>
      <w:r>
        <w:rPr>
          <w:strike/>
          <w:color w:val="B5082E"/>
        </w:rPr>
        <w:t>and </w:t>
      </w:r>
      <w:r>
        <w:rPr>
          <w:strike/>
          <w:color w:val="B5082E"/>
          <w:u w:val="single" w:color="B5082E"/>
        </w:rPr>
        <w:t>5300</w:t>
      </w:r>
      <w:r>
        <w:rPr>
          <w:strike/>
          <w:color w:val="B5082E"/>
        </w:rPr>
        <w:t>)</w:t>
      </w:r>
    </w:p>
    <w:p>
      <w:pPr>
        <w:spacing w:after="0"/>
        <w:sectPr>
          <w:pgSz w:w="12240" w:h="15840"/>
          <w:pgMar w:header="714" w:footer="1061" w:top="1240" w:bottom="1260" w:left="620" w:right="1380"/>
        </w:sectPr>
      </w:pPr>
    </w:p>
    <w:p>
      <w:pPr>
        <w:pStyle w:val="BodyText"/>
        <w:rPr>
          <w:sz w:val="20"/>
        </w:rPr>
      </w:pPr>
    </w:p>
    <w:p>
      <w:pPr>
        <w:pStyle w:val="BodyText"/>
        <w:spacing w:before="2"/>
        <w:rPr>
          <w:sz w:val="16"/>
        </w:rPr>
      </w:pPr>
    </w:p>
    <w:p>
      <w:pPr>
        <w:pStyle w:val="BodyText"/>
        <w:spacing w:before="93"/>
        <w:ind w:left="1540" w:right="541"/>
      </w:pPr>
      <w:r>
        <w:rPr/>
        <w:pict>
          <v:line style="position:absolute;mso-position-horizontal-relative:page;mso-position-vertical-relative:paragraph;z-index:1648" from="36.360001pt,4.865879pt" to="36.360001pt,223.865879pt" stroked="true" strokeweight=".72pt" strokecolor="#000000">
            <v:stroke dashstyle="solid"/>
            <w10:wrap type="none"/>
          </v:line>
        </w:pict>
      </w:r>
      <w:r>
        <w:rPr>
          <w:strike/>
          <w:color w:val="B5082E"/>
        </w:rPr>
        <w:t>and the </w:t>
      </w:r>
      <w:r>
        <w:rPr>
          <w:strike/>
          <w:color w:val="B5082E"/>
          <w:u w:val="single" w:color="B5082E"/>
        </w:rPr>
        <w:t>SIMM </w:t>
      </w:r>
      <w:r>
        <w:rPr>
          <w:strike/>
          <w:color w:val="B5082E"/>
        </w:rPr>
        <w:t>(Sections 58C, 58D, 66B, 5305A, 5310A and B, 5325A and B, 5330A, B and C, 5340A, B and C, 5360B).</w:t>
      </w:r>
    </w:p>
    <w:p>
      <w:pPr>
        <w:pStyle w:val="BodyText"/>
        <w:rPr>
          <w:sz w:val="20"/>
        </w:rPr>
      </w:pPr>
    </w:p>
    <w:p>
      <w:pPr>
        <w:pStyle w:val="BodyText"/>
        <w:spacing w:before="10"/>
        <w:rPr>
          <w:sz w:val="16"/>
        </w:rPr>
      </w:pPr>
    </w:p>
    <w:p>
      <w:pPr>
        <w:pStyle w:val="BodyText"/>
        <w:tabs>
          <w:tab w:pos="9999" w:val="left" w:leader="none"/>
        </w:tabs>
        <w:spacing w:before="92"/>
        <w:ind w:left="1180"/>
      </w:pPr>
      <w:r>
        <w:rPr/>
        <w:pict>
          <v:line style="position:absolute;mso-position-horizontal-relative:page;mso-position-vertical-relative:paragraph;z-index:-49456" from="100.080002pt,17.595354pt" to="531.000002pt,17.595354pt" stroked="true" strokeweight=".841pt" strokecolor="#1b9cab">
            <v:stroke dashstyle="solid"/>
            <w10:wrap type="none"/>
          </v:line>
        </w:pict>
      </w:r>
      <w:r>
        <w:rPr>
          <w:strike/>
          <w:color w:val="1B9CAB"/>
        </w:rPr>
        <w:t>6.</w:t>
      </w:r>
      <w:r>
        <w:rPr>
          <w:strike w:val="0"/>
          <w:color w:val="1B9CAB"/>
        </w:rPr>
        <w:t>7.</w:t>
        <w:tab/>
      </w:r>
      <w:r>
        <w:rPr>
          <w:strike w:val="0"/>
          <w:color w:val="B5082E"/>
          <w:u w:val="single" w:color="B5082E"/>
        </w:rPr>
        <w:t>If</w:t>
      </w:r>
    </w:p>
    <w:p>
      <w:pPr>
        <w:pStyle w:val="BodyText"/>
        <w:ind w:left="1540" w:right="102"/>
      </w:pPr>
      <w:r>
        <w:rPr>
          <w:color w:val="B5082E"/>
          <w:u w:val="single" w:color="B5082E"/>
        </w:rPr>
        <w:t>required SaaS solutions are not provided through CDT, Agencies/state entities may acquire other commercial and/or government SaaS solutions.</w:t>
      </w:r>
      <w:r>
        <w:rPr>
          <w:strike/>
          <w:color w:val="B5082E"/>
        </w:rPr>
        <w:t>Based on data classification pursuant to SAM 5305.5, ensure compliance with relevant security provisions including those in the California Information Practices Act (Civil Code Section </w:t>
      </w:r>
      <w:r>
        <w:rPr>
          <w:strike/>
          <w:color w:val="B5082E"/>
          <w:u w:val="single" w:color="B5082E"/>
        </w:rPr>
        <w:t>1798 </w:t>
      </w:r>
      <w:r>
        <w:rPr>
          <w:strike/>
          <w:color w:val="B5082E"/>
        </w:rPr>
        <w:t>et seq.), Internal Revenue Service (IRS) Publication </w:t>
      </w:r>
      <w:r>
        <w:rPr>
          <w:strike/>
          <w:color w:val="B5082E"/>
          <w:u w:val="single" w:color="B5082E"/>
        </w:rPr>
        <w:t>1075</w:t>
      </w:r>
      <w:r>
        <w:rPr>
          <w:strike/>
          <w:color w:val="B5082E"/>
        </w:rPr>
        <w:t>, Social Security Administration (</w:t>
      </w:r>
      <w:r>
        <w:rPr>
          <w:strike/>
          <w:color w:val="B5082E"/>
          <w:u w:val="single" w:color="B5082E"/>
        </w:rPr>
        <w:t>SSA</w:t>
      </w:r>
      <w:r>
        <w:rPr>
          <w:strike/>
          <w:color w:val="B5082E"/>
        </w:rPr>
        <w:t>) Electronic Information Exchange Security Requirements, Payment Card Industry Data Security Standard (PCI DSS) including the PCI DSS Cloud Computing Guidelines, Health Insurance Portability and Accountability Act (HIPAA) Security Rule, Health Information Technology for Economic and Clinical Health (HITECH) Act, and Criminal Justice Information Services (CJIS) Security Policy.</w:t>
      </w:r>
    </w:p>
    <w:p>
      <w:pPr>
        <w:pStyle w:val="BodyText"/>
        <w:rPr>
          <w:sz w:val="16"/>
        </w:rPr>
      </w:pPr>
    </w:p>
    <w:p>
      <w:pPr>
        <w:pStyle w:val="BodyText"/>
        <w:spacing w:before="92"/>
        <w:ind w:left="820"/>
      </w:pPr>
      <w:r>
        <w:rPr/>
        <w:t>(Continued)</w:t>
      </w:r>
    </w:p>
    <w:p>
      <w:pPr>
        <w:spacing w:after="0"/>
        <w:sectPr>
          <w:pgSz w:w="12240" w:h="15840"/>
          <w:pgMar w:header="714" w:footer="1061" w:top="1240" w:bottom="1260" w:left="620" w:right="1380"/>
        </w:sectPr>
      </w:pPr>
    </w:p>
    <w:p>
      <w:pPr>
        <w:pStyle w:val="BodyText"/>
        <w:rPr>
          <w:sz w:val="20"/>
        </w:rPr>
      </w:pPr>
    </w:p>
    <w:p>
      <w:pPr>
        <w:pStyle w:val="BodyText"/>
        <w:spacing w:before="2"/>
        <w:rPr>
          <w:sz w:val="16"/>
        </w:rPr>
      </w:pPr>
    </w:p>
    <w:p>
      <w:pPr>
        <w:pStyle w:val="BodyText"/>
        <w:spacing w:before="93"/>
        <w:ind w:left="820"/>
      </w:pPr>
      <w:r>
        <w:rPr/>
        <w:t>(Continued)</w:t>
      </w:r>
    </w:p>
    <w:p>
      <w:pPr>
        <w:tabs>
          <w:tab w:pos="8379" w:val="left" w:leader="none"/>
        </w:tabs>
        <w:spacing w:before="0"/>
        <w:ind w:left="819" w:right="0" w:firstLine="0"/>
        <w:jc w:val="left"/>
        <w:rPr>
          <w:sz w:val="24"/>
        </w:rPr>
      </w:pPr>
      <w:r>
        <w:rPr>
          <w:b/>
          <w:sz w:val="24"/>
        </w:rPr>
        <w:t>POLICY</w:t>
        <w:tab/>
        <w:t>4983.1 </w:t>
      </w:r>
      <w:r>
        <w:rPr>
          <w:sz w:val="24"/>
        </w:rPr>
        <w:t>(Cont.</w:t>
      </w:r>
      <w:r>
        <w:rPr>
          <w:spacing w:val="-8"/>
          <w:sz w:val="24"/>
        </w:rPr>
        <w:t> </w:t>
      </w:r>
      <w:r>
        <w:rPr>
          <w:sz w:val="24"/>
        </w:rPr>
        <w:t>1)</w:t>
      </w:r>
    </w:p>
    <w:p>
      <w:pPr>
        <w:pStyle w:val="BodyText"/>
        <w:ind w:left="820"/>
      </w:pPr>
      <w:r>
        <w:rPr/>
        <w:t>(Revised 6/2015)</w:t>
      </w:r>
    </w:p>
    <w:p>
      <w:pPr>
        <w:pStyle w:val="BodyText"/>
        <w:rPr>
          <w:sz w:val="26"/>
        </w:rPr>
      </w:pPr>
    </w:p>
    <w:p>
      <w:pPr>
        <w:pStyle w:val="BodyText"/>
        <w:tabs>
          <w:tab w:pos="9999" w:val="left" w:leader="none"/>
        </w:tabs>
        <w:spacing w:before="217"/>
        <w:ind w:left="1180"/>
      </w:pPr>
      <w:r>
        <w:rPr/>
        <w:pict>
          <v:line style="position:absolute;mso-position-horizontal-relative:page;mso-position-vertical-relative:paragraph;z-index:-49408" from="100.080002pt,23.845867pt" to="531.000002pt,23.845867pt" stroked="true" strokeweight=".84pt" strokecolor="#1b9cab">
            <v:stroke dashstyle="solid"/>
            <w10:wrap type="none"/>
          </v:line>
        </w:pict>
      </w:r>
      <w:r>
        <w:rPr/>
        <w:pict>
          <v:line style="position:absolute;mso-position-horizontal-relative:page;mso-position-vertical-relative:paragraph;z-index:1792" from="36.360001pt,11.064867pt" to="36.360001pt,210.265867pt" stroked="true" strokeweight=".72pt" strokecolor="#000000">
            <v:stroke dashstyle="solid"/>
            <w10:wrap type="none"/>
          </v:line>
        </w:pict>
      </w:r>
      <w:r>
        <w:rPr>
          <w:strike/>
          <w:color w:val="1B9CAB"/>
        </w:rPr>
        <w:t>7.</w:t>
      </w:r>
      <w:r>
        <w:rPr>
          <w:strike w:val="0"/>
          <w:color w:val="1B9CAB"/>
        </w:rPr>
        <w:t>8.</w:t>
        <w:tab/>
      </w:r>
      <w:r>
        <w:rPr>
          <w:strike w:val="0"/>
          <w:color w:val="B5082E"/>
          <w:u w:val="single" w:color="B5082E"/>
        </w:rPr>
        <w:t>If</w:t>
      </w:r>
    </w:p>
    <w:p>
      <w:pPr>
        <w:pStyle w:val="BodyText"/>
        <w:ind w:left="1540" w:right="315"/>
      </w:pPr>
      <w:r>
        <w:rPr>
          <w:color w:val="B5082E"/>
          <w:u w:val="single" w:color="B5082E"/>
        </w:rPr>
        <w:t>an Agency/state entity determines that the use of a cloud service solution is not feasible, or the required solution is not provided through CDT, they shall submit an exemption request to CDT for approval. The Cloud Computing Exemption Process is defined in Statewide Information Management Manual (SIMM) 18.</w:t>
      </w:r>
      <w:r>
        <w:rPr>
          <w:strike/>
          <w:color w:val="B5082E"/>
        </w:rPr>
        <w:t>Ensure appropriate level of compliance with the Federal Risk and Authorization Management Program (FedRAMP) certification for all IT projects using commercial cloud solutions where federal funding is involved.</w:t>
      </w:r>
    </w:p>
    <w:p>
      <w:pPr>
        <w:pStyle w:val="BodyText"/>
        <w:tabs>
          <w:tab w:pos="9999" w:val="left" w:leader="none"/>
        </w:tabs>
        <w:spacing w:before="120"/>
        <w:ind w:left="1180"/>
      </w:pPr>
      <w:r>
        <w:rPr/>
        <w:pict>
          <v:line style="position:absolute;mso-position-horizontal-relative:page;mso-position-vertical-relative:paragraph;z-index:-49384" from="100.080002pt,18.995872pt" to="531.000002pt,18.995872pt" stroked="true" strokeweight=".84pt" strokecolor="#1b9cab">
            <v:stroke dashstyle="solid"/>
            <w10:wrap type="none"/>
          </v:line>
        </w:pict>
      </w:r>
      <w:r>
        <w:rPr>
          <w:strike/>
          <w:color w:val="1B9CAB"/>
        </w:rPr>
        <w:t>8.</w:t>
      </w:r>
      <w:r>
        <w:rPr>
          <w:strike w:val="0"/>
          <w:color w:val="1B9CAB"/>
        </w:rPr>
        <w:t>9.</w:t>
        <w:tab/>
      </w:r>
      <w:r>
        <w:rPr>
          <w:strike w:val="0"/>
          <w:color w:val="B5082E"/>
          <w:u w:val="single" w:color="B5082E"/>
        </w:rPr>
        <w:t>C</w:t>
      </w:r>
    </w:p>
    <w:p>
      <w:pPr>
        <w:pStyle w:val="BodyText"/>
        <w:ind w:left="1540" w:right="288"/>
      </w:pPr>
      <w:r>
        <w:rPr>
          <w:color w:val="B5082E"/>
          <w:u w:val="single" w:color="B5082E"/>
        </w:rPr>
        <w:t>lassify the data managed by the applications that utilize cloud service models in accordance with SAM </w:t>
      </w:r>
      <w:hyperlink r:id="rId66">
        <w:r>
          <w:rPr>
            <w:color w:val="B5082E"/>
            <w:u w:val="single" w:color="B5082E"/>
          </w:rPr>
          <w:t>5305.5</w:t>
        </w:r>
      </w:hyperlink>
      <w:r>
        <w:rPr>
          <w:color w:val="B5082E"/>
          <w:u w:val="single" w:color="B5082E"/>
        </w:rPr>
        <w:t>.</w:t>
      </w:r>
      <w:r>
        <w:rPr>
          <w:strike/>
          <w:color w:val="B5082E"/>
        </w:rPr>
        <w:t>Ensure that the commercial cloud service provider’s Standards for Attestation Engagements No. 16 Service Organization Control (SOC) 2 Type II report along with the cloud service provider’s plan to correct any negative findings is available to the Agency/state entity.</w:t>
      </w:r>
    </w:p>
    <w:p>
      <w:pPr>
        <w:pStyle w:val="BodyText"/>
        <w:tabs>
          <w:tab w:pos="9999" w:val="left" w:leader="none"/>
        </w:tabs>
        <w:spacing w:before="120"/>
        <w:ind w:left="1180"/>
      </w:pPr>
      <w:r>
        <w:rPr/>
        <w:pict>
          <v:line style="position:absolute;mso-position-horizontal-relative:page;mso-position-vertical-relative:paragraph;z-index:-49360" from="100.080002pt,18.995855pt" to="531.000002pt,18.995855pt" stroked="true" strokeweight=".84pt" strokecolor="#1b9cab">
            <v:stroke dashstyle="solid"/>
            <w10:wrap type="none"/>
          </v:line>
        </w:pict>
      </w:r>
      <w:r>
        <w:rPr/>
        <w:pict>
          <v:line style="position:absolute;mso-position-horizontal-relative:page;mso-position-vertical-relative:paragraph;z-index:1816" from="36.360001pt,20.015854pt" to="36.360001pt,288.215854pt" stroked="true" strokeweight=".72pt" strokecolor="#000000">
            <v:stroke dashstyle="solid"/>
            <w10:wrap type="none"/>
          </v:line>
        </w:pict>
      </w:r>
      <w:r>
        <w:rPr>
          <w:strike/>
          <w:color w:val="1B9CAB"/>
        </w:rPr>
        <w:t>9.</w:t>
      </w:r>
      <w:r>
        <w:rPr>
          <w:strike w:val="0"/>
          <w:color w:val="1B9CAB"/>
        </w:rPr>
        <w:t>10.</w:t>
        <w:tab/>
      </w:r>
      <w:r>
        <w:rPr>
          <w:strike w:val="0"/>
        </w:rPr>
        <w:t>E</w:t>
      </w:r>
    </w:p>
    <w:p>
      <w:pPr>
        <w:pStyle w:val="BodyText"/>
        <w:ind w:left="1540" w:right="208"/>
      </w:pPr>
      <w:r>
        <w:rPr/>
        <w:t>nsure </w:t>
      </w:r>
      <w:r>
        <w:rPr>
          <w:color w:val="B5082E"/>
          <w:u w:val="single" w:color="B5082E"/>
        </w:rPr>
        <w:t>compliance with the security provisions of the SAM (Chapters 5100 and 5300) and the SIMM (Sections 58C, 58D, 66B, 5305A, 5310A and B, 5325A and B, 5330A, B and C, 5340A, B and C, 5360B). </w:t>
      </w:r>
      <w:r>
        <w:rPr>
          <w:strike/>
          <w:color w:val="B5082E"/>
        </w:rPr>
        <w:t>that the confidential, sensitive or personal information is encrypted in accordance with </w:t>
      </w:r>
      <w:r>
        <w:rPr>
          <w:strike/>
          <w:color w:val="B5082E"/>
          <w:u w:val="single" w:color="B5082E"/>
        </w:rPr>
        <w:t>SAM 5350.1 </w:t>
      </w:r>
      <w:r>
        <w:rPr>
          <w:strike/>
          <w:color w:val="B5082E"/>
        </w:rPr>
        <w:t>and </w:t>
      </w:r>
      <w:r>
        <w:rPr>
          <w:strike/>
          <w:color w:val="B5082E"/>
          <w:u w:val="single" w:color="B5082E"/>
        </w:rPr>
        <w:t>SIMM 5305-A</w:t>
      </w:r>
      <w:r>
        <w:rPr>
          <w:strike/>
          <w:color w:val="B5082E"/>
        </w:rPr>
        <w:t>, and at the necessary level of encryption for the data classification pursuant to </w:t>
      </w:r>
      <w:r>
        <w:rPr>
          <w:strike/>
          <w:color w:val="B5082E"/>
          <w:u w:val="single" w:color="B5082E"/>
        </w:rPr>
        <w:t>SAM 5305.5</w:t>
      </w:r>
      <w:r>
        <w:rPr>
          <w:strike/>
          <w:color w:val="B5082E"/>
        </w:rPr>
        <w:t>.</w:t>
      </w:r>
    </w:p>
    <w:p>
      <w:pPr>
        <w:pStyle w:val="BodyText"/>
        <w:tabs>
          <w:tab w:pos="9999" w:val="left" w:leader="none"/>
        </w:tabs>
        <w:spacing w:before="120"/>
        <w:ind w:left="1180"/>
      </w:pPr>
      <w:r>
        <w:rPr/>
        <w:pict>
          <v:line style="position:absolute;mso-position-horizontal-relative:page;mso-position-vertical-relative:paragraph;z-index:-49336" from="106.800003pt,18.995848pt" to="531.000003pt,18.995848pt" stroked="true" strokeweight=".84pt" strokecolor="#1b9cab">
            <v:stroke dashstyle="solid"/>
            <w10:wrap type="none"/>
          </v:line>
        </w:pict>
      </w:r>
      <w:r>
        <w:rPr>
          <w:strike/>
          <w:color w:val="1B9CAB"/>
        </w:rPr>
        <w:t>10.</w:t>
      </w:r>
      <w:r>
        <w:rPr>
          <w:strike w:val="0"/>
          <w:color w:val="1B9CAB"/>
        </w:rPr>
        <w:t>11.</w:t>
        <w:tab/>
      </w:r>
      <w:r>
        <w:rPr>
          <w:strike w:val="0"/>
          <w:color w:val="B5082E"/>
          <w:u w:val="single" w:color="B5082E"/>
        </w:rPr>
        <w:t>B</w:t>
      </w:r>
    </w:p>
    <w:p>
      <w:pPr>
        <w:pStyle w:val="BodyText"/>
        <w:ind w:left="1540" w:right="102"/>
      </w:pPr>
      <w:r>
        <w:rPr>
          <w:color w:val="B5082E"/>
          <w:u w:val="single" w:color="B5082E"/>
        </w:rPr>
        <w:t>ased on data classification pursuant to SAM 5305.5, e</w:t>
      </w:r>
      <w:r>
        <w:rPr>
          <w:strike/>
          <w:color w:val="B5082E"/>
        </w:rPr>
        <w:t>E</w:t>
      </w:r>
      <w:r>
        <w:rPr>
          <w:strike w:val="0"/>
        </w:rPr>
        <w:t>nsure </w:t>
      </w:r>
      <w:r>
        <w:rPr>
          <w:strike w:val="0"/>
          <w:color w:val="B5082E"/>
          <w:u w:val="single" w:color="B5082E"/>
        </w:rPr>
        <w:t>compliance with relevant security provisions including those in the California Information Practices Act (Civil Code Section 1798 et seq.), Internal Revenue Service (IRS) Publication 1075, Social Security Administration (SSA) Electronic Information Exchange Security Requirements, Payment Card Industry Data Security Standard (PCI DSS) including the PCI DSS Cloud Computing Guidelines, Health Insurance Portability and Accountability Act (HIPAA) Security Rule, Health Information Technology for Economic and Clinical Health (HITECH) Act, and Criminal Justice Information Services (CJIS) Security Policy. </w:t>
      </w:r>
      <w:r>
        <w:rPr>
          <w:strike/>
          <w:color w:val="B5082E"/>
        </w:rPr>
        <w:t>that written agreements with cloud service providers address SAM 5305.8 provisions, and SaaS service agreements include the Department of General Services’ Cloud Computing Services Special Provisions.</w:t>
      </w:r>
    </w:p>
    <w:p>
      <w:pPr>
        <w:pStyle w:val="BodyText"/>
        <w:tabs>
          <w:tab w:pos="9999" w:val="left" w:leader="none"/>
        </w:tabs>
        <w:spacing w:before="120"/>
        <w:ind w:left="1180"/>
      </w:pPr>
      <w:r>
        <w:rPr/>
        <w:pict>
          <v:line style="position:absolute;mso-position-horizontal-relative:page;mso-position-vertical-relative:paragraph;z-index:-49312" from="106.800003pt,18.995855pt" to="531.000003pt,18.995855pt" stroked="true" strokeweight=".84pt" strokecolor="#1b9cab">
            <v:stroke dashstyle="solid"/>
            <w10:wrap type="none"/>
          </v:line>
        </w:pict>
      </w:r>
      <w:r>
        <w:rPr/>
        <w:pict>
          <v:line style="position:absolute;mso-position-horizontal-relative:page;mso-position-vertical-relative:paragraph;z-index:1840" from="36.360001pt,20.015854pt" to="36.360001pt,75.215854pt" stroked="true" strokeweight=".72pt" strokecolor="#000000">
            <v:stroke dashstyle="solid"/>
            <w10:wrap type="none"/>
          </v:line>
        </w:pict>
      </w:r>
      <w:r>
        <w:rPr>
          <w:strike/>
          <w:color w:val="1B9CAB"/>
        </w:rPr>
        <w:t>11.</w:t>
      </w:r>
      <w:r>
        <w:rPr>
          <w:strike w:val="0"/>
          <w:color w:val="1B9CAB"/>
        </w:rPr>
        <w:t>12.</w:t>
        <w:tab/>
      </w:r>
      <w:r>
        <w:rPr>
          <w:strike w:val="0"/>
        </w:rPr>
        <w:t>E</w:t>
      </w:r>
    </w:p>
    <w:p>
      <w:pPr>
        <w:pStyle w:val="BodyText"/>
        <w:ind w:left="1540" w:right="117"/>
      </w:pPr>
      <w:r>
        <w:rPr/>
        <w:t>nsure that the </w:t>
      </w:r>
      <w:r>
        <w:rPr>
          <w:color w:val="B5082E"/>
          <w:u w:val="single" w:color="B5082E"/>
        </w:rPr>
        <w:t>commercial and/or government cloud service provider’s Standards for Attestation Engagements No.16 Service Organization Control (SOC) 2 Type II report along with the cloud service provider’s plan to correct any negative findings is available to the Agency/state entity.</w:t>
      </w:r>
      <w:r>
        <w:rPr>
          <w:strike/>
          <w:color w:val="B5082E"/>
        </w:rPr>
        <w:t>physical location of the data</w:t>
      </w:r>
      <w:r>
        <w:rPr>
          <w:strike/>
          <w:color w:val="B5082E"/>
          <w:spacing w:val="-40"/>
        </w:rPr>
        <w:t> </w:t>
      </w:r>
      <w:r>
        <w:rPr>
          <w:strike/>
          <w:color w:val="B5082E"/>
        </w:rPr>
        <w:t>center</w:t>
      </w:r>
    </w:p>
    <w:p>
      <w:pPr>
        <w:spacing w:after="0"/>
        <w:sectPr>
          <w:pgSz w:w="12240" w:h="15840"/>
          <w:pgMar w:header="714" w:footer="1061" w:top="1240" w:bottom="1260" w:left="620" w:right="1340"/>
        </w:sectPr>
      </w:pPr>
    </w:p>
    <w:p>
      <w:pPr>
        <w:pStyle w:val="BodyText"/>
        <w:rPr>
          <w:sz w:val="20"/>
        </w:rPr>
      </w:pPr>
    </w:p>
    <w:p>
      <w:pPr>
        <w:pStyle w:val="BodyText"/>
        <w:spacing w:before="2"/>
        <w:rPr>
          <w:sz w:val="16"/>
        </w:rPr>
      </w:pPr>
    </w:p>
    <w:p>
      <w:pPr>
        <w:pStyle w:val="BodyText"/>
        <w:spacing w:before="93"/>
        <w:ind w:left="1540" w:right="528"/>
      </w:pPr>
      <w:r>
        <w:rPr/>
        <w:pict>
          <v:line style="position:absolute;mso-position-horizontal-relative:page;mso-position-vertical-relative:paragraph;z-index:1888" from="36.360001pt,4.866879pt" to="36.360001pt,523.865879pt" stroked="true" strokeweight=".72pt" strokecolor="#000000">
            <v:stroke dashstyle="solid"/>
            <w10:wrap type="none"/>
          </v:line>
        </w:pict>
      </w:r>
      <w:r>
        <w:rPr>
          <w:strike/>
          <w:color w:val="B5082E"/>
        </w:rPr>
        <w:t>where the data is stored is within the continental United States, and remote access to data from outside the continental United States is prohibited unless approved in advance by the State Chief Information Security Officer.</w:t>
      </w:r>
    </w:p>
    <w:p>
      <w:pPr>
        <w:pStyle w:val="BodyText"/>
        <w:tabs>
          <w:tab w:pos="9999" w:val="left" w:leader="none"/>
        </w:tabs>
        <w:spacing w:before="120"/>
        <w:ind w:left="1180"/>
      </w:pPr>
      <w:r>
        <w:rPr/>
        <w:pict>
          <v:line style="position:absolute;mso-position-horizontal-relative:page;mso-position-vertical-relative:paragraph;z-index:-49216" from="106.800003pt,18.995855pt" to="531.000003pt,18.995855pt" stroked="true" strokeweight=".84pt" strokecolor="#1b9cab">
            <v:stroke dashstyle="solid"/>
            <w10:wrap type="none"/>
          </v:line>
        </w:pict>
      </w:r>
      <w:r>
        <w:rPr>
          <w:strike/>
          <w:color w:val="1B9CAB"/>
        </w:rPr>
        <w:t>12.</w:t>
      </w:r>
      <w:r>
        <w:rPr>
          <w:strike w:val="0"/>
          <w:color w:val="1B9CAB"/>
        </w:rPr>
        <w:t>13.</w:t>
        <w:tab/>
      </w:r>
      <w:r>
        <w:rPr>
          <w:strike w:val="0"/>
          <w:color w:val="B5082E"/>
          <w:u w:val="single" w:color="B5082E"/>
        </w:rPr>
        <w:t>E</w:t>
      </w:r>
    </w:p>
    <w:p>
      <w:pPr>
        <w:pStyle w:val="BodyText"/>
        <w:ind w:left="1540" w:right="141"/>
      </w:pPr>
      <w:r>
        <w:rPr>
          <w:color w:val="B5082E"/>
          <w:u w:val="single" w:color="B5082E"/>
        </w:rPr>
        <w:t>nsure that all confidential, sensitive or personal information is encrypted in accordance with SAM 5350.1 and SIMM 5305-A, and at the necessary level of encryption for the data classification pursuant to SAM 5305.5.</w:t>
      </w:r>
      <w:r>
        <w:rPr>
          <w:strike/>
          <w:color w:val="B5082E"/>
        </w:rPr>
        <w:t>Maintain an exit strategy for IT projects that utilize a commercially available SaaS service model. The exit strategy includes the Agency’s/state entity’s ability to export data in pre- defined formats and maintaining, when needed, a current backup of the data in the Tier III-equivalent data center facility designated to the Agency/state entity by </w:t>
      </w:r>
      <w:r>
        <w:rPr>
          <w:strike/>
          <w:color w:val="B5082E"/>
          <w:u w:val="single" w:color="B5082E"/>
        </w:rPr>
        <w:t>SAM 4982.1 </w:t>
      </w:r>
      <w:r>
        <w:rPr>
          <w:strike/>
          <w:color w:val="B5082E"/>
        </w:rPr>
        <w:t>and unrelated to the cloud provider.</w:t>
      </w:r>
    </w:p>
    <w:p>
      <w:pPr>
        <w:pStyle w:val="ListParagraph"/>
        <w:numPr>
          <w:ilvl w:val="0"/>
          <w:numId w:val="6"/>
        </w:numPr>
        <w:tabs>
          <w:tab w:pos="1540" w:val="left" w:leader="none"/>
        </w:tabs>
        <w:spacing w:line="240" w:lineRule="auto" w:before="120" w:after="0"/>
        <w:ind w:left="1540" w:right="276" w:hanging="360"/>
        <w:jc w:val="left"/>
        <w:rPr>
          <w:sz w:val="24"/>
        </w:rPr>
      </w:pPr>
      <w:r>
        <w:rPr>
          <w:color w:val="B5082E"/>
          <w:sz w:val="24"/>
          <w:u w:val="single" w:color="B5082E"/>
        </w:rPr>
        <w:t>Ensure cloud service agreements include all of the DGS’ Cloud Computing Services Special Provisions, and all written agreements with cloud service providers address SAM 5305.8 provisions. </w:t>
      </w:r>
      <w:r>
        <w:rPr>
          <w:strike/>
          <w:color w:val="B5082E"/>
          <w:sz w:val="24"/>
        </w:rPr>
        <w:t>Maintain an effective incident response and mitigation capability for security and privacy incidents in accordance with </w:t>
      </w:r>
      <w:r>
        <w:rPr>
          <w:strike/>
          <w:color w:val="B5082E"/>
          <w:sz w:val="24"/>
          <w:u w:val="single" w:color="B5082E"/>
        </w:rPr>
        <w:t>SAM 5340</w:t>
      </w:r>
      <w:r>
        <w:rPr>
          <w:strike/>
          <w:color w:val="B5082E"/>
          <w:sz w:val="24"/>
        </w:rPr>
        <w:t>. Report suspected and actual security incidents in accordance with the criteria and procedures set forth in SIMM 5340-A and other applicable laws and</w:t>
      </w:r>
      <w:r>
        <w:rPr>
          <w:strike/>
          <w:color w:val="B5082E"/>
          <w:spacing w:val="-15"/>
          <w:sz w:val="24"/>
        </w:rPr>
        <w:t> </w:t>
      </w:r>
      <w:r>
        <w:rPr>
          <w:strike/>
          <w:color w:val="B5082E"/>
          <w:sz w:val="24"/>
        </w:rPr>
        <w:t>regulations.</w:t>
      </w:r>
    </w:p>
    <w:p>
      <w:pPr>
        <w:pStyle w:val="ListParagraph"/>
        <w:numPr>
          <w:ilvl w:val="0"/>
          <w:numId w:val="6"/>
        </w:numPr>
        <w:tabs>
          <w:tab w:pos="1540" w:val="left" w:leader="none"/>
        </w:tabs>
        <w:spacing w:line="240" w:lineRule="auto" w:before="120" w:after="0"/>
        <w:ind w:left="1540" w:right="238" w:hanging="360"/>
        <w:jc w:val="left"/>
        <w:rPr>
          <w:sz w:val="24"/>
        </w:rPr>
      </w:pPr>
      <w:r>
        <w:rPr>
          <w:color w:val="B5082E"/>
          <w:sz w:val="24"/>
          <w:u w:val="single" w:color="B5082E"/>
        </w:rPr>
        <w:t>Ensure that the physical location of the data center, where the data is stored, is within the continental United States, and remote access to data from outside the continental United States is prohibited unless approved in advance by the State Chief Information Security</w:t>
      </w:r>
      <w:r>
        <w:rPr>
          <w:color w:val="B5082E"/>
          <w:spacing w:val="-17"/>
          <w:sz w:val="24"/>
          <w:u w:val="single" w:color="B5082E"/>
        </w:rPr>
        <w:t> </w:t>
      </w:r>
      <w:r>
        <w:rPr>
          <w:color w:val="B5082E"/>
          <w:sz w:val="24"/>
          <w:u w:val="single" w:color="B5082E"/>
        </w:rPr>
        <w:t>Officer.</w:t>
      </w:r>
    </w:p>
    <w:p>
      <w:pPr>
        <w:pStyle w:val="ListParagraph"/>
        <w:numPr>
          <w:ilvl w:val="0"/>
          <w:numId w:val="6"/>
        </w:numPr>
        <w:tabs>
          <w:tab w:pos="1540" w:val="left" w:leader="none"/>
        </w:tabs>
        <w:spacing w:line="240" w:lineRule="auto" w:before="120" w:after="0"/>
        <w:ind w:left="1540" w:right="287" w:hanging="360"/>
        <w:jc w:val="left"/>
        <w:rPr>
          <w:sz w:val="24"/>
        </w:rPr>
      </w:pPr>
      <w:r>
        <w:rPr>
          <w:color w:val="B5082E"/>
          <w:sz w:val="24"/>
          <w:u w:val="single" w:color="B5082E"/>
        </w:rPr>
        <w:t>Maintain an exit strategy for IT solutions that utilizes a commercial and/or government cloud service. The exit strategy must include the Agency’s/state entity’s ability to export data in pre-defined formats and maintain, when needed, a current backup of the data in the Agency/state entity’s designated Tier III- equivalent data center facility. Designated data center facilities must be unrelated to the cloud provider; data center assignments are described in SAM 4982.1</w:t>
      </w:r>
    </w:p>
    <w:p>
      <w:pPr>
        <w:pStyle w:val="ListParagraph"/>
        <w:numPr>
          <w:ilvl w:val="0"/>
          <w:numId w:val="6"/>
        </w:numPr>
        <w:tabs>
          <w:tab w:pos="1540" w:val="left" w:leader="none"/>
        </w:tabs>
        <w:spacing w:line="240" w:lineRule="auto" w:before="120" w:after="0"/>
        <w:ind w:left="1540" w:right="249" w:hanging="360"/>
        <w:jc w:val="left"/>
        <w:rPr>
          <w:sz w:val="24"/>
        </w:rPr>
      </w:pPr>
      <w:r>
        <w:rPr>
          <w:color w:val="B5082E"/>
          <w:sz w:val="24"/>
          <w:u w:val="single" w:color="B5082E"/>
        </w:rPr>
        <w:t>Maintain an effective incident response and mitigation capability for security and privacy incidents in accordance with SAM 5340. Report suspected and actual security incidents in accordance with the criteria and procedures set forth in SIMM </w:t>
      </w:r>
      <w:hyperlink r:id="rId67">
        <w:r>
          <w:rPr>
            <w:color w:val="B5082E"/>
            <w:sz w:val="24"/>
            <w:u w:val="single" w:color="B5082E"/>
          </w:rPr>
          <w:t>5340-A</w:t>
        </w:r>
      </w:hyperlink>
      <w:r>
        <w:rPr>
          <w:color w:val="B5082E"/>
          <w:sz w:val="24"/>
          <w:u w:val="single" w:color="B5082E"/>
        </w:rPr>
        <w:t> and other applicable laws and</w:t>
      </w:r>
      <w:r>
        <w:rPr>
          <w:color w:val="B5082E"/>
          <w:spacing w:val="-28"/>
          <w:sz w:val="24"/>
          <w:u w:val="single" w:color="B5082E"/>
        </w:rPr>
        <w:t> </w:t>
      </w:r>
      <w:r>
        <w:rPr>
          <w:color w:val="B5082E"/>
          <w:sz w:val="24"/>
          <w:u w:val="single" w:color="B5082E"/>
        </w:rPr>
        <w:t>regulations.</w:t>
      </w:r>
    </w:p>
    <w:p>
      <w:pPr>
        <w:spacing w:after="0" w:line="240" w:lineRule="auto"/>
        <w:jc w:val="left"/>
        <w:rPr>
          <w:sz w:val="24"/>
        </w:rPr>
        <w:sectPr>
          <w:pgSz w:w="12240" w:h="15840"/>
          <w:pgMar w:header="714" w:footer="1061" w:top="1240" w:bottom="1260" w:left="620" w:right="1340"/>
        </w:sectPr>
      </w:pPr>
    </w:p>
    <w:p>
      <w:pPr>
        <w:pStyle w:val="BodyText"/>
        <w:rPr>
          <w:sz w:val="20"/>
        </w:rPr>
      </w:pPr>
    </w:p>
    <w:p>
      <w:pPr>
        <w:spacing w:before="214"/>
        <w:ind w:left="805" w:right="0" w:firstLine="0"/>
        <w:jc w:val="left"/>
        <w:rPr>
          <w:b/>
          <w:sz w:val="24"/>
        </w:rPr>
      </w:pPr>
      <w:bookmarkStart w:name="6806 Track edited" w:id="12"/>
      <w:bookmarkEnd w:id="12"/>
      <w:r>
        <w:rPr/>
      </w:r>
      <w:r>
        <w:rPr>
          <w:b/>
          <w:sz w:val="24"/>
        </w:rPr>
        <w:t>CAPITAL OUTLAY VERSUS STATE OPERATIONS AND</w:t>
      </w:r>
    </w:p>
    <w:p>
      <w:pPr>
        <w:tabs>
          <w:tab w:pos="9647" w:val="left" w:leader="none"/>
        </w:tabs>
        <w:spacing w:before="21"/>
        <w:ind w:left="805" w:right="0" w:firstLine="0"/>
        <w:jc w:val="left"/>
        <w:rPr>
          <w:b/>
          <w:sz w:val="24"/>
        </w:rPr>
      </w:pPr>
      <w:r>
        <w:rPr>
          <w:b/>
          <w:sz w:val="24"/>
        </w:rPr>
        <w:t>LOCAL</w:t>
      </w:r>
      <w:r>
        <w:rPr>
          <w:b/>
          <w:spacing w:val="-1"/>
          <w:sz w:val="24"/>
        </w:rPr>
        <w:t> </w:t>
      </w:r>
      <w:r>
        <w:rPr>
          <w:b/>
          <w:sz w:val="24"/>
        </w:rPr>
        <w:t>ASSISTANCE</w:t>
        <w:tab/>
        <w:t>6806</w:t>
      </w:r>
    </w:p>
    <w:p>
      <w:pPr>
        <w:pStyle w:val="BodyText"/>
        <w:spacing w:before="21"/>
        <w:ind w:left="805"/>
      </w:pPr>
      <w:r>
        <w:rPr/>
        <w:pict>
          <v:line style="position:absolute;mso-position-horizontal-relative:page;mso-position-vertical-relative:paragraph;z-index:1912" from="36.360001pt,1.145886pt" to="36.360001pt,20.945886pt" stroked="true" strokeweight=".72pt" strokecolor="#000000">
            <v:stroke dashstyle="solid"/>
            <w10:wrap type="none"/>
          </v:line>
        </w:pict>
      </w:r>
      <w:r>
        <w:rPr/>
        <w:t>(Revised </w:t>
      </w:r>
      <w:r>
        <w:rPr>
          <w:strike/>
          <w:color w:val="B5082E"/>
        </w:rPr>
        <w:t>5/1998</w:t>
      </w:r>
      <w:r>
        <w:rPr>
          <w:strike/>
          <w:color w:val="B5082E"/>
          <w:u w:val="single" w:color="2E97D3"/>
        </w:rPr>
        <w:t>8</w:t>
      </w:r>
      <w:r>
        <w:rPr>
          <w:strike w:val="0"/>
          <w:color w:val="B5082E"/>
          <w:u w:val="single" w:color="2E97D3"/>
        </w:rPr>
        <w:t>9</w:t>
      </w:r>
      <w:r>
        <w:rPr>
          <w:strike w:val="0"/>
          <w:color w:val="2E97D3"/>
          <w:u w:val="single" w:color="2E97D3"/>
        </w:rPr>
        <w:t>/2017</w:t>
      </w:r>
      <w:r>
        <w:rPr>
          <w:strike w:val="0"/>
        </w:rPr>
        <w:t>)</w:t>
      </w:r>
    </w:p>
    <w:p>
      <w:pPr>
        <w:pStyle w:val="BodyText"/>
        <w:spacing w:line="247" w:lineRule="auto" w:before="120"/>
        <w:ind w:left="815" w:right="283" w:hanging="10"/>
      </w:pPr>
      <w:r>
        <w:rPr/>
        <w:t>The state appropriates funds in three broad classifications—state operations (support), local assistance, and capital outlay—referred to as the </w:t>
      </w:r>
      <w:r>
        <w:rPr>
          <w:i/>
        </w:rPr>
        <w:t>character of appropriation</w:t>
      </w:r>
      <w:r>
        <w:rPr/>
        <w:t>.</w:t>
      </w:r>
    </w:p>
    <w:p>
      <w:pPr>
        <w:pStyle w:val="BodyText"/>
        <w:spacing w:line="249" w:lineRule="auto" w:before="4"/>
        <w:ind w:left="815" w:right="274"/>
      </w:pPr>
      <w:r>
        <w:rPr/>
        <w:pict>
          <v:line style="position:absolute;mso-position-horizontal-relative:page;mso-position-vertical-relative:paragraph;z-index:1936" from="36.360001pt,14.575845pt" to="36.360001pt,48.775845pt" stroked="true" strokeweight=".72pt" strokecolor="#000000">
            <v:stroke dashstyle="solid"/>
            <w10:wrap type="none"/>
          </v:line>
        </w:pict>
      </w:r>
      <w:r>
        <w:rPr/>
        <w:t>Unless statutory language specifically allows otherwise, once budgeted as one of the three characters, a program or activity </w:t>
      </w:r>
      <w:r>
        <w:rPr>
          <w:strike/>
          <w:color w:val="2E97D3"/>
        </w:rPr>
        <w:t>must </w:t>
      </w:r>
      <w:r>
        <w:rPr>
          <w:strike w:val="0"/>
          <w:color w:val="2E97D3"/>
          <w:u w:val="single" w:color="2E97D3"/>
        </w:rPr>
        <w:t>should generally </w:t>
      </w:r>
      <w:r>
        <w:rPr>
          <w:strike w:val="0"/>
        </w:rPr>
        <w:t>follow that classification’s expenditure rules.</w:t>
      </w:r>
    </w:p>
    <w:p>
      <w:pPr>
        <w:pStyle w:val="BodyText"/>
        <w:spacing w:line="249" w:lineRule="auto" w:before="109"/>
        <w:ind w:left="815" w:right="189" w:hanging="10"/>
      </w:pPr>
      <w:r>
        <w:rPr/>
        <w:t>Infrastructure management uses all three characters of appropriation, depending on the activity. The general rule is that the acquisition/creation/renovation of real assets is classified as capital outlay if the state holds ownership. Operation and maintenance of state real assets is classified as state operations. State-funded but locally-owned infrastructure is classified as local assistance.</w:t>
      </w:r>
    </w:p>
    <w:p>
      <w:pPr>
        <w:pStyle w:val="BodyText"/>
        <w:spacing w:line="249" w:lineRule="auto" w:before="111"/>
        <w:ind w:left="815" w:right="109" w:hanging="10"/>
      </w:pPr>
      <w:r>
        <w:rPr/>
        <w:t>Certain types of leasing activities—called capitalized leasing—which are funded as state operations can also result in a capital acquisition. As used in this chapter, the term </w:t>
      </w:r>
      <w:r>
        <w:rPr>
          <w:i/>
        </w:rPr>
        <w:t>capitalized assets </w:t>
      </w:r>
      <w:r>
        <w:rPr/>
        <w:t>covers both traditional capital outlay as well as capitalized leasing. (Reminder: Capitalized assets are to be reported to the DGS Statewide Property Inventory [SPI] Unit for inclusion in the SPI.)</w:t>
      </w:r>
    </w:p>
    <w:p>
      <w:pPr>
        <w:spacing w:line="249" w:lineRule="auto" w:before="111"/>
        <w:ind w:left="815" w:right="189" w:hanging="10"/>
        <w:jc w:val="left"/>
        <w:rPr>
          <w:sz w:val="24"/>
        </w:rPr>
      </w:pPr>
      <w:r>
        <w:rPr>
          <w:b/>
          <w:sz w:val="24"/>
        </w:rPr>
        <w:t>Exception to the prohibition against using support funds for capital outlay</w:t>
      </w:r>
      <w:r>
        <w:rPr>
          <w:sz w:val="24"/>
        </w:rPr>
        <w:t>: Section 6.00 of the Budget Act provides a limited exception to the rule that support funds may not be used for capital outlay purposes. This section allows up to $35,000 of support funds to be encumbered for preliminary plans, working drawings, or construction of any project for the </w:t>
      </w:r>
      <w:r>
        <w:rPr>
          <w:i/>
          <w:sz w:val="24"/>
        </w:rPr>
        <w:t>alteration of a state-owned facility </w:t>
      </w:r>
      <w:r>
        <w:rPr>
          <w:sz w:val="24"/>
        </w:rPr>
        <w:t>(Section 6.00 does not apply to leased facilities).  This amount may be exceeded only</w:t>
      </w:r>
      <w:r>
        <w:rPr>
          <w:spacing w:val="-33"/>
          <w:sz w:val="24"/>
        </w:rPr>
        <w:t> </w:t>
      </w:r>
      <w:r>
        <w:rPr>
          <w:sz w:val="24"/>
        </w:rPr>
        <w:t>if:</w:t>
      </w:r>
    </w:p>
    <w:p>
      <w:pPr>
        <w:pStyle w:val="ListParagraph"/>
        <w:numPr>
          <w:ilvl w:val="0"/>
          <w:numId w:val="7"/>
        </w:numPr>
        <w:tabs>
          <w:tab w:pos="1180" w:val="left" w:leader="none"/>
        </w:tabs>
        <w:spacing w:line="247" w:lineRule="auto" w:before="111" w:after="0"/>
        <w:ind w:left="1180" w:right="499" w:hanging="360"/>
        <w:jc w:val="left"/>
        <w:rPr>
          <w:i/>
          <w:sz w:val="24"/>
        </w:rPr>
      </w:pPr>
      <w:r>
        <w:rPr>
          <w:sz w:val="24"/>
        </w:rPr>
        <w:t>DOF determines the proposed alteration is critical and the use of a higher level of support funds is necessary;</w:t>
      </w:r>
      <w:r>
        <w:rPr>
          <w:spacing w:val="-15"/>
          <w:sz w:val="24"/>
        </w:rPr>
        <w:t> </w:t>
      </w:r>
      <w:r>
        <w:rPr>
          <w:i/>
          <w:sz w:val="24"/>
        </w:rPr>
        <w:t>and</w:t>
      </w:r>
    </w:p>
    <w:p>
      <w:pPr>
        <w:pStyle w:val="ListParagraph"/>
        <w:numPr>
          <w:ilvl w:val="0"/>
          <w:numId w:val="7"/>
        </w:numPr>
        <w:tabs>
          <w:tab w:pos="1180" w:val="left" w:leader="none"/>
        </w:tabs>
        <w:spacing w:line="240" w:lineRule="auto" w:before="116" w:after="0"/>
        <w:ind w:left="1180" w:right="0" w:hanging="360"/>
        <w:jc w:val="left"/>
        <w:rPr>
          <w:sz w:val="24"/>
        </w:rPr>
      </w:pPr>
      <w:r>
        <w:rPr>
          <w:sz w:val="24"/>
        </w:rPr>
        <w:t>The maximum cost of the project does not exceed</w:t>
      </w:r>
      <w:r>
        <w:rPr>
          <w:spacing w:val="-25"/>
          <w:sz w:val="24"/>
        </w:rPr>
        <w:t> </w:t>
      </w:r>
      <w:r>
        <w:rPr>
          <w:sz w:val="24"/>
        </w:rPr>
        <w:t>$250,000.</w:t>
      </w:r>
    </w:p>
    <w:p>
      <w:pPr>
        <w:pStyle w:val="BodyText"/>
        <w:spacing w:before="7"/>
        <w:rPr>
          <w:sz w:val="20"/>
        </w:rPr>
      </w:pPr>
    </w:p>
    <w:p>
      <w:pPr>
        <w:pStyle w:val="BodyText"/>
        <w:spacing w:line="249" w:lineRule="auto"/>
        <w:ind w:left="815" w:right="163" w:hanging="10"/>
      </w:pPr>
      <w:r>
        <w:rPr/>
        <w:t>DOF must notify the Legislature not less than 30 days in advance when approving more than $35,000 in support funding for a capital project. Section 6807 on minor capital outlay describes the approval process for projects of more than $35,000.</w:t>
      </w:r>
    </w:p>
    <w:p>
      <w:pPr>
        <w:spacing w:line="247" w:lineRule="auto" w:before="111"/>
        <w:ind w:left="815" w:right="283" w:hanging="10"/>
        <w:jc w:val="left"/>
        <w:rPr>
          <w:sz w:val="24"/>
        </w:rPr>
      </w:pPr>
      <w:r>
        <w:rPr>
          <w:b/>
          <w:sz w:val="24"/>
        </w:rPr>
        <w:t>Guidelines for determining character of appropriation: </w:t>
      </w:r>
      <w:r>
        <w:rPr>
          <w:sz w:val="24"/>
        </w:rPr>
        <w:t>The following discussion and table are intended as a guide to assist departments in determining whether an activity should be budgeted as capital outlay, support, or local assistance.</w:t>
      </w:r>
    </w:p>
    <w:p>
      <w:pPr>
        <w:pStyle w:val="BodyText"/>
        <w:spacing w:before="3"/>
        <w:rPr>
          <w:sz w:val="23"/>
        </w:rPr>
      </w:pPr>
    </w:p>
    <w:p>
      <w:pPr>
        <w:spacing w:line="249" w:lineRule="auto" w:before="0"/>
        <w:ind w:left="815" w:right="189" w:hanging="10"/>
        <w:jc w:val="left"/>
        <w:rPr>
          <w:sz w:val="24"/>
        </w:rPr>
      </w:pPr>
      <w:r>
        <w:rPr>
          <w:b/>
          <w:sz w:val="24"/>
        </w:rPr>
        <w:t>Capital outlay: </w:t>
      </w:r>
      <w:r>
        <w:rPr>
          <w:sz w:val="24"/>
        </w:rPr>
        <w:t>Section 3.00 of the Budget Act defines capital outlay as “acquisition of land or other real property, major construction, improvements, equipment, designs, working plans, specifications, repairs, and equipment </w:t>
      </w:r>
      <w:r>
        <w:rPr>
          <w:i/>
          <w:sz w:val="24"/>
        </w:rPr>
        <w:t>necessary in connection with a </w:t>
      </w:r>
      <w:r>
        <w:rPr>
          <w:i/>
          <w:sz w:val="24"/>
        </w:rPr>
        <w:t>construction or improvement project” </w:t>
      </w:r>
      <w:r>
        <w:rPr>
          <w:sz w:val="24"/>
        </w:rPr>
        <w:t>(emphasis added). Administratively, capital outlay is defined as:</w:t>
      </w:r>
    </w:p>
    <w:p>
      <w:pPr>
        <w:pStyle w:val="ListParagraph"/>
        <w:numPr>
          <w:ilvl w:val="0"/>
          <w:numId w:val="8"/>
        </w:numPr>
        <w:tabs>
          <w:tab w:pos="1180" w:val="left" w:leader="none"/>
        </w:tabs>
        <w:spacing w:line="240" w:lineRule="auto" w:before="111" w:after="0"/>
        <w:ind w:left="1180" w:right="0" w:hanging="360"/>
        <w:jc w:val="left"/>
        <w:rPr>
          <w:sz w:val="24"/>
        </w:rPr>
      </w:pPr>
      <w:r>
        <w:rPr>
          <w:sz w:val="24"/>
        </w:rPr>
        <w:t>Any real property acquisition or new</w:t>
      </w:r>
      <w:r>
        <w:rPr>
          <w:spacing w:val="-24"/>
          <w:sz w:val="24"/>
        </w:rPr>
        <w:t> </w:t>
      </w:r>
      <w:r>
        <w:rPr>
          <w:sz w:val="24"/>
        </w:rPr>
        <w:t>construction.</w:t>
      </w:r>
    </w:p>
    <w:p>
      <w:pPr>
        <w:spacing w:after="0" w:line="240" w:lineRule="auto"/>
        <w:jc w:val="left"/>
        <w:rPr>
          <w:sz w:val="24"/>
        </w:rPr>
        <w:sectPr>
          <w:headerReference w:type="default" r:id="rId68"/>
          <w:footerReference w:type="default" r:id="rId69"/>
          <w:pgSz w:w="12240" w:h="15840"/>
          <w:pgMar w:header="731" w:footer="814" w:top="980" w:bottom="1000" w:left="620" w:right="1320"/>
        </w:sectPr>
      </w:pPr>
    </w:p>
    <w:p>
      <w:pPr>
        <w:pStyle w:val="BodyText"/>
        <w:rPr>
          <w:sz w:val="20"/>
        </w:rPr>
      </w:pPr>
    </w:p>
    <w:p>
      <w:pPr>
        <w:pStyle w:val="BodyText"/>
        <w:spacing w:before="5"/>
        <w:rPr>
          <w:sz w:val="20"/>
        </w:rPr>
      </w:pPr>
    </w:p>
    <w:p>
      <w:pPr>
        <w:pStyle w:val="BodyText"/>
        <w:ind w:left="820"/>
      </w:pPr>
      <w:r>
        <w:rPr/>
        <w:t>(Continued)</w:t>
      </w:r>
    </w:p>
    <w:p>
      <w:pPr>
        <w:pStyle w:val="BodyText"/>
        <w:spacing w:before="7"/>
        <w:rPr>
          <w:sz w:val="19"/>
        </w:rPr>
      </w:pPr>
    </w:p>
    <w:p>
      <w:pPr>
        <w:spacing w:before="93"/>
        <w:ind w:left="0" w:right="125" w:firstLine="0"/>
        <w:jc w:val="right"/>
        <w:rPr>
          <w:sz w:val="24"/>
        </w:rPr>
      </w:pPr>
      <w:r>
        <w:rPr>
          <w:b/>
          <w:sz w:val="24"/>
        </w:rPr>
        <w:t>6806 </w:t>
      </w:r>
      <w:r>
        <w:rPr>
          <w:sz w:val="24"/>
        </w:rPr>
        <w:t>(Cont. 1)</w:t>
      </w:r>
    </w:p>
    <w:p>
      <w:pPr>
        <w:pStyle w:val="BodyText"/>
        <w:spacing w:before="19"/>
        <w:ind w:left="805"/>
      </w:pPr>
      <w:r>
        <w:rPr/>
        <w:t>(Continued)</w:t>
      </w:r>
    </w:p>
    <w:p>
      <w:pPr>
        <w:pStyle w:val="Heading1"/>
        <w:spacing w:line="261" w:lineRule="auto" w:before="21"/>
        <w:ind w:left="805" w:right="3194"/>
      </w:pPr>
      <w:r>
        <w:rPr/>
        <w:pict>
          <v:line style="position:absolute;mso-position-horizontal-relative:page;mso-position-vertical-relative:paragraph;z-index:1960" from="36.360001pt,31.025854pt" to="36.360001pt,50.825854pt" stroked="true" strokeweight=".72pt" strokecolor="#000000">
            <v:stroke dashstyle="solid"/>
            <w10:wrap type="none"/>
          </v:line>
        </w:pict>
      </w:r>
      <w:r>
        <w:rPr/>
        <w:t>CAPITAL OUTLAY VERSUS STATE OPERATIONS AND LOCAL ASSISTANCE</w:t>
      </w:r>
    </w:p>
    <w:p>
      <w:pPr>
        <w:pStyle w:val="BodyText"/>
        <w:spacing w:line="273" w:lineRule="exact"/>
        <w:ind w:left="805"/>
      </w:pPr>
      <w:r>
        <w:rPr/>
        <w:t>(Revised </w:t>
      </w:r>
      <w:r>
        <w:rPr>
          <w:strike/>
          <w:color w:val="2E97D3"/>
        </w:rPr>
        <w:t>5/1998</w:t>
      </w:r>
      <w:r>
        <w:rPr>
          <w:strike/>
          <w:color w:val="B5082E"/>
          <w:u w:val="single" w:color="2E97D3"/>
        </w:rPr>
        <w:t>8</w:t>
      </w:r>
      <w:r>
        <w:rPr>
          <w:strike w:val="0"/>
          <w:color w:val="B5082E"/>
          <w:u w:val="single" w:color="2E97D3"/>
        </w:rPr>
        <w:t>9</w:t>
      </w:r>
      <w:r>
        <w:rPr>
          <w:strike w:val="0"/>
          <w:color w:val="2E97D3"/>
          <w:u w:val="single" w:color="2E97D3"/>
        </w:rPr>
        <w:t>/2017</w:t>
      </w:r>
      <w:r>
        <w:rPr>
          <w:strike w:val="0"/>
        </w:rPr>
        <w:t>)</w:t>
      </w:r>
    </w:p>
    <w:p>
      <w:pPr>
        <w:pStyle w:val="ListParagraph"/>
        <w:numPr>
          <w:ilvl w:val="0"/>
          <w:numId w:val="8"/>
        </w:numPr>
        <w:tabs>
          <w:tab w:pos="1180" w:val="left" w:leader="none"/>
        </w:tabs>
        <w:spacing w:line="249" w:lineRule="auto" w:before="120" w:after="0"/>
        <w:ind w:left="1180" w:right="179" w:hanging="360"/>
        <w:jc w:val="left"/>
        <w:rPr>
          <w:sz w:val="24"/>
        </w:rPr>
      </w:pPr>
      <w:r>
        <w:rPr>
          <w:sz w:val="24"/>
        </w:rPr>
        <w:t>Any alteration, renovation, addition or betterment (including interior asbestos removal/remodeling) which extends the design life or alters/upgrades the function of a</w:t>
      </w:r>
      <w:r>
        <w:rPr>
          <w:spacing w:val="-4"/>
          <w:sz w:val="24"/>
        </w:rPr>
        <w:t> </w:t>
      </w:r>
      <w:r>
        <w:rPr>
          <w:sz w:val="24"/>
        </w:rPr>
        <w:t>structure.</w:t>
      </w:r>
    </w:p>
    <w:p>
      <w:pPr>
        <w:pStyle w:val="ListParagraph"/>
        <w:numPr>
          <w:ilvl w:val="1"/>
          <w:numId w:val="8"/>
        </w:numPr>
        <w:tabs>
          <w:tab w:pos="1540" w:val="left" w:leader="none"/>
        </w:tabs>
        <w:spacing w:line="247" w:lineRule="auto" w:before="231" w:after="0"/>
        <w:ind w:left="1540" w:right="537" w:hanging="360"/>
        <w:jc w:val="left"/>
        <w:rPr>
          <w:sz w:val="24"/>
        </w:rPr>
      </w:pPr>
      <w:r>
        <w:rPr>
          <w:sz w:val="24"/>
        </w:rPr>
        <w:t>This does not include repairs and maintenance, which are intended to keep a facility functional at its </w:t>
      </w:r>
      <w:r>
        <w:rPr>
          <w:i/>
          <w:sz w:val="24"/>
        </w:rPr>
        <w:t>designed </w:t>
      </w:r>
      <w:r>
        <w:rPr>
          <w:sz w:val="24"/>
        </w:rPr>
        <w:t>level of services and life</w:t>
      </w:r>
      <w:r>
        <w:rPr>
          <w:spacing w:val="-36"/>
          <w:sz w:val="24"/>
        </w:rPr>
        <w:t> </w:t>
      </w:r>
      <w:r>
        <w:rPr>
          <w:sz w:val="24"/>
        </w:rPr>
        <w:t>expectancy.</w:t>
      </w:r>
    </w:p>
    <w:p>
      <w:pPr>
        <w:pStyle w:val="BodyText"/>
        <w:spacing w:before="2"/>
        <w:rPr>
          <w:sz w:val="26"/>
        </w:rPr>
      </w:pPr>
    </w:p>
    <w:p>
      <w:pPr>
        <w:pStyle w:val="ListParagraph"/>
        <w:numPr>
          <w:ilvl w:val="1"/>
          <w:numId w:val="8"/>
        </w:numPr>
        <w:tabs>
          <w:tab w:pos="1540" w:val="left" w:leader="none"/>
        </w:tabs>
        <w:spacing w:line="249" w:lineRule="auto" w:before="0" w:after="0"/>
        <w:ind w:left="1540" w:right="419" w:hanging="360"/>
        <w:jc w:val="left"/>
        <w:rPr>
          <w:i/>
          <w:sz w:val="24"/>
        </w:rPr>
      </w:pPr>
      <w:r>
        <w:rPr>
          <w:sz w:val="24"/>
        </w:rPr>
        <w:t>“Alteration” means any modification of existing space (buildings, structures or other facilities) that changes the use as to function, layout, capacity, or quality. Typical alterations include demolition of fixed partitions and/or construction of new fixed partitions or initial installation of carpeting and movable partitions. </w:t>
      </w:r>
      <w:r>
        <w:rPr>
          <w:i/>
          <w:sz w:val="24"/>
        </w:rPr>
        <w:t>However, there are two instances in which alterations may be done with state </w:t>
      </w:r>
      <w:r>
        <w:rPr>
          <w:i/>
          <w:sz w:val="24"/>
        </w:rPr>
        <w:t>operations</w:t>
      </w:r>
      <w:r>
        <w:rPr>
          <w:i/>
          <w:spacing w:val="-10"/>
          <w:sz w:val="24"/>
        </w:rPr>
        <w:t> </w:t>
      </w:r>
      <w:r>
        <w:rPr>
          <w:i/>
          <w:sz w:val="24"/>
        </w:rPr>
        <w:t>funding:</w:t>
      </w:r>
    </w:p>
    <w:p>
      <w:pPr>
        <w:pStyle w:val="BodyText"/>
        <w:spacing w:before="11"/>
        <w:rPr>
          <w:i/>
          <w:sz w:val="25"/>
        </w:rPr>
      </w:pPr>
    </w:p>
    <w:p>
      <w:pPr>
        <w:pStyle w:val="ListParagraph"/>
        <w:numPr>
          <w:ilvl w:val="2"/>
          <w:numId w:val="8"/>
        </w:numPr>
        <w:tabs>
          <w:tab w:pos="1900" w:val="left" w:leader="none"/>
        </w:tabs>
        <w:spacing w:line="249" w:lineRule="auto" w:before="0" w:after="0"/>
        <w:ind w:left="1900" w:right="270" w:hanging="360"/>
        <w:jc w:val="left"/>
        <w:rPr>
          <w:sz w:val="24"/>
        </w:rPr>
      </w:pPr>
      <w:r>
        <w:rPr>
          <w:sz w:val="24"/>
        </w:rPr>
        <w:t>In a leased space situation, the landlord generally makes the alterations and amortizes them through the lease. The lease, including increases for amortized alterations or lump-sum payment for alterations, is a state operations expense subject to the support budget review process;</w:t>
      </w:r>
      <w:r>
        <w:rPr>
          <w:spacing w:val="-35"/>
          <w:sz w:val="24"/>
        </w:rPr>
        <w:t> </w:t>
      </w:r>
      <w:r>
        <w:rPr>
          <w:sz w:val="24"/>
        </w:rPr>
        <w:t>and</w:t>
      </w:r>
    </w:p>
    <w:p>
      <w:pPr>
        <w:pStyle w:val="BodyText"/>
        <w:spacing w:before="9"/>
        <w:rPr>
          <w:sz w:val="25"/>
        </w:rPr>
      </w:pPr>
    </w:p>
    <w:p>
      <w:pPr>
        <w:pStyle w:val="ListParagraph"/>
        <w:numPr>
          <w:ilvl w:val="2"/>
          <w:numId w:val="8"/>
        </w:numPr>
        <w:tabs>
          <w:tab w:pos="1900" w:val="left" w:leader="none"/>
        </w:tabs>
        <w:spacing w:line="249" w:lineRule="auto" w:before="0" w:after="0"/>
        <w:ind w:left="1900" w:right="352" w:hanging="360"/>
        <w:jc w:val="left"/>
        <w:rPr>
          <w:sz w:val="24"/>
        </w:rPr>
      </w:pPr>
      <w:r>
        <w:rPr>
          <w:sz w:val="24"/>
        </w:rPr>
        <w:t>As noted in preceding text, Section 6.00 of the Budget Act allows the use of the support appropriation for alterations, within specified</w:t>
      </w:r>
      <w:r>
        <w:rPr>
          <w:spacing w:val="-31"/>
          <w:sz w:val="24"/>
        </w:rPr>
        <w:t> </w:t>
      </w:r>
      <w:r>
        <w:rPr>
          <w:sz w:val="24"/>
        </w:rPr>
        <w:t>limits.</w:t>
      </w:r>
    </w:p>
    <w:p>
      <w:pPr>
        <w:pStyle w:val="BodyText"/>
        <w:spacing w:before="9"/>
        <w:rPr>
          <w:sz w:val="25"/>
        </w:rPr>
      </w:pPr>
    </w:p>
    <w:p>
      <w:pPr>
        <w:pStyle w:val="BodyText"/>
        <w:spacing w:line="249" w:lineRule="auto"/>
        <w:ind w:left="815" w:right="83" w:hanging="10"/>
      </w:pPr>
      <w:r>
        <w:rPr/>
        <w:t>“Betterment” means any modification that increases the designed level of services or life expectancy of a facility or other state infrastructure (e.g. seismic improvements, upgrades, etc.).</w:t>
      </w:r>
    </w:p>
    <w:p>
      <w:pPr>
        <w:pStyle w:val="ListParagraph"/>
        <w:numPr>
          <w:ilvl w:val="0"/>
          <w:numId w:val="8"/>
        </w:numPr>
        <w:tabs>
          <w:tab w:pos="1180" w:val="left" w:leader="none"/>
        </w:tabs>
        <w:spacing w:line="247" w:lineRule="auto" w:before="109" w:after="0"/>
        <w:ind w:left="1180" w:right="658" w:hanging="360"/>
        <w:jc w:val="left"/>
        <w:rPr>
          <w:sz w:val="24"/>
        </w:rPr>
      </w:pPr>
      <w:r>
        <w:rPr>
          <w:sz w:val="24"/>
        </w:rPr>
        <w:t>Fixed and movable equipment needed for initial occupancy of a new facility or space, but usually only if the new facility is not replacing an existing facility (see 6806 Illustration). Fixed equipment is referred to as </w:t>
      </w:r>
      <w:r>
        <w:rPr>
          <w:i/>
          <w:sz w:val="24"/>
        </w:rPr>
        <w:t>Group 1 </w:t>
      </w:r>
      <w:r>
        <w:rPr>
          <w:sz w:val="24"/>
        </w:rPr>
        <w:t>equipment, and movable equipment is referred to as </w:t>
      </w:r>
      <w:r>
        <w:rPr>
          <w:i/>
          <w:sz w:val="24"/>
        </w:rPr>
        <w:t>Group 2 </w:t>
      </w:r>
      <w:r>
        <w:rPr>
          <w:sz w:val="24"/>
        </w:rPr>
        <w:t>equipment (Section</w:t>
      </w:r>
      <w:r>
        <w:rPr>
          <w:spacing w:val="-31"/>
          <w:sz w:val="24"/>
        </w:rPr>
        <w:t> </w:t>
      </w:r>
      <w:r>
        <w:rPr>
          <w:sz w:val="24"/>
        </w:rPr>
        <w:t>6855).</w:t>
      </w:r>
    </w:p>
    <w:p>
      <w:pPr>
        <w:pStyle w:val="BodyText"/>
        <w:spacing w:before="8"/>
        <w:rPr>
          <w:sz w:val="20"/>
        </w:rPr>
      </w:pPr>
    </w:p>
    <w:p>
      <w:pPr>
        <w:pStyle w:val="BodyText"/>
        <w:spacing w:before="1"/>
        <w:ind w:left="805"/>
      </w:pPr>
      <w:r>
        <w:rPr/>
        <w:t>(Continued)</w:t>
      </w:r>
    </w:p>
    <w:p>
      <w:pPr>
        <w:spacing w:after="0"/>
        <w:sectPr>
          <w:pgSz w:w="12240" w:h="15840"/>
          <w:pgMar w:header="731" w:footer="814" w:top="980" w:bottom="1000" w:left="620" w:right="1360"/>
        </w:sectPr>
      </w:pPr>
    </w:p>
    <w:p>
      <w:pPr>
        <w:pStyle w:val="BodyText"/>
        <w:ind w:left="805"/>
      </w:pPr>
      <w:r>
        <w:rPr/>
        <w:t>(Revised </w:t>
      </w:r>
      <w:r>
        <w:rPr>
          <w:strike/>
          <w:color w:val="2E97D3"/>
        </w:rPr>
        <w:t>5/1998</w:t>
      </w:r>
      <w:r>
        <w:rPr>
          <w:strike/>
          <w:color w:val="B5082E"/>
          <w:u w:val="single" w:color="2E97D3"/>
        </w:rPr>
        <w:t>8</w:t>
      </w:r>
      <w:r>
        <w:rPr>
          <w:strike w:val="0"/>
          <w:color w:val="B5082E"/>
          <w:u w:val="single" w:color="2E97D3"/>
        </w:rPr>
        <w:t>9</w:t>
      </w:r>
      <w:r>
        <w:rPr>
          <w:strike w:val="0"/>
          <w:color w:val="2E97D3"/>
          <w:u w:val="single" w:color="2E97D3"/>
        </w:rPr>
        <w:t>/2017</w:t>
      </w:r>
      <w:r>
        <w:rPr>
          <w:strike w:val="0"/>
        </w:rPr>
        <w:t>)</w:t>
      </w:r>
    </w:p>
    <w:p>
      <w:pPr>
        <w:pStyle w:val="BodyText"/>
        <w:spacing w:before="7"/>
        <w:rPr>
          <w:sz w:val="34"/>
        </w:rPr>
      </w:pPr>
    </w:p>
    <w:p>
      <w:pPr>
        <w:pStyle w:val="ListParagraph"/>
        <w:numPr>
          <w:ilvl w:val="0"/>
          <w:numId w:val="8"/>
        </w:numPr>
        <w:tabs>
          <w:tab w:pos="1180" w:val="left" w:leader="none"/>
        </w:tabs>
        <w:spacing w:line="247" w:lineRule="auto" w:before="0" w:after="0"/>
        <w:ind w:left="1180" w:right="329" w:hanging="360"/>
        <w:jc w:val="left"/>
        <w:rPr>
          <w:sz w:val="24"/>
        </w:rPr>
      </w:pPr>
      <w:r>
        <w:rPr>
          <w:sz w:val="24"/>
        </w:rPr>
        <w:t>A lease-purchase (installment payment) agreement because equity is built as payments are made. Although the actual lease payments will be budgeted in state operations, the transaction is a capitalized assets</w:t>
      </w:r>
      <w:r>
        <w:rPr>
          <w:spacing w:val="-32"/>
          <w:sz w:val="24"/>
        </w:rPr>
        <w:t> </w:t>
      </w:r>
      <w:r>
        <w:rPr>
          <w:sz w:val="24"/>
        </w:rPr>
        <w:t>acquisition.</w:t>
      </w:r>
    </w:p>
    <w:p>
      <w:pPr>
        <w:pStyle w:val="BodyText"/>
        <w:spacing w:line="249" w:lineRule="auto" w:before="234"/>
        <w:ind w:left="1165" w:right="208"/>
      </w:pPr>
      <w:r>
        <w:rPr/>
        <w:t>All planned lease-purchases, whether authorized through the budget or special legislation, must be included in the department’s five-year capitalized assets plan. If the lease-purchase will be authorized through the Budget Act, a COBCP is required to verify economic benefits, </w:t>
      </w:r>
      <w:r>
        <w:rPr>
          <w:i/>
        </w:rPr>
        <w:t>whether or not there is a related support BCP for lease </w:t>
      </w:r>
      <w:r>
        <w:rPr>
          <w:i/>
        </w:rPr>
        <w:t>costs</w:t>
      </w:r>
      <w:r>
        <w:rPr/>
        <w:t>. (For lease-purchase agreements authorized through special legislation, DOF may require information similar in content to a COBCP at the proposed legislation stage.) These requirements apply to lease-purchases for state infrastructure financed through a joint powers authority, another level of government, or a private developer (Sections 6818 and 6820).</w:t>
      </w:r>
    </w:p>
    <w:p>
      <w:pPr>
        <w:pStyle w:val="ListParagraph"/>
        <w:numPr>
          <w:ilvl w:val="0"/>
          <w:numId w:val="8"/>
        </w:numPr>
        <w:tabs>
          <w:tab w:pos="1180" w:val="left" w:leader="none"/>
        </w:tabs>
        <w:spacing w:line="249" w:lineRule="auto" w:before="109" w:after="0"/>
        <w:ind w:left="1180" w:right="115" w:hanging="360"/>
        <w:jc w:val="left"/>
        <w:rPr>
          <w:sz w:val="24"/>
        </w:rPr>
      </w:pPr>
      <w:r>
        <w:rPr>
          <w:sz w:val="24"/>
        </w:rPr>
        <w:t>Both the </w:t>
      </w:r>
      <w:r>
        <w:rPr>
          <w:i/>
          <w:sz w:val="24"/>
        </w:rPr>
        <w:t>request </w:t>
      </w:r>
      <w:r>
        <w:rPr>
          <w:sz w:val="24"/>
        </w:rPr>
        <w:t>for, and the </w:t>
      </w:r>
      <w:r>
        <w:rPr>
          <w:i/>
          <w:sz w:val="24"/>
        </w:rPr>
        <w:t>exercise </w:t>
      </w:r>
      <w:r>
        <w:rPr>
          <w:sz w:val="24"/>
        </w:rPr>
        <w:t>of, a purchase option.  A lease with a purchase option gives the state the right, during the course of the lease, to purchase the asset for a predetermined price, if desired, which is a capital outlay acquisition. Adding a purchase option in a lease agreement is considered initiating a </w:t>
      </w:r>
      <w:r>
        <w:rPr>
          <w:i/>
          <w:sz w:val="24"/>
        </w:rPr>
        <w:t>potential </w:t>
      </w:r>
      <w:r>
        <w:rPr>
          <w:sz w:val="24"/>
        </w:rPr>
        <w:t>capital outlay acquisition. Although the lease payments prior to the exercise of the option are classified as state operations, the potential acquisition must be tracked as part of the department’s overall capitalized asset plan. Therefore, if authorization is sought through the Budget Act, </w:t>
      </w:r>
      <w:r>
        <w:rPr>
          <w:i/>
          <w:sz w:val="24"/>
        </w:rPr>
        <w:t>anticipated purchase options and their exercise </w:t>
      </w:r>
      <w:r>
        <w:rPr>
          <w:sz w:val="24"/>
        </w:rPr>
        <w:t>must both be presented for review as COBCPs, subject to dollar thresholds noted in Sections 6818 and 6820. Regardless of method of authorization, the planned use of purchase options must be included in the department’s five-year capitalized assets plan.</w:t>
      </w:r>
    </w:p>
    <w:p>
      <w:pPr>
        <w:pStyle w:val="ListParagraph"/>
        <w:numPr>
          <w:ilvl w:val="0"/>
          <w:numId w:val="8"/>
        </w:numPr>
        <w:tabs>
          <w:tab w:pos="1180" w:val="left" w:leader="none"/>
        </w:tabs>
        <w:spacing w:line="249" w:lineRule="auto" w:before="111" w:after="0"/>
        <w:ind w:left="1180" w:right="106" w:hanging="360"/>
        <w:jc w:val="left"/>
        <w:rPr>
          <w:sz w:val="24"/>
        </w:rPr>
      </w:pPr>
      <w:r>
        <w:rPr>
          <w:sz w:val="24"/>
        </w:rPr>
        <w:t>Generally, the following are not considered as capital outlay: relocation (including temporary “swing space” while a project is under construction) and moving expenses, although DOF may authorize moving expenses as a capital outlay cost on an exception</w:t>
      </w:r>
      <w:r>
        <w:rPr>
          <w:spacing w:val="-8"/>
          <w:sz w:val="24"/>
        </w:rPr>
        <w:t> </w:t>
      </w:r>
      <w:r>
        <w:rPr>
          <w:sz w:val="24"/>
        </w:rPr>
        <w:t>basis.</w:t>
      </w:r>
    </w:p>
    <w:p>
      <w:pPr>
        <w:pStyle w:val="BodyText"/>
        <w:rPr>
          <w:sz w:val="26"/>
        </w:rPr>
      </w:pPr>
    </w:p>
    <w:p>
      <w:pPr>
        <w:pStyle w:val="BodyText"/>
        <w:spacing w:before="203"/>
        <w:ind w:left="805"/>
      </w:pPr>
      <w:r>
        <w:rPr/>
        <w:t>(Continued)</w:t>
      </w:r>
    </w:p>
    <w:p>
      <w:pPr>
        <w:spacing w:after="0"/>
        <w:sectPr>
          <w:headerReference w:type="default" r:id="rId70"/>
          <w:pgSz w:w="12240" w:h="15840"/>
          <w:pgMar w:header="731" w:footer="814" w:top="3220" w:bottom="1000" w:left="620" w:right="1340"/>
        </w:sectPr>
      </w:pPr>
    </w:p>
    <w:p>
      <w:pPr>
        <w:pStyle w:val="BodyText"/>
        <w:spacing w:line="247" w:lineRule="auto"/>
        <w:ind w:left="815" w:hanging="10"/>
      </w:pPr>
      <w:r>
        <w:rPr>
          <w:b/>
        </w:rPr>
        <w:t>State operations</w:t>
      </w:r>
      <w:r>
        <w:rPr/>
        <w:t>: The following facility-related expenses are classified as state operations:</w:t>
      </w:r>
    </w:p>
    <w:p>
      <w:pPr>
        <w:pStyle w:val="ListParagraph"/>
        <w:numPr>
          <w:ilvl w:val="0"/>
          <w:numId w:val="9"/>
        </w:numPr>
        <w:tabs>
          <w:tab w:pos="1180" w:val="left" w:leader="none"/>
        </w:tabs>
        <w:spacing w:line="247" w:lineRule="auto" w:before="122" w:after="0"/>
        <w:ind w:left="1180" w:right="354" w:hanging="360"/>
        <w:jc w:val="left"/>
        <w:rPr>
          <w:sz w:val="24"/>
        </w:rPr>
      </w:pPr>
      <w:r>
        <w:rPr>
          <w:sz w:val="24"/>
        </w:rPr>
        <w:t>Equipment not included in the complement necessary for initial operation of a new construction or renovation</w:t>
      </w:r>
      <w:r>
        <w:rPr>
          <w:spacing w:val="-18"/>
          <w:sz w:val="24"/>
        </w:rPr>
        <w:t> </w:t>
      </w:r>
      <w:r>
        <w:rPr>
          <w:sz w:val="24"/>
        </w:rPr>
        <w:t>project.</w:t>
      </w:r>
    </w:p>
    <w:p>
      <w:pPr>
        <w:pStyle w:val="ListParagraph"/>
        <w:numPr>
          <w:ilvl w:val="0"/>
          <w:numId w:val="9"/>
        </w:numPr>
        <w:tabs>
          <w:tab w:pos="1180" w:val="left" w:leader="none"/>
        </w:tabs>
        <w:spacing w:line="249" w:lineRule="auto" w:before="231" w:after="0"/>
        <w:ind w:left="1180" w:right="198" w:hanging="360"/>
        <w:jc w:val="left"/>
        <w:rPr>
          <w:sz w:val="24"/>
        </w:rPr>
      </w:pPr>
      <w:r>
        <w:rPr>
          <w:sz w:val="24"/>
        </w:rPr>
        <w:t>Movable equipment for new employees or new programs that are not part of a capital outlay project. (Such equipment is budgeted as an operating expense in the department’s support budget when the positions or programs are</w:t>
      </w:r>
      <w:r>
        <w:rPr>
          <w:spacing w:val="-37"/>
          <w:sz w:val="24"/>
        </w:rPr>
        <w:t> </w:t>
      </w:r>
      <w:r>
        <w:rPr>
          <w:sz w:val="24"/>
        </w:rPr>
        <w:t>authorized.)</w:t>
      </w:r>
    </w:p>
    <w:p>
      <w:pPr>
        <w:pStyle w:val="ListParagraph"/>
        <w:numPr>
          <w:ilvl w:val="0"/>
          <w:numId w:val="9"/>
        </w:numPr>
        <w:tabs>
          <w:tab w:pos="1180" w:val="left" w:leader="none"/>
        </w:tabs>
        <w:spacing w:line="240" w:lineRule="auto" w:before="228" w:after="0"/>
        <w:ind w:left="1180" w:right="0" w:hanging="360"/>
        <w:jc w:val="left"/>
        <w:rPr>
          <w:sz w:val="24"/>
        </w:rPr>
      </w:pPr>
      <w:r>
        <w:rPr>
          <w:sz w:val="24"/>
        </w:rPr>
        <w:t>Replacement equipment items (regardless of</w:t>
      </w:r>
      <w:r>
        <w:rPr>
          <w:spacing w:val="-24"/>
          <w:sz w:val="24"/>
        </w:rPr>
        <w:t> </w:t>
      </w:r>
      <w:r>
        <w:rPr>
          <w:sz w:val="24"/>
        </w:rPr>
        <w:t>amount).</w:t>
      </w:r>
    </w:p>
    <w:p>
      <w:pPr>
        <w:pStyle w:val="BodyText"/>
        <w:spacing w:before="7"/>
        <w:rPr>
          <w:sz w:val="20"/>
        </w:rPr>
      </w:pPr>
    </w:p>
    <w:p>
      <w:pPr>
        <w:pStyle w:val="ListParagraph"/>
        <w:numPr>
          <w:ilvl w:val="0"/>
          <w:numId w:val="9"/>
        </w:numPr>
        <w:tabs>
          <w:tab w:pos="1180" w:val="left" w:leader="none"/>
        </w:tabs>
        <w:spacing w:line="249" w:lineRule="auto" w:before="0" w:after="0"/>
        <w:ind w:left="1180" w:right="411" w:hanging="360"/>
        <w:jc w:val="left"/>
        <w:rPr>
          <w:sz w:val="24"/>
        </w:rPr>
      </w:pPr>
      <w:r>
        <w:rPr>
          <w:sz w:val="24"/>
        </w:rPr>
        <w:t>Repair projects, including special repairs, not connected with a construction or improvement project. Examples of special repair projects include repainting, reroofing, electrical rewiring, plumbing repairs, dredging of river or stream beds to restore original flow capacity, replacing old equipment items, and road repairs. (Regardless of amount, “special repairs” are budgeted in the client department’s state operations</w:t>
      </w:r>
      <w:r>
        <w:rPr>
          <w:spacing w:val="-16"/>
          <w:sz w:val="24"/>
        </w:rPr>
        <w:t> </w:t>
      </w:r>
      <w:r>
        <w:rPr>
          <w:sz w:val="24"/>
        </w:rPr>
        <w:t>appropriation.)</w:t>
      </w:r>
    </w:p>
    <w:p>
      <w:pPr>
        <w:pStyle w:val="ListParagraph"/>
        <w:numPr>
          <w:ilvl w:val="0"/>
          <w:numId w:val="9"/>
        </w:numPr>
        <w:tabs>
          <w:tab w:pos="1180" w:val="left" w:leader="none"/>
        </w:tabs>
        <w:spacing w:line="247" w:lineRule="auto" w:before="231" w:after="0"/>
        <w:ind w:left="1180" w:right="983" w:hanging="360"/>
        <w:jc w:val="left"/>
        <w:rPr>
          <w:sz w:val="24"/>
        </w:rPr>
      </w:pPr>
      <w:r>
        <w:rPr>
          <w:sz w:val="24"/>
        </w:rPr>
        <w:t>Maintenance, including deferred maintenance. Maintenance is budgeted as “facilities operations” in the client department’s operating expense</w:t>
      </w:r>
      <w:r>
        <w:rPr>
          <w:spacing w:val="-41"/>
          <w:sz w:val="24"/>
        </w:rPr>
        <w:t> </w:t>
      </w:r>
      <w:r>
        <w:rPr>
          <w:sz w:val="24"/>
        </w:rPr>
        <w:t>schedule.</w:t>
      </w:r>
    </w:p>
    <w:p>
      <w:pPr>
        <w:pStyle w:val="BodyText"/>
        <w:spacing w:before="1"/>
        <w:rPr>
          <w:sz w:val="21"/>
        </w:rPr>
      </w:pPr>
    </w:p>
    <w:p>
      <w:pPr>
        <w:pStyle w:val="ListParagraph"/>
        <w:numPr>
          <w:ilvl w:val="0"/>
          <w:numId w:val="9"/>
        </w:numPr>
        <w:tabs>
          <w:tab w:pos="1180" w:val="left" w:leader="none"/>
        </w:tabs>
        <w:spacing w:line="240" w:lineRule="auto" w:before="1" w:after="0"/>
        <w:ind w:left="1180" w:right="195" w:hanging="360"/>
        <w:jc w:val="left"/>
        <w:rPr>
          <w:sz w:val="24"/>
        </w:rPr>
      </w:pPr>
      <w:r>
        <w:rPr>
          <w:sz w:val="24"/>
        </w:rPr>
        <w:t>Relocation—including temporary “swing” space—and moving expenses, whether or not related to a capital outlay project. (However, DOF may authorize exceptions to this</w:t>
      </w:r>
      <w:r>
        <w:rPr>
          <w:spacing w:val="-4"/>
          <w:sz w:val="24"/>
        </w:rPr>
        <w:t> </w:t>
      </w:r>
      <w:r>
        <w:rPr>
          <w:sz w:val="24"/>
        </w:rPr>
        <w:t>rule.)</w:t>
      </w:r>
    </w:p>
    <w:p>
      <w:pPr>
        <w:pStyle w:val="BodyText"/>
        <w:spacing w:before="1"/>
        <w:rPr>
          <w:sz w:val="21"/>
        </w:rPr>
      </w:pPr>
    </w:p>
    <w:p>
      <w:pPr>
        <w:pStyle w:val="ListParagraph"/>
        <w:numPr>
          <w:ilvl w:val="0"/>
          <w:numId w:val="9"/>
        </w:numPr>
        <w:tabs>
          <w:tab w:pos="1180" w:val="left" w:leader="none"/>
        </w:tabs>
        <w:spacing w:line="249" w:lineRule="auto" w:before="0" w:after="0"/>
        <w:ind w:left="1180" w:right="222" w:hanging="360"/>
        <w:jc w:val="both"/>
        <w:rPr>
          <w:sz w:val="24"/>
        </w:rPr>
      </w:pPr>
      <w:r>
        <w:rPr>
          <w:sz w:val="24"/>
        </w:rPr>
        <w:t>Lease or rental costs, and any associated budget requests. (However, as noted in the preceding text, capitalized leasing must be reflected in the five-year capitalized asset plan and COBCPs are required under specified conditions per Section</w:t>
      </w:r>
      <w:r>
        <w:rPr>
          <w:spacing w:val="-38"/>
          <w:sz w:val="24"/>
        </w:rPr>
        <w:t> </w:t>
      </w:r>
      <w:r>
        <w:rPr>
          <w:sz w:val="24"/>
        </w:rPr>
        <w:t>6818.)</w:t>
      </w:r>
    </w:p>
    <w:p>
      <w:pPr>
        <w:pStyle w:val="ListParagraph"/>
        <w:numPr>
          <w:ilvl w:val="0"/>
          <w:numId w:val="9"/>
        </w:numPr>
        <w:tabs>
          <w:tab w:pos="1180" w:val="left" w:leader="none"/>
        </w:tabs>
        <w:spacing w:line="240" w:lineRule="auto" w:before="229" w:after="0"/>
        <w:ind w:left="1180" w:right="0" w:hanging="360"/>
        <w:jc w:val="left"/>
        <w:rPr>
          <w:sz w:val="24"/>
        </w:rPr>
      </w:pPr>
      <w:r>
        <w:rPr>
          <w:sz w:val="24"/>
        </w:rPr>
        <w:t>Generally NOT alterations in state-owned buildings, except as provided in</w:t>
      </w:r>
      <w:r>
        <w:rPr>
          <w:spacing w:val="-40"/>
          <w:sz w:val="24"/>
        </w:rPr>
        <w:t> </w:t>
      </w:r>
      <w:r>
        <w:rPr>
          <w:sz w:val="24"/>
        </w:rPr>
        <w:t>Section</w:t>
      </w:r>
    </w:p>
    <w:p>
      <w:pPr>
        <w:pStyle w:val="BodyText"/>
        <w:spacing w:line="247" w:lineRule="auto" w:before="11"/>
        <w:ind w:left="1180" w:right="88"/>
      </w:pPr>
      <w:r>
        <w:rPr/>
        <w:t>6.00 of the Budget (see preceding). In leased facilities, support funds may be used for alterations.</w:t>
      </w:r>
    </w:p>
    <w:p>
      <w:pPr>
        <w:pStyle w:val="BodyText"/>
        <w:spacing w:line="247" w:lineRule="auto" w:before="233"/>
        <w:ind w:left="1165" w:hanging="360"/>
      </w:pPr>
      <w:r>
        <w:rPr>
          <w:b/>
        </w:rPr>
        <w:t>Local assistance is</w:t>
      </w:r>
      <w:r>
        <w:rPr/>
        <w:t>: The following infrastructure-related expense is classified as local assistance:</w:t>
      </w:r>
    </w:p>
    <w:p>
      <w:pPr>
        <w:pStyle w:val="BodyText"/>
        <w:spacing w:before="6"/>
        <w:rPr>
          <w:sz w:val="20"/>
        </w:rPr>
      </w:pPr>
    </w:p>
    <w:p>
      <w:pPr>
        <w:pStyle w:val="BodyText"/>
        <w:spacing w:line="247" w:lineRule="auto"/>
        <w:ind w:left="1165" w:right="543" w:hanging="360"/>
      </w:pPr>
      <w:r>
        <w:rPr/>
        <w:t>1. Grants to local agencies for the operation, maintenance, and acquisition or development of facilities or land, provided the local entity retains ownership after completion of the project.</w:t>
      </w:r>
    </w:p>
    <w:p>
      <w:pPr>
        <w:pStyle w:val="BodyText"/>
        <w:spacing w:before="3"/>
        <w:ind w:left="887"/>
      </w:pPr>
      <w:r>
        <w:rPr/>
        <w:t>(Continued)</w:t>
      </w:r>
    </w:p>
    <w:p>
      <w:pPr>
        <w:spacing w:after="0"/>
        <w:sectPr>
          <w:headerReference w:type="default" r:id="rId71"/>
          <w:pgSz w:w="12240" w:h="15840"/>
          <w:pgMar w:header="731" w:footer="814" w:top="3340" w:bottom="1000" w:left="620" w:right="1380"/>
          <w:pgNumType w:start="3"/>
        </w:sectPr>
      </w:pPr>
    </w:p>
    <w:p>
      <w:pPr>
        <w:pStyle w:val="Heading1"/>
        <w:spacing w:line="259" w:lineRule="auto" w:before="0" w:after="10"/>
        <w:ind w:left="3985" w:right="1656" w:hanging="1868"/>
      </w:pPr>
      <w:r>
        <w:rPr/>
        <w:t>ILLUSTRATION DISTINCTION BETWEEN CAPITAL OUTLAY </w:t>
      </w:r>
      <w:bookmarkStart w:name="AND STATE OPERATIONS" w:id="13"/>
      <w:bookmarkEnd w:id="13"/>
      <w:r>
        <w:rPr/>
      </w:r>
      <w:r>
        <w:rPr/>
        <w:t>AND STATE OPERATIONS</w:t>
      </w:r>
    </w:p>
    <w:tbl>
      <w:tblPr>
        <w:tblW w:w="0" w:type="auto"/>
        <w:jc w:val="left"/>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11"/>
        <w:gridCol w:w="2071"/>
        <w:gridCol w:w="2069"/>
        <w:gridCol w:w="2254"/>
      </w:tblGrid>
      <w:tr>
        <w:trPr>
          <w:trHeight w:val="622" w:hRule="exact"/>
        </w:trPr>
        <w:tc>
          <w:tcPr>
            <w:tcW w:w="3511" w:type="dxa"/>
          </w:tcPr>
          <w:p>
            <w:pPr/>
          </w:p>
        </w:tc>
        <w:tc>
          <w:tcPr>
            <w:tcW w:w="2071" w:type="dxa"/>
          </w:tcPr>
          <w:p>
            <w:pPr>
              <w:pStyle w:val="TableParagraph"/>
              <w:spacing w:line="259" w:lineRule="auto" w:before="10"/>
              <w:ind w:left="230" w:right="219" w:firstLine="400"/>
              <w:rPr>
                <w:b/>
                <w:sz w:val="24"/>
              </w:rPr>
            </w:pPr>
            <w:r>
              <w:rPr>
                <w:b/>
                <w:sz w:val="24"/>
              </w:rPr>
              <w:t>STATE OPERATIONS</w:t>
            </w:r>
          </w:p>
        </w:tc>
        <w:tc>
          <w:tcPr>
            <w:tcW w:w="4322" w:type="dxa"/>
            <w:gridSpan w:val="2"/>
          </w:tcPr>
          <w:p>
            <w:pPr>
              <w:pStyle w:val="TableParagraph"/>
              <w:spacing w:before="8"/>
              <w:rPr>
                <w:b/>
                <w:sz w:val="26"/>
              </w:rPr>
            </w:pPr>
          </w:p>
          <w:p>
            <w:pPr>
              <w:pStyle w:val="TableParagraph"/>
              <w:ind w:left="1111"/>
              <w:rPr>
                <w:b/>
                <w:sz w:val="24"/>
              </w:rPr>
            </w:pPr>
            <w:r>
              <w:rPr>
                <w:b/>
                <w:sz w:val="24"/>
              </w:rPr>
              <w:t>CAPITAL OUTLAY</w:t>
            </w:r>
          </w:p>
        </w:tc>
      </w:tr>
      <w:tr>
        <w:trPr>
          <w:trHeight w:val="1514" w:hRule="exact"/>
        </w:trPr>
        <w:tc>
          <w:tcPr>
            <w:tcW w:w="3511" w:type="dxa"/>
          </w:tcPr>
          <w:p>
            <w:pPr>
              <w:pStyle w:val="TableParagraph"/>
              <w:rPr>
                <w:b/>
                <w:sz w:val="28"/>
              </w:rPr>
            </w:pPr>
          </w:p>
          <w:p>
            <w:pPr>
              <w:pStyle w:val="TableParagraph"/>
              <w:spacing w:before="6"/>
              <w:rPr>
                <w:b/>
                <w:sz w:val="37"/>
              </w:rPr>
            </w:pPr>
          </w:p>
          <w:p>
            <w:pPr>
              <w:pStyle w:val="TableParagraph"/>
              <w:spacing w:line="254" w:lineRule="auto"/>
              <w:ind w:left="1108" w:right="681" w:hanging="353"/>
              <w:rPr>
                <w:sz w:val="16"/>
              </w:rPr>
            </w:pPr>
            <w:r>
              <w:rPr>
                <w:b/>
                <w:sz w:val="24"/>
              </w:rPr>
              <w:t>DESCRIPTION OF PROJECT </w:t>
            </w:r>
            <w:r>
              <w:rPr>
                <w:position w:val="8"/>
                <w:sz w:val="16"/>
              </w:rPr>
              <w:t>1/</w:t>
            </w:r>
          </w:p>
        </w:tc>
        <w:tc>
          <w:tcPr>
            <w:tcW w:w="2071" w:type="dxa"/>
          </w:tcPr>
          <w:p>
            <w:pPr>
              <w:pStyle w:val="TableParagraph"/>
              <w:spacing w:before="8"/>
              <w:rPr>
                <w:b/>
                <w:sz w:val="26"/>
              </w:rPr>
            </w:pPr>
          </w:p>
          <w:p>
            <w:pPr>
              <w:pStyle w:val="TableParagraph"/>
              <w:spacing w:line="259" w:lineRule="auto"/>
              <w:ind w:left="321" w:right="304" w:hanging="4"/>
              <w:jc w:val="center"/>
              <w:rPr>
                <w:b/>
                <w:sz w:val="24"/>
              </w:rPr>
            </w:pPr>
            <w:r>
              <w:rPr>
                <w:b/>
                <w:sz w:val="24"/>
              </w:rPr>
              <w:t>OPERATING EXPENSES AND EQUIPMENT</w:t>
            </w:r>
          </w:p>
        </w:tc>
        <w:tc>
          <w:tcPr>
            <w:tcW w:w="2069" w:type="dxa"/>
          </w:tcPr>
          <w:p>
            <w:pPr>
              <w:pStyle w:val="TableParagraph"/>
              <w:rPr>
                <w:b/>
                <w:sz w:val="26"/>
              </w:rPr>
            </w:pPr>
          </w:p>
          <w:p>
            <w:pPr>
              <w:pStyle w:val="TableParagraph"/>
              <w:spacing w:line="259" w:lineRule="auto" w:before="157"/>
              <w:ind w:left="201" w:right="208" w:firstLine="25"/>
              <w:jc w:val="center"/>
              <w:rPr>
                <w:b/>
                <w:sz w:val="24"/>
              </w:rPr>
            </w:pPr>
            <w:r>
              <w:rPr>
                <w:b/>
                <w:sz w:val="24"/>
              </w:rPr>
              <w:t>PROJECT LEVEL MINOR PROJECTS</w:t>
            </w:r>
          </w:p>
        </w:tc>
        <w:tc>
          <w:tcPr>
            <w:tcW w:w="2254" w:type="dxa"/>
          </w:tcPr>
          <w:p>
            <w:pPr>
              <w:pStyle w:val="TableParagraph"/>
              <w:rPr>
                <w:b/>
                <w:sz w:val="26"/>
              </w:rPr>
            </w:pPr>
          </w:p>
          <w:p>
            <w:pPr>
              <w:pStyle w:val="TableParagraph"/>
              <w:spacing w:line="259" w:lineRule="auto" w:before="157"/>
              <w:ind w:left="261" w:right="271" w:firstLine="25"/>
              <w:jc w:val="center"/>
              <w:rPr>
                <w:b/>
                <w:sz w:val="24"/>
              </w:rPr>
            </w:pPr>
            <w:r>
              <w:rPr>
                <w:b/>
                <w:sz w:val="24"/>
              </w:rPr>
              <w:t>PROJECT LEVEL MAJOR PROJECTS</w:t>
            </w:r>
          </w:p>
        </w:tc>
      </w:tr>
      <w:tr>
        <w:trPr>
          <w:trHeight w:val="2400" w:hRule="exact"/>
        </w:trPr>
        <w:tc>
          <w:tcPr>
            <w:tcW w:w="3511" w:type="dxa"/>
          </w:tcPr>
          <w:p>
            <w:pPr>
              <w:pStyle w:val="TableParagraph"/>
              <w:spacing w:line="247" w:lineRule="auto" w:before="10"/>
              <w:ind w:left="283" w:right="405" w:hanging="180"/>
              <w:rPr>
                <w:sz w:val="24"/>
              </w:rPr>
            </w:pPr>
            <w:r>
              <w:rPr>
                <w:b/>
                <w:sz w:val="24"/>
              </w:rPr>
              <w:t>Construction projects: </w:t>
            </w:r>
            <w:r>
              <w:rPr>
                <w:sz w:val="24"/>
              </w:rPr>
              <w:t>New construction, alteration </w:t>
            </w:r>
            <w:r>
              <w:rPr>
                <w:position w:val="8"/>
                <w:sz w:val="16"/>
              </w:rPr>
              <w:t>2/ </w:t>
            </w:r>
            <w:r>
              <w:rPr>
                <w:sz w:val="24"/>
              </w:rPr>
              <w:t>,extension or betterment of existing structure.</w:t>
            </w:r>
          </w:p>
          <w:p>
            <w:pPr>
              <w:pStyle w:val="TableParagraph"/>
              <w:spacing w:line="259" w:lineRule="auto" w:before="1"/>
              <w:ind w:left="283" w:right="405"/>
              <w:rPr>
                <w:i/>
                <w:sz w:val="24"/>
              </w:rPr>
            </w:pPr>
            <w:r>
              <w:rPr>
                <w:i/>
                <w:sz w:val="24"/>
              </w:rPr>
              <w:t>(Construction projects </w:t>
            </w:r>
            <w:r>
              <w:rPr>
                <w:i/>
                <w:sz w:val="24"/>
              </w:rPr>
              <w:t>include necessary Group I fixed equipment.)</w:t>
            </w:r>
          </w:p>
        </w:tc>
        <w:tc>
          <w:tcPr>
            <w:tcW w:w="2071" w:type="dxa"/>
          </w:tcPr>
          <w:p>
            <w:pPr/>
          </w:p>
        </w:tc>
        <w:tc>
          <w:tcPr>
            <w:tcW w:w="2069" w:type="dxa"/>
          </w:tcPr>
          <w:p>
            <w:pPr>
              <w:pStyle w:val="TableParagraph"/>
              <w:spacing w:before="6"/>
              <w:rPr>
                <w:b/>
                <w:sz w:val="26"/>
              </w:rPr>
            </w:pPr>
          </w:p>
          <w:p>
            <w:pPr>
              <w:pStyle w:val="TableParagraph"/>
              <w:spacing w:line="242" w:lineRule="auto"/>
              <w:ind w:left="316" w:right="260"/>
              <w:jc w:val="center"/>
              <w:rPr>
                <w:sz w:val="16"/>
              </w:rPr>
            </w:pPr>
            <w:r>
              <w:rPr>
                <w:sz w:val="24"/>
              </w:rPr>
              <w:t>If $250,000</w:t>
            </w:r>
            <w:r>
              <w:rPr>
                <w:spacing w:val="-4"/>
                <w:sz w:val="24"/>
              </w:rPr>
              <w:t> </w:t>
            </w:r>
            <w:r>
              <w:rPr>
                <w:sz w:val="24"/>
              </w:rPr>
              <w:t>or less and scheduled as minor projects in Budget</w:t>
            </w:r>
            <w:r>
              <w:rPr>
                <w:spacing w:val="-5"/>
                <w:sz w:val="24"/>
              </w:rPr>
              <w:t> </w:t>
            </w:r>
            <w:r>
              <w:rPr>
                <w:sz w:val="24"/>
              </w:rPr>
              <w:t>Act</w:t>
            </w:r>
            <w:r>
              <w:rPr>
                <w:position w:val="8"/>
                <w:sz w:val="16"/>
              </w:rPr>
              <w:t>3/</w:t>
            </w:r>
          </w:p>
        </w:tc>
        <w:tc>
          <w:tcPr>
            <w:tcW w:w="2254" w:type="dxa"/>
          </w:tcPr>
          <w:p>
            <w:pPr>
              <w:pStyle w:val="TableParagraph"/>
              <w:rPr>
                <w:b/>
                <w:sz w:val="26"/>
              </w:rPr>
            </w:pPr>
          </w:p>
          <w:p>
            <w:pPr>
              <w:pStyle w:val="TableParagraph"/>
              <w:rPr>
                <w:b/>
                <w:sz w:val="26"/>
              </w:rPr>
            </w:pPr>
          </w:p>
          <w:p>
            <w:pPr>
              <w:pStyle w:val="TableParagraph"/>
              <w:spacing w:before="8"/>
              <w:rPr>
                <w:b/>
                <w:sz w:val="22"/>
              </w:rPr>
            </w:pPr>
          </w:p>
          <w:p>
            <w:pPr>
              <w:pStyle w:val="TableParagraph"/>
              <w:spacing w:line="260" w:lineRule="exact"/>
              <w:ind w:left="477"/>
              <w:rPr>
                <w:sz w:val="24"/>
              </w:rPr>
            </w:pPr>
            <w:r>
              <w:rPr>
                <w:sz w:val="24"/>
              </w:rPr>
              <w:t>In excess of</w:t>
            </w:r>
          </w:p>
          <w:p>
            <w:pPr>
              <w:pStyle w:val="TableParagraph"/>
              <w:spacing w:line="265" w:lineRule="exact"/>
              <w:ind w:left="518"/>
              <w:rPr>
                <w:sz w:val="16"/>
              </w:rPr>
            </w:pPr>
            <w:r>
              <w:rPr>
                <w:sz w:val="24"/>
              </w:rPr>
              <w:t>$250,000 </w:t>
            </w:r>
            <w:r>
              <w:rPr>
                <w:position w:val="8"/>
                <w:sz w:val="16"/>
              </w:rPr>
              <w:t>3/</w:t>
            </w:r>
          </w:p>
        </w:tc>
      </w:tr>
      <w:tr>
        <w:trPr>
          <w:trHeight w:val="1769" w:hRule="exact"/>
        </w:trPr>
        <w:tc>
          <w:tcPr>
            <w:tcW w:w="3511" w:type="dxa"/>
          </w:tcPr>
          <w:p>
            <w:pPr>
              <w:pStyle w:val="TableParagraph"/>
              <w:spacing w:before="7"/>
              <w:ind w:left="103" w:right="599"/>
              <w:rPr>
                <w:b/>
                <w:sz w:val="24"/>
              </w:rPr>
            </w:pPr>
            <w:r>
              <w:rPr>
                <w:b/>
                <w:sz w:val="24"/>
              </w:rPr>
              <w:t>Repair and maintenance projects:</w:t>
            </w:r>
          </w:p>
          <w:p>
            <w:pPr>
              <w:pStyle w:val="TableParagraph"/>
              <w:spacing w:line="259" w:lineRule="auto" w:before="1"/>
              <w:ind w:left="283" w:right="460"/>
              <w:jc w:val="both"/>
              <w:rPr>
                <w:sz w:val="24"/>
              </w:rPr>
            </w:pPr>
            <w:r>
              <w:rPr>
                <w:sz w:val="24"/>
              </w:rPr>
              <w:t>Repair and maintenance projects that continue the usability of a facility at its designed level of services</w:t>
            </w:r>
          </w:p>
        </w:tc>
        <w:tc>
          <w:tcPr>
            <w:tcW w:w="2071" w:type="dxa"/>
          </w:tcPr>
          <w:p>
            <w:pPr>
              <w:pStyle w:val="TableParagraph"/>
              <w:rPr>
                <w:b/>
                <w:sz w:val="26"/>
              </w:rPr>
            </w:pPr>
          </w:p>
          <w:p>
            <w:pPr>
              <w:pStyle w:val="TableParagraph"/>
              <w:spacing w:before="8"/>
              <w:rPr>
                <w:b/>
                <w:sz w:val="37"/>
              </w:rPr>
            </w:pPr>
          </w:p>
          <w:p>
            <w:pPr>
              <w:pStyle w:val="TableParagraph"/>
              <w:spacing w:line="259" w:lineRule="auto"/>
              <w:ind w:left="621" w:right="261" w:hanging="353"/>
              <w:rPr>
                <w:sz w:val="24"/>
              </w:rPr>
            </w:pPr>
            <w:r>
              <w:rPr>
                <w:sz w:val="24"/>
              </w:rPr>
              <w:t>Irrespective of amount</w:t>
            </w:r>
          </w:p>
        </w:tc>
        <w:tc>
          <w:tcPr>
            <w:tcW w:w="2069" w:type="dxa"/>
          </w:tcPr>
          <w:p>
            <w:pPr/>
          </w:p>
        </w:tc>
        <w:tc>
          <w:tcPr>
            <w:tcW w:w="2254" w:type="dxa"/>
          </w:tcPr>
          <w:p>
            <w:pPr/>
          </w:p>
        </w:tc>
      </w:tr>
      <w:tr>
        <w:trPr>
          <w:trHeight w:val="3830" w:hRule="exact"/>
        </w:trPr>
        <w:tc>
          <w:tcPr>
            <w:tcW w:w="3511" w:type="dxa"/>
          </w:tcPr>
          <w:p>
            <w:pPr>
              <w:pStyle w:val="TableParagraph"/>
              <w:spacing w:line="237" w:lineRule="auto" w:before="10"/>
              <w:ind w:left="103"/>
              <w:rPr>
                <w:sz w:val="24"/>
              </w:rPr>
            </w:pPr>
            <w:r>
              <w:rPr>
                <w:b/>
                <w:sz w:val="24"/>
              </w:rPr>
              <w:t>Equipment (Group II, movable) projects </w:t>
            </w:r>
            <w:r>
              <w:rPr>
                <w:i/>
                <w:sz w:val="24"/>
              </w:rPr>
              <w:t>(Section </w:t>
            </w:r>
            <w:r>
              <w:rPr>
                <w:i/>
                <w:sz w:val="24"/>
              </w:rPr>
              <w:t>6855)</w:t>
            </w:r>
            <w:r>
              <w:rPr>
                <w:sz w:val="24"/>
              </w:rPr>
              <w:t>:</w:t>
            </w:r>
          </w:p>
          <w:p>
            <w:pPr>
              <w:pStyle w:val="TableParagraph"/>
              <w:numPr>
                <w:ilvl w:val="0"/>
                <w:numId w:val="10"/>
              </w:numPr>
              <w:tabs>
                <w:tab w:pos="391" w:val="left" w:leader="none"/>
                <w:tab w:pos="392" w:val="left" w:leader="none"/>
              </w:tabs>
              <w:spacing w:line="244" w:lineRule="auto" w:before="24" w:after="0"/>
              <w:ind w:left="391" w:right="833" w:hanging="288"/>
              <w:jc w:val="left"/>
              <w:rPr>
                <w:sz w:val="24"/>
              </w:rPr>
            </w:pPr>
            <w:r>
              <w:rPr>
                <w:sz w:val="24"/>
              </w:rPr>
              <w:t>If related to a specific construction</w:t>
            </w:r>
            <w:r>
              <w:rPr>
                <w:spacing w:val="-8"/>
                <w:sz w:val="24"/>
              </w:rPr>
              <w:t> </w:t>
            </w:r>
            <w:r>
              <w:rPr>
                <w:sz w:val="24"/>
              </w:rPr>
              <w:t>project.</w:t>
            </w:r>
          </w:p>
          <w:p>
            <w:pPr>
              <w:pStyle w:val="TableParagraph"/>
              <w:numPr>
                <w:ilvl w:val="0"/>
                <w:numId w:val="10"/>
              </w:numPr>
              <w:tabs>
                <w:tab w:pos="391" w:val="left" w:leader="none"/>
                <w:tab w:pos="392" w:val="left" w:leader="none"/>
              </w:tabs>
              <w:spacing w:line="259" w:lineRule="auto" w:before="13" w:after="0"/>
              <w:ind w:left="391" w:right="274" w:hanging="288"/>
              <w:jc w:val="left"/>
              <w:rPr>
                <w:sz w:val="24"/>
              </w:rPr>
            </w:pPr>
            <w:r>
              <w:rPr>
                <w:sz w:val="24"/>
              </w:rPr>
              <w:t>New equipment to meet program needs and not related to a construction project; replacement of existing equipment even though the new equipment is to be used in a new facility.</w:t>
            </w:r>
          </w:p>
        </w:tc>
        <w:tc>
          <w:tcPr>
            <w:tcW w:w="2071"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36"/>
              </w:rPr>
            </w:pPr>
          </w:p>
          <w:p>
            <w:pPr>
              <w:pStyle w:val="TableParagraph"/>
              <w:spacing w:line="259" w:lineRule="auto"/>
              <w:ind w:left="100" w:right="429"/>
              <w:rPr>
                <w:sz w:val="24"/>
              </w:rPr>
            </w:pPr>
            <w:r>
              <w:rPr>
                <w:sz w:val="24"/>
              </w:rPr>
              <w:t>Irrespective of amount</w:t>
            </w:r>
          </w:p>
        </w:tc>
        <w:tc>
          <w:tcPr>
            <w:tcW w:w="2069" w:type="dxa"/>
          </w:tcPr>
          <w:p>
            <w:pPr/>
          </w:p>
        </w:tc>
        <w:tc>
          <w:tcPr>
            <w:tcW w:w="2254"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36"/>
              </w:rPr>
            </w:pPr>
          </w:p>
          <w:p>
            <w:pPr>
              <w:pStyle w:val="TableParagraph"/>
              <w:spacing w:line="259" w:lineRule="auto"/>
              <w:ind w:left="191" w:right="180" w:firstLine="180"/>
              <w:jc w:val="both"/>
              <w:rPr>
                <w:sz w:val="24"/>
              </w:rPr>
            </w:pPr>
            <w:r>
              <w:rPr>
                <w:sz w:val="24"/>
              </w:rPr>
              <w:t>Irrespective of amount or time of purchase</w:t>
            </w:r>
          </w:p>
        </w:tc>
      </w:tr>
    </w:tbl>
    <w:p>
      <w:pPr>
        <w:pStyle w:val="BodyText"/>
        <w:ind w:left="887"/>
      </w:pPr>
      <w:r>
        <w:rPr/>
        <w:t>(Continued)</w:t>
      </w:r>
    </w:p>
    <w:p>
      <w:pPr>
        <w:spacing w:after="0"/>
        <w:sectPr>
          <w:pgSz w:w="12240" w:h="15840"/>
          <w:pgMar w:header="731" w:footer="814" w:top="3340" w:bottom="1000" w:left="620" w:right="1040"/>
        </w:sectPr>
      </w:pPr>
    </w:p>
    <w:p>
      <w:pPr>
        <w:pStyle w:val="BodyText"/>
        <w:rPr>
          <w:sz w:val="17"/>
        </w:rPr>
      </w:pPr>
    </w:p>
    <w:p>
      <w:pPr>
        <w:pStyle w:val="Heading1"/>
        <w:spacing w:line="259" w:lineRule="auto" w:before="93" w:after="2"/>
        <w:ind w:left="3985" w:right="1476" w:hanging="1868"/>
      </w:pPr>
      <w:r>
        <w:rPr/>
        <w:t>ILLUSTRATION DISTINCTION BETWEEN CAPITAL OUTLAY </w:t>
      </w:r>
      <w:bookmarkStart w:name="AND STATE OPERATIONS" w:id="14"/>
      <w:bookmarkEnd w:id="14"/>
      <w:r>
        <w:rPr/>
      </w:r>
      <w:r>
        <w:rPr/>
        <w:t>AND STATE OPERATIONS</w:t>
      </w:r>
    </w:p>
    <w:tbl>
      <w:tblPr>
        <w:tblW w:w="0" w:type="auto"/>
        <w:jc w:val="left"/>
        <w:tblInd w:w="7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50"/>
        <w:gridCol w:w="2071"/>
        <w:gridCol w:w="2069"/>
        <w:gridCol w:w="2062"/>
      </w:tblGrid>
      <w:tr>
        <w:trPr>
          <w:trHeight w:val="641" w:hRule="exact"/>
        </w:trPr>
        <w:tc>
          <w:tcPr>
            <w:tcW w:w="3350" w:type="dxa"/>
          </w:tcPr>
          <w:p>
            <w:pPr/>
          </w:p>
        </w:tc>
        <w:tc>
          <w:tcPr>
            <w:tcW w:w="2071" w:type="dxa"/>
          </w:tcPr>
          <w:p>
            <w:pPr>
              <w:pStyle w:val="TableParagraph"/>
              <w:spacing w:line="259" w:lineRule="auto" w:before="10"/>
              <w:ind w:left="273" w:right="176" w:firstLine="400"/>
              <w:rPr>
                <w:b/>
                <w:sz w:val="24"/>
              </w:rPr>
            </w:pPr>
            <w:r>
              <w:rPr>
                <w:b/>
                <w:sz w:val="24"/>
              </w:rPr>
              <w:t>STATE OPERATIONS</w:t>
            </w:r>
          </w:p>
        </w:tc>
        <w:tc>
          <w:tcPr>
            <w:tcW w:w="2069" w:type="dxa"/>
          </w:tcPr>
          <w:p>
            <w:pPr>
              <w:pStyle w:val="TableParagraph"/>
              <w:spacing w:line="259" w:lineRule="auto" w:before="10"/>
              <w:ind w:left="573" w:hanging="27"/>
              <w:rPr>
                <w:b/>
                <w:sz w:val="24"/>
              </w:rPr>
            </w:pPr>
            <w:r>
              <w:rPr>
                <w:b/>
                <w:sz w:val="24"/>
              </w:rPr>
              <w:t>CAPITAL OUTLAY</w:t>
            </w:r>
          </w:p>
        </w:tc>
        <w:tc>
          <w:tcPr>
            <w:tcW w:w="2062" w:type="dxa"/>
          </w:tcPr>
          <w:p>
            <w:pPr/>
          </w:p>
        </w:tc>
      </w:tr>
      <w:tr>
        <w:trPr>
          <w:trHeight w:val="1217" w:hRule="exact"/>
        </w:trPr>
        <w:tc>
          <w:tcPr>
            <w:tcW w:w="3350" w:type="dxa"/>
          </w:tcPr>
          <w:p>
            <w:pPr>
              <w:pStyle w:val="TableParagraph"/>
              <w:spacing w:before="8"/>
              <w:rPr>
                <w:b/>
                <w:sz w:val="26"/>
              </w:rPr>
            </w:pPr>
          </w:p>
          <w:p>
            <w:pPr>
              <w:pStyle w:val="TableParagraph"/>
              <w:spacing w:line="254" w:lineRule="auto"/>
              <w:ind w:left="1036" w:right="592" w:hanging="353"/>
              <w:rPr>
                <w:b/>
                <w:sz w:val="16"/>
              </w:rPr>
            </w:pPr>
            <w:r>
              <w:rPr>
                <w:b/>
                <w:sz w:val="24"/>
              </w:rPr>
              <w:t>DESCRIPTION OF PROJECT </w:t>
            </w:r>
            <w:r>
              <w:rPr>
                <w:b/>
                <w:position w:val="8"/>
                <w:sz w:val="16"/>
              </w:rPr>
              <w:t>1/</w:t>
            </w:r>
          </w:p>
        </w:tc>
        <w:tc>
          <w:tcPr>
            <w:tcW w:w="2071" w:type="dxa"/>
          </w:tcPr>
          <w:p>
            <w:pPr>
              <w:pStyle w:val="TableParagraph"/>
              <w:spacing w:line="259" w:lineRule="auto" w:before="10"/>
              <w:ind w:left="321" w:right="304" w:firstLine="1"/>
              <w:jc w:val="center"/>
              <w:rPr>
                <w:b/>
                <w:sz w:val="24"/>
              </w:rPr>
            </w:pPr>
            <w:r>
              <w:rPr>
                <w:b/>
                <w:sz w:val="24"/>
              </w:rPr>
              <w:t>OPERATING EXPENSES AND EQUIPMENT</w:t>
            </w:r>
          </w:p>
        </w:tc>
        <w:tc>
          <w:tcPr>
            <w:tcW w:w="2069" w:type="dxa"/>
          </w:tcPr>
          <w:p>
            <w:pPr>
              <w:pStyle w:val="TableParagraph"/>
              <w:spacing w:line="259" w:lineRule="auto" w:before="159"/>
              <w:ind w:left="244" w:right="165" w:hanging="61"/>
              <w:jc w:val="center"/>
              <w:rPr>
                <w:b/>
                <w:sz w:val="24"/>
              </w:rPr>
            </w:pPr>
            <w:r>
              <w:rPr>
                <w:b/>
                <w:sz w:val="24"/>
              </w:rPr>
              <w:t>PROJECT LEVEL MINOR PROJECTS</w:t>
            </w:r>
          </w:p>
        </w:tc>
        <w:tc>
          <w:tcPr>
            <w:tcW w:w="2062" w:type="dxa"/>
          </w:tcPr>
          <w:p>
            <w:pPr>
              <w:pStyle w:val="TableParagraph"/>
              <w:spacing w:line="259" w:lineRule="auto" w:before="159"/>
              <w:ind w:left="208" w:right="131" w:hanging="61"/>
              <w:jc w:val="center"/>
              <w:rPr>
                <w:b/>
                <w:sz w:val="24"/>
              </w:rPr>
            </w:pPr>
            <w:r>
              <w:rPr>
                <w:b/>
                <w:sz w:val="24"/>
              </w:rPr>
              <w:t>PROJECT LEVEL MAJOR PROJECTS</w:t>
            </w:r>
          </w:p>
        </w:tc>
      </w:tr>
      <w:tr>
        <w:trPr>
          <w:trHeight w:val="1769" w:hRule="exact"/>
        </w:trPr>
        <w:tc>
          <w:tcPr>
            <w:tcW w:w="3350" w:type="dxa"/>
          </w:tcPr>
          <w:p>
            <w:pPr>
              <w:pStyle w:val="TableParagraph"/>
              <w:spacing w:before="7"/>
              <w:ind w:left="100" w:right="482"/>
              <w:rPr>
                <w:b/>
                <w:sz w:val="24"/>
              </w:rPr>
            </w:pPr>
            <w:r>
              <w:rPr>
                <w:b/>
                <w:sz w:val="24"/>
              </w:rPr>
              <w:t>Purchase of land and/or facility/structure:</w:t>
            </w:r>
          </w:p>
          <w:p>
            <w:pPr>
              <w:pStyle w:val="TableParagraph"/>
              <w:spacing w:line="259" w:lineRule="auto" w:before="1"/>
              <w:ind w:left="280" w:right="74"/>
              <w:rPr>
                <w:sz w:val="24"/>
              </w:rPr>
            </w:pPr>
            <w:r>
              <w:rPr>
                <w:sz w:val="24"/>
              </w:rPr>
              <w:t>Including related costs such as condemnation and court costs, legal fees, and title reports etc.</w:t>
            </w:r>
          </w:p>
        </w:tc>
        <w:tc>
          <w:tcPr>
            <w:tcW w:w="2071" w:type="dxa"/>
          </w:tcPr>
          <w:p>
            <w:pPr/>
          </w:p>
        </w:tc>
        <w:tc>
          <w:tcPr>
            <w:tcW w:w="2069" w:type="dxa"/>
          </w:tcPr>
          <w:p>
            <w:pPr/>
          </w:p>
        </w:tc>
        <w:tc>
          <w:tcPr>
            <w:tcW w:w="2062" w:type="dxa"/>
          </w:tcPr>
          <w:p>
            <w:pPr>
              <w:pStyle w:val="TableParagraph"/>
              <w:rPr>
                <w:b/>
                <w:sz w:val="26"/>
              </w:rPr>
            </w:pPr>
          </w:p>
          <w:p>
            <w:pPr>
              <w:pStyle w:val="TableParagraph"/>
              <w:spacing w:before="7"/>
              <w:rPr>
                <w:b/>
                <w:sz w:val="26"/>
              </w:rPr>
            </w:pPr>
          </w:p>
          <w:p>
            <w:pPr>
              <w:pStyle w:val="TableParagraph"/>
              <w:spacing w:line="259" w:lineRule="auto"/>
              <w:ind w:left="100" w:right="419"/>
              <w:rPr>
                <w:sz w:val="24"/>
              </w:rPr>
            </w:pPr>
            <w:r>
              <w:rPr>
                <w:sz w:val="24"/>
              </w:rPr>
              <w:t>Irrespective of amount</w:t>
            </w:r>
          </w:p>
        </w:tc>
      </w:tr>
      <w:tr>
        <w:trPr>
          <w:trHeight w:val="4733" w:hRule="exact"/>
        </w:trPr>
        <w:tc>
          <w:tcPr>
            <w:tcW w:w="3350" w:type="dxa"/>
          </w:tcPr>
          <w:p>
            <w:pPr>
              <w:pStyle w:val="TableParagraph"/>
              <w:spacing w:line="235" w:lineRule="auto" w:before="9"/>
              <w:ind w:left="100" w:right="175"/>
              <w:jc w:val="both"/>
              <w:rPr>
                <w:rFonts w:ascii="Segoe UI Symbol" w:hAnsi="Segoe UI Symbol"/>
                <w:sz w:val="24"/>
              </w:rPr>
            </w:pPr>
            <w:r>
              <w:rPr>
                <w:b/>
                <w:sz w:val="24"/>
              </w:rPr>
              <w:t>Capitalized leases of real property</w:t>
            </w:r>
            <w:r>
              <w:rPr>
                <w:sz w:val="24"/>
              </w:rPr>
              <w:t>: All leases which build equity as payments are made.  </w:t>
            </w:r>
            <w:r>
              <w:rPr>
                <w:i/>
                <w:sz w:val="24"/>
              </w:rPr>
              <w:t>(Section 6818): </w:t>
            </w:r>
            <w:r>
              <w:rPr>
                <w:rFonts w:ascii="Segoe UI Symbol" w:hAnsi="Segoe UI Symbol"/>
                <w:sz w:val="24"/>
              </w:rPr>
              <w:t>‘</w:t>
            </w:r>
          </w:p>
          <w:p>
            <w:pPr>
              <w:pStyle w:val="TableParagraph"/>
              <w:spacing w:before="9"/>
              <w:rPr>
                <w:b/>
                <w:sz w:val="25"/>
              </w:rPr>
            </w:pPr>
          </w:p>
          <w:p>
            <w:pPr>
              <w:pStyle w:val="TableParagraph"/>
              <w:numPr>
                <w:ilvl w:val="0"/>
                <w:numId w:val="11"/>
              </w:numPr>
              <w:tabs>
                <w:tab w:pos="377" w:val="left" w:leader="none"/>
              </w:tabs>
              <w:spacing w:line="281" w:lineRule="exact" w:before="0" w:after="0"/>
              <w:ind w:left="376" w:right="0" w:hanging="276"/>
              <w:jc w:val="left"/>
              <w:rPr>
                <w:sz w:val="23"/>
              </w:rPr>
            </w:pPr>
            <w:r>
              <w:rPr>
                <w:sz w:val="23"/>
              </w:rPr>
              <w:t>Lease-purchase</w:t>
            </w:r>
          </w:p>
          <w:p>
            <w:pPr>
              <w:pStyle w:val="TableParagraph"/>
              <w:numPr>
                <w:ilvl w:val="0"/>
                <w:numId w:val="12"/>
              </w:numPr>
              <w:tabs>
                <w:tab w:pos="388" w:val="left" w:leader="none"/>
                <w:tab w:pos="389" w:val="left" w:leader="none"/>
              </w:tabs>
              <w:spacing w:line="240" w:lineRule="auto" w:before="0" w:after="0"/>
              <w:ind w:left="388" w:right="87" w:hanging="288"/>
              <w:jc w:val="left"/>
              <w:rPr>
                <w:sz w:val="24"/>
              </w:rPr>
            </w:pPr>
            <w:r>
              <w:rPr>
                <w:sz w:val="24"/>
              </w:rPr>
              <w:t>A lease with purchase option agreement or amend an existing lease to add a purchase</w:t>
            </w:r>
            <w:r>
              <w:rPr>
                <w:spacing w:val="-9"/>
                <w:sz w:val="24"/>
              </w:rPr>
              <w:t> </w:t>
            </w:r>
            <w:r>
              <w:rPr>
                <w:sz w:val="24"/>
              </w:rPr>
              <w:t>option</w:t>
            </w:r>
          </w:p>
          <w:p>
            <w:pPr>
              <w:pStyle w:val="TableParagraph"/>
              <w:numPr>
                <w:ilvl w:val="0"/>
                <w:numId w:val="12"/>
              </w:numPr>
              <w:tabs>
                <w:tab w:pos="388" w:val="left" w:leader="none"/>
                <w:tab w:pos="389" w:val="left" w:leader="none"/>
              </w:tabs>
              <w:spacing w:line="259" w:lineRule="auto" w:before="23" w:after="0"/>
              <w:ind w:left="388" w:right="75" w:hanging="288"/>
              <w:jc w:val="left"/>
              <w:rPr>
                <w:sz w:val="24"/>
              </w:rPr>
            </w:pPr>
            <w:r>
              <w:rPr>
                <w:sz w:val="24"/>
              </w:rPr>
              <w:t>Any other capitalized lease per Section</w:t>
            </w:r>
            <w:r>
              <w:rPr>
                <w:spacing w:val="-9"/>
                <w:sz w:val="24"/>
              </w:rPr>
              <w:t> </w:t>
            </w:r>
            <w:r>
              <w:rPr>
                <w:sz w:val="24"/>
              </w:rPr>
              <w:t>6818</w:t>
            </w:r>
          </w:p>
        </w:tc>
        <w:tc>
          <w:tcPr>
            <w:tcW w:w="2071" w:type="dxa"/>
          </w:tcPr>
          <w:p>
            <w:pPr>
              <w:pStyle w:val="TableParagraph"/>
              <w:spacing w:before="8"/>
              <w:rPr>
                <w:b/>
                <w:sz w:val="26"/>
              </w:rPr>
            </w:pPr>
          </w:p>
          <w:p>
            <w:pPr>
              <w:pStyle w:val="TableParagraph"/>
              <w:spacing w:line="259" w:lineRule="auto"/>
              <w:ind w:left="100" w:right="109"/>
              <w:rPr>
                <w:sz w:val="24"/>
              </w:rPr>
            </w:pPr>
            <w:r>
              <w:rPr>
                <w:sz w:val="24"/>
              </w:rPr>
              <w:t>The lease payments are budgeted in support appropriation. Use a support BCP to request a budget increase. However, a coordinated capital outlay review is also required.</w:t>
            </w:r>
          </w:p>
        </w:tc>
        <w:tc>
          <w:tcPr>
            <w:tcW w:w="2069" w:type="dxa"/>
          </w:tcPr>
          <w:p>
            <w:pPr/>
          </w:p>
        </w:tc>
        <w:tc>
          <w:tcPr>
            <w:tcW w:w="2062" w:type="dxa"/>
          </w:tcPr>
          <w:p>
            <w:pPr>
              <w:pStyle w:val="TableParagraph"/>
              <w:spacing w:line="247" w:lineRule="auto" w:before="7"/>
              <w:ind w:left="100" w:right="48"/>
              <w:rPr>
                <w:i/>
                <w:sz w:val="24"/>
              </w:rPr>
            </w:pPr>
            <w:r>
              <w:rPr>
                <w:sz w:val="24"/>
              </w:rPr>
              <w:t>Transaction is reviewed for infrastructure cost/benefits because the property is acquired—or may be acquired—as a result of the lease. </w:t>
            </w:r>
            <w:r>
              <w:rPr>
                <w:i/>
                <w:sz w:val="24"/>
              </w:rPr>
              <w:t>Submit a </w:t>
            </w:r>
            <w:r>
              <w:rPr>
                <w:i/>
                <w:sz w:val="24"/>
              </w:rPr>
              <w:t>COBCP when requesting authority through the Budget Act, per Section</w:t>
            </w:r>
            <w:r>
              <w:rPr>
                <w:i/>
                <w:spacing w:val="-9"/>
                <w:sz w:val="24"/>
              </w:rPr>
              <w:t> </w:t>
            </w:r>
            <w:r>
              <w:rPr>
                <w:i/>
                <w:sz w:val="24"/>
              </w:rPr>
              <w:t>6818.</w:t>
            </w:r>
          </w:p>
        </w:tc>
      </w:tr>
      <w:tr>
        <w:trPr>
          <w:trHeight w:val="1517" w:hRule="exact"/>
        </w:trPr>
        <w:tc>
          <w:tcPr>
            <w:tcW w:w="3350" w:type="dxa"/>
          </w:tcPr>
          <w:p>
            <w:pPr>
              <w:pStyle w:val="TableParagraph"/>
              <w:tabs>
                <w:tab w:pos="1353" w:val="left" w:leader="none"/>
              </w:tabs>
              <w:spacing w:line="259" w:lineRule="auto" w:before="10"/>
              <w:ind w:left="100" w:right="122"/>
              <w:rPr>
                <w:i/>
                <w:sz w:val="24"/>
              </w:rPr>
            </w:pPr>
            <w:r>
              <w:rPr>
                <w:b/>
                <w:sz w:val="24"/>
              </w:rPr>
              <w:t>Operating leases of real property:</w:t>
              <w:tab/>
            </w:r>
            <w:r>
              <w:rPr>
                <w:sz w:val="24"/>
              </w:rPr>
              <w:t>Pure</w:t>
            </w:r>
            <w:r>
              <w:rPr>
                <w:spacing w:val="-3"/>
                <w:sz w:val="24"/>
              </w:rPr>
              <w:t> </w:t>
            </w:r>
            <w:r>
              <w:rPr>
                <w:sz w:val="24"/>
              </w:rPr>
              <w:t>leases</w:t>
            </w:r>
            <w:r>
              <w:rPr>
                <w:spacing w:val="-4"/>
                <w:sz w:val="24"/>
              </w:rPr>
              <w:t> </w:t>
            </w:r>
            <w:r>
              <w:rPr>
                <w:sz w:val="24"/>
              </w:rPr>
              <w:t>that</w:t>
            </w:r>
            <w:r>
              <w:rPr>
                <w:w w:val="99"/>
                <w:sz w:val="24"/>
              </w:rPr>
              <w:t> </w:t>
            </w:r>
            <w:r>
              <w:rPr>
                <w:sz w:val="24"/>
              </w:rPr>
              <w:t>do not build up equity as payments are made </w:t>
            </w:r>
            <w:r>
              <w:rPr>
                <w:i/>
                <w:sz w:val="24"/>
              </w:rPr>
              <w:t>(Section </w:t>
            </w:r>
            <w:r>
              <w:rPr>
                <w:i/>
                <w:sz w:val="24"/>
              </w:rPr>
              <w:t>6876).</w:t>
            </w:r>
          </w:p>
        </w:tc>
        <w:tc>
          <w:tcPr>
            <w:tcW w:w="2071" w:type="dxa"/>
          </w:tcPr>
          <w:p>
            <w:pPr>
              <w:pStyle w:val="TableParagraph"/>
              <w:spacing w:before="8"/>
              <w:rPr>
                <w:b/>
                <w:sz w:val="26"/>
              </w:rPr>
            </w:pPr>
          </w:p>
          <w:p>
            <w:pPr>
              <w:pStyle w:val="TableParagraph"/>
              <w:spacing w:line="259" w:lineRule="auto"/>
              <w:ind w:left="100" w:right="429"/>
              <w:rPr>
                <w:sz w:val="24"/>
              </w:rPr>
            </w:pPr>
            <w:r>
              <w:rPr>
                <w:sz w:val="24"/>
              </w:rPr>
              <w:t>Irrespective of amount</w:t>
            </w:r>
          </w:p>
        </w:tc>
        <w:tc>
          <w:tcPr>
            <w:tcW w:w="2069" w:type="dxa"/>
          </w:tcPr>
          <w:p>
            <w:pPr/>
          </w:p>
        </w:tc>
        <w:tc>
          <w:tcPr>
            <w:tcW w:w="2062" w:type="dxa"/>
          </w:tcPr>
          <w:p>
            <w:pPr/>
          </w:p>
        </w:tc>
      </w:tr>
    </w:tbl>
    <w:p>
      <w:pPr>
        <w:pStyle w:val="BodyText"/>
        <w:ind w:left="887"/>
      </w:pPr>
      <w:r>
        <w:rPr/>
        <w:t>(Continued)</w:t>
      </w:r>
    </w:p>
    <w:p>
      <w:pPr>
        <w:spacing w:after="0"/>
        <w:sectPr>
          <w:pgSz w:w="12240" w:h="15840"/>
          <w:pgMar w:header="731" w:footer="814" w:top="3360" w:bottom="1000" w:left="620" w:right="1220"/>
        </w:sectPr>
      </w:pPr>
    </w:p>
    <w:p>
      <w:pPr>
        <w:pStyle w:val="Heading1"/>
        <w:spacing w:line="259" w:lineRule="auto" w:before="0" w:after="10"/>
        <w:ind w:left="3985" w:right="1396" w:hanging="1868"/>
      </w:pPr>
      <w:r>
        <w:rPr/>
        <w:t>ILLUSTRATION DISTINCTION BETWEEN CAPITAL OUTLAY </w:t>
      </w:r>
      <w:bookmarkStart w:name="AND STATE OPERATIONS" w:id="15"/>
      <w:bookmarkEnd w:id="15"/>
      <w:r>
        <w:rPr/>
      </w:r>
      <w:r>
        <w:rPr/>
        <w:t>AND STATE OPERATIONS</w:t>
      </w:r>
    </w:p>
    <w:tbl>
      <w:tblPr>
        <w:tblW w:w="0" w:type="auto"/>
        <w:jc w:val="left"/>
        <w:tblInd w:w="7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50"/>
        <w:gridCol w:w="2071"/>
        <w:gridCol w:w="2069"/>
        <w:gridCol w:w="1980"/>
      </w:tblGrid>
      <w:tr>
        <w:trPr>
          <w:trHeight w:val="622" w:hRule="exact"/>
        </w:trPr>
        <w:tc>
          <w:tcPr>
            <w:tcW w:w="3350" w:type="dxa"/>
          </w:tcPr>
          <w:p>
            <w:pPr/>
          </w:p>
        </w:tc>
        <w:tc>
          <w:tcPr>
            <w:tcW w:w="2071" w:type="dxa"/>
          </w:tcPr>
          <w:p>
            <w:pPr>
              <w:pStyle w:val="TableParagraph"/>
              <w:spacing w:line="259" w:lineRule="auto" w:before="10"/>
              <w:ind w:left="256" w:right="193" w:firstLine="400"/>
              <w:rPr>
                <w:b/>
                <w:sz w:val="24"/>
              </w:rPr>
            </w:pPr>
            <w:r>
              <w:rPr>
                <w:b/>
                <w:sz w:val="24"/>
              </w:rPr>
              <w:t>STATE OPERATIONS</w:t>
            </w:r>
          </w:p>
        </w:tc>
        <w:tc>
          <w:tcPr>
            <w:tcW w:w="2069" w:type="dxa"/>
          </w:tcPr>
          <w:p>
            <w:pPr>
              <w:pStyle w:val="TableParagraph"/>
              <w:spacing w:line="259" w:lineRule="auto" w:before="10"/>
              <w:ind w:left="556" w:hanging="27"/>
              <w:rPr>
                <w:b/>
                <w:sz w:val="24"/>
              </w:rPr>
            </w:pPr>
            <w:r>
              <w:rPr>
                <w:b/>
                <w:sz w:val="24"/>
              </w:rPr>
              <w:t>CAPITAL OUTLAY</w:t>
            </w:r>
          </w:p>
        </w:tc>
        <w:tc>
          <w:tcPr>
            <w:tcW w:w="1980" w:type="dxa"/>
          </w:tcPr>
          <w:p>
            <w:pPr/>
          </w:p>
        </w:tc>
      </w:tr>
      <w:tr>
        <w:trPr>
          <w:trHeight w:val="1217" w:hRule="exact"/>
        </w:trPr>
        <w:tc>
          <w:tcPr>
            <w:tcW w:w="3350" w:type="dxa"/>
          </w:tcPr>
          <w:p>
            <w:pPr>
              <w:pStyle w:val="TableParagraph"/>
              <w:spacing w:before="8"/>
              <w:rPr>
                <w:b/>
                <w:sz w:val="26"/>
              </w:rPr>
            </w:pPr>
          </w:p>
          <w:p>
            <w:pPr>
              <w:pStyle w:val="TableParagraph"/>
              <w:spacing w:line="254" w:lineRule="auto"/>
              <w:ind w:left="1020" w:right="608" w:hanging="353"/>
              <w:rPr>
                <w:b/>
                <w:sz w:val="16"/>
              </w:rPr>
            </w:pPr>
            <w:r>
              <w:rPr>
                <w:b/>
                <w:sz w:val="24"/>
              </w:rPr>
              <w:t>DESCRIPTION OF PROJECT </w:t>
            </w:r>
            <w:r>
              <w:rPr>
                <w:b/>
                <w:position w:val="8"/>
                <w:sz w:val="16"/>
              </w:rPr>
              <w:t>1/</w:t>
            </w:r>
          </w:p>
        </w:tc>
        <w:tc>
          <w:tcPr>
            <w:tcW w:w="2071" w:type="dxa"/>
          </w:tcPr>
          <w:p>
            <w:pPr>
              <w:pStyle w:val="TableParagraph"/>
              <w:spacing w:line="259" w:lineRule="auto" w:before="10"/>
              <w:ind w:left="321" w:right="304" w:firstLine="1"/>
              <w:jc w:val="center"/>
              <w:rPr>
                <w:b/>
                <w:sz w:val="24"/>
              </w:rPr>
            </w:pPr>
            <w:r>
              <w:rPr>
                <w:b/>
                <w:sz w:val="24"/>
              </w:rPr>
              <w:t>OPERATING EXPENSES AND EQUIPMENT</w:t>
            </w:r>
          </w:p>
        </w:tc>
        <w:tc>
          <w:tcPr>
            <w:tcW w:w="2069" w:type="dxa"/>
          </w:tcPr>
          <w:p>
            <w:pPr>
              <w:pStyle w:val="TableParagraph"/>
              <w:spacing w:line="259" w:lineRule="auto" w:before="159"/>
              <w:ind w:left="227" w:right="182" w:hanging="28"/>
              <w:jc w:val="center"/>
              <w:rPr>
                <w:b/>
                <w:sz w:val="24"/>
              </w:rPr>
            </w:pPr>
            <w:r>
              <w:rPr>
                <w:b/>
                <w:sz w:val="24"/>
              </w:rPr>
              <w:t>PROJECT LEVEL MINOR PROJECTS</w:t>
            </w:r>
          </w:p>
        </w:tc>
        <w:tc>
          <w:tcPr>
            <w:tcW w:w="1980" w:type="dxa"/>
          </w:tcPr>
          <w:p>
            <w:pPr>
              <w:pStyle w:val="TableParagraph"/>
              <w:spacing w:line="259" w:lineRule="auto" w:before="159"/>
              <w:ind w:left="151" w:right="107" w:hanging="28"/>
              <w:jc w:val="center"/>
              <w:rPr>
                <w:b/>
                <w:sz w:val="24"/>
              </w:rPr>
            </w:pPr>
            <w:r>
              <w:rPr>
                <w:b/>
                <w:sz w:val="24"/>
              </w:rPr>
              <w:t>PROJECT LEVEL MAJOR PROJECTS</w:t>
            </w:r>
          </w:p>
        </w:tc>
      </w:tr>
      <w:tr>
        <w:trPr>
          <w:trHeight w:val="919" w:hRule="exact"/>
        </w:trPr>
        <w:tc>
          <w:tcPr>
            <w:tcW w:w="3350" w:type="dxa"/>
          </w:tcPr>
          <w:p>
            <w:pPr>
              <w:pStyle w:val="TableParagraph"/>
              <w:spacing w:line="259" w:lineRule="auto" w:before="10"/>
              <w:ind w:left="100" w:right="122"/>
              <w:rPr>
                <w:sz w:val="24"/>
              </w:rPr>
            </w:pPr>
            <w:r>
              <w:rPr>
                <w:b/>
                <w:sz w:val="24"/>
              </w:rPr>
              <w:t>Exercise of purchase option </w:t>
            </w:r>
            <w:r>
              <w:rPr>
                <w:sz w:val="24"/>
              </w:rPr>
              <w:t>for currently rented or leased space (Section 6820)</w:t>
            </w:r>
          </w:p>
        </w:tc>
        <w:tc>
          <w:tcPr>
            <w:tcW w:w="2071" w:type="dxa"/>
          </w:tcPr>
          <w:p>
            <w:pPr/>
          </w:p>
        </w:tc>
        <w:tc>
          <w:tcPr>
            <w:tcW w:w="2069" w:type="dxa"/>
          </w:tcPr>
          <w:p>
            <w:pPr/>
          </w:p>
        </w:tc>
        <w:tc>
          <w:tcPr>
            <w:tcW w:w="1980" w:type="dxa"/>
          </w:tcPr>
          <w:p>
            <w:pPr>
              <w:pStyle w:val="TableParagraph"/>
              <w:spacing w:before="8"/>
              <w:rPr>
                <w:b/>
                <w:sz w:val="26"/>
              </w:rPr>
            </w:pPr>
          </w:p>
          <w:p>
            <w:pPr>
              <w:pStyle w:val="TableParagraph"/>
              <w:spacing w:line="259" w:lineRule="auto"/>
              <w:ind w:left="100" w:right="338"/>
              <w:rPr>
                <w:sz w:val="24"/>
              </w:rPr>
            </w:pPr>
            <w:r>
              <w:rPr>
                <w:sz w:val="24"/>
              </w:rPr>
              <w:t>Irrespective of amount</w:t>
            </w:r>
          </w:p>
        </w:tc>
      </w:tr>
      <w:tr>
        <w:trPr>
          <w:trHeight w:val="1766" w:hRule="exact"/>
        </w:trPr>
        <w:tc>
          <w:tcPr>
            <w:tcW w:w="3350" w:type="dxa"/>
          </w:tcPr>
          <w:p>
            <w:pPr>
              <w:pStyle w:val="TableParagraph"/>
              <w:spacing w:before="7"/>
              <w:ind w:left="100" w:right="575"/>
              <w:rPr>
                <w:b/>
                <w:sz w:val="24"/>
              </w:rPr>
            </w:pPr>
            <w:r>
              <w:rPr>
                <w:b/>
                <w:sz w:val="24"/>
              </w:rPr>
              <w:t>Relocation and moving costs</w:t>
            </w:r>
          </w:p>
          <w:p>
            <w:pPr>
              <w:pStyle w:val="TableParagraph"/>
              <w:numPr>
                <w:ilvl w:val="0"/>
                <w:numId w:val="13"/>
              </w:numPr>
              <w:tabs>
                <w:tab w:pos="388" w:val="left" w:leader="none"/>
                <w:tab w:pos="389" w:val="left" w:leader="none"/>
              </w:tabs>
              <w:spacing w:line="244" w:lineRule="auto" w:before="18" w:after="0"/>
              <w:ind w:left="388" w:right="569" w:hanging="288"/>
              <w:jc w:val="left"/>
              <w:rPr>
                <w:sz w:val="24"/>
              </w:rPr>
            </w:pPr>
            <w:r>
              <w:rPr>
                <w:sz w:val="24"/>
              </w:rPr>
              <w:t>Unrelated to a specific construction</w:t>
            </w:r>
            <w:r>
              <w:rPr>
                <w:spacing w:val="-8"/>
                <w:sz w:val="24"/>
              </w:rPr>
              <w:t> </w:t>
            </w:r>
            <w:r>
              <w:rPr>
                <w:sz w:val="24"/>
              </w:rPr>
              <w:t>project.</w:t>
            </w:r>
          </w:p>
          <w:p>
            <w:pPr>
              <w:pStyle w:val="TableParagraph"/>
              <w:numPr>
                <w:ilvl w:val="0"/>
                <w:numId w:val="13"/>
              </w:numPr>
              <w:tabs>
                <w:tab w:pos="388" w:val="left" w:leader="none"/>
                <w:tab w:pos="389" w:val="left" w:leader="none"/>
              </w:tabs>
              <w:spacing w:line="259" w:lineRule="auto" w:before="13" w:after="0"/>
              <w:ind w:left="388" w:right="782" w:hanging="288"/>
              <w:jc w:val="left"/>
              <w:rPr>
                <w:sz w:val="24"/>
              </w:rPr>
            </w:pPr>
            <w:r>
              <w:rPr>
                <w:sz w:val="24"/>
              </w:rPr>
              <w:t>Related to a specific construction</w:t>
            </w:r>
            <w:r>
              <w:rPr>
                <w:spacing w:val="-8"/>
                <w:sz w:val="24"/>
              </w:rPr>
              <w:t> </w:t>
            </w:r>
            <w:r>
              <w:rPr>
                <w:sz w:val="24"/>
              </w:rPr>
              <w:t>project.</w:t>
            </w:r>
          </w:p>
        </w:tc>
        <w:tc>
          <w:tcPr>
            <w:tcW w:w="2071" w:type="dxa"/>
          </w:tcPr>
          <w:p>
            <w:pPr>
              <w:pStyle w:val="TableParagraph"/>
              <w:spacing w:before="6"/>
              <w:rPr>
                <w:b/>
                <w:sz w:val="26"/>
              </w:rPr>
            </w:pPr>
          </w:p>
          <w:p>
            <w:pPr>
              <w:pStyle w:val="TableParagraph"/>
              <w:tabs>
                <w:tab w:pos="1802" w:val="left" w:leader="none"/>
              </w:tabs>
              <w:spacing w:line="247" w:lineRule="auto"/>
              <w:ind w:left="100" w:right="53"/>
              <w:rPr>
                <w:sz w:val="24"/>
              </w:rPr>
            </w:pPr>
            <w:r>
              <w:rPr>
                <w:sz w:val="24"/>
              </w:rPr>
              <w:t>Irrespective of amount Irrespective</w:t>
              <w:tab/>
              <w:t>of</w:t>
            </w:r>
            <w:r>
              <w:rPr>
                <w:w w:val="100"/>
                <w:sz w:val="24"/>
              </w:rPr>
              <w:t> </w:t>
            </w:r>
            <w:r>
              <w:rPr>
                <w:sz w:val="24"/>
              </w:rPr>
              <w:t>amount</w:t>
            </w:r>
            <w:r>
              <w:rPr>
                <w:spacing w:val="-4"/>
                <w:sz w:val="24"/>
              </w:rPr>
              <w:t> </w:t>
            </w:r>
            <w:r>
              <w:rPr>
                <w:sz w:val="24"/>
              </w:rPr>
              <w:t>4/</w:t>
            </w:r>
          </w:p>
        </w:tc>
        <w:tc>
          <w:tcPr>
            <w:tcW w:w="2069" w:type="dxa"/>
          </w:tcPr>
          <w:p>
            <w:pPr/>
          </w:p>
        </w:tc>
        <w:tc>
          <w:tcPr>
            <w:tcW w:w="1980" w:type="dxa"/>
          </w:tcPr>
          <w:p>
            <w:pPr/>
          </w:p>
        </w:tc>
      </w:tr>
      <w:tr>
        <w:trPr>
          <w:trHeight w:val="3005" w:hRule="exact"/>
        </w:trPr>
        <w:tc>
          <w:tcPr>
            <w:tcW w:w="3350" w:type="dxa"/>
          </w:tcPr>
          <w:p>
            <w:pPr>
              <w:pStyle w:val="TableParagraph"/>
              <w:spacing w:line="259" w:lineRule="auto" w:before="10"/>
              <w:ind w:left="100" w:right="54"/>
              <w:rPr>
                <w:sz w:val="24"/>
              </w:rPr>
            </w:pPr>
            <w:r>
              <w:rPr>
                <w:b/>
                <w:sz w:val="24"/>
              </w:rPr>
              <w:t>Technical assistance/consultants </w:t>
            </w:r>
            <w:r>
              <w:rPr>
                <w:sz w:val="24"/>
              </w:rPr>
              <w:t>This may include studies, master planning, feasibility studies, program management, and budget packages.</w:t>
            </w:r>
          </w:p>
        </w:tc>
        <w:tc>
          <w:tcPr>
            <w:tcW w:w="2071" w:type="dxa"/>
          </w:tcPr>
          <w:p>
            <w:pPr>
              <w:pStyle w:val="TableParagraph"/>
              <w:spacing w:line="259" w:lineRule="auto" w:before="10"/>
              <w:ind w:left="100" w:right="282"/>
              <w:rPr>
                <w:sz w:val="24"/>
              </w:rPr>
            </w:pPr>
            <w:r>
              <w:rPr>
                <w:sz w:val="24"/>
              </w:rPr>
              <w:t>Depends on timing and nature/scope of activities.</w:t>
            </w:r>
          </w:p>
        </w:tc>
        <w:tc>
          <w:tcPr>
            <w:tcW w:w="2069" w:type="dxa"/>
          </w:tcPr>
          <w:p>
            <w:pPr/>
          </w:p>
        </w:tc>
        <w:tc>
          <w:tcPr>
            <w:tcW w:w="1980" w:type="dxa"/>
          </w:tcPr>
          <w:p>
            <w:pPr>
              <w:pStyle w:val="TableParagraph"/>
              <w:spacing w:line="259" w:lineRule="auto" w:before="10"/>
              <w:ind w:left="100" w:right="111"/>
              <w:rPr>
                <w:sz w:val="24"/>
              </w:rPr>
            </w:pPr>
            <w:r>
              <w:rPr>
                <w:sz w:val="24"/>
              </w:rPr>
              <w:t>Budget packages are generally capital outlay; other studies and assistance depend on timing and nature/scope of activities.</w:t>
            </w:r>
          </w:p>
        </w:tc>
      </w:tr>
    </w:tbl>
    <w:p>
      <w:pPr>
        <w:pStyle w:val="BodyText"/>
        <w:spacing w:before="6"/>
        <w:rPr>
          <w:b/>
          <w:sz w:val="25"/>
        </w:rPr>
      </w:pPr>
    </w:p>
    <w:p>
      <w:pPr>
        <w:spacing w:before="0"/>
        <w:ind w:left="805" w:right="0" w:firstLine="0"/>
        <w:jc w:val="left"/>
        <w:rPr>
          <w:sz w:val="16"/>
        </w:rPr>
      </w:pPr>
      <w:r>
        <w:rPr>
          <w:sz w:val="16"/>
        </w:rPr>
        <w:t>1/ State-funded but locally-owned infrastructure is classified as local assistance.</w:t>
      </w:r>
    </w:p>
    <w:p>
      <w:pPr>
        <w:spacing w:line="288" w:lineRule="auto" w:before="34"/>
        <w:ind w:left="805" w:right="1579" w:firstLine="0"/>
        <w:jc w:val="left"/>
        <w:rPr>
          <w:sz w:val="16"/>
        </w:rPr>
      </w:pPr>
      <w:r>
        <w:rPr>
          <w:sz w:val="16"/>
        </w:rPr>
        <w:t>2/ Control Section 6.00 allows the use of limited support appropriations for the alterations of state-owned facility. 3/ See Public Contract Code Section 10108.5 for exceptions.</w:t>
      </w:r>
    </w:p>
    <w:p>
      <w:pPr>
        <w:spacing w:before="25"/>
        <w:ind w:left="805" w:right="0" w:firstLine="0"/>
        <w:jc w:val="left"/>
        <w:rPr>
          <w:sz w:val="16"/>
        </w:rPr>
      </w:pPr>
      <w:r>
        <w:rPr>
          <w:sz w:val="16"/>
        </w:rPr>
        <w:t>4/ DOF may authorize exceptions to this rule.</w:t>
      </w:r>
    </w:p>
    <w:p>
      <w:pPr>
        <w:spacing w:after="0"/>
        <w:jc w:val="left"/>
        <w:rPr>
          <w:sz w:val="16"/>
        </w:rPr>
        <w:sectPr>
          <w:pgSz w:w="12240" w:h="15840"/>
          <w:pgMar w:header="731" w:footer="814" w:top="3340" w:bottom="1000" w:left="620" w:right="1300"/>
        </w:sectPr>
      </w:pPr>
    </w:p>
    <w:p>
      <w:pPr>
        <w:spacing w:before="77"/>
        <w:ind w:left="2566" w:right="0" w:firstLine="0"/>
        <w:jc w:val="left"/>
        <w:rPr>
          <w:rFonts w:ascii="Calibri" w:hAnsi="Calibri"/>
          <w:b/>
          <w:sz w:val="22"/>
        </w:rPr>
      </w:pPr>
      <w:bookmarkStart w:name="7977Illustration2" w:id="16"/>
      <w:bookmarkEnd w:id="16"/>
      <w:r>
        <w:rPr/>
      </w:r>
      <w:r>
        <w:rPr>
          <w:rFonts w:ascii="Calibri" w:hAnsi="Calibri"/>
          <w:b/>
          <w:sz w:val="22"/>
        </w:rPr>
        <w:t>SAM</w:t>
      </w:r>
      <w:r>
        <w:rPr>
          <w:rFonts w:ascii="Symbol" w:hAnsi="Symbol"/>
          <w:b/>
          <w:sz w:val="22"/>
        </w:rPr>
        <w:t></w:t>
      </w:r>
      <w:r>
        <w:rPr>
          <w:rFonts w:ascii="Calibri" w:hAnsi="Calibri"/>
          <w:b/>
          <w:sz w:val="22"/>
        </w:rPr>
        <w:t>RECONCILIATIONS AND REPORTS</w:t>
      </w:r>
    </w:p>
    <w:p>
      <w:pPr>
        <w:pStyle w:val="BodyText"/>
        <w:spacing w:before="3"/>
        <w:rPr>
          <w:rFonts w:ascii="Calibri"/>
          <w:b/>
        </w:rPr>
      </w:pPr>
      <w:r>
        <w:rPr/>
        <w:drawing>
          <wp:anchor distT="0" distB="0" distL="0" distR="0" allowOverlap="1" layoutInCell="1" locked="0" behindDoc="0" simplePos="0" relativeHeight="1984">
            <wp:simplePos x="0" y="0"/>
            <wp:positionH relativeFrom="page">
              <wp:posOffset>1379219</wp:posOffset>
            </wp:positionH>
            <wp:positionV relativeFrom="paragraph">
              <wp:posOffset>213271</wp:posOffset>
            </wp:positionV>
            <wp:extent cx="5309530" cy="7822692"/>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4" cstate="print"/>
                    <a:stretch>
                      <a:fillRect/>
                    </a:stretch>
                  </pic:blipFill>
                  <pic:spPr>
                    <a:xfrm>
                      <a:off x="0" y="0"/>
                      <a:ext cx="5309530" cy="7822692"/>
                    </a:xfrm>
                    <a:prstGeom prst="rect">
                      <a:avLst/>
                    </a:prstGeom>
                  </pic:spPr>
                </pic:pic>
              </a:graphicData>
            </a:graphic>
          </wp:anchor>
        </w:drawing>
      </w:r>
    </w:p>
    <w:p>
      <w:pPr>
        <w:pStyle w:val="BodyText"/>
        <w:rPr>
          <w:rFonts w:ascii="Calibri"/>
          <w:b/>
          <w:sz w:val="28"/>
        </w:rPr>
      </w:pPr>
    </w:p>
    <w:p>
      <w:pPr>
        <w:pStyle w:val="BodyText"/>
        <w:rPr>
          <w:rFonts w:ascii="Calibri"/>
          <w:b/>
          <w:sz w:val="27"/>
        </w:rPr>
      </w:pPr>
    </w:p>
    <w:p>
      <w:pPr>
        <w:spacing w:before="0"/>
        <w:ind w:left="3440" w:right="3859" w:firstLine="0"/>
        <w:jc w:val="center"/>
        <w:rPr>
          <w:rFonts w:ascii="Calibri"/>
          <w:b/>
          <w:sz w:val="22"/>
        </w:rPr>
      </w:pPr>
      <w:r>
        <w:rPr>
          <w:rFonts w:ascii="Calibri"/>
          <w:b/>
          <w:sz w:val="22"/>
        </w:rPr>
        <w:t>7977 Illustration 2</w:t>
      </w:r>
    </w:p>
    <w:p>
      <w:pPr>
        <w:pStyle w:val="BodyText"/>
        <w:spacing w:before="10"/>
        <w:rPr>
          <w:rFonts w:ascii="Calibri"/>
          <w:b/>
          <w:sz w:val="13"/>
        </w:rPr>
      </w:pPr>
    </w:p>
    <w:p>
      <w:pPr>
        <w:spacing w:before="56"/>
        <w:ind w:left="3440" w:right="3640" w:firstLine="0"/>
        <w:jc w:val="center"/>
        <w:rPr>
          <w:rFonts w:ascii="Calibri"/>
          <w:b/>
          <w:sz w:val="22"/>
        </w:rPr>
      </w:pPr>
      <w:r>
        <w:rPr>
          <w:rFonts w:ascii="Calibri"/>
          <w:b/>
          <w:sz w:val="22"/>
        </w:rPr>
        <w:t>REV. 439</w:t>
      </w:r>
    </w:p>
    <w:p>
      <w:pPr>
        <w:spacing w:after="0"/>
        <w:jc w:val="center"/>
        <w:rPr>
          <w:rFonts w:ascii="Calibri"/>
          <w:sz w:val="22"/>
        </w:rPr>
        <w:sectPr>
          <w:headerReference w:type="default" r:id="rId72"/>
          <w:footerReference w:type="default" r:id="rId73"/>
          <w:pgSz w:w="12240" w:h="15840"/>
          <w:pgMar w:header="0" w:footer="0" w:top="640" w:bottom="280" w:left="1720" w:right="1520"/>
        </w:sectPr>
      </w:pPr>
    </w:p>
    <w:p>
      <w:pPr>
        <w:pStyle w:val="Heading1"/>
        <w:spacing w:before="78"/>
        <w:ind w:left="4066" w:right="3367"/>
        <w:jc w:val="center"/>
      </w:pPr>
      <w:bookmarkStart w:name="8452 Track Changes" w:id="17"/>
      <w:bookmarkEnd w:id="17"/>
      <w:r>
        <w:rPr>
          <w:b w:val="0"/>
        </w:rPr>
      </w:r>
      <w:r>
        <w:rPr/>
        <w:t>SAM - DISBURSEMENTS</w:t>
      </w:r>
    </w:p>
    <w:p>
      <w:pPr>
        <w:pStyle w:val="BodyText"/>
        <w:rPr>
          <w:b/>
          <w:sz w:val="26"/>
        </w:rPr>
      </w:pPr>
    </w:p>
    <w:p>
      <w:pPr>
        <w:tabs>
          <w:tab w:pos="9647" w:val="left" w:leader="none"/>
        </w:tabs>
        <w:spacing w:before="169"/>
        <w:ind w:left="819" w:right="0" w:firstLine="0"/>
        <w:jc w:val="left"/>
        <w:rPr>
          <w:b/>
          <w:sz w:val="24"/>
        </w:rPr>
      </w:pPr>
      <w:r>
        <w:rPr>
          <w:b/>
          <w:sz w:val="24"/>
        </w:rPr>
        <w:t>PLANS OF</w:t>
      </w:r>
      <w:r>
        <w:rPr>
          <w:b/>
          <w:spacing w:val="-7"/>
          <w:sz w:val="24"/>
        </w:rPr>
        <w:t> </w:t>
      </w:r>
      <w:r>
        <w:rPr>
          <w:b/>
          <w:sz w:val="24"/>
        </w:rPr>
        <w:t>FINANCIAL</w:t>
      </w:r>
      <w:r>
        <w:rPr>
          <w:b/>
          <w:spacing w:val="-2"/>
          <w:sz w:val="24"/>
        </w:rPr>
        <w:t> </w:t>
      </w:r>
      <w:r>
        <w:rPr>
          <w:b/>
          <w:sz w:val="24"/>
        </w:rPr>
        <w:t>ADJUSTMENT</w:t>
        <w:tab/>
        <w:t>8452</w:t>
      </w:r>
    </w:p>
    <w:p>
      <w:pPr>
        <w:pStyle w:val="BodyText"/>
        <w:spacing w:before="21"/>
        <w:ind w:left="805"/>
      </w:pPr>
      <w:r>
        <w:rPr/>
        <w:pict>
          <v:line style="position:absolute;mso-position-horizontal-relative:page;mso-position-vertical-relative:paragraph;z-index:2104" from="36.360001pt,1.146869pt" to="36.360001pt,409.265869pt" stroked="true" strokeweight=".72pt" strokecolor="#000000">
            <v:stroke dashstyle="solid"/>
            <w10:wrap type="none"/>
          </v:line>
        </w:pict>
      </w:r>
      <w:r>
        <w:rPr/>
        <w:t>(Revised </w:t>
      </w:r>
      <w:r>
        <w:rPr>
          <w:strike/>
          <w:color w:val="B5082E"/>
        </w:rPr>
        <w:t>5/2015</w:t>
      </w:r>
      <w:r>
        <w:rPr>
          <w:strike/>
          <w:color w:val="2E97D3"/>
          <w:u w:val="single" w:color="B5082E"/>
        </w:rPr>
        <w:t>8</w:t>
      </w:r>
      <w:r>
        <w:rPr>
          <w:strike w:val="0"/>
          <w:color w:val="2E97D3"/>
          <w:u w:val="single" w:color="B5082E"/>
        </w:rPr>
        <w:t>9</w:t>
      </w:r>
      <w:r>
        <w:rPr>
          <w:strike w:val="0"/>
          <w:color w:val="B5082E"/>
          <w:u w:val="single" w:color="B5082E"/>
        </w:rPr>
        <w:t>/2017</w:t>
      </w:r>
      <w:r>
        <w:rPr>
          <w:strike w:val="0"/>
        </w:rPr>
        <w:t>)</w:t>
      </w:r>
    </w:p>
    <w:p>
      <w:pPr>
        <w:pStyle w:val="BodyText"/>
        <w:spacing w:before="10"/>
        <w:rPr>
          <w:sz w:val="20"/>
        </w:rPr>
      </w:pPr>
    </w:p>
    <w:p>
      <w:pPr>
        <w:pStyle w:val="BodyText"/>
        <w:spacing w:line="268" w:lineRule="auto" w:before="93"/>
        <w:ind w:left="815" w:right="163" w:hanging="10"/>
      </w:pPr>
      <w:r>
        <w:rPr/>
        <w:pict>
          <v:line style="position:absolute;mso-position-horizontal-relative:page;mso-position-vertical-relative:paragraph;z-index:-49072" from="490.320007pt,13.086389pt" to="493.560007pt,13.086389pt" stroked="true" strokeweight=".599pt" strokecolor="#b5082e">
            <v:stroke dashstyle="solid"/>
            <w10:wrap type="none"/>
          </v:line>
        </w:pict>
      </w:r>
      <w:r>
        <w:rPr/>
        <w:t>A Plan of Financial Adjustment (PFA) is a plan proposed by a state department</w:t>
      </w:r>
      <w:r>
        <w:rPr>
          <w:color w:val="B5082E"/>
        </w:rPr>
        <w:t>, </w:t>
      </w:r>
      <w:r>
        <w:rPr>
          <w:strike/>
          <w:color w:val="B5082E"/>
        </w:rPr>
        <w:t>approved by the Department of Finance (</w:t>
      </w:r>
      <w:r>
        <w:rPr>
          <w:strike/>
          <w:color w:val="B5082E"/>
          <w:u w:val="single" w:color="0000FF"/>
        </w:rPr>
        <w:t>FINANCE</w:t>
      </w:r>
      <w:r>
        <w:rPr>
          <w:strike/>
          <w:color w:val="B5082E"/>
        </w:rPr>
        <w:t>) and the State Controller’s Office ( </w:t>
      </w:r>
      <w:r>
        <w:rPr>
          <w:strike/>
          <w:color w:val="B5082E"/>
          <w:u w:val="single" w:color="0000FF"/>
        </w:rPr>
        <w:t>SCO</w:t>
      </w:r>
      <w:r>
        <w:rPr>
          <w:strike/>
          <w:color w:val="B5082E"/>
        </w:rPr>
        <w:t>), </w:t>
      </w:r>
      <w:r>
        <w:rPr>
          <w:strike w:val="0"/>
        </w:rPr>
        <w:t>to allocate costs paid from one fund or appropriation to other funds or appropriations. </w:t>
      </w:r>
      <w:r>
        <w:rPr>
          <w:strike/>
          <w:color w:val="B5082E"/>
        </w:rPr>
        <w:t>For example, a department might pay all administrative costs out of its main fund and then transfer the applicable costs to the correct funds or appropriations for their share of the total costs paid </w:t>
      </w:r>
      <w:r>
        <w:rPr>
          <w:strike w:val="0"/>
          <w:color w:val="B5082E"/>
          <w:u w:val="single" w:color="B5082E"/>
        </w:rPr>
        <w:t>The purpose of a PFA is to eliminate the use of multiple claim schedules for an invoice or payroll charge applicable to more than one fund or appropriation. </w:t>
      </w:r>
      <w:r>
        <w:rPr>
          <w:strike/>
          <w:color w:val="B5082E"/>
        </w:rPr>
        <w:t>. </w:t>
      </w:r>
      <w:r>
        <w:rPr>
          <w:strike w:val="0"/>
          <w:color w:val="B5082E"/>
          <w:u w:val="single" w:color="B5082E"/>
        </w:rPr>
        <w:t>See SAM section 8452.1 for preparation of a PFA and section 8452.2 for approval of a PFA. </w:t>
      </w:r>
      <w:r>
        <w:rPr>
          <w:strike/>
          <w:color w:val="B5082E"/>
        </w:rPr>
        <w:t>If approved, the SCO transfers the funds as prescribed in the PFA.  See SAM section 8452.2 for Approval of Plan of Financial Adjustment.</w:t>
      </w:r>
    </w:p>
    <w:p>
      <w:pPr>
        <w:pStyle w:val="BodyText"/>
        <w:spacing w:line="268" w:lineRule="auto" w:before="208"/>
        <w:ind w:left="815" w:right="117" w:hanging="10"/>
      </w:pPr>
      <w:r>
        <w:rPr/>
        <w:pict>
          <v:line style="position:absolute;mso-position-horizontal-relative:page;mso-position-vertical-relative:paragraph;z-index:-49048" from="305.399994pt,163.195847pt" to="307.919994pt,163.195847pt" stroked="true" strokeweight=".84pt" strokecolor="#b5082e">
            <v:stroke dashstyle="solid"/>
            <w10:wrap type="none"/>
          </v:line>
        </w:pict>
      </w:r>
      <w:r>
        <w:rPr>
          <w:strike/>
          <w:color w:val="B5082E"/>
        </w:rPr>
        <w:t>A PFA eliminates the use of multiple claim schedules for an invoice or payroll charge applicable to more than one fund or appropriation. </w:t>
      </w:r>
      <w:r>
        <w:rPr>
          <w:strike w:val="0"/>
          <w:color w:val="B5082E"/>
          <w:u w:val="single" w:color="B5082E"/>
        </w:rPr>
        <w:t>Approved </w:t>
      </w:r>
      <w:r>
        <w:rPr>
          <w:strike w:val="0"/>
        </w:rPr>
        <w:t>PFAs are used </w:t>
      </w:r>
      <w:r>
        <w:rPr>
          <w:strike w:val="0"/>
          <w:color w:val="B5082E"/>
          <w:u w:val="single" w:color="B5082E"/>
        </w:rPr>
        <w:t>as the authority </w:t>
      </w:r>
      <w:r>
        <w:rPr>
          <w:strike/>
          <w:color w:val="B5082E"/>
        </w:rPr>
        <w:t>for</w:t>
      </w:r>
      <w:r>
        <w:rPr>
          <w:strike w:val="0"/>
          <w:color w:val="B5082E"/>
          <w:u w:val="single" w:color="B5082E"/>
        </w:rPr>
        <w:t>to </w:t>
      </w:r>
      <w:r>
        <w:rPr>
          <w:strike w:val="0"/>
        </w:rPr>
        <w:t>transfer </w:t>
      </w:r>
      <w:r>
        <w:rPr>
          <w:strike/>
          <w:color w:val="B5082E"/>
        </w:rPr>
        <w:t>of </w:t>
      </w:r>
      <w:r>
        <w:rPr>
          <w:strike w:val="0"/>
        </w:rPr>
        <w:t>expenditures (financial adjustment) between appropriations of the same fund or between appropriations of different funds. </w:t>
      </w:r>
      <w:r>
        <w:rPr>
          <w:strike/>
          <w:color w:val="2E97D3"/>
          <w:u w:val="single" w:color="B5082E"/>
        </w:rPr>
        <w:t>Generally</w:t>
      </w:r>
      <w:r>
        <w:rPr>
          <w:strike w:val="0"/>
          <w:color w:val="2E97D3"/>
          <w:u w:val="single" w:color="B5082E"/>
        </w:rPr>
        <w:t>For example</w:t>
      </w:r>
      <w:r>
        <w:rPr>
          <w:strike w:val="0"/>
          <w:color w:val="B5082E"/>
          <w:u w:val="single" w:color="B5082E"/>
        </w:rPr>
        <w:t>, a department will record expenditures in their main fund throughout the month. At month end, the department will perform cost allocation/fund split and record the expenditures in the ultimate funds. </w:t>
      </w:r>
      <w:r>
        <w:rPr>
          <w:strike w:val="0"/>
        </w:rPr>
        <w:t>The </w:t>
      </w:r>
      <w:r>
        <w:rPr>
          <w:strike/>
          <w:color w:val="B5082E"/>
        </w:rPr>
        <w:t>state </w:t>
      </w:r>
      <w:r>
        <w:rPr>
          <w:strike w:val="0"/>
        </w:rPr>
        <w:t>department will provide SCO a </w:t>
      </w:r>
      <w:r>
        <w:rPr>
          <w:strike w:val="0"/>
          <w:color w:val="B5082E"/>
          <w:u w:val="single" w:color="B5082E"/>
        </w:rPr>
        <w:t>written request called the </w:t>
      </w:r>
      <w:hyperlink r:id="rId77">
        <w:r>
          <w:rPr>
            <w:strike w:val="0"/>
            <w:color w:val="0000FF"/>
            <w:u w:val="single" w:color="0000FF"/>
          </w:rPr>
          <w:t>Transaction Request, Form CA 504</w:t>
        </w:r>
      </w:hyperlink>
      <w:hyperlink r:id="rId77">
        <w:r>
          <w:rPr>
            <w:strike/>
            <w:color w:val="B5082E"/>
          </w:rPr>
          <w:t>,</w:t>
        </w:r>
      </w:hyperlink>
      <w:r>
        <w:rPr>
          <w:strike/>
          <w:color w:val="B5082E"/>
        </w:rPr>
        <w:t> which </w:t>
      </w:r>
      <w:r>
        <w:rPr>
          <w:strike w:val="0"/>
          <w:color w:val="B5082E"/>
          <w:u w:val="single" w:color="B5082E"/>
        </w:rPr>
        <w:t>to </w:t>
      </w:r>
      <w:r>
        <w:rPr>
          <w:strike w:val="0"/>
        </w:rPr>
        <w:t>transfer</w:t>
      </w:r>
      <w:r>
        <w:rPr>
          <w:strike/>
          <w:color w:val="B5082E"/>
        </w:rPr>
        <w:t>s </w:t>
      </w:r>
      <w:r>
        <w:rPr>
          <w:strike w:val="0"/>
        </w:rPr>
        <w:t>expenditures in accordance with the department’s approved PFA </w:t>
      </w:r>
      <w:r>
        <w:rPr>
          <w:strike/>
          <w:color w:val="B5082E"/>
        </w:rPr>
        <w:t>letter </w:t>
      </w:r>
      <w:r>
        <w:rPr>
          <w:strike w:val="0"/>
          <w:color w:val="B5082E"/>
          <w:u w:val="single" w:color="B5082E"/>
        </w:rPr>
        <w:t>authority</w:t>
      </w:r>
      <w:r>
        <w:rPr>
          <w:strike w:val="0"/>
        </w:rPr>
        <w:t>. The SCO will </w:t>
      </w:r>
      <w:r>
        <w:rPr>
          <w:strike w:val="0"/>
          <w:color w:val="B5082E"/>
          <w:u w:val="single" w:color="B5082E"/>
        </w:rPr>
        <w:t>process the Transaction Request and </w:t>
      </w:r>
      <w:r>
        <w:rPr>
          <w:strike/>
          <w:color w:val="B5082E"/>
        </w:rPr>
        <w:t>notify departments by</w:t>
      </w:r>
      <w:r>
        <w:rPr>
          <w:strike w:val="0"/>
          <w:color w:val="B5082E"/>
          <w:u w:val="single" w:color="B5082E"/>
        </w:rPr>
        <w:t>issue </w:t>
      </w:r>
      <w:r>
        <w:rPr>
          <w:strike w:val="0"/>
        </w:rPr>
        <w:t>a </w:t>
      </w:r>
      <w:r>
        <w:rPr>
          <w:strike/>
          <w:color w:val="B5082E"/>
        </w:rPr>
        <w:t>J</w:t>
      </w:r>
      <w:r>
        <w:rPr>
          <w:strike w:val="0"/>
          <w:color w:val="B5082E"/>
        </w:rPr>
        <w:t>j</w:t>
      </w:r>
      <w:r>
        <w:rPr>
          <w:strike w:val="0"/>
        </w:rPr>
        <w:t>ournal </w:t>
      </w:r>
      <w:r>
        <w:rPr>
          <w:strike/>
          <w:color w:val="B5082E"/>
        </w:rPr>
        <w:t>E</w:t>
      </w:r>
      <w:r>
        <w:rPr>
          <w:strike w:val="0"/>
          <w:color w:val="B5082E"/>
          <w:u w:val="single" w:color="B5082E"/>
        </w:rPr>
        <w:t>e</w:t>
      </w:r>
      <w:r>
        <w:rPr>
          <w:strike w:val="0"/>
        </w:rPr>
        <w:t>ntry </w:t>
      </w:r>
      <w:r>
        <w:rPr>
          <w:strike w:val="0"/>
          <w:color w:val="B5082E"/>
          <w:u w:val="single" w:color="B5082E"/>
        </w:rPr>
        <w:t>to the department for the financial adjustment. </w:t>
      </w:r>
      <w:r>
        <w:rPr>
          <w:strike/>
          <w:color w:val="B5082E"/>
        </w:rPr>
        <w:t>of the transfers.  See SAM section </w:t>
      </w:r>
      <w:r>
        <w:rPr>
          <w:strike/>
          <w:color w:val="B5082E"/>
          <w:u w:val="single" w:color="0000FF"/>
        </w:rPr>
        <w:t>8715 </w:t>
      </w:r>
      <w:r>
        <w:rPr>
          <w:strike/>
          <w:color w:val="B5082E"/>
        </w:rPr>
        <w:t>for accounting treatment of</w:t>
      </w:r>
      <w:r>
        <w:rPr>
          <w:strike/>
          <w:color w:val="B5082E"/>
          <w:spacing w:val="-3"/>
        </w:rPr>
        <w:t> </w:t>
      </w:r>
      <w:r>
        <w:rPr>
          <w:strike/>
          <w:color w:val="B5082E"/>
        </w:rPr>
        <w:t>PFAs.</w:t>
      </w:r>
    </w:p>
    <w:p>
      <w:pPr>
        <w:pStyle w:val="BodyText"/>
        <w:spacing w:line="268" w:lineRule="auto" w:before="210"/>
        <w:ind w:left="815" w:right="407" w:hanging="10"/>
      </w:pPr>
      <w:r>
        <w:rPr/>
        <w:pict>
          <v:line style="position:absolute;mso-position-horizontal-relative:page;mso-position-vertical-relative:paragraph;z-index:-49024" from="200.039993pt,18.936354pt" to="203.399993pt,18.936354pt" stroked="true" strokeweight=".599pt" strokecolor="#b5082e">
            <v:stroke dashstyle="solid"/>
            <w10:wrap type="none"/>
          </v:line>
        </w:pict>
      </w:r>
      <w:r>
        <w:rPr/>
        <w:pict>
          <v:line style="position:absolute;mso-position-horizontal-relative:page;mso-position-vertical-relative:paragraph;z-index:2128" from="36.360001pt,41.554855pt" to="36.360001pt,57.155855pt" stroked="true" strokeweight=".72pt" strokecolor="#000000">
            <v:stroke dashstyle="solid"/>
            <w10:wrap type="none"/>
          </v:line>
        </w:pict>
      </w:r>
      <w:r>
        <w:rPr/>
        <w:t>PFAs will not be used to</w:t>
      </w:r>
      <w:r>
        <w:rPr>
          <w:color w:val="B5082E"/>
        </w:rPr>
        <w:t>: </w:t>
      </w:r>
      <w:r>
        <w:rPr/>
        <w:t>provide working capital advances, overcome cash flow problems, or distort interest earnings between funds. Generally, financial adjustments are made on a monthly basis but could be more frequent</w:t>
      </w:r>
      <w:r>
        <w:rPr>
          <w:strike/>
          <w:color w:val="B5082E"/>
        </w:rPr>
        <w:t>ly </w:t>
      </w:r>
      <w:r>
        <w:rPr>
          <w:strike w:val="0"/>
        </w:rPr>
        <w:t>if needed. Transfer of expenditures between funds will be made on an estimated basis when a material interest earnings loss will occur in the fund from which payments are made.</w:t>
      </w:r>
    </w:p>
    <w:p>
      <w:pPr>
        <w:pStyle w:val="BodyText"/>
        <w:spacing w:line="268" w:lineRule="auto" w:before="207"/>
        <w:ind w:left="815" w:right="189" w:hanging="10"/>
      </w:pPr>
      <w:r>
        <w:rPr/>
        <w:pict>
          <v:line style="position:absolute;mso-position-horizontal-relative:page;mso-position-vertical-relative:paragraph;z-index:-49000" from="306.600006pt,54.425358pt" to="309.960006pt,54.425358pt" stroked="true" strokeweight=".841pt" strokecolor="#b5082e">
            <v:stroke dashstyle="solid"/>
            <w10:wrap type="none"/>
          </v:line>
        </w:pict>
      </w:r>
      <w:r>
        <w:rPr/>
        <w:pict>
          <v:line style="position:absolute;mso-position-horizontal-relative:page;mso-position-vertical-relative:paragraph;z-index:2152" from="36.360001pt,41.52586pt" to="36.360001pt,197.88586pt" stroked="true" strokeweight=".72pt" strokecolor="#000000">
            <v:stroke dashstyle="solid"/>
            <w10:wrap type="none"/>
          </v:line>
        </w:pict>
      </w:r>
      <w:r>
        <w:rPr/>
        <w:t>In accordance with law and principles of governmental accounting, departments are required to maintain separate accountability for each fund and/or appropriation covered by the PFA. All PFA</w:t>
      </w:r>
      <w:r>
        <w:rPr>
          <w:color w:val="B5082E"/>
          <w:u w:val="single" w:color="B5082E"/>
        </w:rPr>
        <w:t>s, </w:t>
      </w:r>
      <w:r>
        <w:rPr/>
        <w:t>expenditure transfers</w:t>
      </w:r>
      <w:r>
        <w:rPr>
          <w:color w:val="B5082E"/>
        </w:rPr>
        <w:t>, </w:t>
      </w:r>
      <w:r>
        <w:rPr/>
        <w:t>and supporting documentation are subject to audit by the California State Auditor’s Office and SCO, Audits Division.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Heading1"/>
        <w:spacing w:before="92"/>
        <w:ind w:left="4066" w:right="3366"/>
        <w:jc w:val="center"/>
      </w:pPr>
      <w:r>
        <w:rPr>
          <w:color w:val="2E97D3"/>
          <w:u w:val="thick" w:color="2E97D3"/>
        </w:rPr>
        <w:t>Rev. 430</w:t>
      </w:r>
    </w:p>
    <w:p>
      <w:pPr>
        <w:spacing w:after="0"/>
        <w:jc w:val="center"/>
        <w:sectPr>
          <w:headerReference w:type="default" r:id="rId75"/>
          <w:footerReference w:type="default" r:id="rId76"/>
          <w:pgSz w:w="12240" w:h="15840"/>
          <w:pgMar w:header="0" w:footer="0" w:top="1360" w:bottom="0" w:left="620" w:right="1320"/>
        </w:sectPr>
      </w:pPr>
    </w:p>
    <w:p>
      <w:pPr>
        <w:pStyle w:val="BodyText"/>
        <w:spacing w:before="6"/>
        <w:rPr>
          <w:b/>
          <w:sz w:val="19"/>
        </w:rPr>
      </w:pPr>
    </w:p>
    <w:p>
      <w:pPr>
        <w:tabs>
          <w:tab w:pos="9943" w:val="right" w:leader="none"/>
        </w:tabs>
        <w:spacing w:before="92"/>
        <w:ind w:left="805" w:right="0" w:firstLine="0"/>
        <w:jc w:val="left"/>
        <w:rPr>
          <w:b/>
          <w:sz w:val="24"/>
        </w:rPr>
      </w:pPr>
      <w:r>
        <w:rPr/>
        <w:pict>
          <v:line style="position:absolute;mso-position-horizontal-relative:page;mso-position-vertical-relative:paragraph;z-index:2512" from="36.360001pt,4.816872pt" to="36.360001pt,32.415872pt" stroked="true" strokeweight=".72pt" strokecolor="#000000">
            <v:stroke dashstyle="solid"/>
            <w10:wrap type="none"/>
          </v:line>
        </w:pict>
      </w:r>
      <w:bookmarkStart w:name="8452.1 Track Changes" w:id="18"/>
      <w:bookmarkEnd w:id="18"/>
      <w:r>
        <w:rPr/>
      </w:r>
      <w:r>
        <w:rPr>
          <w:b/>
          <w:sz w:val="24"/>
        </w:rPr>
        <w:t>PREPARATION OF PLAN OF</w:t>
      </w:r>
      <w:r>
        <w:rPr>
          <w:b/>
          <w:spacing w:val="-4"/>
          <w:sz w:val="24"/>
        </w:rPr>
        <w:t> </w:t>
      </w:r>
      <w:r>
        <w:rPr>
          <w:b/>
          <w:sz w:val="24"/>
        </w:rPr>
        <w:t>FINANCIAL</w:t>
      </w:r>
      <w:r>
        <w:rPr>
          <w:b/>
          <w:spacing w:val="1"/>
          <w:sz w:val="24"/>
        </w:rPr>
        <w:t> </w:t>
      </w:r>
      <w:r>
        <w:rPr>
          <w:b/>
          <w:sz w:val="24"/>
        </w:rPr>
        <w:t>ADJUSTMENT</w:t>
        <w:tab/>
        <w:t>8452.1</w:t>
      </w:r>
    </w:p>
    <w:p>
      <w:pPr>
        <w:pStyle w:val="BodyText"/>
        <w:ind w:left="815"/>
      </w:pPr>
      <w:r>
        <w:rPr/>
        <w:t>(Revised </w:t>
      </w:r>
      <w:r>
        <w:rPr>
          <w:strike/>
          <w:color w:val="B5082E"/>
        </w:rPr>
        <w:t>5/2015</w:t>
      </w:r>
      <w:r>
        <w:rPr>
          <w:strike w:val="0"/>
          <w:color w:val="2E97D3"/>
          <w:u w:val="single" w:color="2E97D3"/>
        </w:rPr>
        <w:t>9</w:t>
      </w:r>
      <w:r>
        <w:rPr>
          <w:strike/>
          <w:color w:val="2E97D3"/>
          <w:u w:val="single" w:color="2E97D3"/>
        </w:rPr>
        <w:t>8</w:t>
      </w:r>
      <w:r>
        <w:rPr>
          <w:strike w:val="0"/>
          <w:color w:val="B5082E"/>
          <w:u w:val="single" w:color="2E97D3"/>
        </w:rPr>
        <w:t>/2017</w:t>
      </w:r>
      <w:r>
        <w:rPr>
          <w:strike w:val="0"/>
        </w:rPr>
        <w:t>)</w:t>
      </w:r>
    </w:p>
    <w:p>
      <w:pPr>
        <w:pStyle w:val="BodyText"/>
        <w:spacing w:line="249" w:lineRule="auto" w:before="298"/>
        <w:ind w:left="815" w:right="188" w:hanging="10"/>
        <w:jc w:val="both"/>
      </w:pPr>
      <w:r>
        <w:rPr/>
        <w:pict>
          <v:line style="position:absolute;mso-position-horizontal-relative:page;mso-position-vertical-relative:paragraph;z-index:2536" from="36.360001pt,15.11583pt" to="36.360001pt,72.83583pt" stroked="true" strokeweight=".72pt" strokecolor="#000000">
            <v:stroke dashstyle="solid"/>
            <w10:wrap type="none"/>
          </v:line>
        </w:pict>
      </w:r>
      <w:r>
        <w:rPr/>
        <w:t>Government Code </w:t>
      </w:r>
      <w:r>
        <w:rPr>
          <w:color w:val="B5082E"/>
          <w:u w:val="single" w:color="B5082E"/>
        </w:rPr>
        <w:t>(GC) </w:t>
      </w:r>
      <w:r>
        <w:rPr/>
        <w:t>section </w:t>
      </w:r>
      <w:hyperlink r:id="rId80">
        <w:r>
          <w:rPr>
            <w:color w:val="0000FF"/>
            <w:u w:val="single" w:color="0000FF"/>
          </w:rPr>
          <w:t>11251 </w:t>
        </w:r>
      </w:hyperlink>
      <w:hyperlink r:id="rId80">
        <w:r>
          <w:rPr/>
          <w:t>i</w:t>
        </w:r>
      </w:hyperlink>
      <w:r>
        <w:rPr/>
        <w:t>s the </w:t>
      </w:r>
      <w:r>
        <w:rPr>
          <w:strike/>
          <w:color w:val="B5082E"/>
        </w:rPr>
        <w:t>general </w:t>
      </w:r>
      <w:r>
        <w:rPr>
          <w:strike w:val="0"/>
        </w:rPr>
        <w:t>statute that authorizes the use of a </w:t>
      </w:r>
      <w:r>
        <w:rPr>
          <w:strike w:val="0"/>
          <w:color w:val="B5082E"/>
          <w:u w:val="single" w:color="B5082E"/>
        </w:rPr>
        <w:t>general </w:t>
      </w:r>
      <w:r>
        <w:rPr>
          <w:strike w:val="0"/>
        </w:rPr>
        <w:t>PFA. </w:t>
      </w:r>
      <w:r>
        <w:rPr>
          <w:strike/>
          <w:color w:val="633277"/>
        </w:rPr>
        <w:t>Other s</w:t>
      </w:r>
      <w:r>
        <w:rPr>
          <w:strike w:val="0"/>
          <w:color w:val="633277"/>
          <w:u w:val="single" w:color="633277"/>
        </w:rPr>
        <w:t>S</w:t>
      </w:r>
      <w:r>
        <w:rPr>
          <w:strike w:val="0"/>
        </w:rPr>
        <w:t>tatutes which authorize the use of a PFA for </w:t>
      </w:r>
      <w:r>
        <w:rPr>
          <w:strike/>
          <w:color w:val="B5082E"/>
        </w:rPr>
        <w:t>specific </w:t>
      </w:r>
      <w:r>
        <w:rPr>
          <w:strike w:val="0"/>
          <w:color w:val="B5082E"/>
          <w:u w:val="single" w:color="B5082E"/>
        </w:rPr>
        <w:t>federal </w:t>
      </w:r>
      <w:r>
        <w:rPr>
          <w:strike w:val="0"/>
        </w:rPr>
        <w:t>funds are:</w:t>
      </w:r>
    </w:p>
    <w:p>
      <w:pPr>
        <w:pStyle w:val="BodyText"/>
        <w:spacing w:line="249" w:lineRule="auto" w:before="6"/>
        <w:ind w:left="815" w:right="169" w:hanging="10"/>
      </w:pPr>
      <w:r>
        <w:rPr>
          <w:strike/>
          <w:color w:val="B5082E"/>
        </w:rPr>
        <w:t>Government Code</w:t>
      </w:r>
      <w:r>
        <w:rPr>
          <w:strike w:val="0"/>
          <w:color w:val="B5082E"/>
          <w:u w:val="single" w:color="B5082E"/>
        </w:rPr>
        <w:t>GC </w:t>
      </w:r>
      <w:r>
        <w:rPr>
          <w:strike w:val="0"/>
        </w:rPr>
        <w:t>section </w:t>
      </w:r>
      <w:hyperlink r:id="rId81">
        <w:r>
          <w:rPr>
            <w:strike w:val="0"/>
            <w:color w:val="0000FF"/>
            <w:u w:val="single" w:color="0000FF"/>
          </w:rPr>
          <w:t>16365 </w:t>
        </w:r>
      </w:hyperlink>
      <w:r>
        <w:rPr>
          <w:strike w:val="0"/>
        </w:rPr>
        <w:t>for the Federal Trust Fund; Education Code section </w:t>
      </w:r>
      <w:hyperlink r:id="rId82">
        <w:r>
          <w:rPr>
            <w:strike w:val="0"/>
            <w:color w:val="0000FF"/>
            <w:u w:val="single" w:color="0000FF"/>
          </w:rPr>
          <w:t>12060 </w:t>
        </w:r>
      </w:hyperlink>
      <w:r>
        <w:rPr>
          <w:strike w:val="0"/>
        </w:rPr>
        <w:t>for the Vocational Education Federal Fund; and Health and Safety Code section </w:t>
      </w:r>
      <w:hyperlink r:id="rId83">
        <w:r>
          <w:rPr>
            <w:strike w:val="0"/>
            <w:color w:val="0000FF"/>
            <w:u w:val="single" w:color="0000FF"/>
          </w:rPr>
          <w:t>100390 </w:t>
        </w:r>
      </w:hyperlink>
      <w:r>
        <w:rPr>
          <w:strike w:val="0"/>
        </w:rPr>
        <w:t>for the Public Health Federal Fund.</w:t>
      </w:r>
    </w:p>
    <w:p>
      <w:pPr>
        <w:pStyle w:val="BodyText"/>
        <w:spacing w:line="249" w:lineRule="auto" w:before="303"/>
        <w:ind w:left="815" w:right="86" w:hanging="10"/>
      </w:pPr>
      <w:r>
        <w:rPr/>
        <w:pict>
          <v:line style="position:absolute;mso-position-horizontal-relative:page;mso-position-vertical-relative:paragraph;z-index:2560" from="36.360001pt,15.365876pt" to="36.360001pt,44.165876pt" stroked="true" strokeweight=".72pt" strokecolor="#000000">
            <v:stroke dashstyle="solid"/>
            <w10:wrap type="none"/>
          </v:line>
        </w:pict>
      </w:r>
      <w:r>
        <w:rPr/>
        <w:pict>
          <v:line style="position:absolute;mso-position-horizontal-relative:page;mso-position-vertical-relative:paragraph;z-index:2584" from="36.360001pt,58.565876pt" to="36.360001pt,130.685876pt" stroked="true" strokeweight=".72pt" strokecolor="#000000">
            <v:stroke dashstyle="solid"/>
            <w10:wrap type="none"/>
          </v:line>
        </w:pict>
      </w:r>
      <w:r>
        <w:rPr/>
        <w:t>The format for a general PFA is </w:t>
      </w:r>
      <w:r>
        <w:rPr>
          <w:color w:val="B5082E"/>
          <w:u w:val="single" w:color="B5082E"/>
        </w:rPr>
        <w:t>shown in </w:t>
      </w:r>
      <w:hyperlink r:id="rId84">
        <w:r>
          <w:rPr>
            <w:color w:val="0000FF"/>
            <w:u w:val="single" w:color="B5082E"/>
          </w:rPr>
          <w:t>Illustration 1 </w:t>
        </w:r>
      </w:hyperlink>
      <w:hyperlink r:id="rId84">
        <w:r>
          <w:rPr>
            <w:strike/>
            <w:color w:val="B5082E"/>
          </w:rPr>
          <w:t>i</w:t>
        </w:r>
      </w:hyperlink>
      <w:r>
        <w:rPr>
          <w:strike/>
          <w:color w:val="B5082E"/>
        </w:rPr>
        <w:t>n SAM section 8452.1 </w:t>
      </w:r>
      <w:r>
        <w:rPr>
          <w:strike w:val="0"/>
        </w:rPr>
        <w:t>and for </w:t>
      </w:r>
      <w:r>
        <w:rPr>
          <w:strike/>
          <w:color w:val="B5082E"/>
        </w:rPr>
        <w:t>the Federal Trust Fund</w:t>
      </w:r>
      <w:r>
        <w:rPr>
          <w:strike w:val="0"/>
          <w:color w:val="B5082E"/>
          <w:u w:val="single" w:color="B5082E"/>
        </w:rPr>
        <w:t>federal funds</w:t>
      </w:r>
      <w:r>
        <w:rPr>
          <w:strike w:val="0"/>
        </w:rPr>
        <w:t>, </w:t>
      </w:r>
      <w:hyperlink r:id="rId84">
        <w:r>
          <w:rPr>
            <w:strike w:val="0"/>
            <w:color w:val="0000FF"/>
            <w:u w:val="single" w:color="0000FF"/>
          </w:rPr>
          <w:t>Illustration 2</w:t>
        </w:r>
      </w:hyperlink>
      <w:hyperlink r:id="rId84">
        <w:r>
          <w:rPr>
            <w:strike w:val="0"/>
          </w:rPr>
          <w:t>.</w:t>
        </w:r>
      </w:hyperlink>
      <w:r>
        <w:rPr>
          <w:strike w:val="0"/>
        </w:rPr>
        <w:t> Each PFA must follow this format; however, statute references, funds, and appropriations will vary. If the PFA includes both general and </w:t>
      </w:r>
      <w:r>
        <w:rPr>
          <w:strike/>
          <w:color w:val="B5082E"/>
        </w:rPr>
        <w:t>Federal Trust Fund</w:t>
      </w:r>
      <w:r>
        <w:rPr>
          <w:strike w:val="0"/>
          <w:color w:val="B5082E"/>
          <w:u w:val="single" w:color="B5082E"/>
        </w:rPr>
        <w:t>federal funds</w:t>
      </w:r>
      <w:r>
        <w:rPr>
          <w:strike/>
          <w:color w:val="B5082E"/>
        </w:rPr>
        <w:t>s</w:t>
      </w:r>
      <w:r>
        <w:rPr>
          <w:strike w:val="0"/>
        </w:rPr>
        <w:t>, follow </w:t>
      </w:r>
      <w:r>
        <w:rPr>
          <w:strike/>
          <w:color w:val="B5082E"/>
        </w:rPr>
        <w:t>SAM section 8452.1 </w:t>
      </w:r>
      <w:r>
        <w:rPr>
          <w:strike w:val="0"/>
        </w:rPr>
        <w:t>Illustration 2 and include </w:t>
      </w:r>
      <w:r>
        <w:rPr>
          <w:strike/>
          <w:color w:val="B5082E"/>
        </w:rPr>
        <w:t>Government Code</w:t>
      </w:r>
      <w:r>
        <w:rPr>
          <w:strike w:val="0"/>
          <w:color w:val="B5082E"/>
          <w:u w:val="single" w:color="B5082E"/>
        </w:rPr>
        <w:t>GC </w:t>
      </w:r>
      <w:r>
        <w:rPr>
          <w:strike w:val="0"/>
        </w:rPr>
        <w:t>section </w:t>
      </w:r>
      <w:hyperlink r:id="rId80">
        <w:r>
          <w:rPr>
            <w:strike w:val="0"/>
            <w:color w:val="0000FF"/>
            <w:u w:val="single" w:color="0000FF"/>
          </w:rPr>
          <w:t>11251 </w:t>
        </w:r>
      </w:hyperlink>
      <w:r>
        <w:rPr>
          <w:strike w:val="0"/>
        </w:rPr>
        <w:t>in </w:t>
      </w:r>
      <w:r>
        <w:rPr>
          <w:strike w:val="0"/>
          <w:color w:val="B5082E"/>
          <w:u w:val="single" w:color="B5082E"/>
        </w:rPr>
        <w:t>the first </w:t>
      </w:r>
      <w:r>
        <w:rPr>
          <w:strike w:val="0"/>
        </w:rPr>
        <w:t>paragraph </w:t>
      </w:r>
      <w:r>
        <w:rPr>
          <w:strike/>
          <w:color w:val="B5082E"/>
        </w:rPr>
        <w:t>1</w:t>
      </w:r>
      <w:r>
        <w:rPr>
          <w:strike w:val="0"/>
        </w:rPr>
        <w:t>. </w:t>
      </w:r>
      <w:r>
        <w:rPr>
          <w:strike/>
          <w:color w:val="B5082E"/>
        </w:rPr>
        <w:t>Each PFA requested under Government Code section 11251 will only need approval from the State Controller’s Office (</w:t>
      </w:r>
      <w:r>
        <w:rPr>
          <w:strike/>
          <w:color w:val="B5082E"/>
          <w:u w:val="single" w:color="0000FF"/>
        </w:rPr>
        <w:t>SCO</w:t>
      </w:r>
      <w:r>
        <w:rPr>
          <w:strike/>
          <w:color w:val="B5082E"/>
        </w:rPr>
        <w:t>). </w:t>
      </w:r>
      <w:r>
        <w:rPr>
          <w:strike/>
          <w:color w:val="633277"/>
        </w:rPr>
        <w:t>See</w:t>
      </w:r>
      <w:r>
        <w:rPr>
          <w:strike/>
          <w:color w:val="633277"/>
          <w:u w:val="single" w:color="B5082E"/>
        </w:rPr>
        <w:t>Refer to </w:t>
      </w:r>
      <w:r>
        <w:rPr>
          <w:strike/>
          <w:color w:val="633277"/>
        </w:rPr>
        <w:t>SAM section 8452.2 for Approval of Plan of </w:t>
      </w:r>
      <w:r>
        <w:rPr>
          <w:strike/>
          <w:color w:val="633277"/>
        </w:rPr>
        <w:t>Financial Adjustment.</w:t>
      </w:r>
    </w:p>
    <w:p>
      <w:pPr>
        <w:pStyle w:val="BodyText"/>
        <w:spacing w:before="303"/>
        <w:ind w:left="805"/>
      </w:pPr>
      <w:r>
        <w:rPr/>
        <w:t>The following items are to be included in a PFA:</w:t>
      </w:r>
    </w:p>
    <w:p>
      <w:pPr>
        <w:pStyle w:val="ListParagraph"/>
        <w:numPr>
          <w:ilvl w:val="0"/>
          <w:numId w:val="14"/>
        </w:numPr>
        <w:tabs>
          <w:tab w:pos="1190" w:val="left" w:leader="none"/>
        </w:tabs>
        <w:spacing w:line="249" w:lineRule="auto" w:before="314" w:after="0"/>
        <w:ind w:left="1189" w:right="216" w:hanging="360"/>
        <w:jc w:val="left"/>
        <w:rPr>
          <w:sz w:val="24"/>
        </w:rPr>
      </w:pPr>
      <w:r>
        <w:rPr/>
        <w:pict>
          <v:line style="position:absolute;mso-position-horizontal-relative:page;mso-position-vertical-relative:paragraph;z-index:-48904" from="432pt,24.136345pt" to="435.36pt,24.136345pt" stroked="true" strokeweight=".599pt" strokecolor="#b5082e">
            <v:stroke dashstyle="solid"/>
            <w10:wrap type="none"/>
          </v:line>
        </w:pict>
      </w:r>
      <w:r>
        <w:rPr/>
        <w:pict>
          <v:line style="position:absolute;mso-position-horizontal-relative:page;mso-position-vertical-relative:paragraph;z-index:-48880" from="374.040009pt,71.775848pt" to="377.400009pt,71.775848pt" stroked="true" strokeweight=".84pt" strokecolor="#b5082e">
            <v:stroke dashstyle="solid"/>
            <w10:wrap type="none"/>
          </v:line>
        </w:pict>
      </w:r>
      <w:r>
        <w:rPr/>
        <w:pict>
          <v:line style="position:absolute;mso-position-horizontal-relative:page;mso-position-vertical-relative:paragraph;z-index:-48856" from="377.399994pt,67.215843pt" to="381.359994pt,67.215843pt" stroked="true" strokeweight=".6pt" strokecolor="#b5082e">
            <v:stroke dashstyle="solid"/>
            <w10:wrap type="none"/>
          </v:line>
        </w:pict>
      </w:r>
      <w:r>
        <w:rPr/>
        <w:pict>
          <v:line style="position:absolute;mso-position-horizontal-relative:page;mso-position-vertical-relative:paragraph;z-index:2608" from="36.360001pt,15.916844pt" to="36.360001pt,30.195844pt" stroked="true" strokeweight=".72pt" strokecolor="#000000">
            <v:stroke dashstyle="solid"/>
            <w10:wrap type="none"/>
          </v:line>
        </w:pict>
      </w:r>
      <w:r>
        <w:rPr/>
        <w:pict>
          <v:line style="position:absolute;mso-position-horizontal-relative:page;mso-position-vertical-relative:paragraph;z-index:2632" from="36.360001pt,58.994846pt" to="36.360001pt,116.715846pt" stroked="true" strokeweight=".72pt" strokecolor="#000000">
            <v:stroke dashstyle="solid"/>
            <w10:wrap type="none"/>
          </v:line>
        </w:pict>
      </w:r>
      <w:r>
        <w:rPr>
          <w:sz w:val="24"/>
        </w:rPr>
        <w:t>The first paragraph should include a request for approval of PFA</w:t>
      </w:r>
      <w:r>
        <w:rPr>
          <w:color w:val="B5082E"/>
          <w:sz w:val="24"/>
        </w:rPr>
        <w:t>, </w:t>
      </w:r>
      <w:r>
        <w:rPr>
          <w:sz w:val="24"/>
        </w:rPr>
        <w:t>and a statement of the period of time for which PFA is to be effective. This period of time can be for a limited period (one, two, three years) or it can be continuous from year-to-year as </w:t>
      </w:r>
      <w:r>
        <w:rPr>
          <w:color w:val="B5082E"/>
          <w:sz w:val="24"/>
          <w:u w:val="single" w:color="B5082E"/>
        </w:rPr>
        <w:t>shown in </w:t>
      </w:r>
      <w:r>
        <w:rPr>
          <w:strike/>
          <w:color w:val="B5082E"/>
          <w:sz w:val="24"/>
        </w:rPr>
        <w:t>SAM section 8452.1 </w:t>
      </w:r>
      <w:r>
        <w:rPr>
          <w:strike w:val="0"/>
          <w:sz w:val="24"/>
        </w:rPr>
        <w:t>Illustration 1 </w:t>
      </w:r>
      <w:r>
        <w:rPr>
          <w:strike/>
          <w:color w:val="B5082E"/>
          <w:sz w:val="24"/>
        </w:rPr>
        <w:t>indicates</w:t>
      </w:r>
      <w:r>
        <w:rPr>
          <w:strike w:val="0"/>
          <w:sz w:val="24"/>
        </w:rPr>
        <w:t>. </w:t>
      </w:r>
      <w:r>
        <w:rPr>
          <w:strike w:val="0"/>
          <w:color w:val="B5082E"/>
          <w:sz w:val="24"/>
        </w:rPr>
        <w:t>(</w:t>
      </w:r>
      <w:r>
        <w:rPr>
          <w:strike w:val="0"/>
          <w:sz w:val="24"/>
        </w:rPr>
        <w:t>Departments should review their PFA each year </w:t>
      </w:r>
      <w:r>
        <w:rPr>
          <w:strike w:val="0"/>
          <w:color w:val="B5082E"/>
          <w:sz w:val="24"/>
          <w:u w:val="single" w:color="B5082E"/>
        </w:rPr>
        <w:t>and update as necessary. If </w:t>
      </w:r>
      <w:r>
        <w:rPr>
          <w:strike/>
          <w:color w:val="B5082E"/>
          <w:sz w:val="24"/>
        </w:rPr>
        <w:t>and cancel those</w:t>
      </w:r>
      <w:r>
        <w:rPr>
          <w:strike w:val="0"/>
          <w:color w:val="B5082E"/>
          <w:sz w:val="24"/>
          <w:u w:val="single" w:color="B5082E"/>
        </w:rPr>
        <w:t>the </w:t>
      </w:r>
      <w:r>
        <w:rPr>
          <w:strike w:val="0"/>
          <w:sz w:val="24"/>
        </w:rPr>
        <w:t>PFA</w:t>
      </w:r>
      <w:r>
        <w:rPr>
          <w:strike/>
          <w:color w:val="B5082E"/>
          <w:sz w:val="24"/>
        </w:rPr>
        <w:t>s which </w:t>
      </w:r>
      <w:r>
        <w:rPr>
          <w:strike w:val="0"/>
          <w:color w:val="B5082E"/>
          <w:sz w:val="24"/>
          <w:u w:val="single" w:color="B5082E"/>
        </w:rPr>
        <w:t>is </w:t>
      </w:r>
      <w:r>
        <w:rPr>
          <w:strike/>
          <w:color w:val="B5082E"/>
          <w:sz w:val="24"/>
        </w:rPr>
        <w:t>are </w:t>
      </w:r>
      <w:r>
        <w:rPr>
          <w:strike w:val="0"/>
          <w:sz w:val="24"/>
        </w:rPr>
        <w:t>no longer needed</w:t>
      </w:r>
      <w:r>
        <w:rPr>
          <w:strike w:val="0"/>
          <w:color w:val="B5082E"/>
          <w:sz w:val="24"/>
          <w:u w:val="single" w:color="B5082E"/>
        </w:rPr>
        <w:t>, </w:t>
      </w:r>
      <w:r>
        <w:rPr>
          <w:strike/>
          <w:color w:val="B5082E"/>
          <w:sz w:val="24"/>
        </w:rPr>
        <w:t>by n</w:t>
      </w:r>
      <w:r>
        <w:rPr>
          <w:strike w:val="0"/>
          <w:color w:val="B5082E"/>
          <w:sz w:val="24"/>
          <w:u w:val="single" w:color="B5082E"/>
        </w:rPr>
        <w:t>n</w:t>
      </w:r>
      <w:r>
        <w:rPr>
          <w:strike w:val="0"/>
          <w:sz w:val="24"/>
        </w:rPr>
        <w:t>otify </w:t>
      </w:r>
      <w:r>
        <w:rPr>
          <w:strike w:val="0"/>
          <w:color w:val="B5082E"/>
          <w:sz w:val="24"/>
          <w:u w:val="single" w:color="B5082E"/>
        </w:rPr>
        <w:t>the</w:t>
      </w:r>
      <w:r>
        <w:rPr>
          <w:strike/>
          <w:color w:val="B5082E"/>
          <w:sz w:val="24"/>
        </w:rPr>
        <w:t>ing </w:t>
      </w:r>
      <w:r>
        <w:rPr>
          <w:strike w:val="0"/>
          <w:sz w:val="24"/>
        </w:rPr>
        <w:t>SCO </w:t>
      </w:r>
      <w:r>
        <w:rPr>
          <w:strike w:val="0"/>
          <w:color w:val="B5082E"/>
          <w:sz w:val="24"/>
          <w:u w:val="single" w:color="B5082E"/>
        </w:rPr>
        <w:t>and Finance </w:t>
      </w:r>
      <w:r>
        <w:rPr>
          <w:strike w:val="0"/>
          <w:color w:val="2E97D3"/>
          <w:sz w:val="24"/>
          <w:u w:val="single" w:color="B5082E"/>
        </w:rPr>
        <w:t>budget analyst</w:t>
      </w:r>
      <w:r>
        <w:rPr>
          <w:strike w:val="0"/>
          <w:color w:val="B5082E"/>
          <w:sz w:val="24"/>
          <w:u w:val="single" w:color="B5082E"/>
        </w:rPr>
        <w:t>. </w:t>
      </w:r>
      <w:r>
        <w:rPr>
          <w:strike/>
          <w:color w:val="B5082E"/>
          <w:sz w:val="24"/>
        </w:rPr>
        <w:t>, in all cases, and Finance only for those requiring their</w:t>
      </w:r>
      <w:r>
        <w:rPr>
          <w:strike/>
          <w:color w:val="B5082E"/>
          <w:spacing w:val="-33"/>
          <w:sz w:val="24"/>
        </w:rPr>
        <w:t> </w:t>
      </w:r>
      <w:r>
        <w:rPr>
          <w:strike/>
          <w:color w:val="B5082E"/>
          <w:sz w:val="24"/>
        </w:rPr>
        <w:t>approval).</w:t>
      </w:r>
    </w:p>
    <w:p>
      <w:pPr>
        <w:pStyle w:val="ListParagraph"/>
        <w:numPr>
          <w:ilvl w:val="0"/>
          <w:numId w:val="14"/>
        </w:numPr>
        <w:tabs>
          <w:tab w:pos="1190" w:val="left" w:leader="none"/>
        </w:tabs>
        <w:spacing w:line="249" w:lineRule="auto" w:before="303" w:after="0"/>
        <w:ind w:left="1189" w:right="185" w:hanging="360"/>
        <w:jc w:val="left"/>
        <w:rPr>
          <w:color w:val="B5082E"/>
          <w:sz w:val="24"/>
        </w:rPr>
      </w:pPr>
      <w:r>
        <w:rPr/>
        <w:pict>
          <v:line style="position:absolute;mso-position-horizontal-relative:page;mso-position-vertical-relative:paragraph;z-index:2656" from="36.360001pt,15.365852pt" to="36.360001pt,29.765852pt" stroked="true" strokeweight=".72pt" strokecolor="#000000">
            <v:stroke dashstyle="solid"/>
            <w10:wrap type="none"/>
          </v:line>
        </w:pict>
      </w:r>
      <w:r>
        <w:rPr>
          <w:sz w:val="24"/>
        </w:rPr>
        <w:t>Identify the funds and</w:t>
      </w:r>
      <w:r>
        <w:rPr>
          <w:strike/>
          <w:color w:val="B5082E"/>
          <w:sz w:val="24"/>
        </w:rPr>
        <w:t>/or </w:t>
      </w:r>
      <w:r>
        <w:rPr>
          <w:strike w:val="0"/>
          <w:sz w:val="24"/>
        </w:rPr>
        <w:t>appropriations covered by PFA. If PFA is to be continuous and one of the appropriations covered by the plan is appropriated yearly, care should be taken to identify the yearly appropriation and not the specific appropriation of</w:t>
      </w:r>
      <w:r>
        <w:rPr>
          <w:strike w:val="0"/>
          <w:spacing w:val="-38"/>
          <w:sz w:val="24"/>
        </w:rPr>
        <w:t> </w:t>
      </w:r>
      <w:r>
        <w:rPr>
          <w:strike w:val="0"/>
          <w:sz w:val="24"/>
        </w:rPr>
        <w:t>a</w:t>
      </w:r>
    </w:p>
    <w:p>
      <w:pPr>
        <w:spacing w:after="0" w:line="249" w:lineRule="auto"/>
        <w:jc w:val="left"/>
        <w:rPr>
          <w:sz w:val="24"/>
        </w:rPr>
        <w:sectPr>
          <w:headerReference w:type="default" r:id="rId78"/>
          <w:footerReference w:type="default" r:id="rId79"/>
          <w:pgSz w:w="12240" w:h="15840"/>
          <w:pgMar w:header="726" w:footer="825" w:top="980" w:bottom="1020" w:left="620" w:right="1220"/>
        </w:sectPr>
      </w:pPr>
    </w:p>
    <w:p>
      <w:pPr>
        <w:pStyle w:val="BodyText"/>
        <w:tabs>
          <w:tab w:pos="8593" w:val="left" w:leader="none"/>
        </w:tabs>
        <w:spacing w:line="247" w:lineRule="auto" w:before="1"/>
        <w:ind w:left="1859" w:hanging="670"/>
      </w:pPr>
      <w:r>
        <w:rPr/>
        <w:pict>
          <v:line style="position:absolute;mso-position-horizontal-relative:page;mso-position-vertical-relative:paragraph;z-index:-48832" from="169.919998pt,13.045355pt" to="173.279998pt,13.045355pt" stroked="true" strokeweight=".841pt" strokecolor="#b5082e">
            <v:stroke dashstyle="solid"/>
            <w10:wrap type="none"/>
          </v:line>
        </w:pict>
      </w:r>
      <w:r>
        <w:rPr/>
        <w:pict>
          <v:group style="position:absolute;margin-left:387.535004pt;margin-top:12.620355pt;width:73.45pt;height:1.1pt;mso-position-horizontal-relative:page;mso-position-vertical-relative:paragraph;z-index:-48808" coordorigin="7751,252" coordsize="1469,22">
            <v:line style="position:absolute" from="7759,261" to="8681,261" stroked="true" strokeweight=".841pt" strokecolor="#b5082e">
              <v:stroke dashstyle="solid"/>
            </v:line>
            <v:shape style="position:absolute;left:8681;top:266;width:531;height:2" coordorigin="8681,266" coordsize="531,0" path="m8681,266l8945,266m8947,266l9211,266e" filled="false" stroked="true" strokeweight=".756pt" strokecolor="#b4072d">
              <v:path arrowok="t"/>
              <v:stroke dashstyle="solid"/>
            </v:shape>
            <w10:wrap type="none"/>
          </v:group>
        </w:pict>
      </w:r>
      <w:r>
        <w:rPr/>
        <w:pict>
          <v:group style="position:absolute;margin-left:470.959991pt;margin-top:12.620355pt;width:54.25pt;height:1.1pt;mso-position-horizontal-relative:page;mso-position-vertical-relative:paragraph;z-index:-48784" coordorigin="9419,252" coordsize="1085,22">
            <v:line style="position:absolute" from="10094,261" to="10495,261" stroked="true" strokeweight=".841pt" strokecolor="#b5082e">
              <v:stroke dashstyle="solid"/>
            </v:line>
            <v:line style="position:absolute" from="9427,266" to="10097,266" stroked="true" strokeweight=".756pt" strokecolor="#b4072d">
              <v:stroke dashstyle="solid"/>
            </v:line>
            <w10:wrap type="none"/>
          </v:group>
        </w:pict>
      </w:r>
      <w:r>
        <w:rPr/>
        <w:pict>
          <v:line style="position:absolute;mso-position-horizontal-relative:page;mso-position-vertical-relative:paragraph;z-index:-48760" from="471.359985pt,8.485855pt" to="504.719985pt,8.485855pt" stroked="true" strokeweight=".6pt" strokecolor="#b5082e">
            <v:stroke dashstyle="solid"/>
            <w10:wrap type="none"/>
          </v:line>
        </w:pict>
      </w:r>
      <w:r>
        <w:rPr/>
        <w:pict>
          <v:group style="position:absolute;margin-left:90.080002pt;margin-top:26.900856pt;width:61.1pt;height:1.1pt;mso-position-horizontal-relative:page;mso-position-vertical-relative:paragraph;z-index:-48736" coordorigin="1802,538" coordsize="1222,22">
            <v:line style="position:absolute" from="2479,547" to="3014,547" stroked="true" strokeweight=".84pt" strokecolor="#b5082e">
              <v:stroke dashstyle="solid"/>
            </v:line>
            <v:line style="position:absolute" from="1810,552" to="2479,552" stroked="true" strokeweight=".756pt" strokecolor="#b4072d">
              <v:stroke dashstyle="solid"/>
            </v:line>
            <w10:wrap type="none"/>
          </v:group>
        </w:pict>
      </w:r>
      <w:r>
        <w:rPr/>
        <w:pict>
          <v:line style="position:absolute;mso-position-horizontal-relative:page;mso-position-vertical-relative:paragraph;z-index:-48712" from="90.480003pt,22.766356pt" to="123.960003pt,22.766356pt" stroked="true" strokeweight=".599pt" strokecolor="#b5082e">
            <v:stroke dashstyle="solid"/>
            <w10:wrap type="none"/>
          </v:line>
        </w:pict>
      </w:r>
      <w:r>
        <w:rPr/>
        <w:pict>
          <v:line style="position:absolute;mso-position-horizontal-relative:page;mso-position-vertical-relative:paragraph;z-index:2680" from="36.360001pt,.265855pt" to="36.360001pt,28.945855pt" stroked="true" strokeweight=".72pt" strokecolor="#000000">
            <v:stroke dashstyle="solid"/>
            <w10:wrap type="none"/>
          </v:line>
        </w:pict>
      </w:r>
      <w:r>
        <w:rPr/>
        <w:t>particular year.  For example, the </w:t>
      </w:r>
      <w:r>
        <w:rPr>
          <w:strike/>
          <w:color w:val="B5082E"/>
        </w:rPr>
        <w:t>ten</w:t>
      </w:r>
      <w:r>
        <w:rPr>
          <w:strike w:val="0"/>
          <w:color w:val="B5082E"/>
          <w:u w:val="single" w:color="B5082E"/>
        </w:rPr>
        <w:t>11 </w:t>
      </w:r>
      <w:r>
        <w:rPr>
          <w:strike w:val="0"/>
        </w:rPr>
        <w:t>digit item code</w:t>
      </w:r>
      <w:r>
        <w:rPr>
          <w:strike w:val="0"/>
          <w:spacing w:val="-28"/>
        </w:rPr>
        <w:t> </w:t>
      </w:r>
      <w:r>
        <w:rPr>
          <w:strike w:val="0"/>
        </w:rPr>
        <w:t>(</w:t>
      </w:r>
      <w:r>
        <w:rPr>
          <w:strike w:val="0"/>
          <w:color w:val="B5082E"/>
        </w:rPr>
        <w:t>ex.</w:t>
      </w:r>
      <w:r>
        <w:rPr>
          <w:strike w:val="0"/>
          <w:color w:val="B5082E"/>
          <w:spacing w:val="-2"/>
        </w:rPr>
        <w:t> </w:t>
      </w:r>
      <w:r>
        <w:rPr>
          <w:strike w:val="0"/>
          <w:color w:val="B5082E"/>
        </w:rPr>
        <w:t>8860</w:t>
      </w:r>
      <w:r>
        <w:rPr>
          <w:strike/>
          <w:color w:val="B5082E"/>
        </w:rPr>
        <w:tab/>
        <w:t>_</w:t>
      </w:r>
      <w:r>
        <w:rPr>
          <w:strike w:val="0"/>
        </w:rPr>
        <w:t>- </w:t>
      </w:r>
      <w:r>
        <w:rPr>
          <w:strike w:val="0"/>
          <w:color w:val="B5082E"/>
        </w:rPr>
        <w:t>0001</w:t>
      </w:r>
      <w:r>
        <w:rPr>
          <w:strike w:val="0"/>
        </w:rPr>
        <w:t>) </w:t>
      </w:r>
      <w:r>
        <w:rPr>
          <w:strike/>
          <w:color w:val="B5082E"/>
        </w:rPr>
        <w:t>numbers </w:t>
      </w:r>
      <w:r>
        <w:rPr>
          <w:strike w:val="0"/>
        </w:rPr>
        <w:t>of a support appropriation should be used to identify</w:t>
      </w:r>
      <w:r>
        <w:rPr>
          <w:strike w:val="0"/>
          <w:spacing w:val="-34"/>
        </w:rPr>
        <w:t> </w:t>
      </w:r>
      <w:r>
        <w:rPr>
          <w:strike w:val="0"/>
        </w:rPr>
        <w:t>a</w:t>
      </w:r>
    </w:p>
    <w:p>
      <w:pPr>
        <w:pStyle w:val="BodyText"/>
        <w:spacing w:before="1"/>
        <w:ind w:left="169"/>
      </w:pPr>
      <w:r>
        <w:rPr/>
        <w:br w:type="column"/>
      </w:r>
      <w:r>
        <w:rPr>
          <w:color w:val="B5082E"/>
        </w:rPr>
        <w:t>001</w:t>
      </w:r>
      <w:r>
        <w:rPr/>
        <w:t>-</w:t>
      </w:r>
    </w:p>
    <w:p>
      <w:pPr>
        <w:spacing w:after="0"/>
        <w:sectPr>
          <w:type w:val="continuous"/>
          <w:pgSz w:w="12240" w:h="15840"/>
          <w:pgMar w:top="880" w:bottom="1040" w:left="620" w:right="1220"/>
          <w:cols w:num="2" w:equalWidth="0">
            <w:col w:w="9265" w:space="40"/>
            <w:col w:w="1095"/>
          </w:cols>
        </w:sectPr>
      </w:pPr>
    </w:p>
    <w:p>
      <w:pPr>
        <w:pStyle w:val="BodyText"/>
        <w:spacing w:line="249" w:lineRule="auto" w:before="4"/>
        <w:ind w:left="1189" w:right="86"/>
      </w:pPr>
      <w:r>
        <w:rPr/>
        <w:pict>
          <v:line style="position:absolute;mso-position-horizontal-relative:page;mso-position-vertical-relative:paragraph;z-index:-48688" from="193.919998pt,27.595863pt" to="197.279998pt,27.595863pt" stroked="true" strokeweight=".84pt" strokecolor="#b5082e">
            <v:stroke dashstyle="solid"/>
            <w10:wrap type="none"/>
          </v:line>
        </w:pict>
      </w:r>
      <w:r>
        <w:rPr/>
        <w:pict>
          <v:line style="position:absolute;mso-position-horizontal-relative:page;mso-position-vertical-relative:paragraph;z-index:2704" from="36.360001pt,14.816862pt" to="36.360001pt,101.815862pt" stroked="true" strokeweight=".72pt" strokecolor="#000000">
            <v:stroke dashstyle="solid"/>
            <w10:wrap type="none"/>
          </v:line>
        </w:pict>
      </w:r>
      <w:r>
        <w:rPr/>
        <w:t>department's yearly support appropriation and not the year and chapter number of the current budget act. If the appropriation covered is made by other than budget act legislation, the year and chapter must be stated.</w:t>
      </w:r>
    </w:p>
    <w:p>
      <w:pPr>
        <w:pStyle w:val="BodyText"/>
        <w:tabs>
          <w:tab w:pos="1539" w:val="left" w:leader="none"/>
        </w:tabs>
        <w:spacing w:line="249" w:lineRule="auto" w:before="303"/>
        <w:ind w:left="1189" w:right="120" w:hanging="360"/>
      </w:pPr>
      <w:r>
        <w:rPr/>
        <w:pict>
          <v:line style="position:absolute;mso-position-horizontal-relative:page;mso-position-vertical-relative:paragraph;z-index:-48664" from="378.119995pt,42.425854pt" to="381.480995pt,42.425854pt" stroked="true" strokeweight=".84pt" strokecolor="#b5082e">
            <v:stroke dashstyle="solid"/>
            <w10:wrap type="none"/>
          </v:line>
        </w:pict>
      </w:r>
      <w:r>
        <w:rPr/>
        <w:pict>
          <v:line style="position:absolute;mso-position-horizontal-relative:page;mso-position-vertical-relative:paragraph;z-index:-48640" from="485.519989pt,56.825855pt" to="488.759989pt,56.825855pt" stroked="true" strokeweight=".84pt" strokecolor="#b5082e">
            <v:stroke dashstyle="solid"/>
            <w10:wrap type="none"/>
          </v:line>
        </w:pict>
      </w:r>
      <w:r>
        <w:rPr/>
        <w:pict>
          <v:line style="position:absolute;mso-position-horizontal-relative:page;mso-position-vertical-relative:paragraph;z-index:-48616" from="448.799988pt,85.625854pt" to="452.039988pt,85.625854pt" stroked="true" strokeweight=".84pt" strokecolor="#b5082e">
            <v:stroke dashstyle="solid"/>
            <w10:wrap type="none"/>
          </v:line>
        </w:pict>
      </w:r>
      <w:r>
        <w:rPr/>
        <w:pict>
          <v:line style="position:absolute;mso-position-horizontal-relative:page;mso-position-vertical-relative:paragraph;z-index:-48592" from="476.880005pt,114.305359pt" to="480.120005pt,114.305359pt" stroked="true" strokeweight=".841pt" strokecolor="#b5082e">
            <v:stroke dashstyle="solid"/>
            <w10:wrap type="none"/>
          </v:line>
        </w:pict>
      </w:r>
      <w:r>
        <w:rPr/>
        <w:pict>
          <v:line style="position:absolute;mso-position-horizontal-relative:page;mso-position-vertical-relative:paragraph;z-index:2728" from="36.360001pt,72.845856pt" to="36.360001pt,87.245856pt" stroked="true" strokeweight=".72pt" strokecolor="#000000">
            <v:stroke dashstyle="solid"/>
            <w10:wrap type="none"/>
          </v:line>
        </w:pict>
      </w:r>
      <w:r>
        <w:rPr/>
        <w:pict>
          <v:line style="position:absolute;mso-position-horizontal-relative:page;mso-position-vertical-relative:paragraph;z-index:2752" from="36.360001pt,101.525856pt" to="36.360001pt,115.925856pt" stroked="true" strokeweight=".72pt" strokecolor="#000000">
            <v:stroke dashstyle="solid"/>
            <w10:wrap type="none"/>
          </v:line>
        </w:pict>
      </w:r>
      <w:r>
        <w:rPr>
          <w:strike/>
          <w:color w:val="1B9CAB"/>
        </w:rPr>
        <w:t>2.</w:t>
      </w:r>
      <w:r>
        <w:rPr>
          <w:strike w:val="0"/>
          <w:color w:val="1B9CAB"/>
          <w:u w:val="single" w:color="1B9CAB"/>
        </w:rPr>
        <w:t>3.</w:t>
        <w:tab/>
      </w:r>
      <w:r>
        <w:rPr>
          <w:strike/>
          <w:color w:val="B5082E"/>
        </w:rPr>
        <w:t>Also to be included is a</w:t>
      </w:r>
      <w:r>
        <w:rPr>
          <w:strike w:val="0"/>
          <w:color w:val="B5082E"/>
          <w:u w:val="single" w:color="B5082E"/>
        </w:rPr>
        <w:t>A </w:t>
      </w:r>
      <w:r>
        <w:rPr>
          <w:strike w:val="0"/>
        </w:rPr>
        <w:t>declaration by the department that a cost</w:t>
      </w:r>
      <w:r>
        <w:rPr>
          <w:strike w:val="0"/>
          <w:spacing w:val="-31"/>
        </w:rPr>
        <w:t> </w:t>
      </w:r>
      <w:r>
        <w:rPr>
          <w:strike w:val="0"/>
        </w:rPr>
        <w:t>allocation</w:t>
      </w:r>
      <w:r>
        <w:rPr>
          <w:strike w:val="0"/>
          <w:spacing w:val="-4"/>
        </w:rPr>
        <w:t> </w:t>
      </w:r>
      <w:r>
        <w:rPr>
          <w:strike w:val="0"/>
        </w:rPr>
        <w:t>plan</w:t>
      </w:r>
      <w:r>
        <w:rPr>
          <w:strike w:val="0"/>
          <w:w w:val="99"/>
        </w:rPr>
        <w:t> </w:t>
      </w:r>
      <w:r>
        <w:rPr>
          <w:strike w:val="0"/>
        </w:rPr>
        <w:t>will be used to allocate the costs covered by the PFA. A description of the cost allocation plan and the types of costs covered must be filed with the SCO. Those departments that have more than one PFA only need to file one cost allocation plan description unless a different plan is utilized for each different PFA. The description should include the type of costs being allocated and the methodology used to allocate the costs. Refer to SAM Chapter 9200 for guidelines on allocating costs.</w:t>
      </w:r>
      <w:r>
        <w:rPr>
          <w:strike w:val="0"/>
          <w:spacing w:val="27"/>
        </w:rPr>
        <w:t> </w:t>
      </w:r>
      <w:r>
        <w:rPr>
          <w:strike w:val="0"/>
        </w:rPr>
        <w:t>Although</w:t>
      </w:r>
    </w:p>
    <w:p>
      <w:pPr>
        <w:spacing w:after="0" w:line="249" w:lineRule="auto"/>
        <w:sectPr>
          <w:type w:val="continuous"/>
          <w:pgSz w:w="12240" w:h="15840"/>
          <w:pgMar w:top="880" w:bottom="1040" w:left="620" w:right="1220"/>
        </w:sectPr>
      </w:pPr>
    </w:p>
    <w:p>
      <w:pPr>
        <w:pStyle w:val="BodyText"/>
        <w:spacing w:line="249" w:lineRule="auto" w:before="317"/>
        <w:ind w:left="1189" w:right="100"/>
      </w:pPr>
      <w:r>
        <w:rPr/>
        <w:pict>
          <v:line style="position:absolute;mso-position-horizontal-relative:page;mso-position-vertical-relative:paragraph;z-index:2776" from="36.360001pt,16.065872pt" to="36.360001pt,44.865872pt" stroked="true" strokeweight=".72pt" strokecolor="#000000">
            <v:stroke dashstyle="solid"/>
            <w10:wrap type="none"/>
          </v:line>
        </w:pict>
      </w:r>
      <w:r>
        <w:rPr/>
        <w:t>these sections refer to allocating line-item </w:t>
      </w:r>
      <w:r>
        <w:rPr>
          <w:strike/>
          <w:color w:val="B5082E"/>
        </w:rPr>
        <w:t>costs to programs, the same principles apply to allocating shared costs between funds and/or appropriations.</w:t>
      </w:r>
    </w:p>
    <w:p>
      <w:pPr>
        <w:pStyle w:val="Heading1"/>
        <w:spacing w:before="301"/>
        <w:ind w:left="4992" w:right="3604"/>
        <w:jc w:val="center"/>
      </w:pPr>
      <w:r>
        <w:rPr/>
        <w:pict>
          <v:line style="position:absolute;mso-position-horizontal-relative:page;mso-position-vertical-relative:paragraph;z-index:2800" from="36.360001pt,15.145884pt" to="36.360001pt,52.945884pt" stroked="true" strokeweight=".72pt" strokecolor="#000000">
            <v:stroke dashstyle="solid"/>
            <w10:wrap type="none"/>
          </v:line>
        </w:pict>
      </w:r>
      <w:r>
        <w:rPr>
          <w:strike/>
          <w:color w:val="2E97D3"/>
        </w:rPr>
        <w:t>Rev. 430</w:t>
      </w:r>
    </w:p>
    <w:p>
      <w:pPr>
        <w:spacing w:after="0"/>
        <w:jc w:val="center"/>
        <w:sectPr>
          <w:pgSz w:w="12240" w:h="15840"/>
          <w:pgMar w:header="726" w:footer="825" w:top="980" w:bottom="1020" w:left="620" w:right="1720"/>
        </w:sectPr>
      </w:pPr>
    </w:p>
    <w:p>
      <w:pPr>
        <w:tabs>
          <w:tab w:pos="8341" w:val="left" w:leader="none"/>
        </w:tabs>
        <w:spacing w:before="317"/>
        <w:ind w:left="805" w:right="0" w:firstLine="0"/>
        <w:jc w:val="left"/>
        <w:rPr>
          <w:sz w:val="24"/>
        </w:rPr>
      </w:pPr>
      <w:r>
        <w:rPr/>
        <w:pict>
          <v:line style="position:absolute;mso-position-horizontal-relative:page;mso-position-vertical-relative:paragraph;z-index:2848" from="36.360001pt,29.865871pt" to="36.360001pt,88.305871pt" stroked="true" strokeweight=".72pt" strokecolor="#000000">
            <v:stroke dashstyle="solid"/>
            <w10:wrap type="none"/>
          </v:line>
        </w:pict>
      </w:r>
      <w:r>
        <w:rPr/>
        <w:pict>
          <v:line style="position:absolute;mso-position-horizontal-relative:page;mso-position-vertical-relative:page;z-index:2920" from="36.360001pt,664.080017pt" to="36.360001pt,756.000017pt" stroked="true" strokeweight=".72pt" strokecolor="#000000">
            <v:stroke dashstyle="solid"/>
            <w10:wrap type="none"/>
          </v:line>
        </w:pict>
      </w:r>
      <w:r>
        <w:rPr>
          <w:b/>
          <w:sz w:val="24"/>
        </w:rPr>
        <w:t>PREPARATION OF PLAN OF</w:t>
      </w:r>
      <w:r>
        <w:rPr>
          <w:b/>
          <w:spacing w:val="-14"/>
          <w:sz w:val="24"/>
        </w:rPr>
        <w:t> </w:t>
      </w:r>
      <w:r>
        <w:rPr>
          <w:b/>
          <w:sz w:val="24"/>
        </w:rPr>
        <w:t>FINANCIAL</w:t>
      </w:r>
      <w:r>
        <w:rPr>
          <w:b/>
          <w:spacing w:val="-2"/>
          <w:sz w:val="24"/>
        </w:rPr>
        <w:t> </w:t>
      </w:r>
      <w:r>
        <w:rPr>
          <w:b/>
          <w:sz w:val="24"/>
        </w:rPr>
        <w:t>ADJUSTMENT</w:t>
        <w:tab/>
        <w:t>8452.1 </w:t>
      </w:r>
      <w:r>
        <w:rPr>
          <w:sz w:val="24"/>
        </w:rPr>
        <w:t>(Cont.</w:t>
      </w:r>
      <w:r>
        <w:rPr>
          <w:spacing w:val="-8"/>
          <w:sz w:val="24"/>
        </w:rPr>
        <w:t> </w:t>
      </w:r>
      <w:r>
        <w:rPr>
          <w:sz w:val="24"/>
        </w:rPr>
        <w:t>1)</w:t>
      </w:r>
    </w:p>
    <w:p>
      <w:pPr>
        <w:pStyle w:val="BodyText"/>
        <w:ind w:left="815"/>
      </w:pPr>
      <w:r>
        <w:rPr/>
        <w:pict>
          <v:line style="position:absolute;mso-position-horizontal-relative:page;mso-position-vertical-relative:paragraph;z-index:-48256" from="119.040001pt,12.995384pt" to="122.400001pt,12.995384pt" stroked="true" strokeweight=".841pt" strokecolor="#b5082e">
            <v:stroke dashstyle="solid"/>
            <w10:wrap type="none"/>
          </v:line>
        </w:pict>
      </w:r>
      <w:r>
        <w:rPr/>
        <w:t>(Revised</w:t>
      </w:r>
      <w:r>
        <w:rPr>
          <w:spacing w:val="53"/>
        </w:rPr>
        <w:t> </w:t>
      </w:r>
      <w:r>
        <w:rPr>
          <w:strike/>
          <w:color w:val="B5082E"/>
        </w:rPr>
        <w:t>5/2015</w:t>
      </w:r>
      <w:r>
        <w:rPr>
          <w:strike w:val="0"/>
          <w:color w:val="2E97D3"/>
          <w:u w:val="single" w:color="2E97D3"/>
        </w:rPr>
        <w:t>9</w:t>
      </w:r>
      <w:r>
        <w:rPr>
          <w:strike/>
          <w:color w:val="2E97D3"/>
          <w:u w:val="single" w:color="2E97D3"/>
        </w:rPr>
        <w:t>8</w:t>
      </w:r>
      <w:r>
        <w:rPr>
          <w:strike w:val="0"/>
          <w:color w:val="B5082E"/>
          <w:u w:val="single" w:color="2E97D3"/>
        </w:rPr>
        <w:t>/2017</w:t>
      </w:r>
      <w:r>
        <w:rPr>
          <w:strike w:val="0"/>
        </w:rPr>
        <w:t>)</w:t>
      </w:r>
    </w:p>
    <w:p>
      <w:pPr>
        <w:pStyle w:val="BodyText"/>
        <w:spacing w:line="259" w:lineRule="auto" w:before="300"/>
        <w:ind w:left="1189" w:right="99"/>
      </w:pPr>
      <w:r>
        <w:rPr>
          <w:color w:val="B5082E"/>
          <w:u w:val="single" w:color="B5082E"/>
        </w:rPr>
        <w:t>costs to programs, the same principles apply to allocating shared costs between funds and/or appropriations.</w:t>
      </w:r>
    </w:p>
    <w:p>
      <w:pPr>
        <w:pStyle w:val="ListParagraph"/>
        <w:numPr>
          <w:ilvl w:val="1"/>
          <w:numId w:val="15"/>
        </w:numPr>
        <w:tabs>
          <w:tab w:pos="1539" w:val="left" w:leader="none"/>
          <w:tab w:pos="1540" w:val="left" w:leader="none"/>
        </w:tabs>
        <w:spacing w:line="249" w:lineRule="auto" w:before="298" w:after="0"/>
        <w:ind w:left="1189" w:right="194" w:hanging="360"/>
        <w:jc w:val="left"/>
        <w:rPr>
          <w:sz w:val="24"/>
        </w:rPr>
      </w:pPr>
      <w:r>
        <w:rPr/>
        <w:pict>
          <v:line style="position:absolute;mso-position-horizontal-relative:page;mso-position-vertical-relative:paragraph;z-index:2872" from="36.360001pt,29.395882pt" to="36.360001pt,131.035882pt" stroked="true" strokeweight=".72pt" strokecolor="#000000">
            <v:stroke dashstyle="solid"/>
            <w10:wrap type="none"/>
          </v:line>
        </w:pict>
      </w:r>
      <w:r>
        <w:rPr>
          <w:strike w:val="0"/>
          <w:sz w:val="24"/>
        </w:rPr>
        <w:t>The frequency of transfer requests between the funds and/or appropriations covered by the PFA must be included. Transfers </w:t>
      </w:r>
      <w:r>
        <w:rPr>
          <w:strike/>
          <w:color w:val="B5082E"/>
          <w:sz w:val="24"/>
        </w:rPr>
        <w:t>must be made monthly </w:t>
      </w:r>
      <w:r>
        <w:rPr>
          <w:strike w:val="0"/>
          <w:color w:val="B5082E"/>
          <w:sz w:val="24"/>
          <w:u w:val="single" w:color="B5082E"/>
        </w:rPr>
        <w:t>should be on a monthly basis but can be more frequent if needed. </w:t>
      </w:r>
      <w:r>
        <w:rPr>
          <w:strike/>
          <w:color w:val="B5082E"/>
          <w:sz w:val="24"/>
        </w:rPr>
        <w:t>and the period covered by the transfer must be clearly stated. For example, if an estimated transfer is submitted for July, it must indicate JULY ESTIMATES. When the estimate is cleared, the transfer request must indicate JULY</w:t>
      </w:r>
      <w:r>
        <w:rPr>
          <w:strike/>
          <w:color w:val="B5082E"/>
          <w:spacing w:val="-14"/>
          <w:sz w:val="24"/>
        </w:rPr>
        <w:t> </w:t>
      </w:r>
      <w:r>
        <w:rPr>
          <w:strike/>
          <w:color w:val="B5082E"/>
          <w:sz w:val="24"/>
        </w:rPr>
        <w:t>ACTUAL.</w:t>
      </w:r>
    </w:p>
    <w:p>
      <w:pPr>
        <w:pStyle w:val="BodyText"/>
        <w:spacing w:before="303"/>
        <w:ind w:left="805"/>
      </w:pPr>
      <w:r>
        <w:rPr>
          <w:color w:val="633277"/>
          <w:u w:val="single" w:color="633277"/>
        </w:rPr>
        <w:t>Refer to SAM section 8452.2 for Approval of Plan of Financial Adjustment.</w:t>
      </w:r>
    </w:p>
    <w:p>
      <w:pPr>
        <w:pStyle w:val="BodyText"/>
        <w:spacing w:before="313"/>
        <w:ind w:left="805"/>
      </w:pPr>
      <w:r>
        <w:rPr/>
        <w:pict>
          <v:line style="position:absolute;mso-position-horizontal-relative:page;mso-position-vertical-relative:paragraph;z-index:2896" from="36.360001pt,15.865863pt" to="36.360001pt,30.505863pt" stroked="true" strokeweight=".72pt" strokecolor="#000000">
            <v:stroke dashstyle="solid"/>
            <w10:wrap type="none"/>
          </v:line>
        </w:pict>
      </w:r>
      <w:r>
        <w:rPr>
          <w:strike/>
          <w:color w:val="2E97D3"/>
        </w:rPr>
        <w:t>(Continued)</w:t>
      </w:r>
    </w:p>
    <w:p>
      <w:pPr>
        <w:spacing w:after="0"/>
        <w:sectPr>
          <w:footerReference w:type="default" r:id="rId85"/>
          <w:pgSz w:w="12240" w:h="15840"/>
          <w:pgMar w:footer="812" w:header="726" w:top="980" w:bottom="1000" w:left="620" w:right="1160"/>
        </w:sectPr>
      </w:pPr>
    </w:p>
    <w:p>
      <w:pPr>
        <w:spacing w:before="905"/>
        <w:ind w:left="5068" w:right="4688" w:firstLine="0"/>
        <w:jc w:val="center"/>
        <w:rPr>
          <w:b/>
          <w:sz w:val="24"/>
        </w:rPr>
      </w:pPr>
      <w:r>
        <w:rPr/>
        <w:pict>
          <v:line style="position:absolute;mso-position-horizontal-relative:page;mso-position-vertical-relative:paragraph;z-index:2968" from="36.360001pt,16.065847pt" to="36.360001pt,45.345847pt" stroked="true" strokeweight=".72pt" strokecolor="#000000">
            <v:stroke dashstyle="solid"/>
            <w10:wrap type="none"/>
          </v:line>
        </w:pict>
      </w:r>
      <w:r>
        <w:rPr/>
        <w:pict>
          <v:line style="position:absolute;mso-position-horizontal-relative:page;mso-position-vertical-relative:paragraph;z-index:2992" from="36.360001pt,75.225845pt" to="36.360001pt,673.065845pt" stroked="true" strokeweight=".72pt" strokecolor="#000000">
            <v:stroke dashstyle="solid"/>
            <w10:wrap type="none"/>
          </v:line>
        </w:pict>
      </w:r>
      <w:bookmarkStart w:name="Rev. 430" w:id="19"/>
      <w:bookmarkEnd w:id="19"/>
      <w:r>
        <w:rPr/>
      </w:r>
      <w:r>
        <w:rPr>
          <w:b/>
          <w:sz w:val="24"/>
        </w:rPr>
        <w:t>Rev. 430</w:t>
      </w:r>
    </w:p>
    <w:p>
      <w:pPr>
        <w:pStyle w:val="BodyText"/>
        <w:spacing w:before="8"/>
        <w:rPr>
          <w:b/>
        </w:rPr>
      </w:pPr>
      <w:r>
        <w:rPr/>
        <w:drawing>
          <wp:anchor distT="0" distB="0" distL="0" distR="0" allowOverlap="1" layoutInCell="1" locked="0" behindDoc="0" simplePos="0" relativeHeight="2944">
            <wp:simplePos x="0" y="0"/>
            <wp:positionH relativeFrom="page">
              <wp:posOffset>910589</wp:posOffset>
            </wp:positionH>
            <wp:positionV relativeFrom="paragraph">
              <wp:posOffset>205560</wp:posOffset>
            </wp:positionV>
            <wp:extent cx="6293217" cy="6643687"/>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87" cstate="print"/>
                    <a:stretch>
                      <a:fillRect/>
                    </a:stretch>
                  </pic:blipFill>
                  <pic:spPr>
                    <a:xfrm>
                      <a:off x="0" y="0"/>
                      <a:ext cx="6293217" cy="6643687"/>
                    </a:xfrm>
                    <a:prstGeom prst="rect">
                      <a:avLst/>
                    </a:prstGeom>
                  </pic:spPr>
                </pic:pic>
              </a:graphicData>
            </a:graphic>
          </wp:anchor>
        </w:drawing>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23"/>
        </w:rPr>
      </w:pPr>
    </w:p>
    <w:p>
      <w:pPr>
        <w:spacing w:before="0"/>
        <w:ind w:left="5102" w:right="4654" w:firstLine="0"/>
        <w:jc w:val="center"/>
        <w:rPr>
          <w:b/>
          <w:sz w:val="24"/>
        </w:rPr>
      </w:pPr>
      <w:r>
        <w:rPr>
          <w:b/>
          <w:sz w:val="24"/>
        </w:rPr>
        <w:t>Rev. 430</w:t>
      </w:r>
    </w:p>
    <w:p>
      <w:pPr>
        <w:spacing w:after="0"/>
        <w:jc w:val="center"/>
        <w:rPr>
          <w:sz w:val="24"/>
        </w:rPr>
        <w:sectPr>
          <w:footerReference w:type="default" r:id="rId86"/>
          <w:pgSz w:w="12240" w:h="15840"/>
          <w:pgMar w:footer="825" w:header="726" w:top="980" w:bottom="1020" w:left="620" w:right="780"/>
        </w:sectPr>
      </w:pPr>
    </w:p>
    <w:p>
      <w:pPr>
        <w:pStyle w:val="BodyText"/>
        <w:spacing w:before="8"/>
        <w:rPr>
          <w:b/>
          <w:sz w:val="19"/>
        </w:rPr>
      </w:pPr>
    </w:p>
    <w:p>
      <w:pPr>
        <w:spacing w:before="92"/>
        <w:ind w:left="3968" w:right="0" w:firstLine="0"/>
        <w:jc w:val="left"/>
        <w:rPr>
          <w:b/>
          <w:i/>
          <w:sz w:val="24"/>
        </w:rPr>
      </w:pPr>
      <w:r>
        <w:rPr>
          <w:b/>
          <w:i/>
          <w:sz w:val="24"/>
        </w:rPr>
        <w:t>(8452.1 Illustration 1, page 1)</w:t>
      </w:r>
    </w:p>
    <w:p>
      <w:pPr>
        <w:spacing w:after="0"/>
        <w:jc w:val="left"/>
        <w:rPr>
          <w:sz w:val="24"/>
        </w:rPr>
        <w:sectPr>
          <w:pgSz w:w="12240" w:h="15840"/>
          <w:pgMar w:header="726" w:footer="825" w:top="980" w:bottom="1020" w:left="620" w:right="1720"/>
        </w:sectPr>
      </w:pPr>
    </w:p>
    <w:p>
      <w:pPr>
        <w:pStyle w:val="BodyText"/>
        <w:rPr>
          <w:rFonts w:ascii="Times New Roman"/>
          <w:sz w:val="20"/>
        </w:rPr>
      </w:pPr>
      <w:r>
        <w:rPr/>
        <w:pict>
          <v:line style="position:absolute;mso-position-horizontal-relative:page;mso-position-vertical-relative:page;z-index:3016" from="36.360001pt,72.240997pt" to="36.360001pt,701.039997pt" stroked="true" strokeweight=".72pt" strokecolor="#000000">
            <v:stroke dashstyle="solid"/>
            <w10:wrap type="none"/>
          </v:line>
        </w:pict>
      </w:r>
    </w:p>
    <w:p>
      <w:pPr>
        <w:pStyle w:val="BodyText"/>
        <w:spacing w:before="8" w:after="1"/>
        <w:rPr>
          <w:rFonts w:ascii="Times New Roman"/>
          <w:sz w:val="18"/>
        </w:rPr>
      </w:pPr>
    </w:p>
    <w:p>
      <w:pPr>
        <w:pStyle w:val="BodyText"/>
        <w:ind w:left="814"/>
        <w:rPr>
          <w:rFonts w:ascii="Times New Roman"/>
          <w:sz w:val="20"/>
        </w:rPr>
      </w:pPr>
      <w:r>
        <w:rPr>
          <w:rFonts w:ascii="Times New Roman"/>
          <w:sz w:val="20"/>
        </w:rPr>
        <w:drawing>
          <wp:inline distT="0" distB="0" distL="0" distR="0">
            <wp:extent cx="5948048" cy="714375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89" cstate="print"/>
                    <a:stretch>
                      <a:fillRect/>
                    </a:stretch>
                  </pic:blipFill>
                  <pic:spPr>
                    <a:xfrm>
                      <a:off x="0" y="0"/>
                      <a:ext cx="5948048" cy="7143750"/>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88"/>
          <w:pgSz w:w="12240" w:h="15840"/>
          <w:pgMar w:footer="1613" w:header="726" w:top="980" w:bottom="1800" w:left="620" w:right="1320"/>
          <w:pgNumType w:start="1"/>
        </w:sectPr>
      </w:pPr>
    </w:p>
    <w:p>
      <w:pPr>
        <w:pStyle w:val="BodyText"/>
        <w:rPr>
          <w:rFonts w:ascii="Times New Roman"/>
          <w:sz w:val="20"/>
        </w:rPr>
      </w:pPr>
      <w:r>
        <w:rPr/>
        <w:pict>
          <v:line style="position:absolute;mso-position-horizontal-relative:page;mso-position-vertical-relative:page;z-index:3040" from="36.360001pt,72pt" to="36.360001pt,690.6pt" stroked="true" strokeweight=".72pt" strokecolor="#000000">
            <v:stroke dashstyle="solid"/>
            <w10:wrap type="none"/>
          </v:line>
        </w:pict>
      </w:r>
    </w:p>
    <w:p>
      <w:pPr>
        <w:pStyle w:val="BodyText"/>
        <w:spacing w:before="4"/>
        <w:rPr>
          <w:rFonts w:ascii="Times New Roman"/>
          <w:sz w:val="18"/>
        </w:rPr>
      </w:pPr>
    </w:p>
    <w:p>
      <w:pPr>
        <w:pStyle w:val="BodyText"/>
        <w:ind w:left="814"/>
        <w:rPr>
          <w:rFonts w:ascii="Times New Roman"/>
          <w:sz w:val="20"/>
        </w:rPr>
      </w:pPr>
      <w:r>
        <w:rPr>
          <w:rFonts w:ascii="Times New Roman"/>
          <w:sz w:val="20"/>
        </w:rPr>
        <w:drawing>
          <wp:inline distT="0" distB="0" distL="0" distR="0">
            <wp:extent cx="5952835" cy="7019925"/>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91" cstate="print"/>
                    <a:stretch>
                      <a:fillRect/>
                    </a:stretch>
                  </pic:blipFill>
                  <pic:spPr>
                    <a:xfrm>
                      <a:off x="0" y="0"/>
                      <a:ext cx="5952835" cy="7019925"/>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90"/>
          <w:pgSz w:w="12240" w:h="15840"/>
          <w:pgMar w:footer="1822" w:header="726" w:top="980" w:bottom="2020" w:left="620" w:right="1320"/>
          <w:pgNumType w:start="2"/>
        </w:sectPr>
      </w:pPr>
    </w:p>
    <w:p>
      <w:pPr>
        <w:pStyle w:val="BodyText"/>
        <w:rPr>
          <w:rFonts w:ascii="Times New Roman"/>
          <w:sz w:val="20"/>
        </w:rPr>
      </w:pPr>
      <w:r>
        <w:rPr/>
        <w:pict>
          <v:line style="position:absolute;mso-position-horizontal-relative:page;mso-position-vertical-relative:page;z-index:3064" from="36.360001pt,72pt" to="36.360001pt,604.8pt" stroked="true" strokeweight=".72pt" strokecolor="#000000">
            <v:stroke dashstyle="solid"/>
            <w10:wrap type="none"/>
          </v:line>
        </w:pict>
      </w:r>
    </w:p>
    <w:p>
      <w:pPr>
        <w:pStyle w:val="BodyText"/>
        <w:spacing w:before="4"/>
        <w:rPr>
          <w:rFonts w:ascii="Times New Roman"/>
          <w:sz w:val="18"/>
        </w:rPr>
      </w:pPr>
    </w:p>
    <w:p>
      <w:pPr>
        <w:pStyle w:val="BodyText"/>
        <w:ind w:left="814"/>
        <w:rPr>
          <w:rFonts w:ascii="Times New Roman"/>
          <w:sz w:val="20"/>
        </w:rPr>
      </w:pPr>
      <w:r>
        <w:rPr>
          <w:rFonts w:ascii="Times New Roman"/>
          <w:sz w:val="20"/>
        </w:rPr>
        <w:drawing>
          <wp:inline distT="0" distB="0" distL="0" distR="0">
            <wp:extent cx="5952164" cy="5929312"/>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93" cstate="print"/>
                    <a:stretch>
                      <a:fillRect/>
                    </a:stretch>
                  </pic:blipFill>
                  <pic:spPr>
                    <a:xfrm>
                      <a:off x="0" y="0"/>
                      <a:ext cx="5952164" cy="5929312"/>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92"/>
          <w:pgSz w:w="12240" w:h="15840"/>
          <w:pgMar w:footer="1942" w:header="726" w:top="980" w:bottom="2140" w:left="620" w:right="1320"/>
        </w:sectPr>
      </w:pPr>
    </w:p>
    <w:p>
      <w:pPr>
        <w:spacing w:before="70"/>
        <w:ind w:left="4066" w:right="3327" w:firstLine="0"/>
        <w:jc w:val="center"/>
        <w:rPr>
          <w:b/>
          <w:sz w:val="24"/>
        </w:rPr>
      </w:pPr>
      <w:bookmarkStart w:name="8452.2 track edited" w:id="20"/>
      <w:bookmarkEnd w:id="20"/>
      <w:r>
        <w:rPr/>
      </w:r>
      <w:r>
        <w:rPr>
          <w:b/>
          <w:sz w:val="24"/>
        </w:rPr>
        <w:t>SAM - DISBURSEMENTS</w:t>
      </w:r>
    </w:p>
    <w:p>
      <w:pPr>
        <w:tabs>
          <w:tab w:pos="10140" w:val="right" w:leader="none"/>
        </w:tabs>
        <w:spacing w:before="465"/>
        <w:ind w:left="820" w:right="0" w:firstLine="0"/>
        <w:jc w:val="left"/>
        <w:rPr>
          <w:b/>
          <w:sz w:val="24"/>
        </w:rPr>
      </w:pPr>
      <w:r>
        <w:rPr/>
        <w:pict>
          <v:line style="position:absolute;mso-position-horizontal-relative:page;mso-position-vertical-relative:paragraph;z-index:3088" from="36.360001pt,37.265831pt" to="36.360001pt,51.065831pt" stroked="true" strokeweight=".72pt" strokecolor="#000000">
            <v:stroke dashstyle="solid"/>
            <w10:wrap type="none"/>
          </v:line>
        </w:pict>
      </w:r>
      <w:r>
        <w:rPr>
          <w:b/>
          <w:sz w:val="24"/>
        </w:rPr>
        <w:t>APPROVAL OF PLAN OF</w:t>
      </w:r>
      <w:r>
        <w:rPr>
          <w:b/>
          <w:spacing w:val="-1"/>
          <w:sz w:val="24"/>
        </w:rPr>
        <w:t> </w:t>
      </w:r>
      <w:r>
        <w:rPr>
          <w:b/>
          <w:sz w:val="24"/>
        </w:rPr>
        <w:t>FINANCIAL</w:t>
      </w:r>
      <w:r>
        <w:rPr>
          <w:b/>
          <w:spacing w:val="4"/>
          <w:sz w:val="24"/>
        </w:rPr>
        <w:t> </w:t>
      </w:r>
      <w:r>
        <w:rPr>
          <w:b/>
          <w:sz w:val="24"/>
        </w:rPr>
        <w:t>ADJUSTMENT</w:t>
        <w:tab/>
        <w:t>8452.2</w:t>
      </w:r>
    </w:p>
    <w:p>
      <w:pPr>
        <w:pStyle w:val="BodyText"/>
        <w:ind w:left="820"/>
      </w:pPr>
      <w:r>
        <w:rPr/>
        <w:t>(Revised </w:t>
      </w:r>
      <w:r>
        <w:rPr>
          <w:strike/>
          <w:color w:val="B5082E"/>
        </w:rPr>
        <w:t>5/2015</w:t>
      </w:r>
      <w:r>
        <w:rPr>
          <w:strike w:val="0"/>
          <w:color w:val="2E97D3"/>
          <w:u w:val="single" w:color="2E97D3"/>
        </w:rPr>
        <w:t>9</w:t>
      </w:r>
      <w:r>
        <w:rPr>
          <w:strike/>
          <w:color w:val="2E97D3"/>
          <w:u w:val="single" w:color="2E97D3"/>
        </w:rPr>
        <w:t>8</w:t>
      </w:r>
      <w:r>
        <w:rPr>
          <w:strike w:val="0"/>
          <w:color w:val="B5082E"/>
          <w:u w:val="single" w:color="2E97D3"/>
        </w:rPr>
        <w:t>/2017</w:t>
      </w:r>
      <w:r>
        <w:rPr>
          <w:strike w:val="0"/>
        </w:rPr>
        <w:t>)</w:t>
      </w:r>
    </w:p>
    <w:p>
      <w:pPr>
        <w:pStyle w:val="BodyText"/>
        <w:spacing w:line="249" w:lineRule="auto" w:before="298"/>
        <w:ind w:left="820" w:right="708"/>
      </w:pPr>
      <w:r>
        <w:rPr/>
        <w:pict>
          <v:line style="position:absolute;mso-position-horizontal-relative:page;mso-position-vertical-relative:paragraph;z-index:3112" from="36.360001pt,15.114852pt" to="36.360001pt,247.435852pt" stroked="true" strokeweight=".72pt" strokecolor="#000000">
            <v:stroke dashstyle="solid"/>
            <w10:wrap type="none"/>
          </v:line>
        </w:pict>
      </w:r>
      <w:r>
        <w:rPr>
          <w:color w:val="B5082E"/>
          <w:u w:val="single" w:color="B5082E"/>
        </w:rPr>
        <w:t>Listed below are the types of Plan of Financial Adjustment (PFA) and the approval process:</w:t>
      </w:r>
    </w:p>
    <w:p>
      <w:pPr>
        <w:pStyle w:val="BodyText"/>
        <w:spacing w:before="11"/>
        <w:rPr>
          <w:sz w:val="25"/>
        </w:rPr>
      </w:pPr>
    </w:p>
    <w:p>
      <w:pPr>
        <w:pStyle w:val="Heading1"/>
        <w:spacing w:before="0"/>
        <w:ind w:left="820"/>
      </w:pPr>
      <w:r>
        <w:rPr>
          <w:color w:val="B5082E"/>
          <w:u w:val="thick" w:color="B5082E"/>
        </w:rPr>
        <w:t>General PFA</w:t>
      </w:r>
    </w:p>
    <w:p>
      <w:pPr>
        <w:pStyle w:val="BodyText"/>
        <w:spacing w:line="252" w:lineRule="auto" w:before="16"/>
        <w:ind w:left="1165" w:right="953" w:firstLine="14"/>
        <w:jc w:val="both"/>
      </w:pPr>
      <w:r>
        <w:rPr>
          <w:color w:val="B5082E"/>
          <w:u w:val="single" w:color="B5082E"/>
        </w:rPr>
        <w:t>Government Code (GC) section 11251 authorizes the use of a general PFA. </w:t>
      </w:r>
      <w:r>
        <w:rPr>
          <w:strike/>
          <w:color w:val="B5082E"/>
        </w:rPr>
        <w:t>The following statutes authorize the use of PFAs and require approval by the Director of</w:t>
      </w:r>
    </w:p>
    <w:p>
      <w:pPr>
        <w:pStyle w:val="BodyText"/>
        <w:spacing w:line="252" w:lineRule="auto" w:before="3"/>
        <w:ind w:left="1180" w:right="108"/>
      </w:pPr>
      <w:r>
        <w:rPr>
          <w:strike/>
          <w:color w:val="B5082E"/>
          <w:u w:val="single" w:color="0000FF"/>
        </w:rPr>
        <w:t>Finance </w:t>
      </w:r>
      <w:r>
        <w:rPr>
          <w:strike/>
          <w:color w:val="B5082E"/>
        </w:rPr>
        <w:t>and the </w:t>
      </w:r>
      <w:r>
        <w:rPr>
          <w:strike/>
          <w:color w:val="B5082E"/>
          <w:u w:val="single" w:color="0000FF"/>
        </w:rPr>
        <w:t>SCO</w:t>
      </w:r>
      <w:r>
        <w:rPr>
          <w:strike/>
          <w:color w:val="B5082E"/>
        </w:rPr>
        <w:t>: Government Code section </w:t>
      </w:r>
      <w:r>
        <w:rPr>
          <w:strike/>
          <w:color w:val="B5082E"/>
          <w:u w:val="single" w:color="0000FF"/>
        </w:rPr>
        <w:t>16365</w:t>
      </w:r>
      <w:r>
        <w:rPr>
          <w:strike/>
          <w:color w:val="B5082E"/>
        </w:rPr>
        <w:t>; Education Code section </w:t>
      </w:r>
      <w:r>
        <w:rPr>
          <w:strike/>
          <w:color w:val="B5082E"/>
          <w:u w:val="single" w:color="0000FF"/>
        </w:rPr>
        <w:t>12060</w:t>
      </w:r>
      <w:r>
        <w:rPr>
          <w:strike/>
          <w:color w:val="B5082E"/>
        </w:rPr>
        <w:t>; and the Health and Safety Code section </w:t>
      </w:r>
      <w:r>
        <w:rPr>
          <w:strike/>
          <w:color w:val="B5082E"/>
          <w:u w:val="single" w:color="0000FF"/>
        </w:rPr>
        <w:t>100390</w:t>
      </w:r>
      <w:r>
        <w:rPr>
          <w:strike/>
          <w:color w:val="B5082E"/>
        </w:rPr>
        <w:t>. Government Code section </w:t>
      </w:r>
      <w:r>
        <w:rPr>
          <w:strike/>
          <w:color w:val="B5082E"/>
          <w:u w:val="single" w:color="0000FF"/>
        </w:rPr>
        <w:t>11251 </w:t>
      </w:r>
      <w:r>
        <w:rPr>
          <w:strike/>
          <w:color w:val="B5082E"/>
        </w:rPr>
        <w:t>for general PFA requires only the approval of the SCO, after consultation with Finance. See SAM section 8452.1 for Preparation of Financial Adjustment.</w:t>
      </w:r>
    </w:p>
    <w:p>
      <w:pPr>
        <w:pStyle w:val="BodyText"/>
        <w:spacing w:before="6"/>
        <w:rPr>
          <w:sz w:val="17"/>
        </w:rPr>
      </w:pPr>
    </w:p>
    <w:p>
      <w:pPr>
        <w:pStyle w:val="BodyText"/>
        <w:spacing w:line="249" w:lineRule="auto" w:before="92"/>
        <w:ind w:left="1180" w:right="269"/>
      </w:pPr>
      <w:r>
        <w:rPr>
          <w:strike/>
          <w:color w:val="B5082E"/>
        </w:rPr>
        <w:t>Departments will submit the original proposed PFA to the SCO, Division of Accounting and Reporting. That office will review the proposed plan for proper format and confirm appropriations covered therein. The SCO will provide Finance’s budget analyst with a copy of the proposed plan for review and comment.</w:t>
      </w:r>
    </w:p>
    <w:p>
      <w:pPr>
        <w:pStyle w:val="BodyText"/>
        <w:spacing w:before="8"/>
        <w:rPr>
          <w:sz w:val="17"/>
        </w:rPr>
      </w:pPr>
    </w:p>
    <w:p>
      <w:pPr>
        <w:pStyle w:val="Heading1"/>
        <w:spacing w:before="92"/>
        <w:ind w:left="820"/>
      </w:pPr>
      <w:r>
        <w:rPr/>
        <w:pict>
          <v:line style="position:absolute;mso-position-horizontal-relative:page;mso-position-vertical-relative:paragraph;z-index:3136" from="36.360001pt,4.815856pt" to="36.360001pt,239.295856pt" stroked="true" strokeweight=".72pt" strokecolor="#000000">
            <v:stroke dashstyle="solid"/>
            <w10:wrap type="none"/>
          </v:line>
        </w:pict>
      </w:r>
      <w:r>
        <w:rPr>
          <w:color w:val="B5082E"/>
          <w:u w:val="thick" w:color="B5082E"/>
        </w:rPr>
        <w:t>Federal PFA</w:t>
      </w:r>
    </w:p>
    <w:p>
      <w:pPr>
        <w:pStyle w:val="BodyText"/>
        <w:spacing w:before="16"/>
        <w:ind w:left="1180"/>
      </w:pPr>
      <w:r>
        <w:rPr>
          <w:color w:val="B5082E"/>
          <w:u w:val="single" w:color="B5082E"/>
        </w:rPr>
        <w:t>The following statutes authorize the use of a PFA for these specific funds:</w:t>
      </w:r>
    </w:p>
    <w:p>
      <w:pPr>
        <w:pStyle w:val="ListParagraph"/>
        <w:numPr>
          <w:ilvl w:val="2"/>
          <w:numId w:val="15"/>
        </w:numPr>
        <w:tabs>
          <w:tab w:pos="1899" w:val="left" w:leader="none"/>
          <w:tab w:pos="1900" w:val="left" w:leader="none"/>
        </w:tabs>
        <w:spacing w:line="240" w:lineRule="auto" w:before="17" w:after="0"/>
        <w:ind w:left="1900" w:right="0" w:hanging="360"/>
        <w:jc w:val="left"/>
        <w:rPr>
          <w:sz w:val="24"/>
        </w:rPr>
      </w:pPr>
      <w:r>
        <w:rPr>
          <w:color w:val="B5082E"/>
          <w:sz w:val="24"/>
          <w:u w:val="single" w:color="B5082E"/>
        </w:rPr>
        <w:t>GC section 16365 – Federal Trust</w:t>
      </w:r>
      <w:r>
        <w:rPr>
          <w:color w:val="B5082E"/>
          <w:spacing w:val="-16"/>
          <w:sz w:val="24"/>
          <w:u w:val="single" w:color="B5082E"/>
        </w:rPr>
        <w:t> </w:t>
      </w:r>
      <w:r>
        <w:rPr>
          <w:color w:val="B5082E"/>
          <w:sz w:val="24"/>
          <w:u w:val="single" w:color="B5082E"/>
        </w:rPr>
        <w:t>Fund</w:t>
      </w:r>
    </w:p>
    <w:p>
      <w:pPr>
        <w:pStyle w:val="ListParagraph"/>
        <w:numPr>
          <w:ilvl w:val="2"/>
          <w:numId w:val="15"/>
        </w:numPr>
        <w:tabs>
          <w:tab w:pos="1899" w:val="left" w:leader="none"/>
          <w:tab w:pos="1900" w:val="left" w:leader="none"/>
        </w:tabs>
        <w:spacing w:line="240" w:lineRule="auto" w:before="10" w:after="0"/>
        <w:ind w:left="1900" w:right="0" w:hanging="360"/>
        <w:jc w:val="left"/>
        <w:rPr>
          <w:sz w:val="24"/>
        </w:rPr>
      </w:pPr>
      <w:r>
        <w:rPr>
          <w:color w:val="B5082E"/>
          <w:sz w:val="24"/>
          <w:u w:val="single" w:color="B5082E"/>
        </w:rPr>
        <w:t>Education Code section 12060 – Vocational Education Federal</w:t>
      </w:r>
      <w:r>
        <w:rPr>
          <w:color w:val="B5082E"/>
          <w:spacing w:val="-32"/>
          <w:sz w:val="24"/>
          <w:u w:val="single" w:color="B5082E"/>
        </w:rPr>
        <w:t> </w:t>
      </w:r>
      <w:r>
        <w:rPr>
          <w:color w:val="B5082E"/>
          <w:sz w:val="24"/>
          <w:u w:val="single" w:color="B5082E"/>
        </w:rPr>
        <w:t>Fund</w:t>
      </w:r>
    </w:p>
    <w:p>
      <w:pPr>
        <w:pStyle w:val="ListParagraph"/>
        <w:numPr>
          <w:ilvl w:val="2"/>
          <w:numId w:val="15"/>
        </w:numPr>
        <w:tabs>
          <w:tab w:pos="1899" w:val="left" w:leader="none"/>
          <w:tab w:pos="1900" w:val="left" w:leader="none"/>
        </w:tabs>
        <w:spacing w:line="240" w:lineRule="auto" w:before="7" w:after="0"/>
        <w:ind w:left="1900" w:right="0" w:hanging="360"/>
        <w:jc w:val="left"/>
        <w:rPr>
          <w:sz w:val="24"/>
        </w:rPr>
      </w:pPr>
      <w:r>
        <w:rPr>
          <w:color w:val="B5082E"/>
          <w:sz w:val="24"/>
          <w:u w:val="single" w:color="B5082E"/>
        </w:rPr>
        <w:t>Health and Safety Code section 100390 – Public Health Federal</w:t>
      </w:r>
      <w:r>
        <w:rPr>
          <w:color w:val="B5082E"/>
          <w:spacing w:val="-34"/>
          <w:sz w:val="24"/>
          <w:u w:val="single" w:color="B5082E"/>
        </w:rPr>
        <w:t> </w:t>
      </w:r>
      <w:r>
        <w:rPr>
          <w:color w:val="B5082E"/>
          <w:sz w:val="24"/>
          <w:u w:val="single" w:color="B5082E"/>
        </w:rPr>
        <w:t>Fund</w:t>
      </w:r>
    </w:p>
    <w:p>
      <w:pPr>
        <w:pStyle w:val="BodyText"/>
        <w:spacing w:before="7"/>
        <w:rPr>
          <w:sz w:val="18"/>
        </w:rPr>
      </w:pPr>
    </w:p>
    <w:p>
      <w:pPr>
        <w:pStyle w:val="BodyText"/>
        <w:spacing w:line="249" w:lineRule="auto" w:before="93"/>
        <w:ind w:left="1180" w:right="396" w:hanging="360"/>
      </w:pPr>
      <w:r>
        <w:rPr>
          <w:strike/>
          <w:color w:val="B5082E"/>
        </w:rPr>
        <w:t>1. Proposed PFAs for Federal Trust Fund operations will be submitted directly to Finance's budget analyst for approval. Finance will then forward the Federal Trust Fund PFA to the SCO for final approval and distribution. If the proposed PFA includes both general and Federal Trust Funds, then submit directly to Finance.</w:t>
      </w:r>
    </w:p>
    <w:p>
      <w:pPr>
        <w:pStyle w:val="BodyText"/>
        <w:spacing w:before="1"/>
        <w:ind w:left="820"/>
      </w:pPr>
      <w:r>
        <w:rPr>
          <w:strike/>
          <w:color w:val="B5082E"/>
        </w:rPr>
        <w:t>2. </w:t>
      </w:r>
    </w:p>
    <w:p>
      <w:pPr>
        <w:pStyle w:val="Heading1"/>
        <w:spacing w:line="247" w:lineRule="auto" w:before="11"/>
        <w:ind w:left="1180" w:hanging="360"/>
      </w:pPr>
      <w:r>
        <w:rPr>
          <w:strike/>
          <w:color w:val="B5082E"/>
        </w:rPr>
        <w:t>3. Upon approval, the SCO will return an approved copy of the PFA to the submitting department.</w:t>
      </w:r>
    </w:p>
    <w:p>
      <w:pPr>
        <w:spacing w:before="8"/>
        <w:ind w:left="820" w:right="0" w:firstLine="0"/>
        <w:jc w:val="left"/>
        <w:rPr>
          <w:b/>
          <w:sz w:val="24"/>
        </w:rPr>
      </w:pPr>
      <w:r>
        <w:rPr>
          <w:b/>
          <w:color w:val="B5082E"/>
          <w:sz w:val="24"/>
          <w:u w:val="thick" w:color="B5082E"/>
        </w:rPr>
        <w:t>Combination (General and Federal) PFA</w:t>
      </w:r>
    </w:p>
    <w:p>
      <w:pPr>
        <w:pStyle w:val="BodyText"/>
        <w:spacing w:before="16"/>
        <w:ind w:left="1540"/>
      </w:pPr>
      <w:r>
        <w:rPr>
          <w:color w:val="B5082E"/>
          <w:u w:val="single" w:color="B5082E"/>
        </w:rPr>
        <w:t>Authorizing statutes are provided above.</w:t>
      </w:r>
    </w:p>
    <w:p>
      <w:pPr>
        <w:pStyle w:val="BodyText"/>
        <w:spacing w:before="9"/>
        <w:rPr>
          <w:sz w:val="18"/>
        </w:rPr>
      </w:pPr>
    </w:p>
    <w:p>
      <w:pPr>
        <w:pStyle w:val="Heading1"/>
        <w:spacing w:before="93"/>
        <w:ind w:left="820"/>
      </w:pPr>
      <w:r>
        <w:rPr>
          <w:color w:val="C00000"/>
        </w:rPr>
        <w:t>Approval Process</w:t>
      </w:r>
    </w:p>
    <w:p>
      <w:pPr>
        <w:pStyle w:val="BodyText"/>
        <w:spacing w:line="249" w:lineRule="auto" w:before="17"/>
        <w:ind w:left="815" w:right="269" w:hanging="10"/>
      </w:pPr>
      <w:r>
        <w:rPr/>
        <w:pict>
          <v:line style="position:absolute;mso-position-horizontal-relative:page;mso-position-vertical-relative:paragraph;z-index:3160" from="36.360001pt,1.065861pt" to="36.360001pt,87.825861pt" stroked="true" strokeweight=".72pt" strokecolor="#000000">
            <v:stroke dashstyle="solid"/>
            <w10:wrap type="none"/>
          </v:line>
        </w:pict>
      </w:r>
      <w:r>
        <w:rPr>
          <w:color w:val="B5082E"/>
          <w:u w:val="single" w:color="B5082E"/>
        </w:rPr>
        <w:t>Departments will submit their original proposed PFA to the Finance budget analyst for review and approval. Finance will review the PFA to validate that the appropriation items are consistent with authorized legislation for expenditures (i.e., the Budget Act, special appropriations, and/or department’s legislative authority). If approved, Finance will forward the signed original PFA to SCO for final approval and distribution.</w:t>
      </w:r>
    </w:p>
    <w:p>
      <w:pPr>
        <w:spacing w:after="0" w:line="249" w:lineRule="auto"/>
        <w:sectPr>
          <w:headerReference w:type="default" r:id="rId94"/>
          <w:footerReference w:type="default" r:id="rId95"/>
          <w:pgSz w:w="12240" w:h="15840"/>
          <w:pgMar w:header="0" w:footer="1079" w:top="1080" w:bottom="1260" w:left="620" w:right="1360"/>
        </w:sectPr>
      </w:pPr>
    </w:p>
    <w:p>
      <w:pPr>
        <w:pStyle w:val="BodyText"/>
        <w:spacing w:line="249" w:lineRule="auto" w:before="67"/>
        <w:ind w:left="815" w:right="697" w:hanging="10"/>
      </w:pPr>
      <w:r>
        <w:rPr/>
        <w:pict>
          <v:line style="position:absolute;mso-position-horizontal-relative:page;mso-position-vertical-relative:paragraph;z-index:3184" from="36.360001pt,3.565845pt" to="36.360001pt,105.685845pt" stroked="true" strokeweight=".72pt" strokecolor="#000000">
            <v:stroke dashstyle="solid"/>
            <w10:wrap type="none"/>
          </v:line>
        </w:pict>
      </w:r>
      <w:r>
        <w:rPr>
          <w:color w:val="B5082E"/>
          <w:u w:val="single" w:color="B5082E"/>
        </w:rPr>
        <w:t>For all approved PFAs, the SCO will return an approved copy of the PFA to the submitting department and the Finance budget analyst.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Heading1"/>
        <w:spacing w:before="93"/>
        <w:ind w:left="4848" w:right="3748"/>
        <w:jc w:val="center"/>
      </w:pPr>
      <w:r>
        <w:rPr/>
        <w:pict>
          <v:line style="position:absolute;mso-position-horizontal-relative:page;mso-position-vertical-relative:paragraph;z-index:3208" from="36.360001pt,4.74584pt" to="36.360001pt,19.745840pt" stroked="true" strokeweight=".72pt" strokecolor="#000000">
            <v:stroke dashstyle="solid"/>
            <w10:wrap type="none"/>
          </v:line>
        </w:pict>
      </w:r>
      <w:r>
        <w:rPr>
          <w:strike/>
          <w:color w:val="2E97D3"/>
        </w:rPr>
        <w:t>Rev. 430</w:t>
      </w:r>
    </w:p>
    <w:p>
      <w:pPr>
        <w:spacing w:after="0"/>
        <w:jc w:val="center"/>
        <w:sectPr>
          <w:headerReference w:type="default" r:id="rId96"/>
          <w:footerReference w:type="default" r:id="rId97"/>
          <w:pgSz w:w="12240" w:h="15840"/>
          <w:pgMar w:header="0" w:footer="1079" w:top="1080" w:bottom="1260" w:left="620" w:right="1720"/>
        </w:sectPr>
      </w:pPr>
    </w:p>
    <w:p>
      <w:pPr>
        <w:spacing w:before="75"/>
        <w:ind w:left="2346" w:right="0" w:firstLine="0"/>
        <w:jc w:val="left"/>
        <w:rPr>
          <w:b/>
          <w:sz w:val="24"/>
        </w:rPr>
      </w:pPr>
      <w:bookmarkStart w:name="CHAPTER 8700 INDEX Track Changes" w:id="21"/>
      <w:bookmarkEnd w:id="21"/>
      <w:r>
        <w:rPr/>
      </w:r>
      <w:r>
        <w:rPr>
          <w:b/>
          <w:sz w:val="24"/>
        </w:rPr>
        <w:t>SAM—MISCELLANEOUS ACCOUNTING PROCEDURES</w:t>
      </w:r>
    </w:p>
    <w:p>
      <w:pPr>
        <w:pStyle w:val="BodyText"/>
        <w:rPr>
          <w:b/>
          <w:sz w:val="20"/>
        </w:rPr>
      </w:pPr>
    </w:p>
    <w:p>
      <w:pPr>
        <w:spacing w:before="213"/>
        <w:ind w:left="0" w:right="98" w:firstLine="0"/>
        <w:jc w:val="right"/>
        <w:rPr>
          <w:b/>
          <w:sz w:val="24"/>
        </w:rPr>
      </w:pPr>
      <w:r>
        <w:rPr/>
        <w:pict>
          <v:line style="position:absolute;mso-position-horizontal-relative:page;mso-position-vertical-relative:paragraph;z-index:3232" from="36.360001pt,196.025879pt" to="36.360001pt,219.065879pt" stroked="true" strokeweight=".72pt" strokecolor="#000000">
            <v:stroke dashstyle="solid"/>
            <w10:wrap type="none"/>
          </v:line>
        </w:pict>
      </w:r>
      <w:r>
        <w:rPr>
          <w:b/>
          <w:sz w:val="24"/>
        </w:rPr>
        <w:t>CHAPTER 8700 INDEX</w:t>
      </w:r>
    </w:p>
    <w:p>
      <w:pPr>
        <w:pStyle w:val="BodyText"/>
        <w:spacing w:before="4"/>
        <w:rPr>
          <w:b/>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24"/>
        <w:gridCol w:w="950"/>
      </w:tblGrid>
      <w:tr>
        <w:trPr>
          <w:trHeight w:val="437" w:hRule="exact"/>
        </w:trPr>
        <w:tc>
          <w:tcPr>
            <w:tcW w:w="8424" w:type="dxa"/>
            <w:tcBorders>
              <w:top w:val="nil"/>
              <w:left w:val="nil"/>
            </w:tcBorders>
          </w:tcPr>
          <w:p>
            <w:pPr>
              <w:pStyle w:val="TableParagraph"/>
              <w:spacing w:before="55"/>
              <w:ind w:left="122"/>
              <w:rPr>
                <w:b/>
                <w:sz w:val="24"/>
              </w:rPr>
            </w:pPr>
            <w:r>
              <w:rPr>
                <w:b/>
                <w:sz w:val="24"/>
              </w:rPr>
              <w:t>General</w:t>
            </w:r>
          </w:p>
        </w:tc>
        <w:tc>
          <w:tcPr>
            <w:tcW w:w="950" w:type="dxa"/>
            <w:tcBorders>
              <w:top w:val="nil"/>
              <w:right w:val="nil"/>
            </w:tcBorders>
          </w:tcPr>
          <w:p>
            <w:pPr>
              <w:pStyle w:val="TableParagraph"/>
              <w:spacing w:before="55"/>
              <w:ind w:left="103"/>
              <w:rPr>
                <w:b/>
                <w:sz w:val="24"/>
              </w:rPr>
            </w:pPr>
            <w:r>
              <w:rPr>
                <w:b/>
                <w:sz w:val="24"/>
              </w:rPr>
              <w:t>8700</w:t>
            </w:r>
          </w:p>
        </w:tc>
      </w:tr>
      <w:tr>
        <w:trPr>
          <w:trHeight w:val="442" w:hRule="exact"/>
        </w:trPr>
        <w:tc>
          <w:tcPr>
            <w:tcW w:w="8424" w:type="dxa"/>
            <w:tcBorders>
              <w:left w:val="nil"/>
            </w:tcBorders>
          </w:tcPr>
          <w:p>
            <w:pPr>
              <w:pStyle w:val="TableParagraph"/>
              <w:spacing w:before="55"/>
              <w:ind w:left="122"/>
              <w:rPr>
                <w:b/>
                <w:sz w:val="24"/>
              </w:rPr>
            </w:pPr>
            <w:r>
              <w:rPr>
                <w:b/>
                <w:sz w:val="24"/>
              </w:rPr>
              <w:t>Real Property Acquisition</w:t>
            </w:r>
          </w:p>
        </w:tc>
        <w:tc>
          <w:tcPr>
            <w:tcW w:w="950" w:type="dxa"/>
            <w:tcBorders>
              <w:right w:val="nil"/>
            </w:tcBorders>
          </w:tcPr>
          <w:p>
            <w:pPr>
              <w:pStyle w:val="TableParagraph"/>
              <w:spacing w:before="55"/>
              <w:ind w:left="103"/>
              <w:rPr>
                <w:b/>
                <w:sz w:val="24"/>
              </w:rPr>
            </w:pPr>
            <w:r>
              <w:rPr>
                <w:b/>
                <w:sz w:val="24"/>
              </w:rPr>
              <w:t>8705</w:t>
            </w:r>
          </w:p>
        </w:tc>
      </w:tr>
      <w:tr>
        <w:trPr>
          <w:trHeight w:val="442" w:hRule="exact"/>
        </w:trPr>
        <w:tc>
          <w:tcPr>
            <w:tcW w:w="8424" w:type="dxa"/>
            <w:tcBorders>
              <w:left w:val="nil"/>
            </w:tcBorders>
          </w:tcPr>
          <w:p>
            <w:pPr>
              <w:pStyle w:val="TableParagraph"/>
              <w:spacing w:before="55"/>
              <w:ind w:left="122"/>
              <w:rPr>
                <w:b/>
                <w:sz w:val="24"/>
              </w:rPr>
            </w:pPr>
            <w:r>
              <w:rPr>
                <w:b/>
                <w:sz w:val="24"/>
              </w:rPr>
              <w:t>Department of General Services</w:t>
            </w:r>
          </w:p>
        </w:tc>
        <w:tc>
          <w:tcPr>
            <w:tcW w:w="950" w:type="dxa"/>
            <w:tcBorders>
              <w:right w:val="nil"/>
            </w:tcBorders>
          </w:tcPr>
          <w:p>
            <w:pPr>
              <w:pStyle w:val="TableParagraph"/>
              <w:spacing w:before="55"/>
              <w:ind w:left="103"/>
              <w:rPr>
                <w:b/>
                <w:sz w:val="24"/>
              </w:rPr>
            </w:pPr>
            <w:r>
              <w:rPr>
                <w:b/>
                <w:sz w:val="24"/>
              </w:rPr>
              <w:t>8710</w:t>
            </w:r>
          </w:p>
        </w:tc>
      </w:tr>
      <w:tr>
        <w:trPr>
          <w:trHeight w:val="442" w:hRule="exact"/>
        </w:trPr>
        <w:tc>
          <w:tcPr>
            <w:tcW w:w="8424" w:type="dxa"/>
            <w:tcBorders>
              <w:left w:val="nil"/>
            </w:tcBorders>
          </w:tcPr>
          <w:p>
            <w:pPr>
              <w:pStyle w:val="TableParagraph"/>
              <w:spacing w:before="55"/>
              <w:ind w:left="122"/>
              <w:rPr>
                <w:b/>
                <w:sz w:val="24"/>
              </w:rPr>
            </w:pPr>
            <w:r>
              <w:rPr>
                <w:b/>
                <w:sz w:val="24"/>
              </w:rPr>
              <w:t>Record Credit Card</w:t>
            </w:r>
          </w:p>
        </w:tc>
        <w:tc>
          <w:tcPr>
            <w:tcW w:w="950" w:type="dxa"/>
            <w:tcBorders>
              <w:right w:val="nil"/>
            </w:tcBorders>
          </w:tcPr>
          <w:p>
            <w:pPr>
              <w:pStyle w:val="TableParagraph"/>
              <w:spacing w:before="55"/>
              <w:ind w:left="103"/>
              <w:rPr>
                <w:b/>
                <w:sz w:val="24"/>
              </w:rPr>
            </w:pPr>
            <w:r>
              <w:rPr>
                <w:b/>
                <w:sz w:val="24"/>
              </w:rPr>
              <w:t>8711.1</w:t>
            </w:r>
          </w:p>
        </w:tc>
      </w:tr>
      <w:tr>
        <w:trPr>
          <w:trHeight w:val="444" w:hRule="exact"/>
        </w:trPr>
        <w:tc>
          <w:tcPr>
            <w:tcW w:w="8424" w:type="dxa"/>
            <w:tcBorders>
              <w:left w:val="nil"/>
            </w:tcBorders>
          </w:tcPr>
          <w:p>
            <w:pPr>
              <w:pStyle w:val="TableParagraph"/>
              <w:spacing w:before="58"/>
              <w:ind w:left="122"/>
              <w:rPr>
                <w:b/>
                <w:sz w:val="24"/>
              </w:rPr>
            </w:pPr>
            <w:r>
              <w:rPr>
                <w:b/>
                <w:sz w:val="24"/>
              </w:rPr>
              <w:t>Billing Requirements</w:t>
            </w:r>
          </w:p>
        </w:tc>
        <w:tc>
          <w:tcPr>
            <w:tcW w:w="950" w:type="dxa"/>
            <w:tcBorders>
              <w:right w:val="nil"/>
            </w:tcBorders>
          </w:tcPr>
          <w:p>
            <w:pPr>
              <w:pStyle w:val="TableParagraph"/>
              <w:spacing w:before="58"/>
              <w:ind w:left="103"/>
              <w:rPr>
                <w:b/>
                <w:sz w:val="24"/>
              </w:rPr>
            </w:pPr>
            <w:r>
              <w:rPr>
                <w:b/>
                <w:sz w:val="24"/>
              </w:rPr>
              <w:t>8711.2</w:t>
            </w:r>
          </w:p>
        </w:tc>
      </w:tr>
      <w:tr>
        <w:trPr>
          <w:trHeight w:val="442" w:hRule="exact"/>
        </w:trPr>
        <w:tc>
          <w:tcPr>
            <w:tcW w:w="8424" w:type="dxa"/>
            <w:tcBorders>
              <w:left w:val="nil"/>
            </w:tcBorders>
          </w:tcPr>
          <w:p>
            <w:pPr>
              <w:pStyle w:val="TableParagraph"/>
              <w:spacing w:before="55"/>
              <w:ind w:left="122"/>
              <w:rPr>
                <w:b/>
                <w:sz w:val="24"/>
              </w:rPr>
            </w:pPr>
            <w:r>
              <w:rPr>
                <w:b/>
                <w:sz w:val="24"/>
              </w:rPr>
              <w:t>Verification Of Transportation Invoices</w:t>
            </w:r>
          </w:p>
        </w:tc>
        <w:tc>
          <w:tcPr>
            <w:tcW w:w="950" w:type="dxa"/>
            <w:tcBorders>
              <w:right w:val="nil"/>
            </w:tcBorders>
          </w:tcPr>
          <w:p>
            <w:pPr>
              <w:pStyle w:val="TableParagraph"/>
              <w:spacing w:before="55"/>
              <w:ind w:left="103"/>
              <w:rPr>
                <w:b/>
                <w:sz w:val="24"/>
              </w:rPr>
            </w:pPr>
            <w:r>
              <w:rPr>
                <w:b/>
                <w:sz w:val="24"/>
              </w:rPr>
              <w:t>8711.3</w:t>
            </w:r>
          </w:p>
        </w:tc>
      </w:tr>
      <w:tr>
        <w:trPr>
          <w:trHeight w:val="442" w:hRule="exact"/>
        </w:trPr>
        <w:tc>
          <w:tcPr>
            <w:tcW w:w="8424" w:type="dxa"/>
            <w:tcBorders>
              <w:left w:val="nil"/>
            </w:tcBorders>
          </w:tcPr>
          <w:p>
            <w:pPr>
              <w:pStyle w:val="TableParagraph"/>
              <w:spacing w:before="55"/>
              <w:ind w:left="122"/>
              <w:rPr>
                <w:b/>
                <w:sz w:val="24"/>
              </w:rPr>
            </w:pPr>
            <w:r>
              <w:rPr>
                <w:b/>
                <w:sz w:val="24"/>
              </w:rPr>
              <w:t>Tort Liability Payment Procedure</w:t>
            </w:r>
          </w:p>
        </w:tc>
        <w:tc>
          <w:tcPr>
            <w:tcW w:w="950" w:type="dxa"/>
            <w:tcBorders>
              <w:right w:val="nil"/>
            </w:tcBorders>
          </w:tcPr>
          <w:p>
            <w:pPr>
              <w:pStyle w:val="TableParagraph"/>
              <w:spacing w:before="55"/>
              <w:ind w:left="103"/>
              <w:rPr>
                <w:b/>
                <w:sz w:val="24"/>
              </w:rPr>
            </w:pPr>
            <w:r>
              <w:rPr>
                <w:b/>
                <w:sz w:val="24"/>
              </w:rPr>
              <w:t>8712</w:t>
            </w:r>
          </w:p>
        </w:tc>
      </w:tr>
      <w:tr>
        <w:trPr>
          <w:trHeight w:val="442" w:hRule="exact"/>
        </w:trPr>
        <w:tc>
          <w:tcPr>
            <w:tcW w:w="8424" w:type="dxa"/>
            <w:tcBorders>
              <w:left w:val="nil"/>
            </w:tcBorders>
          </w:tcPr>
          <w:p>
            <w:pPr>
              <w:pStyle w:val="TableParagraph"/>
              <w:spacing w:before="55"/>
              <w:ind w:left="122"/>
              <w:rPr>
                <w:b/>
                <w:sz w:val="24"/>
              </w:rPr>
            </w:pPr>
            <w:r>
              <w:rPr>
                <w:b/>
                <w:strike/>
                <w:color w:val="2E97D3"/>
                <w:sz w:val="24"/>
              </w:rPr>
              <w:t>Plans Of Financial Adjustment</w:t>
            </w:r>
          </w:p>
        </w:tc>
        <w:tc>
          <w:tcPr>
            <w:tcW w:w="950" w:type="dxa"/>
            <w:tcBorders>
              <w:right w:val="nil"/>
            </w:tcBorders>
          </w:tcPr>
          <w:p>
            <w:pPr>
              <w:pStyle w:val="TableParagraph"/>
              <w:spacing w:before="55"/>
              <w:ind w:left="103"/>
              <w:rPr>
                <w:b/>
                <w:sz w:val="24"/>
              </w:rPr>
            </w:pPr>
            <w:r>
              <w:rPr>
                <w:b/>
                <w:strike/>
                <w:color w:val="2E97D3"/>
                <w:sz w:val="24"/>
              </w:rPr>
              <w:t>8715</w:t>
            </w:r>
          </w:p>
        </w:tc>
      </w:tr>
      <w:tr>
        <w:trPr>
          <w:trHeight w:val="442" w:hRule="exact"/>
        </w:trPr>
        <w:tc>
          <w:tcPr>
            <w:tcW w:w="8424" w:type="dxa"/>
            <w:tcBorders>
              <w:left w:val="nil"/>
            </w:tcBorders>
          </w:tcPr>
          <w:p>
            <w:pPr>
              <w:pStyle w:val="TableParagraph"/>
              <w:spacing w:before="55"/>
              <w:ind w:left="122"/>
              <w:rPr>
                <w:b/>
                <w:sz w:val="24"/>
              </w:rPr>
            </w:pPr>
            <w:r>
              <w:rPr>
                <w:b/>
                <w:sz w:val="24"/>
              </w:rPr>
              <w:t>Sales Tax</w:t>
            </w:r>
          </w:p>
        </w:tc>
        <w:tc>
          <w:tcPr>
            <w:tcW w:w="950" w:type="dxa"/>
            <w:tcBorders>
              <w:right w:val="nil"/>
            </w:tcBorders>
          </w:tcPr>
          <w:p>
            <w:pPr>
              <w:pStyle w:val="TableParagraph"/>
              <w:spacing w:before="55"/>
              <w:ind w:left="103"/>
              <w:rPr>
                <w:b/>
                <w:sz w:val="24"/>
              </w:rPr>
            </w:pPr>
            <w:r>
              <w:rPr>
                <w:b/>
                <w:sz w:val="24"/>
              </w:rPr>
              <w:t>8720</w:t>
            </w:r>
          </w:p>
        </w:tc>
      </w:tr>
      <w:tr>
        <w:trPr>
          <w:trHeight w:val="442" w:hRule="exact"/>
        </w:trPr>
        <w:tc>
          <w:tcPr>
            <w:tcW w:w="8424" w:type="dxa"/>
            <w:tcBorders>
              <w:left w:val="nil"/>
            </w:tcBorders>
          </w:tcPr>
          <w:p>
            <w:pPr>
              <w:pStyle w:val="TableParagraph"/>
              <w:spacing w:before="55"/>
              <w:ind w:left="122"/>
              <w:rPr>
                <w:b/>
                <w:sz w:val="24"/>
              </w:rPr>
            </w:pPr>
            <w:r>
              <w:rPr>
                <w:b/>
                <w:sz w:val="24"/>
              </w:rPr>
              <w:t>Seller’s Permit</w:t>
            </w:r>
          </w:p>
        </w:tc>
        <w:tc>
          <w:tcPr>
            <w:tcW w:w="950" w:type="dxa"/>
            <w:tcBorders>
              <w:right w:val="nil"/>
            </w:tcBorders>
          </w:tcPr>
          <w:p>
            <w:pPr>
              <w:pStyle w:val="TableParagraph"/>
              <w:spacing w:before="55"/>
              <w:ind w:left="103"/>
              <w:rPr>
                <w:b/>
                <w:sz w:val="24"/>
              </w:rPr>
            </w:pPr>
            <w:r>
              <w:rPr>
                <w:b/>
                <w:sz w:val="24"/>
              </w:rPr>
              <w:t>8721</w:t>
            </w:r>
          </w:p>
        </w:tc>
      </w:tr>
      <w:tr>
        <w:trPr>
          <w:trHeight w:val="444" w:hRule="exact"/>
        </w:trPr>
        <w:tc>
          <w:tcPr>
            <w:tcW w:w="8424" w:type="dxa"/>
            <w:tcBorders>
              <w:left w:val="nil"/>
            </w:tcBorders>
          </w:tcPr>
          <w:p>
            <w:pPr>
              <w:pStyle w:val="TableParagraph"/>
              <w:spacing w:before="58"/>
              <w:ind w:left="122"/>
              <w:rPr>
                <w:b/>
                <w:sz w:val="24"/>
              </w:rPr>
            </w:pPr>
            <w:r>
              <w:rPr>
                <w:b/>
                <w:sz w:val="24"/>
              </w:rPr>
              <w:t>Non-Taxable Sales</w:t>
            </w:r>
          </w:p>
        </w:tc>
        <w:tc>
          <w:tcPr>
            <w:tcW w:w="950" w:type="dxa"/>
            <w:tcBorders>
              <w:right w:val="nil"/>
            </w:tcBorders>
          </w:tcPr>
          <w:p>
            <w:pPr>
              <w:pStyle w:val="TableParagraph"/>
              <w:spacing w:before="58"/>
              <w:ind w:left="103"/>
              <w:rPr>
                <w:b/>
                <w:sz w:val="24"/>
              </w:rPr>
            </w:pPr>
            <w:r>
              <w:rPr>
                <w:b/>
                <w:sz w:val="24"/>
              </w:rPr>
              <w:t>8722</w:t>
            </w:r>
          </w:p>
        </w:tc>
      </w:tr>
      <w:tr>
        <w:trPr>
          <w:trHeight w:val="442" w:hRule="exact"/>
        </w:trPr>
        <w:tc>
          <w:tcPr>
            <w:tcW w:w="8424" w:type="dxa"/>
            <w:tcBorders>
              <w:left w:val="nil"/>
            </w:tcBorders>
          </w:tcPr>
          <w:p>
            <w:pPr>
              <w:pStyle w:val="TableParagraph"/>
              <w:spacing w:before="55"/>
              <w:ind w:left="122"/>
              <w:rPr>
                <w:b/>
                <w:sz w:val="24"/>
              </w:rPr>
            </w:pPr>
            <w:r>
              <w:rPr>
                <w:b/>
                <w:sz w:val="24"/>
              </w:rPr>
              <w:t>Accounting For Sales Tax</w:t>
            </w:r>
          </w:p>
        </w:tc>
        <w:tc>
          <w:tcPr>
            <w:tcW w:w="950" w:type="dxa"/>
            <w:tcBorders>
              <w:right w:val="nil"/>
            </w:tcBorders>
          </w:tcPr>
          <w:p>
            <w:pPr>
              <w:pStyle w:val="TableParagraph"/>
              <w:spacing w:before="55"/>
              <w:ind w:left="103"/>
              <w:rPr>
                <w:b/>
                <w:sz w:val="24"/>
              </w:rPr>
            </w:pPr>
            <w:r>
              <w:rPr>
                <w:b/>
                <w:sz w:val="24"/>
              </w:rPr>
              <w:t>8725</w:t>
            </w:r>
          </w:p>
        </w:tc>
      </w:tr>
      <w:tr>
        <w:trPr>
          <w:trHeight w:val="442" w:hRule="exact"/>
        </w:trPr>
        <w:tc>
          <w:tcPr>
            <w:tcW w:w="8424" w:type="dxa"/>
            <w:tcBorders>
              <w:left w:val="nil"/>
            </w:tcBorders>
          </w:tcPr>
          <w:p>
            <w:pPr>
              <w:pStyle w:val="TableParagraph"/>
              <w:spacing w:before="55"/>
              <w:ind w:left="122"/>
              <w:rPr>
                <w:b/>
                <w:sz w:val="24"/>
              </w:rPr>
            </w:pPr>
            <w:r>
              <w:rPr>
                <w:b/>
                <w:sz w:val="24"/>
              </w:rPr>
              <w:t>Use Tax</w:t>
            </w:r>
          </w:p>
        </w:tc>
        <w:tc>
          <w:tcPr>
            <w:tcW w:w="950" w:type="dxa"/>
            <w:tcBorders>
              <w:right w:val="nil"/>
            </w:tcBorders>
          </w:tcPr>
          <w:p>
            <w:pPr>
              <w:pStyle w:val="TableParagraph"/>
              <w:spacing w:before="55"/>
              <w:ind w:left="103"/>
              <w:rPr>
                <w:b/>
                <w:sz w:val="24"/>
              </w:rPr>
            </w:pPr>
            <w:r>
              <w:rPr>
                <w:b/>
                <w:sz w:val="24"/>
              </w:rPr>
              <w:t>8730</w:t>
            </w:r>
          </w:p>
        </w:tc>
      </w:tr>
      <w:tr>
        <w:trPr>
          <w:trHeight w:val="442" w:hRule="exact"/>
        </w:trPr>
        <w:tc>
          <w:tcPr>
            <w:tcW w:w="8424" w:type="dxa"/>
            <w:tcBorders>
              <w:left w:val="nil"/>
            </w:tcBorders>
          </w:tcPr>
          <w:p>
            <w:pPr>
              <w:pStyle w:val="TableParagraph"/>
              <w:spacing w:before="55"/>
              <w:ind w:left="122"/>
              <w:rPr>
                <w:b/>
                <w:sz w:val="24"/>
              </w:rPr>
            </w:pPr>
            <w:r>
              <w:rPr>
                <w:b/>
                <w:sz w:val="24"/>
              </w:rPr>
              <w:t>Recording Data Used To Determine Consumer’s Use Tax</w:t>
            </w:r>
          </w:p>
        </w:tc>
        <w:tc>
          <w:tcPr>
            <w:tcW w:w="950" w:type="dxa"/>
            <w:tcBorders>
              <w:right w:val="nil"/>
            </w:tcBorders>
          </w:tcPr>
          <w:p>
            <w:pPr>
              <w:pStyle w:val="TableParagraph"/>
              <w:spacing w:before="55"/>
              <w:ind w:left="103"/>
              <w:rPr>
                <w:b/>
                <w:sz w:val="24"/>
              </w:rPr>
            </w:pPr>
            <w:r>
              <w:rPr>
                <w:b/>
                <w:sz w:val="24"/>
              </w:rPr>
              <w:t>8731</w:t>
            </w:r>
          </w:p>
        </w:tc>
      </w:tr>
      <w:tr>
        <w:trPr>
          <w:trHeight w:val="442" w:hRule="exact"/>
        </w:trPr>
        <w:tc>
          <w:tcPr>
            <w:tcW w:w="8424" w:type="dxa"/>
            <w:tcBorders>
              <w:left w:val="nil"/>
            </w:tcBorders>
          </w:tcPr>
          <w:p>
            <w:pPr>
              <w:pStyle w:val="TableParagraph"/>
              <w:spacing w:before="55"/>
              <w:ind w:left="122"/>
              <w:rPr>
                <w:b/>
                <w:sz w:val="24"/>
              </w:rPr>
            </w:pPr>
            <w:r>
              <w:rPr>
                <w:b/>
                <w:sz w:val="24"/>
              </w:rPr>
              <w:t>Payment Of Consumer Use Tax</w:t>
            </w:r>
          </w:p>
        </w:tc>
        <w:tc>
          <w:tcPr>
            <w:tcW w:w="950" w:type="dxa"/>
            <w:tcBorders>
              <w:right w:val="nil"/>
            </w:tcBorders>
          </w:tcPr>
          <w:p>
            <w:pPr>
              <w:pStyle w:val="TableParagraph"/>
              <w:spacing w:before="55"/>
              <w:ind w:left="103"/>
              <w:rPr>
                <w:b/>
                <w:sz w:val="24"/>
              </w:rPr>
            </w:pPr>
            <w:r>
              <w:rPr>
                <w:b/>
                <w:sz w:val="24"/>
              </w:rPr>
              <w:t>8732</w:t>
            </w:r>
          </w:p>
        </w:tc>
      </w:tr>
      <w:tr>
        <w:trPr>
          <w:trHeight w:val="442" w:hRule="exact"/>
        </w:trPr>
        <w:tc>
          <w:tcPr>
            <w:tcW w:w="8424" w:type="dxa"/>
            <w:tcBorders>
              <w:left w:val="nil"/>
            </w:tcBorders>
          </w:tcPr>
          <w:p>
            <w:pPr>
              <w:pStyle w:val="TableParagraph"/>
              <w:spacing w:before="55"/>
              <w:ind w:left="122"/>
              <w:rPr>
                <w:b/>
                <w:sz w:val="24"/>
              </w:rPr>
            </w:pPr>
            <w:r>
              <w:rPr>
                <w:b/>
                <w:sz w:val="24"/>
              </w:rPr>
              <w:t>Accounting For Use Tax</w:t>
            </w:r>
          </w:p>
        </w:tc>
        <w:tc>
          <w:tcPr>
            <w:tcW w:w="950" w:type="dxa"/>
            <w:tcBorders>
              <w:right w:val="nil"/>
            </w:tcBorders>
          </w:tcPr>
          <w:p>
            <w:pPr>
              <w:pStyle w:val="TableParagraph"/>
              <w:spacing w:before="55"/>
              <w:ind w:left="103"/>
              <w:rPr>
                <w:b/>
                <w:sz w:val="24"/>
              </w:rPr>
            </w:pPr>
            <w:r>
              <w:rPr>
                <w:b/>
                <w:sz w:val="24"/>
              </w:rPr>
              <w:t>8733</w:t>
            </w:r>
          </w:p>
        </w:tc>
      </w:tr>
      <w:tr>
        <w:trPr>
          <w:trHeight w:val="646" w:hRule="exact"/>
        </w:trPr>
        <w:tc>
          <w:tcPr>
            <w:tcW w:w="8424" w:type="dxa"/>
            <w:tcBorders>
              <w:left w:val="nil"/>
            </w:tcBorders>
          </w:tcPr>
          <w:p>
            <w:pPr>
              <w:pStyle w:val="TableParagraph"/>
              <w:spacing w:line="276" w:lineRule="auto"/>
              <w:ind w:left="122" w:right="235"/>
              <w:rPr>
                <w:b/>
                <w:sz w:val="24"/>
              </w:rPr>
            </w:pPr>
            <w:r>
              <w:rPr>
                <w:b/>
                <w:sz w:val="24"/>
              </w:rPr>
              <w:t>Application Of State-Administered Uniform Local Sales Taxes To State Agency Sales</w:t>
            </w:r>
          </w:p>
        </w:tc>
        <w:tc>
          <w:tcPr>
            <w:tcW w:w="950" w:type="dxa"/>
            <w:tcBorders>
              <w:right w:val="nil"/>
            </w:tcBorders>
          </w:tcPr>
          <w:p>
            <w:pPr>
              <w:pStyle w:val="TableParagraph"/>
              <w:spacing w:before="159"/>
              <w:ind w:left="103"/>
              <w:rPr>
                <w:b/>
                <w:sz w:val="24"/>
              </w:rPr>
            </w:pPr>
            <w:r>
              <w:rPr>
                <w:b/>
                <w:sz w:val="24"/>
              </w:rPr>
              <w:t>8734.1</w:t>
            </w:r>
          </w:p>
        </w:tc>
      </w:tr>
      <w:tr>
        <w:trPr>
          <w:trHeight w:val="442" w:hRule="exact"/>
        </w:trPr>
        <w:tc>
          <w:tcPr>
            <w:tcW w:w="8424" w:type="dxa"/>
            <w:tcBorders>
              <w:left w:val="nil"/>
            </w:tcBorders>
          </w:tcPr>
          <w:p>
            <w:pPr>
              <w:pStyle w:val="TableParagraph"/>
              <w:spacing w:before="55"/>
              <w:ind w:left="122"/>
              <w:rPr>
                <w:b/>
                <w:sz w:val="24"/>
              </w:rPr>
            </w:pPr>
            <w:r>
              <w:rPr>
                <w:b/>
                <w:sz w:val="24"/>
              </w:rPr>
              <w:t>Application Of State-Administered Uniform Local Use Taxes</w:t>
            </w:r>
          </w:p>
        </w:tc>
        <w:tc>
          <w:tcPr>
            <w:tcW w:w="950" w:type="dxa"/>
            <w:tcBorders>
              <w:right w:val="nil"/>
            </w:tcBorders>
          </w:tcPr>
          <w:p>
            <w:pPr>
              <w:pStyle w:val="TableParagraph"/>
              <w:spacing w:before="55"/>
              <w:ind w:left="103"/>
              <w:rPr>
                <w:b/>
                <w:sz w:val="24"/>
              </w:rPr>
            </w:pPr>
            <w:r>
              <w:rPr>
                <w:b/>
                <w:sz w:val="24"/>
              </w:rPr>
              <w:t>8734.3</w:t>
            </w:r>
          </w:p>
        </w:tc>
      </w:tr>
      <w:tr>
        <w:trPr>
          <w:trHeight w:val="646" w:hRule="exact"/>
        </w:trPr>
        <w:tc>
          <w:tcPr>
            <w:tcW w:w="8424" w:type="dxa"/>
            <w:tcBorders>
              <w:left w:val="nil"/>
            </w:tcBorders>
          </w:tcPr>
          <w:p>
            <w:pPr>
              <w:pStyle w:val="TableParagraph"/>
              <w:spacing w:line="278" w:lineRule="auto"/>
              <w:ind w:left="122" w:right="583"/>
              <w:rPr>
                <w:b/>
                <w:sz w:val="24"/>
              </w:rPr>
            </w:pPr>
            <w:r>
              <w:rPr>
                <w:b/>
                <w:sz w:val="24"/>
              </w:rPr>
              <w:t>Accounting And Reporting State-Administered Uniform Local Sales And Use Taxes</w:t>
            </w:r>
          </w:p>
        </w:tc>
        <w:tc>
          <w:tcPr>
            <w:tcW w:w="950" w:type="dxa"/>
            <w:tcBorders>
              <w:right w:val="nil"/>
            </w:tcBorders>
          </w:tcPr>
          <w:p>
            <w:pPr>
              <w:pStyle w:val="TableParagraph"/>
              <w:spacing w:before="159"/>
              <w:ind w:left="103"/>
              <w:rPr>
                <w:b/>
                <w:sz w:val="24"/>
              </w:rPr>
            </w:pPr>
            <w:r>
              <w:rPr>
                <w:b/>
                <w:sz w:val="24"/>
              </w:rPr>
              <w:t>8734.5</w:t>
            </w:r>
          </w:p>
        </w:tc>
      </w:tr>
      <w:tr>
        <w:trPr>
          <w:trHeight w:val="442" w:hRule="exact"/>
        </w:trPr>
        <w:tc>
          <w:tcPr>
            <w:tcW w:w="8424" w:type="dxa"/>
            <w:tcBorders>
              <w:left w:val="nil"/>
            </w:tcBorders>
          </w:tcPr>
          <w:p>
            <w:pPr>
              <w:pStyle w:val="TableParagraph"/>
              <w:spacing w:before="55"/>
              <w:ind w:left="122"/>
              <w:rPr>
                <w:b/>
                <w:sz w:val="24"/>
              </w:rPr>
            </w:pPr>
            <w:r>
              <w:rPr>
                <w:b/>
                <w:sz w:val="24"/>
              </w:rPr>
              <w:t>State-Administered District Transactions (Sales) And Use Taxes</w:t>
            </w:r>
          </w:p>
        </w:tc>
        <w:tc>
          <w:tcPr>
            <w:tcW w:w="950" w:type="dxa"/>
            <w:tcBorders>
              <w:right w:val="nil"/>
            </w:tcBorders>
          </w:tcPr>
          <w:p>
            <w:pPr>
              <w:pStyle w:val="TableParagraph"/>
              <w:spacing w:before="55"/>
              <w:ind w:left="103"/>
              <w:rPr>
                <w:b/>
                <w:sz w:val="24"/>
              </w:rPr>
            </w:pPr>
            <w:r>
              <w:rPr>
                <w:b/>
                <w:sz w:val="24"/>
              </w:rPr>
              <w:t>8735</w:t>
            </w:r>
          </w:p>
        </w:tc>
      </w:tr>
      <w:tr>
        <w:trPr>
          <w:trHeight w:val="646" w:hRule="exact"/>
        </w:trPr>
        <w:tc>
          <w:tcPr>
            <w:tcW w:w="8424" w:type="dxa"/>
            <w:tcBorders>
              <w:left w:val="nil"/>
            </w:tcBorders>
          </w:tcPr>
          <w:p>
            <w:pPr>
              <w:pStyle w:val="TableParagraph"/>
              <w:spacing w:line="278" w:lineRule="auto"/>
              <w:ind w:left="122" w:right="222"/>
              <w:rPr>
                <w:b/>
                <w:sz w:val="24"/>
              </w:rPr>
            </w:pPr>
            <w:r>
              <w:rPr>
                <w:b/>
                <w:sz w:val="24"/>
              </w:rPr>
              <w:t>Application Of State-Administered District Transactions (Sales) Tax To State Agency</w:t>
            </w:r>
          </w:p>
        </w:tc>
        <w:tc>
          <w:tcPr>
            <w:tcW w:w="950" w:type="dxa"/>
            <w:tcBorders>
              <w:right w:val="nil"/>
            </w:tcBorders>
          </w:tcPr>
          <w:p>
            <w:pPr>
              <w:pStyle w:val="TableParagraph"/>
              <w:spacing w:before="156"/>
              <w:ind w:left="103"/>
              <w:rPr>
                <w:b/>
                <w:sz w:val="24"/>
              </w:rPr>
            </w:pPr>
            <w:r>
              <w:rPr>
                <w:b/>
                <w:sz w:val="24"/>
              </w:rPr>
              <w:t>8735.1</w:t>
            </w:r>
          </w:p>
        </w:tc>
      </w:tr>
    </w:tbl>
    <w:p>
      <w:pPr>
        <w:pStyle w:val="BodyText"/>
        <w:spacing w:before="226"/>
        <w:ind w:left="820"/>
      </w:pPr>
      <w:r>
        <w:rPr/>
        <w:t>(Continued)</w:t>
      </w:r>
    </w:p>
    <w:sectPr>
      <w:headerReference w:type="default" r:id="rId98"/>
      <w:footerReference w:type="default" r:id="rId99"/>
      <w:pgSz w:w="12240" w:h="15840"/>
      <w:pgMar w:header="0" w:footer="792" w:top="640" w:bottom="980" w:left="62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ymbol">
    <w:altName w:val="Symbol"/>
    <w:charset w:val="2"/>
    <w:family w:val="roman"/>
    <w:pitch w:val="variable"/>
  </w:font>
  <w:font w:name="Calibri">
    <w:altName w:val="Calibri"/>
    <w:charset w:val="0"/>
    <w:family w:val="swiss"/>
    <w:pitch w:val="variable"/>
  </w:font>
  <w:font w:name="Segoe UI Symbol">
    <w:altName w:val="Segoe UI Symbo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00226pt;margin-top:738.650024pt;width:47.4pt;height:24.1pt;mso-position-horizontal-relative:page;mso-position-vertical-relative:page;z-index:-50032" type="#_x0000_t202" filled="false" stroked="false">
          <v:textbox inset="0,0,0,0">
            <w:txbxContent>
              <w:p>
                <w:pPr>
                  <w:spacing w:line="222" w:lineRule="exact" w:before="0"/>
                  <w:ind w:left="2" w:right="0" w:firstLine="0"/>
                  <w:jc w:val="center"/>
                  <w:rPr>
                    <w:rFonts w:ascii="Calibri"/>
                    <w:b/>
                    <w:sz w:val="20"/>
                  </w:rPr>
                </w:pPr>
                <w:r>
                  <w:rPr>
                    <w:rFonts w:ascii="Calibri"/>
                    <w:b/>
                    <w:sz w:val="20"/>
                  </w:rPr>
                  <w:t>Rev. 439</w:t>
                </w:r>
              </w:p>
              <w:p>
                <w:pPr>
                  <w:spacing w:line="243" w:lineRule="exact" w:before="0"/>
                  <w:ind w:left="0" w:right="0" w:firstLine="0"/>
                  <w:jc w:val="center"/>
                  <w:rPr>
                    <w:rFonts w:ascii="Calibri"/>
                    <w:b/>
                    <w:sz w:val="20"/>
                  </w:rPr>
                </w:pPr>
                <w:r>
                  <w:rPr>
                    <w:rFonts w:ascii="Calibri"/>
                    <w:b/>
                    <w:sz w:val="20"/>
                  </w:rPr>
                  <w:t>Page </w:t>
                </w:r>
                <w:r>
                  <w:rPr/>
                  <w:fldChar w:fldCharType="begin"/>
                </w:r>
                <w:r>
                  <w:rPr>
                    <w:rFonts w:ascii="Calibri"/>
                    <w:b/>
                    <w:sz w:val="20"/>
                  </w:rPr>
                  <w:instrText> PAGE </w:instrText>
                </w:r>
                <w:r>
                  <w:rPr/>
                  <w:fldChar w:fldCharType="separate"/>
                </w:r>
                <w:r>
                  <w:rPr/>
                  <w:t>1</w:t>
                </w:r>
                <w:r>
                  <w:rPr/>
                  <w:fldChar w:fldCharType="end"/>
                </w:r>
                <w:r>
                  <w:rPr>
                    <w:rFonts w:ascii="Calibri"/>
                    <w:b/>
                    <w:sz w:val="20"/>
                  </w:rPr>
                  <w:t> of 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480" from="36.360001pt,741.119995pt" to="36.360001pt,755.999995pt" stroked="true" strokeweight=".72pt" strokecolor="#000000">
          <v:stroke dashstyle="solid"/>
          <w10:wrap type="none"/>
        </v:line>
      </w:pict>
    </w:r>
    <w:r>
      <w:rPr/>
      <w:pict>
        <v:shape style="position:absolute;margin-left:287.839996pt;margin-top:740.416748pt;width:50.75pt;height:15.45pt;mso-position-horizontal-relative:page;mso-position-vertical-relative:page;z-index:-49456" type="#_x0000_t202" filled="false" stroked="false">
          <v:textbox inset="0,0,0,0">
            <w:txbxContent>
              <w:p>
                <w:pPr>
                  <w:spacing w:before="12"/>
                  <w:ind w:left="20" w:right="0" w:firstLine="0"/>
                  <w:jc w:val="left"/>
                  <w:rPr>
                    <w:b/>
                    <w:sz w:val="24"/>
                  </w:rPr>
                </w:pPr>
                <w:r>
                  <w:rPr>
                    <w:b/>
                    <w:color w:val="2E97D3"/>
                    <w:sz w:val="24"/>
                    <w:u w:val="thick" w:color="2E97D3"/>
                  </w:rPr>
                  <w:t>Rev. 430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839996pt;margin-top:740.416748pt;width:50.75pt;height:15.45pt;mso-position-horizontal-relative:page;mso-position-vertical-relative:page;z-index:-49432" type="#_x0000_t202" filled="false" stroked="false">
          <v:textbox inset="0,0,0,0">
            <w:txbxContent>
              <w:p>
                <w:pPr>
                  <w:spacing w:before="12"/>
                  <w:ind w:left="20" w:right="0" w:firstLine="0"/>
                  <w:jc w:val="left"/>
                  <w:rPr>
                    <w:b/>
                    <w:sz w:val="24"/>
                  </w:rPr>
                </w:pPr>
                <w:r>
                  <w:rPr>
                    <w:b/>
                    <w:color w:val="2E97D3"/>
                    <w:sz w:val="24"/>
                    <w:u w:val="thick" w:color="2E97D3"/>
                  </w:rPr>
                  <w:t>Rev. 430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408" from="36.360001pt,741.119995pt" to="36.360001pt,755.999995pt" stroked="true" strokeweight=".72pt" strokecolor="#000000">
          <v:stroke dashstyle="solid"/>
          <w10:wrap type="none"/>
        </v:line>
      </w:pict>
    </w:r>
    <w:r>
      <w:rPr/>
      <w:pict>
        <v:shape style="position:absolute;margin-left:287.839996pt;margin-top:740.416748pt;width:50.75pt;height:15.45pt;mso-position-horizontal-relative:page;mso-position-vertical-relative:page;z-index:-49384" type="#_x0000_t202" filled="false" stroked="false">
          <v:textbox inset="0,0,0,0">
            <w:txbxContent>
              <w:p>
                <w:pPr>
                  <w:spacing w:before="12"/>
                  <w:ind w:left="20" w:right="0" w:firstLine="0"/>
                  <w:jc w:val="left"/>
                  <w:rPr>
                    <w:b/>
                    <w:sz w:val="24"/>
                  </w:rPr>
                </w:pPr>
                <w:r>
                  <w:rPr>
                    <w:b/>
                    <w:color w:val="2E97D3"/>
                    <w:sz w:val="24"/>
                    <w:u w:val="thick" w:color="2E97D3"/>
                  </w:rPr>
                  <w:t>Rev. 430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919998pt;margin-top:700.336731pt;width:166.25pt;height:30.3pt;mso-position-horizontal-relative:page;mso-position-vertical-relative:page;z-index:-49360" type="#_x0000_t202" filled="false" stroked="false">
          <v:textbox inset="0,0,0,0">
            <w:txbxContent>
              <w:p>
                <w:pPr>
                  <w:spacing w:before="12"/>
                  <w:ind w:left="66" w:right="1" w:firstLine="0"/>
                  <w:jc w:val="center"/>
                  <w:rPr>
                    <w:b/>
                    <w:sz w:val="24"/>
                  </w:rPr>
                </w:pPr>
                <w:r>
                  <w:rPr>
                    <w:b/>
                    <w:sz w:val="24"/>
                  </w:rPr>
                  <w:t>Rev. 430</w:t>
                </w:r>
              </w:p>
              <w:p>
                <w:pPr>
                  <w:spacing w:before="21"/>
                  <w:ind w:left="1" w:right="1" w:firstLine="0"/>
                  <w:jc w:val="center"/>
                  <w:rPr>
                    <w:b/>
                    <w:i/>
                    <w:sz w:val="24"/>
                  </w:rPr>
                </w:pPr>
                <w:r>
                  <w:rPr>
                    <w:b/>
                    <w:i/>
                    <w:sz w:val="24"/>
                  </w:rPr>
                  <w:t>(8452.1 Illustration </w:t>
                </w:r>
                <w:r>
                  <w:rPr/>
                  <w:fldChar w:fldCharType="begin"/>
                </w:r>
                <w:r>
                  <w:rPr>
                    <w:b/>
                    <w:i/>
                    <w:sz w:val="24"/>
                  </w:rPr>
                  <w:instrText> PAGE </w:instrText>
                </w:r>
                <w:r>
                  <w:rPr/>
                  <w:fldChar w:fldCharType="separate"/>
                </w:r>
                <w:r>
                  <w:rPr/>
                  <w:t>1</w:t>
                </w:r>
                <w:r>
                  <w:rPr/>
                  <w:fldChar w:fldCharType="end"/>
                </w:r>
                <w:r>
                  <w:rPr>
                    <w:b/>
                    <w:i/>
                    <w:sz w:val="24"/>
                  </w:rPr>
                  <w:t>, page 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240005pt;margin-top:689.896729pt;width:166.25pt;height:30.3pt;mso-position-horizontal-relative:page;mso-position-vertical-relative:page;z-index:-49336" type="#_x0000_t202" filled="false" stroked="false">
          <v:textbox inset="0,0,0,0">
            <w:txbxContent>
              <w:p>
                <w:pPr>
                  <w:spacing w:before="12"/>
                  <w:ind w:left="66" w:right="1" w:firstLine="0"/>
                  <w:jc w:val="center"/>
                  <w:rPr>
                    <w:b/>
                    <w:sz w:val="24"/>
                  </w:rPr>
                </w:pPr>
                <w:r>
                  <w:rPr>
                    <w:b/>
                    <w:sz w:val="24"/>
                  </w:rPr>
                  <w:t>Rev. 430</w:t>
                </w:r>
              </w:p>
              <w:p>
                <w:pPr>
                  <w:spacing w:before="21"/>
                  <w:ind w:left="1" w:right="1" w:firstLine="0"/>
                  <w:jc w:val="center"/>
                  <w:rPr>
                    <w:b/>
                    <w:i/>
                    <w:sz w:val="24"/>
                  </w:rPr>
                </w:pPr>
                <w:r>
                  <w:rPr>
                    <w:b/>
                    <w:i/>
                    <w:sz w:val="24"/>
                  </w:rPr>
                  <w:t>(8452.1 Illustration </w:t>
                </w:r>
                <w:r>
                  <w:rPr/>
                  <w:fldChar w:fldCharType="begin"/>
                </w:r>
                <w:r>
                  <w:rPr>
                    <w:b/>
                    <w:i/>
                    <w:sz w:val="24"/>
                  </w:rPr>
                  <w:instrText> PAGE </w:instrText>
                </w:r>
                <w:r>
                  <w:rPr/>
                  <w:fldChar w:fldCharType="separate"/>
                </w:r>
                <w:r>
                  <w:rPr/>
                  <w:t>2</w:t>
                </w:r>
                <w:r>
                  <w:rPr/>
                  <w:fldChar w:fldCharType="end"/>
                </w:r>
                <w:r>
                  <w:rPr>
                    <w:b/>
                    <w:i/>
                    <w:sz w:val="24"/>
                  </w:rPr>
                  <w:t>, page 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240005pt;margin-top:683.896729pt;width:166.25pt;height:30.3pt;mso-position-horizontal-relative:page;mso-position-vertical-relative:page;z-index:-49312" type="#_x0000_t202" filled="false" stroked="false">
          <v:textbox inset="0,0,0,0">
            <w:txbxContent>
              <w:p>
                <w:pPr>
                  <w:spacing w:before="12"/>
                  <w:ind w:left="66" w:right="1" w:firstLine="0"/>
                  <w:jc w:val="center"/>
                  <w:rPr>
                    <w:b/>
                    <w:sz w:val="24"/>
                  </w:rPr>
                </w:pPr>
                <w:r>
                  <w:rPr>
                    <w:b/>
                    <w:sz w:val="24"/>
                  </w:rPr>
                  <w:t>Rev. 430</w:t>
                </w:r>
              </w:p>
              <w:p>
                <w:pPr>
                  <w:spacing w:before="21"/>
                  <w:ind w:left="1" w:right="1" w:firstLine="0"/>
                  <w:jc w:val="center"/>
                  <w:rPr>
                    <w:b/>
                    <w:i/>
                    <w:sz w:val="24"/>
                  </w:rPr>
                </w:pPr>
                <w:r>
                  <w:rPr>
                    <w:b/>
                    <w:i/>
                    <w:sz w:val="24"/>
                  </w:rPr>
                  <w:t>(8452.1 Illustration 2, page 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288" from="36.360001pt,728.398987pt" to="36.360001pt,742.199987pt" stroked="true" strokeweight=".72pt" strokecolor="#000000">
          <v:stroke dashstyle="solid"/>
          <w10:wrap type="none"/>
        </v:line>
      </w:pict>
    </w:r>
    <w:r>
      <w:rPr/>
      <w:pict>
        <v:shape style="position:absolute;margin-left:280.279999pt;margin-top:727.576721pt;width:50.75pt;height:15.45pt;mso-position-horizontal-relative:page;mso-position-vertical-relative:page;z-index:-49264" type="#_x0000_t202" filled="false" stroked="false">
          <v:textbox inset="0,0,0,0">
            <w:txbxContent>
              <w:p>
                <w:pPr>
                  <w:spacing w:before="12"/>
                  <w:ind w:left="20" w:right="0" w:firstLine="0"/>
                  <w:jc w:val="left"/>
                  <w:rPr>
                    <w:b/>
                    <w:sz w:val="24"/>
                  </w:rPr>
                </w:pPr>
                <w:r>
                  <w:rPr>
                    <w:b/>
                    <w:color w:val="2E97D3"/>
                    <w:sz w:val="24"/>
                    <w:u w:val="thick" w:color="2E97D3"/>
                  </w:rPr>
                  <w:t>Rev. 430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240" from="36.360001pt,728.398987pt" to="36.360001pt,742.199987pt" stroked="true" strokeweight=".72pt" strokecolor="#000000">
          <v:stroke dashstyle="solid"/>
          <w10:wrap type="none"/>
        </v:line>
      </w:pict>
    </w:r>
    <w:r>
      <w:rPr/>
      <w:pict>
        <v:shape style="position:absolute;margin-left:280.279999pt;margin-top:727.576721pt;width:50.75pt;height:15.45pt;mso-position-horizontal-relative:page;mso-position-vertical-relative:page;z-index:-49216" type="#_x0000_t202" filled="false" stroked="false">
          <v:textbox inset="0,0,0,0">
            <w:txbxContent>
              <w:p>
                <w:pPr>
                  <w:spacing w:before="12"/>
                  <w:ind w:left="20" w:right="0" w:firstLine="0"/>
                  <w:jc w:val="left"/>
                  <w:rPr>
                    <w:b/>
                    <w:sz w:val="24"/>
                  </w:rPr>
                </w:pPr>
                <w:r>
                  <w:rPr>
                    <w:b/>
                    <w:color w:val="2E97D3"/>
                    <w:sz w:val="24"/>
                    <w:u w:val="thick" w:color="2E97D3"/>
                  </w:rPr>
                  <w:t>Rev. 430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pt;height:15.45pt;mso-position-horizontal-relative:page;mso-position-vertical-relative:page;z-index:-49192" type="#_x0000_t202" filled="false" stroked="false">
          <v:textbox inset="0,0,0,0">
            <w:txbxContent>
              <w:p>
                <w:pPr>
                  <w:spacing w:before="12"/>
                  <w:ind w:left="20" w:right="0" w:firstLine="0"/>
                  <w:jc w:val="left"/>
                  <w:rPr>
                    <w:b/>
                    <w:sz w:val="24"/>
                  </w:rPr>
                </w:pPr>
                <w:r>
                  <w:rPr>
                    <w:b/>
                    <w:sz w:val="24"/>
                  </w:rPr>
                  <w:t>Rev. 434</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799988pt;margin-top:730.76001pt;width:46.75pt;height:13.05pt;mso-position-horizontal-relative:page;mso-position-vertical-relative:page;z-index:-50008" type="#_x0000_t202" filled="false" stroked="false">
          <v:textbox inset="0,0,0,0">
            <w:txbxContent>
              <w:p>
                <w:pPr>
                  <w:spacing w:line="245" w:lineRule="exact" w:before="0"/>
                  <w:ind w:left="20" w:right="0" w:firstLine="0"/>
                  <w:jc w:val="left"/>
                  <w:rPr>
                    <w:rFonts w:ascii="Calibri"/>
                    <w:b/>
                    <w:sz w:val="22"/>
                  </w:rPr>
                </w:pPr>
                <w:r>
                  <w:rPr>
                    <w:rFonts w:ascii="Calibri"/>
                    <w:b/>
                    <w:sz w:val="22"/>
                  </w:rPr>
                  <w:t>Rev. 43</w:t>
                </w:r>
                <w:r>
                  <w:rPr>
                    <w:rFonts w:ascii="Calibri"/>
                    <w:b/>
                    <w:strike/>
                    <w:color w:val="FF0000"/>
                    <w:sz w:val="22"/>
                  </w:rPr>
                  <w:t>5</w:t>
                </w:r>
                <w:r>
                  <w:rPr>
                    <w:rFonts w:ascii="Calibri"/>
                    <w:b/>
                    <w:strike w:val="0"/>
                    <w:color w:val="FF0000"/>
                    <w:sz w:val="22"/>
                  </w:rPr>
                  <w:t>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720001pt;margin-top:699.183472pt;width:42.45pt;height:13.15pt;mso-position-horizontal-relative:page;mso-position-vertical-relative:page;z-index:-49984" type="#_x0000_t202" filled="false" stroked="false">
          <v:textbox inset="0,0,0,0">
            <w:txbxContent>
              <w:p>
                <w:pPr>
                  <w:spacing w:before="12"/>
                  <w:ind w:left="20" w:right="0" w:firstLine="0"/>
                  <w:jc w:val="left"/>
                  <w:rPr>
                    <w:b/>
                    <w:sz w:val="20"/>
                  </w:rPr>
                </w:pPr>
                <w:r>
                  <w:rPr>
                    <w:b/>
                    <w:color w:val="B5082E"/>
                    <w:sz w:val="20"/>
                    <w:u w:val="thick" w:color="B5082E"/>
                  </w:rPr>
                  <w:t>Rev. 439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1.376709pt;width:50.75pt;height:15.45pt;mso-position-horizontal-relative:page;mso-position-vertical-relative:page;z-index:-49936" type="#_x0000_t202" filled="false" stroked="false">
          <v:textbox inset="0,0,0,0">
            <w:txbxContent>
              <w:p>
                <w:pPr>
                  <w:spacing w:before="12"/>
                  <w:ind w:left="20" w:right="0" w:firstLine="0"/>
                  <w:jc w:val="left"/>
                  <w:rPr>
                    <w:b/>
                    <w:sz w:val="24"/>
                  </w:rPr>
                </w:pPr>
                <w:r>
                  <w:rPr>
                    <w:b/>
                    <w:sz w:val="24"/>
                  </w:rPr>
                  <w:t>Rev. 431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27.936707pt;width:50.75pt;height:15.45pt;mso-position-horizontal-relative:page;mso-position-vertical-relative:page;z-index:-49816" type="#_x0000_t202" filled="false" stroked="false">
          <v:textbox inset="0,0,0,0">
            <w:txbxContent>
              <w:p>
                <w:pPr>
                  <w:spacing w:before="12"/>
                  <w:ind w:left="20" w:right="0" w:firstLine="0"/>
                  <w:jc w:val="left"/>
                  <w:rPr>
                    <w:b/>
                    <w:sz w:val="24"/>
                  </w:rPr>
                </w:pPr>
                <w:r>
                  <w:rPr>
                    <w:b/>
                    <w:sz w:val="24"/>
                  </w:rPr>
                  <w:t>Rev. 430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640015pt;margin-top:740.296692pt;width:50.75pt;height:15.45pt;mso-position-horizontal-relative:page;mso-position-vertical-relative:page;z-index:-49768" type="#_x0000_t202" filled="false" stroked="false">
          <v:textbox inset="0,0,0,0">
            <w:txbxContent>
              <w:p>
                <w:pPr>
                  <w:spacing w:before="12"/>
                  <w:ind w:left="20" w:right="0" w:firstLine="0"/>
                  <w:jc w:val="left"/>
                  <w:rPr>
                    <w:b/>
                    <w:sz w:val="24"/>
                  </w:rPr>
                </w:pPr>
                <w:r>
                  <w:rPr>
                    <w:b/>
                    <w:sz w:val="24"/>
                  </w:rPr>
                  <w:t>Rev. 364</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24.360001pt;margin-top:31.4pt;width:163.25pt;height:14pt;mso-position-horizontal-relative:page;mso-position-vertical-relative:page;z-index:-50056" type="#_x0000_t202" filled="false" stroked="false">
          <v:textbox inset="0,0,0,0">
            <w:txbxContent>
              <w:p>
                <w:pPr>
                  <w:spacing w:line="264" w:lineRule="exact" w:before="0"/>
                  <w:ind w:left="20" w:right="0" w:firstLine="0"/>
                  <w:jc w:val="left"/>
                  <w:rPr>
                    <w:rFonts w:ascii="Calibri" w:hAnsi="Calibri"/>
                    <w:b/>
                    <w:sz w:val="24"/>
                  </w:rPr>
                </w:pPr>
                <w:r>
                  <w:rPr>
                    <w:rFonts w:ascii="Calibri" w:hAnsi="Calibri"/>
                    <w:b/>
                    <w:sz w:val="24"/>
                  </w:rPr>
                  <w:t>SAM – REVISION SUMMARY 439</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520004pt;margin-top:34.69672pt;width:219.6pt;height:29.1pt;mso-position-horizontal-relative:page;mso-position-vertical-relative:page;z-index:-49840" type="#_x0000_t202" filled="false" stroked="false">
          <v:textbox inset="0,0,0,0">
            <w:txbxContent>
              <w:p>
                <w:pPr>
                  <w:spacing w:line="275" w:lineRule="exact" w:before="12"/>
                  <w:ind w:left="106" w:right="0" w:firstLine="0"/>
                  <w:jc w:val="left"/>
                  <w:rPr>
                    <w:b/>
                    <w:sz w:val="24"/>
                  </w:rPr>
                </w:pPr>
                <w:r>
                  <w:rPr>
                    <w:b/>
                    <w:sz w:val="24"/>
                  </w:rPr>
                  <w:t>SAM – INFORMATION TECHNOLOGY</w:t>
                </w:r>
              </w:p>
              <w:p>
                <w:pPr>
                  <w:spacing w:line="275" w:lineRule="exact" w:before="0"/>
                  <w:ind w:left="20" w:right="0" w:firstLine="0"/>
                  <w:jc w:val="left"/>
                  <w:rPr>
                    <w:b/>
                    <w:sz w:val="24"/>
                  </w:rPr>
                </w:pPr>
                <w:r>
                  <w:rPr>
                    <w:b/>
                    <w:sz w:val="24"/>
                  </w:rPr>
                  <w:t>(California Department of</w:t>
                </w:r>
                <w:r>
                  <w:rPr>
                    <w:b/>
                    <w:spacing w:val="-41"/>
                    <w:sz w:val="24"/>
                  </w:rPr>
                  <w:t> </w:t>
                </w:r>
                <w:r>
                  <w:rPr>
                    <w:b/>
                    <w:sz w:val="24"/>
                  </w:rPr>
                  <w:t>Technology)</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279999pt;margin-top:35.536720pt;width:111.3pt;height:15.45pt;mso-position-horizontal-relative:page;mso-position-vertical-relative:page;z-index:-49792"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744" from="36.360001pt,147.718994pt" to="36.360001pt,167.639994pt" stroked="true" strokeweight=".72pt" strokecolor="#000000">
          <v:stroke dashstyle="solid"/>
          <w10:wrap type="none"/>
        </v:line>
      </w:pict>
    </w:r>
    <w:r>
      <w:rPr/>
      <w:pict>
        <v:shape style="position:absolute;margin-left:250.279999pt;margin-top:35.536720pt;width:111.3pt;height:15.45pt;mso-position-horizontal-relative:page;mso-position-vertical-relative:page;z-index:-4972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71pt;margin-top:72.616722pt;width:64.8500pt;height:15.45pt;mso-position-horizontal-relative:page;mso-position-vertical-relative:page;z-index:-49696" type="#_x0000_t202" filled="false" stroked="false">
          <v:textbox inset="0,0,0,0">
            <w:txbxContent>
              <w:p>
                <w:pPr>
                  <w:pStyle w:val="BodyText"/>
                  <w:spacing w:before="12"/>
                  <w:ind w:left="20"/>
                </w:pPr>
                <w:r>
                  <w:rPr/>
                  <w:t>(Continued)</w:t>
                </w:r>
              </w:p>
            </w:txbxContent>
          </v:textbox>
          <w10:wrap type="none"/>
        </v:shape>
      </w:pict>
    </w:r>
    <w:r>
      <w:rPr/>
      <w:pict>
        <v:shape style="position:absolute;margin-left:459.799988pt;margin-top:102.376717pt;width:78.850pt;height:15.45pt;mso-position-horizontal-relative:page;mso-position-vertical-relative:page;z-index:-49672" type="#_x0000_t202" filled="false" stroked="false">
          <v:textbox inset="0,0,0,0">
            <w:txbxContent>
              <w:p>
                <w:pPr>
                  <w:spacing w:before="12"/>
                  <w:ind w:left="20" w:right="0" w:firstLine="0"/>
                  <w:jc w:val="left"/>
                  <w:rPr>
                    <w:sz w:val="24"/>
                  </w:rPr>
                </w:pPr>
                <w:r>
                  <w:rPr>
                    <w:b/>
                    <w:sz w:val="24"/>
                  </w:rPr>
                  <w:t>6806 </w:t>
                </w:r>
                <w:r>
                  <w:rPr>
                    <w:sz w:val="24"/>
                  </w:rPr>
                  <w:t>(Cont. 2)</w:t>
                </w:r>
              </w:p>
            </w:txbxContent>
          </v:textbox>
          <w10:wrap type="none"/>
        </v:shape>
      </w:pict>
    </w:r>
    <w:r>
      <w:rPr/>
      <w:pict>
        <v:shape style="position:absolute;margin-left:70.279999pt;margin-top:117.256721pt;width:314.650pt;height:30.3pt;mso-position-horizontal-relative:page;mso-position-vertical-relative:page;z-index:-49648" type="#_x0000_t202" filled="false" stroked="false">
          <v:textbox inset="0,0,0,0">
            <w:txbxContent>
              <w:p>
                <w:pPr>
                  <w:spacing w:line="259" w:lineRule="auto" w:before="12"/>
                  <w:ind w:left="20" w:right="-2" w:firstLine="14"/>
                  <w:jc w:val="left"/>
                  <w:rPr>
                    <w:b/>
                    <w:sz w:val="24"/>
                  </w:rPr>
                </w:pPr>
                <w:r>
                  <w:rPr>
                    <w:b/>
                    <w:sz w:val="24"/>
                  </w:rPr>
                  <w:t>CAPITAL OUTLAY VERSUS STATE OPERATIONS AND LOCAL ASSISTANCE</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624" from="36.360001pt,147.718994pt" to="36.360001pt,167.639994pt" stroked="true" strokeweight=".72pt" strokecolor="#000000">
          <v:stroke dashstyle="solid"/>
          <w10:wrap type="none"/>
        </v:line>
      </w:pict>
    </w:r>
    <w:r>
      <w:rPr/>
      <w:pict>
        <v:shape style="position:absolute;margin-left:250.279999pt;margin-top:35.536720pt;width:111.3pt;height:15.45pt;mso-position-horizontal-relative:page;mso-position-vertical-relative:page;z-index:-49600" type="#_x0000_t202" filled="false" stroked="false">
          <v:textbox inset="0,0,0,0">
            <w:txbxContent>
              <w:p>
                <w:pPr>
                  <w:spacing w:before="12"/>
                  <w:ind w:left="20" w:right="0" w:firstLine="0"/>
                  <w:jc w:val="left"/>
                  <w:rPr>
                    <w:b/>
                    <w:sz w:val="24"/>
                  </w:rPr>
                </w:pPr>
                <w:r>
                  <w:rPr>
                    <w:b/>
                    <w:sz w:val="24"/>
                  </w:rPr>
                  <w:t>SAM - BUDGETING</w:t>
                </w:r>
              </w:p>
            </w:txbxContent>
          </v:textbox>
          <w10:wrap type="none"/>
        </v:shape>
      </w:pict>
    </w:r>
    <w:r>
      <w:rPr/>
      <w:pict>
        <v:shape style="position:absolute;margin-left:71pt;margin-top:72.616722pt;width:64.8500pt;height:15.45pt;mso-position-horizontal-relative:page;mso-position-vertical-relative:page;z-index:-49576" type="#_x0000_t202" filled="false" stroked="false">
          <v:textbox inset="0,0,0,0">
            <w:txbxContent>
              <w:p>
                <w:pPr>
                  <w:pStyle w:val="BodyText"/>
                  <w:spacing w:before="12"/>
                  <w:ind w:left="20"/>
                </w:pPr>
                <w:r>
                  <w:rPr/>
                  <w:t>(Continued)</w:t>
                </w:r>
              </w:p>
            </w:txbxContent>
          </v:textbox>
          <w10:wrap type="none"/>
        </v:shape>
      </w:pict>
    </w:r>
    <w:r>
      <w:rPr/>
      <w:pict>
        <v:shape style="position:absolute;margin-left:459.799988pt;margin-top:102.376717pt;width:78.850pt;height:15.45pt;mso-position-horizontal-relative:page;mso-position-vertical-relative:page;z-index:-49552" type="#_x0000_t202" filled="false" stroked="false">
          <v:textbox inset="0,0,0,0">
            <w:txbxContent>
              <w:p>
                <w:pPr>
                  <w:spacing w:before="12"/>
                  <w:ind w:left="20" w:right="0" w:firstLine="0"/>
                  <w:jc w:val="left"/>
                  <w:rPr>
                    <w:sz w:val="24"/>
                  </w:rPr>
                </w:pPr>
                <w:r>
                  <w:rPr>
                    <w:b/>
                    <w:sz w:val="24"/>
                  </w:rPr>
                  <w:t>6806 </w:t>
                </w:r>
                <w:r>
                  <w:rPr>
                    <w:sz w:val="24"/>
                  </w:rPr>
                  <w:t>(Cont. </w:t>
                </w:r>
                <w:r>
                  <w:rPr/>
                  <w:fldChar w:fldCharType="begin"/>
                </w:r>
                <w:r>
                  <w:rPr>
                    <w:sz w:val="24"/>
                  </w:rPr>
                  <w:instrText> PAGE </w:instrText>
                </w:r>
                <w:r>
                  <w:rPr/>
                  <w:fldChar w:fldCharType="separate"/>
                </w:r>
                <w:r>
                  <w:rPr/>
                  <w:t>3</w:t>
                </w:r>
                <w:r>
                  <w:rPr/>
                  <w:fldChar w:fldCharType="end"/>
                </w:r>
                <w:r>
                  <w:rPr>
                    <w:sz w:val="24"/>
                  </w:rPr>
                  <w:t>)</w:t>
                </w:r>
              </w:p>
            </w:txbxContent>
          </v:textbox>
          <w10:wrap type="none"/>
        </v:shape>
      </w:pict>
    </w:r>
    <w:r>
      <w:rPr/>
      <w:pict>
        <v:shape style="position:absolute;margin-left:70.279999pt;margin-top:117.256721pt;width:313.95pt;height:45.2pt;mso-position-horizontal-relative:page;mso-position-vertical-relative:page;z-index:-49528" type="#_x0000_t202" filled="false" stroked="false">
          <v:textbox inset="0,0,0,0">
            <w:txbxContent>
              <w:p>
                <w:pPr>
                  <w:spacing w:line="259" w:lineRule="auto" w:before="12"/>
                  <w:ind w:left="20" w:right="-2" w:firstLine="0"/>
                  <w:jc w:val="left"/>
                  <w:rPr>
                    <w:b/>
                    <w:sz w:val="24"/>
                  </w:rPr>
                </w:pPr>
                <w:r>
                  <w:rPr>
                    <w:b/>
                    <w:sz w:val="24"/>
                  </w:rPr>
                  <w:t>CAPITAL OUTLAY VERSUS STATE OPERATIONS AND LOCAL ASSISTANCE</w:t>
                </w:r>
              </w:p>
              <w:p>
                <w:pPr>
                  <w:pStyle w:val="BodyText"/>
                  <w:ind w:left="20"/>
                </w:pPr>
                <w:r>
                  <w:rPr/>
                  <w:t>(Revised </w:t>
                </w:r>
                <w:r>
                  <w:rPr>
                    <w:strike/>
                    <w:color w:val="2E97D3"/>
                  </w:rPr>
                  <w:t>5/1998</w:t>
                </w:r>
                <w:r>
                  <w:rPr>
                    <w:strike/>
                    <w:color w:val="B5082E"/>
                    <w:u w:val="single" w:color="2E97D3"/>
                  </w:rPr>
                  <w:t>8</w:t>
                </w:r>
                <w:r>
                  <w:rPr>
                    <w:strike w:val="0"/>
                    <w:color w:val="B5082E"/>
                    <w:u w:val="single" w:color="2E97D3"/>
                  </w:rPr>
                  <w:t>9</w:t>
                </w:r>
                <w:r>
                  <w:rPr>
                    <w:strike w:val="0"/>
                    <w:color w:val="2E97D3"/>
                    <w:u w:val="single" w:color="2E97D3"/>
                  </w:rPr>
                  <w:t>/2017</w:t>
                </w:r>
                <w:r>
                  <w:rPr>
                    <w:strike w:val="0"/>
                  </w:rPr>
                  <w:t>)</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39996pt;margin-top:35.296719pt;width:143.35pt;height:15.45pt;mso-position-horizontal-relative:page;mso-position-vertical-relative:page;z-index:-49504" type="#_x0000_t202" filled="false" stroked="false">
          <v:textbox inset="0,0,0,0">
            <w:txbxContent>
              <w:p>
                <w:pPr>
                  <w:spacing w:before="12"/>
                  <w:ind w:left="20" w:right="0" w:firstLine="0"/>
                  <w:jc w:val="left"/>
                  <w:rPr>
                    <w:b/>
                    <w:sz w:val="24"/>
                  </w:rPr>
                </w:pPr>
                <w:r>
                  <w:rPr>
                    <w:b/>
                    <w:sz w:val="24"/>
                  </w:rPr>
                  <w:t>SAM - DISBURSEMENTS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959991pt;margin-top:66.736717pt;width:130.0500pt;height:15.45pt;mso-position-horizontal-relative:page;mso-position-vertical-relative:page;z-index:-49960" type="#_x0000_t202" filled="false" stroked="false">
          <v:textbox inset="0,0,0,0">
            <w:txbxContent>
              <w:p>
                <w:pPr>
                  <w:spacing w:before="12"/>
                  <w:ind w:left="20" w:right="0" w:firstLine="0"/>
                  <w:jc w:val="left"/>
                  <w:rPr>
                    <w:b/>
                    <w:sz w:val="24"/>
                  </w:rPr>
                </w:pPr>
                <w:r>
                  <w:rPr>
                    <w:b/>
                    <w:sz w:val="24"/>
                  </w:rPr>
                  <w:t>CHAPTER 4100 INDEX</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920013pt;margin-top:66.736717pt;width:180.2pt;height:15.45pt;mso-position-horizontal-relative:page;mso-position-vertical-relative:page;z-index:-49912" type="#_x0000_t202" filled="false" stroked="false">
          <v:textbox inset="0,0,0,0">
            <w:txbxContent>
              <w:p>
                <w:pPr>
                  <w:spacing w:before="12"/>
                  <w:ind w:left="20" w:right="0" w:firstLine="0"/>
                  <w:jc w:val="left"/>
                  <w:rPr>
                    <w:sz w:val="24"/>
                  </w:rPr>
                </w:pPr>
                <w:r>
                  <w:rPr>
                    <w:b/>
                    <w:sz w:val="24"/>
                  </w:rPr>
                  <w:t>CHAPTER 4100 INDEX </w:t>
                </w:r>
                <w:r>
                  <w:rPr>
                    <w:sz w:val="24"/>
                  </w:rPr>
                  <w:t>(Cont. 1)</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66.736717pt;width:405.3pt;height:15.45pt;mso-position-horizontal-relative:page;mso-position-vertical-relative:page;z-index:-49888" type="#_x0000_t202" filled="false" stroked="false">
          <v:textbox inset="0,0,0,0">
            <w:txbxContent>
              <w:p>
                <w:pPr>
                  <w:spacing w:before="12"/>
                  <w:ind w:left="20" w:right="0" w:firstLine="0"/>
                  <w:jc w:val="left"/>
                  <w:rPr>
                    <w:b/>
                    <w:sz w:val="24"/>
                  </w:rPr>
                </w:pPr>
                <w:r>
                  <w:rPr>
                    <w:b/>
                    <w:sz w:val="24"/>
                  </w:rPr>
                  <w:t>ABBREVIATED FAP PROCESS FOR NON-LIGHT DUTY FLEET ASSETS</w:t>
                </w:r>
              </w:p>
            </w:txbxContent>
          </v:textbox>
          <w10:wrap type="none"/>
        </v:shape>
      </w:pict>
    </w:r>
    <w:r>
      <w:rPr/>
      <w:pict>
        <v:shape style="position:absolute;margin-left:487.76001pt;margin-top:66.736717pt;width:38.6pt;height:15.45pt;mso-position-horizontal-relative:page;mso-position-vertical-relative:page;z-index:-49864" type="#_x0000_t202" filled="false" stroked="false">
          <v:textbox inset="0,0,0,0">
            <w:txbxContent>
              <w:p>
                <w:pPr>
                  <w:spacing w:before="12"/>
                  <w:ind w:left="20" w:right="0" w:firstLine="0"/>
                  <w:jc w:val="left"/>
                  <w:rPr>
                    <w:b/>
                    <w:sz w:val="24"/>
                  </w:rPr>
                </w:pPr>
                <w:r>
                  <w:rPr>
                    <w:b/>
                    <w:sz w:val="24"/>
                  </w:rPr>
                  <w:t>4120.8</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3"/>
      <w:numFmt w:val="decimal"/>
      <w:lvlText w:val="%1"/>
      <w:lvlJc w:val="left"/>
      <w:pPr>
        <w:ind w:left="1189" w:hanging="711"/>
        <w:jc w:val="left"/>
      </w:pPr>
      <w:rPr>
        <w:rFonts w:hint="default"/>
      </w:rPr>
    </w:lvl>
    <w:lvl w:ilvl="1">
      <w:start w:val="4"/>
      <w:numFmt w:val="decimal"/>
      <w:lvlText w:val="%1.%2."/>
      <w:lvlJc w:val="left"/>
      <w:pPr>
        <w:ind w:left="1189" w:hanging="711"/>
        <w:jc w:val="left"/>
      </w:pPr>
      <w:rPr>
        <w:rFonts w:hint="default"/>
        <w:strike/>
        <w:w w:val="99"/>
      </w:rPr>
    </w:lvl>
    <w:lvl w:ilvl="2">
      <w:start w:val="0"/>
      <w:numFmt w:val="bullet"/>
      <w:lvlText w:val=""/>
      <w:lvlJc w:val="left"/>
      <w:pPr>
        <w:ind w:left="1900" w:hanging="360"/>
      </w:pPr>
      <w:rPr>
        <w:rFonts w:hint="default"/>
        <w:w w:val="100"/>
        <w:u w:val="single" w:color="B5082E"/>
      </w:rPr>
    </w:lvl>
    <w:lvl w:ilvl="3">
      <w:start w:val="0"/>
      <w:numFmt w:val="bullet"/>
      <w:lvlText w:val="•"/>
      <w:lvlJc w:val="left"/>
      <w:pPr>
        <w:ind w:left="3757" w:hanging="360"/>
      </w:pPr>
      <w:rPr>
        <w:rFonts w:hint="default"/>
      </w:rPr>
    </w:lvl>
    <w:lvl w:ilvl="4">
      <w:start w:val="0"/>
      <w:numFmt w:val="bullet"/>
      <w:lvlText w:val="•"/>
      <w:lvlJc w:val="left"/>
      <w:pPr>
        <w:ind w:left="4686" w:hanging="360"/>
      </w:pPr>
      <w:rPr>
        <w:rFonts w:hint="default"/>
      </w:rPr>
    </w:lvl>
    <w:lvl w:ilvl="5">
      <w:start w:val="0"/>
      <w:numFmt w:val="bullet"/>
      <w:lvlText w:val="•"/>
      <w:lvlJc w:val="left"/>
      <w:pPr>
        <w:ind w:left="5615" w:hanging="360"/>
      </w:pPr>
      <w:rPr>
        <w:rFonts w:hint="default"/>
      </w:rPr>
    </w:lvl>
    <w:lvl w:ilvl="6">
      <w:start w:val="0"/>
      <w:numFmt w:val="bullet"/>
      <w:lvlText w:val="•"/>
      <w:lvlJc w:val="left"/>
      <w:pPr>
        <w:ind w:left="6544" w:hanging="360"/>
      </w:pPr>
      <w:rPr>
        <w:rFonts w:hint="default"/>
      </w:rPr>
    </w:lvl>
    <w:lvl w:ilvl="7">
      <w:start w:val="0"/>
      <w:numFmt w:val="bullet"/>
      <w:lvlText w:val="•"/>
      <w:lvlJc w:val="left"/>
      <w:pPr>
        <w:ind w:left="7473" w:hanging="360"/>
      </w:pPr>
      <w:rPr>
        <w:rFonts w:hint="default"/>
      </w:rPr>
    </w:lvl>
    <w:lvl w:ilvl="8">
      <w:start w:val="0"/>
      <w:numFmt w:val="bullet"/>
      <w:lvlText w:val="•"/>
      <w:lvlJc w:val="left"/>
      <w:pPr>
        <w:ind w:left="8402" w:hanging="360"/>
      </w:pPr>
      <w:rPr>
        <w:rFonts w:hint="default"/>
      </w:rPr>
    </w:lvl>
  </w:abstractNum>
  <w:abstractNum w:abstractNumId="13">
    <w:multiLevelType w:val="hybridMultilevel"/>
    <w:lvl w:ilvl="0">
      <w:start w:val="1"/>
      <w:numFmt w:val="decimal"/>
      <w:lvlText w:val="%1."/>
      <w:lvlJc w:val="left"/>
      <w:pPr>
        <w:ind w:left="1189" w:hanging="360"/>
        <w:jc w:val="left"/>
      </w:pPr>
      <w:rPr>
        <w:rFonts w:hint="default"/>
        <w:spacing w:val="-4"/>
        <w:w w:val="99"/>
      </w:rPr>
    </w:lvl>
    <w:lvl w:ilvl="1">
      <w:start w:val="0"/>
      <w:numFmt w:val="bullet"/>
      <w:lvlText w:val="•"/>
      <w:lvlJc w:val="left"/>
      <w:pPr>
        <w:ind w:left="2102" w:hanging="360"/>
      </w:pPr>
      <w:rPr>
        <w:rFonts w:hint="default"/>
      </w:rPr>
    </w:lvl>
    <w:lvl w:ilvl="2">
      <w:start w:val="0"/>
      <w:numFmt w:val="bullet"/>
      <w:lvlText w:val="•"/>
      <w:lvlJc w:val="left"/>
      <w:pPr>
        <w:ind w:left="3024" w:hanging="360"/>
      </w:pPr>
      <w:rPr>
        <w:rFonts w:hint="default"/>
      </w:rPr>
    </w:lvl>
    <w:lvl w:ilvl="3">
      <w:start w:val="0"/>
      <w:numFmt w:val="bullet"/>
      <w:lvlText w:val="•"/>
      <w:lvlJc w:val="left"/>
      <w:pPr>
        <w:ind w:left="3946" w:hanging="360"/>
      </w:pPr>
      <w:rPr>
        <w:rFonts w:hint="default"/>
      </w:rPr>
    </w:lvl>
    <w:lvl w:ilvl="4">
      <w:start w:val="0"/>
      <w:numFmt w:val="bullet"/>
      <w:lvlText w:val="•"/>
      <w:lvlJc w:val="left"/>
      <w:pPr>
        <w:ind w:left="4868" w:hanging="360"/>
      </w:pPr>
      <w:rPr>
        <w:rFonts w:hint="default"/>
      </w:rPr>
    </w:lvl>
    <w:lvl w:ilvl="5">
      <w:start w:val="0"/>
      <w:numFmt w:val="bullet"/>
      <w:lvlText w:val="•"/>
      <w:lvlJc w:val="left"/>
      <w:pPr>
        <w:ind w:left="5790" w:hanging="360"/>
      </w:pPr>
      <w:rPr>
        <w:rFonts w:hint="default"/>
      </w:rPr>
    </w:lvl>
    <w:lvl w:ilvl="6">
      <w:start w:val="0"/>
      <w:numFmt w:val="bullet"/>
      <w:lvlText w:val="•"/>
      <w:lvlJc w:val="left"/>
      <w:pPr>
        <w:ind w:left="6712" w:hanging="360"/>
      </w:pPr>
      <w:rPr>
        <w:rFonts w:hint="default"/>
      </w:rPr>
    </w:lvl>
    <w:lvl w:ilvl="7">
      <w:start w:val="0"/>
      <w:numFmt w:val="bullet"/>
      <w:lvlText w:val="•"/>
      <w:lvlJc w:val="left"/>
      <w:pPr>
        <w:ind w:left="7634" w:hanging="360"/>
      </w:pPr>
      <w:rPr>
        <w:rFonts w:hint="default"/>
      </w:rPr>
    </w:lvl>
    <w:lvl w:ilvl="8">
      <w:start w:val="0"/>
      <w:numFmt w:val="bullet"/>
      <w:lvlText w:val="•"/>
      <w:lvlJc w:val="left"/>
      <w:pPr>
        <w:ind w:left="8556" w:hanging="360"/>
      </w:pPr>
      <w:rPr>
        <w:rFonts w:hint="default"/>
      </w:rPr>
    </w:lvl>
  </w:abstractNum>
  <w:abstractNum w:abstractNumId="12">
    <w:multiLevelType w:val="hybridMultilevel"/>
    <w:lvl w:ilvl="0">
      <w:start w:val="0"/>
      <w:numFmt w:val="bullet"/>
      <w:lvlText w:val="•"/>
      <w:lvlJc w:val="left"/>
      <w:pPr>
        <w:ind w:left="388" w:hanging="288"/>
      </w:pPr>
      <w:rPr>
        <w:rFonts w:hint="default" w:ascii="Arial" w:hAnsi="Arial" w:eastAsia="Arial" w:cs="Arial"/>
        <w:w w:val="99"/>
        <w:sz w:val="24"/>
        <w:szCs w:val="24"/>
      </w:rPr>
    </w:lvl>
    <w:lvl w:ilvl="1">
      <w:start w:val="0"/>
      <w:numFmt w:val="bullet"/>
      <w:lvlText w:val="•"/>
      <w:lvlJc w:val="left"/>
      <w:pPr>
        <w:ind w:left="675" w:hanging="288"/>
      </w:pPr>
      <w:rPr>
        <w:rFonts w:hint="default"/>
      </w:rPr>
    </w:lvl>
    <w:lvl w:ilvl="2">
      <w:start w:val="0"/>
      <w:numFmt w:val="bullet"/>
      <w:lvlText w:val="•"/>
      <w:lvlJc w:val="left"/>
      <w:pPr>
        <w:ind w:left="971" w:hanging="288"/>
      </w:pPr>
      <w:rPr>
        <w:rFonts w:hint="default"/>
      </w:rPr>
    </w:lvl>
    <w:lvl w:ilvl="3">
      <w:start w:val="0"/>
      <w:numFmt w:val="bullet"/>
      <w:lvlText w:val="•"/>
      <w:lvlJc w:val="left"/>
      <w:pPr>
        <w:ind w:left="1266" w:hanging="288"/>
      </w:pPr>
      <w:rPr>
        <w:rFonts w:hint="default"/>
      </w:rPr>
    </w:lvl>
    <w:lvl w:ilvl="4">
      <w:start w:val="0"/>
      <w:numFmt w:val="bullet"/>
      <w:lvlText w:val="•"/>
      <w:lvlJc w:val="left"/>
      <w:pPr>
        <w:ind w:left="1562" w:hanging="288"/>
      </w:pPr>
      <w:rPr>
        <w:rFonts w:hint="default"/>
      </w:rPr>
    </w:lvl>
    <w:lvl w:ilvl="5">
      <w:start w:val="0"/>
      <w:numFmt w:val="bullet"/>
      <w:lvlText w:val="•"/>
      <w:lvlJc w:val="left"/>
      <w:pPr>
        <w:ind w:left="1858" w:hanging="288"/>
      </w:pPr>
      <w:rPr>
        <w:rFonts w:hint="default"/>
      </w:rPr>
    </w:lvl>
    <w:lvl w:ilvl="6">
      <w:start w:val="0"/>
      <w:numFmt w:val="bullet"/>
      <w:lvlText w:val="•"/>
      <w:lvlJc w:val="left"/>
      <w:pPr>
        <w:ind w:left="2153" w:hanging="288"/>
      </w:pPr>
      <w:rPr>
        <w:rFonts w:hint="default"/>
      </w:rPr>
    </w:lvl>
    <w:lvl w:ilvl="7">
      <w:start w:val="0"/>
      <w:numFmt w:val="bullet"/>
      <w:lvlText w:val="•"/>
      <w:lvlJc w:val="left"/>
      <w:pPr>
        <w:ind w:left="2449" w:hanging="288"/>
      </w:pPr>
      <w:rPr>
        <w:rFonts w:hint="default"/>
      </w:rPr>
    </w:lvl>
    <w:lvl w:ilvl="8">
      <w:start w:val="0"/>
      <w:numFmt w:val="bullet"/>
      <w:lvlText w:val="•"/>
      <w:lvlJc w:val="left"/>
      <w:pPr>
        <w:ind w:left="2744" w:hanging="288"/>
      </w:pPr>
      <w:rPr>
        <w:rFonts w:hint="default"/>
      </w:rPr>
    </w:lvl>
  </w:abstractNum>
  <w:abstractNum w:abstractNumId="11">
    <w:multiLevelType w:val="hybridMultilevel"/>
    <w:lvl w:ilvl="0">
      <w:start w:val="0"/>
      <w:numFmt w:val="bullet"/>
      <w:lvlText w:val="•"/>
      <w:lvlJc w:val="left"/>
      <w:pPr>
        <w:ind w:left="388" w:hanging="288"/>
      </w:pPr>
      <w:rPr>
        <w:rFonts w:hint="default" w:ascii="Arial" w:hAnsi="Arial" w:eastAsia="Arial" w:cs="Arial"/>
        <w:w w:val="99"/>
        <w:sz w:val="24"/>
        <w:szCs w:val="24"/>
      </w:rPr>
    </w:lvl>
    <w:lvl w:ilvl="1">
      <w:start w:val="0"/>
      <w:numFmt w:val="bullet"/>
      <w:lvlText w:val="•"/>
      <w:lvlJc w:val="left"/>
      <w:pPr>
        <w:ind w:left="675" w:hanging="288"/>
      </w:pPr>
      <w:rPr>
        <w:rFonts w:hint="default"/>
      </w:rPr>
    </w:lvl>
    <w:lvl w:ilvl="2">
      <w:start w:val="0"/>
      <w:numFmt w:val="bullet"/>
      <w:lvlText w:val="•"/>
      <w:lvlJc w:val="left"/>
      <w:pPr>
        <w:ind w:left="971" w:hanging="288"/>
      </w:pPr>
      <w:rPr>
        <w:rFonts w:hint="default"/>
      </w:rPr>
    </w:lvl>
    <w:lvl w:ilvl="3">
      <w:start w:val="0"/>
      <w:numFmt w:val="bullet"/>
      <w:lvlText w:val="•"/>
      <w:lvlJc w:val="left"/>
      <w:pPr>
        <w:ind w:left="1266" w:hanging="288"/>
      </w:pPr>
      <w:rPr>
        <w:rFonts w:hint="default"/>
      </w:rPr>
    </w:lvl>
    <w:lvl w:ilvl="4">
      <w:start w:val="0"/>
      <w:numFmt w:val="bullet"/>
      <w:lvlText w:val="•"/>
      <w:lvlJc w:val="left"/>
      <w:pPr>
        <w:ind w:left="1562" w:hanging="288"/>
      </w:pPr>
      <w:rPr>
        <w:rFonts w:hint="default"/>
      </w:rPr>
    </w:lvl>
    <w:lvl w:ilvl="5">
      <w:start w:val="0"/>
      <w:numFmt w:val="bullet"/>
      <w:lvlText w:val="•"/>
      <w:lvlJc w:val="left"/>
      <w:pPr>
        <w:ind w:left="1858" w:hanging="288"/>
      </w:pPr>
      <w:rPr>
        <w:rFonts w:hint="default"/>
      </w:rPr>
    </w:lvl>
    <w:lvl w:ilvl="6">
      <w:start w:val="0"/>
      <w:numFmt w:val="bullet"/>
      <w:lvlText w:val="•"/>
      <w:lvlJc w:val="left"/>
      <w:pPr>
        <w:ind w:left="2153" w:hanging="288"/>
      </w:pPr>
      <w:rPr>
        <w:rFonts w:hint="default"/>
      </w:rPr>
    </w:lvl>
    <w:lvl w:ilvl="7">
      <w:start w:val="0"/>
      <w:numFmt w:val="bullet"/>
      <w:lvlText w:val="•"/>
      <w:lvlJc w:val="left"/>
      <w:pPr>
        <w:ind w:left="2449" w:hanging="288"/>
      </w:pPr>
      <w:rPr>
        <w:rFonts w:hint="default"/>
      </w:rPr>
    </w:lvl>
    <w:lvl w:ilvl="8">
      <w:start w:val="0"/>
      <w:numFmt w:val="bullet"/>
      <w:lvlText w:val="•"/>
      <w:lvlJc w:val="left"/>
      <w:pPr>
        <w:ind w:left="2744" w:hanging="288"/>
      </w:pPr>
      <w:rPr>
        <w:rFonts w:hint="default"/>
      </w:rPr>
    </w:lvl>
  </w:abstractNum>
  <w:abstractNum w:abstractNumId="10">
    <w:multiLevelType w:val="hybridMultilevel"/>
    <w:lvl w:ilvl="0">
      <w:start w:val="0"/>
      <w:numFmt w:val="bullet"/>
      <w:lvlText w:val=""/>
      <w:lvlJc w:val="left"/>
      <w:pPr>
        <w:ind w:left="376" w:hanging="276"/>
      </w:pPr>
      <w:rPr>
        <w:rFonts w:hint="default" w:ascii="Symbol" w:hAnsi="Symbol" w:eastAsia="Symbol" w:cs="Symbol"/>
        <w:w w:val="100"/>
        <w:sz w:val="23"/>
        <w:szCs w:val="23"/>
      </w:rPr>
    </w:lvl>
    <w:lvl w:ilvl="1">
      <w:start w:val="0"/>
      <w:numFmt w:val="bullet"/>
      <w:lvlText w:val="•"/>
      <w:lvlJc w:val="left"/>
      <w:pPr>
        <w:ind w:left="675" w:hanging="276"/>
      </w:pPr>
      <w:rPr>
        <w:rFonts w:hint="default"/>
      </w:rPr>
    </w:lvl>
    <w:lvl w:ilvl="2">
      <w:start w:val="0"/>
      <w:numFmt w:val="bullet"/>
      <w:lvlText w:val="•"/>
      <w:lvlJc w:val="left"/>
      <w:pPr>
        <w:ind w:left="971" w:hanging="276"/>
      </w:pPr>
      <w:rPr>
        <w:rFonts w:hint="default"/>
      </w:rPr>
    </w:lvl>
    <w:lvl w:ilvl="3">
      <w:start w:val="0"/>
      <w:numFmt w:val="bullet"/>
      <w:lvlText w:val="•"/>
      <w:lvlJc w:val="left"/>
      <w:pPr>
        <w:ind w:left="1266" w:hanging="276"/>
      </w:pPr>
      <w:rPr>
        <w:rFonts w:hint="default"/>
      </w:rPr>
    </w:lvl>
    <w:lvl w:ilvl="4">
      <w:start w:val="0"/>
      <w:numFmt w:val="bullet"/>
      <w:lvlText w:val="•"/>
      <w:lvlJc w:val="left"/>
      <w:pPr>
        <w:ind w:left="1562" w:hanging="276"/>
      </w:pPr>
      <w:rPr>
        <w:rFonts w:hint="default"/>
      </w:rPr>
    </w:lvl>
    <w:lvl w:ilvl="5">
      <w:start w:val="0"/>
      <w:numFmt w:val="bullet"/>
      <w:lvlText w:val="•"/>
      <w:lvlJc w:val="left"/>
      <w:pPr>
        <w:ind w:left="1858" w:hanging="276"/>
      </w:pPr>
      <w:rPr>
        <w:rFonts w:hint="default"/>
      </w:rPr>
    </w:lvl>
    <w:lvl w:ilvl="6">
      <w:start w:val="0"/>
      <w:numFmt w:val="bullet"/>
      <w:lvlText w:val="•"/>
      <w:lvlJc w:val="left"/>
      <w:pPr>
        <w:ind w:left="2153" w:hanging="276"/>
      </w:pPr>
      <w:rPr>
        <w:rFonts w:hint="default"/>
      </w:rPr>
    </w:lvl>
    <w:lvl w:ilvl="7">
      <w:start w:val="0"/>
      <w:numFmt w:val="bullet"/>
      <w:lvlText w:val="•"/>
      <w:lvlJc w:val="left"/>
      <w:pPr>
        <w:ind w:left="2449" w:hanging="276"/>
      </w:pPr>
      <w:rPr>
        <w:rFonts w:hint="default"/>
      </w:rPr>
    </w:lvl>
    <w:lvl w:ilvl="8">
      <w:start w:val="0"/>
      <w:numFmt w:val="bullet"/>
      <w:lvlText w:val="•"/>
      <w:lvlJc w:val="left"/>
      <w:pPr>
        <w:ind w:left="2744" w:hanging="276"/>
      </w:pPr>
      <w:rPr>
        <w:rFonts w:hint="default"/>
      </w:rPr>
    </w:lvl>
  </w:abstractNum>
  <w:abstractNum w:abstractNumId="9">
    <w:multiLevelType w:val="hybridMultilevel"/>
    <w:lvl w:ilvl="0">
      <w:start w:val="0"/>
      <w:numFmt w:val="bullet"/>
      <w:lvlText w:val="•"/>
      <w:lvlJc w:val="left"/>
      <w:pPr>
        <w:ind w:left="391" w:hanging="288"/>
      </w:pPr>
      <w:rPr>
        <w:rFonts w:hint="default" w:ascii="Arial" w:hAnsi="Arial" w:eastAsia="Arial" w:cs="Arial"/>
        <w:w w:val="99"/>
        <w:sz w:val="24"/>
        <w:szCs w:val="24"/>
      </w:rPr>
    </w:lvl>
    <w:lvl w:ilvl="1">
      <w:start w:val="0"/>
      <w:numFmt w:val="bullet"/>
      <w:lvlText w:val="•"/>
      <w:lvlJc w:val="left"/>
      <w:pPr>
        <w:ind w:left="709" w:hanging="288"/>
      </w:pPr>
      <w:rPr>
        <w:rFonts w:hint="default"/>
      </w:rPr>
    </w:lvl>
    <w:lvl w:ilvl="2">
      <w:start w:val="0"/>
      <w:numFmt w:val="bullet"/>
      <w:lvlText w:val="•"/>
      <w:lvlJc w:val="left"/>
      <w:pPr>
        <w:ind w:left="1019" w:hanging="288"/>
      </w:pPr>
      <w:rPr>
        <w:rFonts w:hint="default"/>
      </w:rPr>
    </w:lvl>
    <w:lvl w:ilvl="3">
      <w:start w:val="0"/>
      <w:numFmt w:val="bullet"/>
      <w:lvlText w:val="•"/>
      <w:lvlJc w:val="left"/>
      <w:pPr>
        <w:ind w:left="1329" w:hanging="288"/>
      </w:pPr>
      <w:rPr>
        <w:rFonts w:hint="default"/>
      </w:rPr>
    </w:lvl>
    <w:lvl w:ilvl="4">
      <w:start w:val="0"/>
      <w:numFmt w:val="bullet"/>
      <w:lvlText w:val="•"/>
      <w:lvlJc w:val="left"/>
      <w:pPr>
        <w:ind w:left="1638" w:hanging="288"/>
      </w:pPr>
      <w:rPr>
        <w:rFonts w:hint="default"/>
      </w:rPr>
    </w:lvl>
    <w:lvl w:ilvl="5">
      <w:start w:val="0"/>
      <w:numFmt w:val="bullet"/>
      <w:lvlText w:val="•"/>
      <w:lvlJc w:val="left"/>
      <w:pPr>
        <w:ind w:left="1948" w:hanging="288"/>
      </w:pPr>
      <w:rPr>
        <w:rFonts w:hint="default"/>
      </w:rPr>
    </w:lvl>
    <w:lvl w:ilvl="6">
      <w:start w:val="0"/>
      <w:numFmt w:val="bullet"/>
      <w:lvlText w:val="•"/>
      <w:lvlJc w:val="left"/>
      <w:pPr>
        <w:ind w:left="2258" w:hanging="288"/>
      </w:pPr>
      <w:rPr>
        <w:rFonts w:hint="default"/>
      </w:rPr>
    </w:lvl>
    <w:lvl w:ilvl="7">
      <w:start w:val="0"/>
      <w:numFmt w:val="bullet"/>
      <w:lvlText w:val="•"/>
      <w:lvlJc w:val="left"/>
      <w:pPr>
        <w:ind w:left="2567" w:hanging="288"/>
      </w:pPr>
      <w:rPr>
        <w:rFonts w:hint="default"/>
      </w:rPr>
    </w:lvl>
    <w:lvl w:ilvl="8">
      <w:start w:val="0"/>
      <w:numFmt w:val="bullet"/>
      <w:lvlText w:val="•"/>
      <w:lvlJc w:val="left"/>
      <w:pPr>
        <w:ind w:left="2877" w:hanging="288"/>
      </w:pPr>
      <w:rPr>
        <w:rFonts w:hint="default"/>
      </w:rPr>
    </w:lvl>
  </w:abstractNum>
  <w:abstractNum w:abstractNumId="8">
    <w:multiLevelType w:val="hybridMultilevel"/>
    <w:lvl w:ilvl="0">
      <w:start w:val="1"/>
      <w:numFmt w:val="decimal"/>
      <w:lvlText w:val="%1."/>
      <w:lvlJc w:val="left"/>
      <w:pPr>
        <w:ind w:left="1180" w:hanging="360"/>
        <w:jc w:val="left"/>
      </w:pPr>
      <w:rPr>
        <w:rFonts w:hint="default" w:ascii="Arial" w:hAnsi="Arial" w:eastAsia="Arial" w:cs="Arial"/>
        <w:spacing w:val="-3"/>
        <w:w w:val="99"/>
        <w:sz w:val="24"/>
        <w:szCs w:val="24"/>
      </w:rPr>
    </w:lvl>
    <w:lvl w:ilvl="1">
      <w:start w:val="0"/>
      <w:numFmt w:val="bullet"/>
      <w:lvlText w:val="•"/>
      <w:lvlJc w:val="left"/>
      <w:pPr>
        <w:ind w:left="2086" w:hanging="360"/>
      </w:pPr>
      <w:rPr>
        <w:rFonts w:hint="default"/>
      </w:rPr>
    </w:lvl>
    <w:lvl w:ilvl="2">
      <w:start w:val="0"/>
      <w:numFmt w:val="bullet"/>
      <w:lvlText w:val="•"/>
      <w:lvlJc w:val="left"/>
      <w:pPr>
        <w:ind w:left="2992" w:hanging="360"/>
      </w:pPr>
      <w:rPr>
        <w:rFonts w:hint="default"/>
      </w:rPr>
    </w:lvl>
    <w:lvl w:ilvl="3">
      <w:start w:val="0"/>
      <w:numFmt w:val="bullet"/>
      <w:lvlText w:val="•"/>
      <w:lvlJc w:val="left"/>
      <w:pPr>
        <w:ind w:left="3898" w:hanging="360"/>
      </w:pPr>
      <w:rPr>
        <w:rFonts w:hint="default"/>
      </w:rPr>
    </w:lvl>
    <w:lvl w:ilvl="4">
      <w:start w:val="0"/>
      <w:numFmt w:val="bullet"/>
      <w:lvlText w:val="•"/>
      <w:lvlJc w:val="left"/>
      <w:pPr>
        <w:ind w:left="4804" w:hanging="360"/>
      </w:pPr>
      <w:rPr>
        <w:rFonts w:hint="default"/>
      </w:rPr>
    </w:lvl>
    <w:lvl w:ilvl="5">
      <w:start w:val="0"/>
      <w:numFmt w:val="bullet"/>
      <w:lvlText w:val="•"/>
      <w:lvlJc w:val="left"/>
      <w:pPr>
        <w:ind w:left="5710" w:hanging="360"/>
      </w:pPr>
      <w:rPr>
        <w:rFonts w:hint="default"/>
      </w:rPr>
    </w:lvl>
    <w:lvl w:ilvl="6">
      <w:start w:val="0"/>
      <w:numFmt w:val="bullet"/>
      <w:lvlText w:val="•"/>
      <w:lvlJc w:val="left"/>
      <w:pPr>
        <w:ind w:left="6616" w:hanging="360"/>
      </w:pPr>
      <w:rPr>
        <w:rFonts w:hint="default"/>
      </w:rPr>
    </w:lvl>
    <w:lvl w:ilvl="7">
      <w:start w:val="0"/>
      <w:numFmt w:val="bullet"/>
      <w:lvlText w:val="•"/>
      <w:lvlJc w:val="left"/>
      <w:pPr>
        <w:ind w:left="7522" w:hanging="360"/>
      </w:pPr>
      <w:rPr>
        <w:rFonts w:hint="default"/>
      </w:rPr>
    </w:lvl>
    <w:lvl w:ilvl="8">
      <w:start w:val="0"/>
      <w:numFmt w:val="bullet"/>
      <w:lvlText w:val="•"/>
      <w:lvlJc w:val="left"/>
      <w:pPr>
        <w:ind w:left="8428" w:hanging="360"/>
      </w:pPr>
      <w:rPr>
        <w:rFonts w:hint="default"/>
      </w:rPr>
    </w:lvl>
  </w:abstractNum>
  <w:abstractNum w:abstractNumId="7">
    <w:multiLevelType w:val="hybridMultilevel"/>
    <w:lvl w:ilvl="0">
      <w:start w:val="1"/>
      <w:numFmt w:val="decimal"/>
      <w:lvlText w:val="%1."/>
      <w:lvlJc w:val="left"/>
      <w:pPr>
        <w:ind w:left="1180" w:hanging="360"/>
        <w:jc w:val="left"/>
      </w:pPr>
      <w:rPr>
        <w:rFonts w:hint="default" w:ascii="Arial" w:hAnsi="Arial" w:eastAsia="Arial" w:cs="Arial"/>
        <w:spacing w:val="-3"/>
        <w:w w:val="99"/>
        <w:sz w:val="24"/>
        <w:szCs w:val="24"/>
      </w:rPr>
    </w:lvl>
    <w:lvl w:ilvl="1">
      <w:start w:val="1"/>
      <w:numFmt w:val="lowerLetter"/>
      <w:lvlText w:val="%2."/>
      <w:lvlJc w:val="left"/>
      <w:pPr>
        <w:ind w:left="1540" w:hanging="360"/>
        <w:jc w:val="left"/>
      </w:pPr>
      <w:rPr>
        <w:rFonts w:hint="default" w:ascii="Arial" w:hAnsi="Arial" w:eastAsia="Arial" w:cs="Arial"/>
        <w:spacing w:val="-4"/>
        <w:w w:val="99"/>
        <w:sz w:val="24"/>
        <w:szCs w:val="24"/>
      </w:rPr>
    </w:lvl>
    <w:lvl w:ilvl="2">
      <w:start w:val="1"/>
      <w:numFmt w:val="decimal"/>
      <w:lvlText w:val="(%3)"/>
      <w:lvlJc w:val="left"/>
      <w:pPr>
        <w:ind w:left="1900" w:hanging="360"/>
        <w:jc w:val="left"/>
      </w:pPr>
      <w:rPr>
        <w:rFonts w:hint="default" w:ascii="Arial" w:hAnsi="Arial" w:eastAsia="Arial" w:cs="Arial"/>
        <w:spacing w:val="-1"/>
        <w:w w:val="99"/>
        <w:sz w:val="24"/>
        <w:szCs w:val="24"/>
      </w:rPr>
    </w:lvl>
    <w:lvl w:ilvl="3">
      <w:start w:val="0"/>
      <w:numFmt w:val="bullet"/>
      <w:lvlText w:val="•"/>
      <w:lvlJc w:val="left"/>
      <w:pPr>
        <w:ind w:left="2945" w:hanging="360"/>
      </w:pPr>
      <w:rPr>
        <w:rFonts w:hint="default"/>
      </w:rPr>
    </w:lvl>
    <w:lvl w:ilvl="4">
      <w:start w:val="0"/>
      <w:numFmt w:val="bullet"/>
      <w:lvlText w:val="•"/>
      <w:lvlJc w:val="left"/>
      <w:pPr>
        <w:ind w:left="3990" w:hanging="360"/>
      </w:pPr>
      <w:rPr>
        <w:rFonts w:hint="default"/>
      </w:rPr>
    </w:lvl>
    <w:lvl w:ilvl="5">
      <w:start w:val="0"/>
      <w:numFmt w:val="bullet"/>
      <w:lvlText w:val="•"/>
      <w:lvlJc w:val="left"/>
      <w:pPr>
        <w:ind w:left="5035" w:hanging="360"/>
      </w:pPr>
      <w:rPr>
        <w:rFonts w:hint="default"/>
      </w:rPr>
    </w:lvl>
    <w:lvl w:ilvl="6">
      <w:start w:val="0"/>
      <w:numFmt w:val="bullet"/>
      <w:lvlText w:val="•"/>
      <w:lvlJc w:val="left"/>
      <w:pPr>
        <w:ind w:left="6080" w:hanging="360"/>
      </w:pPr>
      <w:rPr>
        <w:rFonts w:hint="default"/>
      </w:rPr>
    </w:lvl>
    <w:lvl w:ilvl="7">
      <w:start w:val="0"/>
      <w:numFmt w:val="bullet"/>
      <w:lvlText w:val="•"/>
      <w:lvlJc w:val="left"/>
      <w:pPr>
        <w:ind w:left="7125" w:hanging="360"/>
      </w:pPr>
      <w:rPr>
        <w:rFonts w:hint="default"/>
      </w:rPr>
    </w:lvl>
    <w:lvl w:ilvl="8">
      <w:start w:val="0"/>
      <w:numFmt w:val="bullet"/>
      <w:lvlText w:val="•"/>
      <w:lvlJc w:val="left"/>
      <w:pPr>
        <w:ind w:left="8170" w:hanging="360"/>
      </w:pPr>
      <w:rPr>
        <w:rFonts w:hint="default"/>
      </w:rPr>
    </w:lvl>
  </w:abstractNum>
  <w:abstractNum w:abstractNumId="6">
    <w:multiLevelType w:val="hybridMultilevel"/>
    <w:lvl w:ilvl="0">
      <w:start w:val="1"/>
      <w:numFmt w:val="decimal"/>
      <w:lvlText w:val="%1."/>
      <w:lvlJc w:val="left"/>
      <w:pPr>
        <w:ind w:left="1180" w:hanging="360"/>
        <w:jc w:val="left"/>
      </w:pPr>
      <w:rPr>
        <w:rFonts w:hint="default" w:ascii="Arial" w:hAnsi="Arial" w:eastAsia="Arial" w:cs="Arial"/>
        <w:spacing w:val="-4"/>
        <w:w w:val="99"/>
        <w:sz w:val="24"/>
        <w:szCs w:val="24"/>
      </w:rPr>
    </w:lvl>
    <w:lvl w:ilvl="1">
      <w:start w:val="0"/>
      <w:numFmt w:val="bullet"/>
      <w:lvlText w:val="•"/>
      <w:lvlJc w:val="left"/>
      <w:pPr>
        <w:ind w:left="2092" w:hanging="360"/>
      </w:pPr>
      <w:rPr>
        <w:rFonts w:hint="default"/>
      </w:rPr>
    </w:lvl>
    <w:lvl w:ilvl="2">
      <w:start w:val="0"/>
      <w:numFmt w:val="bullet"/>
      <w:lvlText w:val="•"/>
      <w:lvlJc w:val="left"/>
      <w:pPr>
        <w:ind w:left="3004" w:hanging="360"/>
      </w:pPr>
      <w:rPr>
        <w:rFonts w:hint="default"/>
      </w:rPr>
    </w:lvl>
    <w:lvl w:ilvl="3">
      <w:start w:val="0"/>
      <w:numFmt w:val="bullet"/>
      <w:lvlText w:val="•"/>
      <w:lvlJc w:val="left"/>
      <w:pPr>
        <w:ind w:left="3916" w:hanging="360"/>
      </w:pPr>
      <w:rPr>
        <w:rFonts w:hint="default"/>
      </w:rPr>
    </w:lvl>
    <w:lvl w:ilvl="4">
      <w:start w:val="0"/>
      <w:numFmt w:val="bullet"/>
      <w:lvlText w:val="•"/>
      <w:lvlJc w:val="left"/>
      <w:pPr>
        <w:ind w:left="4828"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652" w:hanging="360"/>
      </w:pPr>
      <w:rPr>
        <w:rFonts w:hint="default"/>
      </w:rPr>
    </w:lvl>
    <w:lvl w:ilvl="7">
      <w:start w:val="0"/>
      <w:numFmt w:val="bullet"/>
      <w:lvlText w:val="•"/>
      <w:lvlJc w:val="left"/>
      <w:pPr>
        <w:ind w:left="7564" w:hanging="360"/>
      </w:pPr>
      <w:rPr>
        <w:rFonts w:hint="default"/>
      </w:rPr>
    </w:lvl>
    <w:lvl w:ilvl="8">
      <w:start w:val="0"/>
      <w:numFmt w:val="bullet"/>
      <w:lvlText w:val="•"/>
      <w:lvlJc w:val="left"/>
      <w:pPr>
        <w:ind w:left="8476" w:hanging="360"/>
      </w:pPr>
      <w:rPr>
        <w:rFonts w:hint="default"/>
      </w:rPr>
    </w:lvl>
  </w:abstractNum>
  <w:abstractNum w:abstractNumId="5">
    <w:multiLevelType w:val="hybridMultilevel"/>
    <w:lvl w:ilvl="0">
      <w:start w:val="14"/>
      <w:numFmt w:val="decimal"/>
      <w:lvlText w:val="%1."/>
      <w:lvlJc w:val="left"/>
      <w:pPr>
        <w:ind w:left="1540" w:hanging="360"/>
        <w:jc w:val="left"/>
      </w:pPr>
      <w:rPr>
        <w:rFonts w:hint="default"/>
        <w:w w:val="99"/>
        <w:u w:val="single" w:color="B5082E"/>
      </w:rPr>
    </w:lvl>
    <w:lvl w:ilvl="1">
      <w:start w:val="0"/>
      <w:numFmt w:val="bullet"/>
      <w:lvlText w:val="•"/>
      <w:lvlJc w:val="left"/>
      <w:pPr>
        <w:ind w:left="2414" w:hanging="360"/>
      </w:pPr>
      <w:rPr>
        <w:rFonts w:hint="default"/>
      </w:rPr>
    </w:lvl>
    <w:lvl w:ilvl="2">
      <w:start w:val="0"/>
      <w:numFmt w:val="bullet"/>
      <w:lvlText w:val="•"/>
      <w:lvlJc w:val="left"/>
      <w:pPr>
        <w:ind w:left="3288" w:hanging="360"/>
      </w:pPr>
      <w:rPr>
        <w:rFonts w:hint="default"/>
      </w:rPr>
    </w:lvl>
    <w:lvl w:ilvl="3">
      <w:start w:val="0"/>
      <w:numFmt w:val="bullet"/>
      <w:lvlText w:val="•"/>
      <w:lvlJc w:val="left"/>
      <w:pPr>
        <w:ind w:left="4162" w:hanging="360"/>
      </w:pPr>
      <w:rPr>
        <w:rFonts w:hint="default"/>
      </w:rPr>
    </w:lvl>
    <w:lvl w:ilvl="4">
      <w:start w:val="0"/>
      <w:numFmt w:val="bullet"/>
      <w:lvlText w:val="•"/>
      <w:lvlJc w:val="left"/>
      <w:pPr>
        <w:ind w:left="5036" w:hanging="360"/>
      </w:pPr>
      <w:rPr>
        <w:rFonts w:hint="default"/>
      </w:rPr>
    </w:lvl>
    <w:lvl w:ilvl="5">
      <w:start w:val="0"/>
      <w:numFmt w:val="bullet"/>
      <w:lvlText w:val="•"/>
      <w:lvlJc w:val="left"/>
      <w:pPr>
        <w:ind w:left="5910" w:hanging="360"/>
      </w:pPr>
      <w:rPr>
        <w:rFonts w:hint="default"/>
      </w:rPr>
    </w:lvl>
    <w:lvl w:ilvl="6">
      <w:start w:val="0"/>
      <w:numFmt w:val="bullet"/>
      <w:lvlText w:val="•"/>
      <w:lvlJc w:val="left"/>
      <w:pPr>
        <w:ind w:left="6784" w:hanging="360"/>
      </w:pPr>
      <w:rPr>
        <w:rFonts w:hint="default"/>
      </w:rPr>
    </w:lvl>
    <w:lvl w:ilvl="7">
      <w:start w:val="0"/>
      <w:numFmt w:val="bullet"/>
      <w:lvlText w:val="•"/>
      <w:lvlJc w:val="left"/>
      <w:pPr>
        <w:ind w:left="7658" w:hanging="360"/>
      </w:pPr>
      <w:rPr>
        <w:rFonts w:hint="default"/>
      </w:rPr>
    </w:lvl>
    <w:lvl w:ilvl="8">
      <w:start w:val="0"/>
      <w:numFmt w:val="bullet"/>
      <w:lvlText w:val="•"/>
      <w:lvlJc w:val="left"/>
      <w:pPr>
        <w:ind w:left="8532" w:hanging="360"/>
      </w:pPr>
      <w:rPr>
        <w:rFonts w:hint="default"/>
      </w:rPr>
    </w:lvl>
  </w:abstractNum>
  <w:abstractNum w:abstractNumId="4">
    <w:multiLevelType w:val="hybridMultilevel"/>
    <w:lvl w:ilvl="0">
      <w:start w:val="1"/>
      <w:numFmt w:val="decimal"/>
      <w:lvlText w:val="%1."/>
      <w:lvlJc w:val="left"/>
      <w:pPr>
        <w:ind w:left="1540" w:hanging="360"/>
        <w:jc w:val="left"/>
      </w:pPr>
      <w:rPr>
        <w:rFonts w:hint="default"/>
        <w:spacing w:val="-4"/>
        <w:w w:val="99"/>
      </w:rPr>
    </w:lvl>
    <w:lvl w:ilvl="1">
      <w:start w:val="0"/>
      <w:numFmt w:val="bullet"/>
      <w:lvlText w:val="•"/>
      <w:lvlJc w:val="left"/>
      <w:pPr>
        <w:ind w:left="10000" w:hanging="360"/>
      </w:pPr>
      <w:rPr>
        <w:rFonts w:hint="default"/>
      </w:rPr>
    </w:lvl>
    <w:lvl w:ilvl="2">
      <w:start w:val="0"/>
      <w:numFmt w:val="bullet"/>
      <w:lvlText w:val="•"/>
      <w:lvlJc w:val="left"/>
      <w:pPr>
        <w:ind w:left="10026" w:hanging="360"/>
      </w:pPr>
      <w:rPr>
        <w:rFonts w:hint="default"/>
      </w:rPr>
    </w:lvl>
    <w:lvl w:ilvl="3">
      <w:start w:val="0"/>
      <w:numFmt w:val="bullet"/>
      <w:lvlText w:val="•"/>
      <w:lvlJc w:val="left"/>
      <w:pPr>
        <w:ind w:left="10053" w:hanging="360"/>
      </w:pPr>
      <w:rPr>
        <w:rFonts w:hint="default"/>
      </w:rPr>
    </w:lvl>
    <w:lvl w:ilvl="4">
      <w:start w:val="0"/>
      <w:numFmt w:val="bullet"/>
      <w:lvlText w:val="•"/>
      <w:lvlJc w:val="left"/>
      <w:pPr>
        <w:ind w:left="10080" w:hanging="360"/>
      </w:pPr>
      <w:rPr>
        <w:rFonts w:hint="default"/>
      </w:rPr>
    </w:lvl>
    <w:lvl w:ilvl="5">
      <w:start w:val="0"/>
      <w:numFmt w:val="bullet"/>
      <w:lvlText w:val="•"/>
      <w:lvlJc w:val="left"/>
      <w:pPr>
        <w:ind w:left="10106" w:hanging="360"/>
      </w:pPr>
      <w:rPr>
        <w:rFonts w:hint="default"/>
      </w:rPr>
    </w:lvl>
    <w:lvl w:ilvl="6">
      <w:start w:val="0"/>
      <w:numFmt w:val="bullet"/>
      <w:lvlText w:val="•"/>
      <w:lvlJc w:val="left"/>
      <w:pPr>
        <w:ind w:left="10133" w:hanging="360"/>
      </w:pPr>
      <w:rPr>
        <w:rFonts w:hint="default"/>
      </w:rPr>
    </w:lvl>
    <w:lvl w:ilvl="7">
      <w:start w:val="0"/>
      <w:numFmt w:val="bullet"/>
      <w:lvlText w:val="•"/>
      <w:lvlJc w:val="left"/>
      <w:pPr>
        <w:ind w:left="10160" w:hanging="360"/>
      </w:pPr>
      <w:rPr>
        <w:rFonts w:hint="default"/>
      </w:rPr>
    </w:lvl>
    <w:lvl w:ilvl="8">
      <w:start w:val="0"/>
      <w:numFmt w:val="bullet"/>
      <w:lvlText w:val="•"/>
      <w:lvlJc w:val="left"/>
      <w:pPr>
        <w:ind w:left="10186" w:hanging="360"/>
      </w:pPr>
      <w:rPr>
        <w:rFonts w:hint="default"/>
      </w:rPr>
    </w:lvl>
  </w:abstractNum>
  <w:abstractNum w:abstractNumId="3">
    <w:multiLevelType w:val="hybridMultilevel"/>
    <w:lvl w:ilvl="0">
      <w:start w:val="1"/>
      <w:numFmt w:val="decimal"/>
      <w:lvlText w:val="%1."/>
      <w:lvlJc w:val="left"/>
      <w:pPr>
        <w:ind w:left="1609" w:hanging="360"/>
        <w:jc w:val="right"/>
      </w:pPr>
      <w:rPr>
        <w:rFonts w:hint="default" w:ascii="Arial" w:hAnsi="Arial" w:eastAsia="Arial" w:cs="Arial"/>
        <w:spacing w:val="-4"/>
        <w:w w:val="99"/>
        <w:sz w:val="24"/>
        <w:szCs w:val="24"/>
      </w:rPr>
    </w:lvl>
    <w:lvl w:ilvl="1">
      <w:start w:val="1"/>
      <w:numFmt w:val="lowerLetter"/>
      <w:lvlText w:val="%2."/>
      <w:lvlJc w:val="left"/>
      <w:pPr>
        <w:ind w:left="2329" w:hanging="360"/>
        <w:jc w:val="left"/>
      </w:pPr>
      <w:rPr>
        <w:rFonts w:hint="default" w:ascii="Arial" w:hAnsi="Arial" w:eastAsia="Arial" w:cs="Arial"/>
        <w:spacing w:val="-4"/>
        <w:w w:val="99"/>
        <w:sz w:val="24"/>
        <w:szCs w:val="24"/>
      </w:rPr>
    </w:lvl>
    <w:lvl w:ilvl="2">
      <w:start w:val="0"/>
      <w:numFmt w:val="bullet"/>
      <w:lvlText w:val="•"/>
      <w:lvlJc w:val="left"/>
      <w:pPr>
        <w:ind w:left="3204" w:hanging="360"/>
      </w:pPr>
      <w:rPr>
        <w:rFonts w:hint="default"/>
      </w:rPr>
    </w:lvl>
    <w:lvl w:ilvl="3">
      <w:start w:val="0"/>
      <w:numFmt w:val="bullet"/>
      <w:lvlText w:val="•"/>
      <w:lvlJc w:val="left"/>
      <w:pPr>
        <w:ind w:left="4088" w:hanging="360"/>
      </w:pPr>
      <w:rPr>
        <w:rFonts w:hint="default"/>
      </w:rPr>
    </w:lvl>
    <w:lvl w:ilvl="4">
      <w:start w:val="0"/>
      <w:numFmt w:val="bullet"/>
      <w:lvlText w:val="•"/>
      <w:lvlJc w:val="left"/>
      <w:pPr>
        <w:ind w:left="4973" w:hanging="360"/>
      </w:pPr>
      <w:rPr>
        <w:rFonts w:hint="default"/>
      </w:rPr>
    </w:lvl>
    <w:lvl w:ilvl="5">
      <w:start w:val="0"/>
      <w:numFmt w:val="bullet"/>
      <w:lvlText w:val="•"/>
      <w:lvlJc w:val="left"/>
      <w:pPr>
        <w:ind w:left="5857" w:hanging="360"/>
      </w:pPr>
      <w:rPr>
        <w:rFonts w:hint="default"/>
      </w:rPr>
    </w:lvl>
    <w:lvl w:ilvl="6">
      <w:start w:val="0"/>
      <w:numFmt w:val="bullet"/>
      <w:lvlText w:val="•"/>
      <w:lvlJc w:val="left"/>
      <w:pPr>
        <w:ind w:left="6742" w:hanging="360"/>
      </w:pPr>
      <w:rPr>
        <w:rFonts w:hint="default"/>
      </w:rPr>
    </w:lvl>
    <w:lvl w:ilvl="7">
      <w:start w:val="0"/>
      <w:numFmt w:val="bullet"/>
      <w:lvlText w:val="•"/>
      <w:lvlJc w:val="left"/>
      <w:pPr>
        <w:ind w:left="7626" w:hanging="360"/>
      </w:pPr>
      <w:rPr>
        <w:rFonts w:hint="default"/>
      </w:rPr>
    </w:lvl>
    <w:lvl w:ilvl="8">
      <w:start w:val="0"/>
      <w:numFmt w:val="bullet"/>
      <w:lvlText w:val="•"/>
      <w:lvlJc w:val="left"/>
      <w:pPr>
        <w:ind w:left="8511" w:hanging="360"/>
      </w:pPr>
      <w:rPr>
        <w:rFonts w:hint="default"/>
      </w:rPr>
    </w:lvl>
  </w:abstractNum>
  <w:abstractNum w:abstractNumId="2">
    <w:multiLevelType w:val="hybridMultilevel"/>
    <w:lvl w:ilvl="0">
      <w:start w:val="0"/>
      <w:numFmt w:val="bullet"/>
      <w:lvlText w:val=""/>
      <w:lvlJc w:val="left"/>
      <w:pPr>
        <w:ind w:left="823" w:hanging="361"/>
      </w:pPr>
      <w:rPr>
        <w:rFonts w:hint="default" w:ascii="Symbol" w:hAnsi="Symbol" w:eastAsia="Symbol" w:cs="Symbol"/>
        <w:w w:val="100"/>
        <w:sz w:val="22"/>
        <w:szCs w:val="22"/>
      </w:rPr>
    </w:lvl>
    <w:lvl w:ilvl="1">
      <w:start w:val="0"/>
      <w:numFmt w:val="bullet"/>
      <w:lvlText w:val="o"/>
      <w:lvlJc w:val="left"/>
      <w:pPr>
        <w:ind w:left="1543" w:hanging="361"/>
      </w:pPr>
      <w:rPr>
        <w:rFonts w:hint="default" w:ascii="Courier New" w:hAnsi="Courier New" w:eastAsia="Courier New" w:cs="Courier New"/>
        <w:w w:val="100"/>
        <w:sz w:val="22"/>
        <w:szCs w:val="22"/>
      </w:rPr>
    </w:lvl>
    <w:lvl w:ilvl="2">
      <w:start w:val="0"/>
      <w:numFmt w:val="bullet"/>
      <w:lvlText w:val="•"/>
      <w:lvlJc w:val="left"/>
      <w:pPr>
        <w:ind w:left="2063" w:hanging="361"/>
      </w:pPr>
      <w:rPr>
        <w:rFonts w:hint="default"/>
      </w:rPr>
    </w:lvl>
    <w:lvl w:ilvl="3">
      <w:start w:val="0"/>
      <w:numFmt w:val="bullet"/>
      <w:lvlText w:val="•"/>
      <w:lvlJc w:val="left"/>
      <w:pPr>
        <w:ind w:left="2586" w:hanging="361"/>
      </w:pPr>
      <w:rPr>
        <w:rFonts w:hint="default"/>
      </w:rPr>
    </w:lvl>
    <w:lvl w:ilvl="4">
      <w:start w:val="0"/>
      <w:numFmt w:val="bullet"/>
      <w:lvlText w:val="•"/>
      <w:lvlJc w:val="left"/>
      <w:pPr>
        <w:ind w:left="3109" w:hanging="361"/>
      </w:pPr>
      <w:rPr>
        <w:rFonts w:hint="default"/>
      </w:rPr>
    </w:lvl>
    <w:lvl w:ilvl="5">
      <w:start w:val="0"/>
      <w:numFmt w:val="bullet"/>
      <w:lvlText w:val="•"/>
      <w:lvlJc w:val="left"/>
      <w:pPr>
        <w:ind w:left="3632" w:hanging="361"/>
      </w:pPr>
      <w:rPr>
        <w:rFonts w:hint="default"/>
      </w:rPr>
    </w:lvl>
    <w:lvl w:ilvl="6">
      <w:start w:val="0"/>
      <w:numFmt w:val="bullet"/>
      <w:lvlText w:val="•"/>
      <w:lvlJc w:val="left"/>
      <w:pPr>
        <w:ind w:left="4155" w:hanging="361"/>
      </w:pPr>
      <w:rPr>
        <w:rFonts w:hint="default"/>
      </w:rPr>
    </w:lvl>
    <w:lvl w:ilvl="7">
      <w:start w:val="0"/>
      <w:numFmt w:val="bullet"/>
      <w:lvlText w:val="•"/>
      <w:lvlJc w:val="left"/>
      <w:pPr>
        <w:ind w:left="4678" w:hanging="361"/>
      </w:pPr>
      <w:rPr>
        <w:rFonts w:hint="default"/>
      </w:rPr>
    </w:lvl>
    <w:lvl w:ilvl="8">
      <w:start w:val="0"/>
      <w:numFmt w:val="bullet"/>
      <w:lvlText w:val="•"/>
      <w:lvlJc w:val="left"/>
      <w:pPr>
        <w:ind w:left="5201" w:hanging="361"/>
      </w:pPr>
      <w:rPr>
        <w:rFonts w:hint="default"/>
      </w:rPr>
    </w:lvl>
  </w:abstractNum>
  <w:abstractNum w:abstractNumId="1">
    <w:multiLevelType w:val="hybridMultilevel"/>
    <w:lvl w:ilvl="0">
      <w:start w:val="0"/>
      <w:numFmt w:val="bullet"/>
      <w:lvlText w:val=""/>
      <w:lvlJc w:val="left"/>
      <w:pPr>
        <w:ind w:left="823" w:hanging="360"/>
      </w:pPr>
      <w:rPr>
        <w:rFonts w:hint="default" w:ascii="Symbol" w:hAnsi="Symbol" w:eastAsia="Symbol" w:cs="Symbol"/>
        <w:w w:val="100"/>
        <w:sz w:val="24"/>
        <w:szCs w:val="24"/>
      </w:rPr>
    </w:lvl>
    <w:lvl w:ilvl="1">
      <w:start w:val="0"/>
      <w:numFmt w:val="bullet"/>
      <w:lvlText w:val="•"/>
      <w:lvlJc w:val="left"/>
      <w:pPr>
        <w:ind w:left="1362" w:hanging="360"/>
      </w:pPr>
      <w:rPr>
        <w:rFonts w:hint="default"/>
      </w:rPr>
    </w:lvl>
    <w:lvl w:ilvl="2">
      <w:start w:val="0"/>
      <w:numFmt w:val="bullet"/>
      <w:lvlText w:val="•"/>
      <w:lvlJc w:val="left"/>
      <w:pPr>
        <w:ind w:left="1905" w:hanging="360"/>
      </w:pPr>
      <w:rPr>
        <w:rFonts w:hint="default"/>
      </w:rPr>
    </w:lvl>
    <w:lvl w:ilvl="3">
      <w:start w:val="0"/>
      <w:numFmt w:val="bullet"/>
      <w:lvlText w:val="•"/>
      <w:lvlJc w:val="left"/>
      <w:pPr>
        <w:ind w:left="2448" w:hanging="360"/>
      </w:pPr>
      <w:rPr>
        <w:rFonts w:hint="default"/>
      </w:rPr>
    </w:lvl>
    <w:lvl w:ilvl="4">
      <w:start w:val="0"/>
      <w:numFmt w:val="bullet"/>
      <w:lvlText w:val="•"/>
      <w:lvlJc w:val="left"/>
      <w:pPr>
        <w:ind w:left="2990" w:hanging="360"/>
      </w:pPr>
      <w:rPr>
        <w:rFonts w:hint="default"/>
      </w:rPr>
    </w:lvl>
    <w:lvl w:ilvl="5">
      <w:start w:val="0"/>
      <w:numFmt w:val="bullet"/>
      <w:lvlText w:val="•"/>
      <w:lvlJc w:val="left"/>
      <w:pPr>
        <w:ind w:left="3533" w:hanging="360"/>
      </w:pPr>
      <w:rPr>
        <w:rFonts w:hint="default"/>
      </w:rPr>
    </w:lvl>
    <w:lvl w:ilvl="6">
      <w:start w:val="0"/>
      <w:numFmt w:val="bullet"/>
      <w:lvlText w:val="•"/>
      <w:lvlJc w:val="left"/>
      <w:pPr>
        <w:ind w:left="4076" w:hanging="360"/>
      </w:pPr>
      <w:rPr>
        <w:rFonts w:hint="default"/>
      </w:rPr>
    </w:lvl>
    <w:lvl w:ilvl="7">
      <w:start w:val="0"/>
      <w:numFmt w:val="bullet"/>
      <w:lvlText w:val="•"/>
      <w:lvlJc w:val="left"/>
      <w:pPr>
        <w:ind w:left="4619" w:hanging="360"/>
      </w:pPr>
      <w:rPr>
        <w:rFonts w:hint="default"/>
      </w:rPr>
    </w:lvl>
    <w:lvl w:ilvl="8">
      <w:start w:val="0"/>
      <w:numFmt w:val="bullet"/>
      <w:lvlText w:val="•"/>
      <w:lvlJc w:val="left"/>
      <w:pPr>
        <w:ind w:left="5161" w:hanging="360"/>
      </w:pPr>
      <w:rPr>
        <w:rFonts w:hint="default"/>
      </w:rPr>
    </w:lvl>
  </w:abstractNum>
  <w:abstractNum w:abstractNumId="0">
    <w:multiLevelType w:val="hybridMultilevel"/>
    <w:lvl w:ilvl="0">
      <w:start w:val="0"/>
      <w:numFmt w:val="bullet"/>
      <w:lvlText w:val=""/>
      <w:lvlJc w:val="left"/>
      <w:pPr>
        <w:ind w:left="532" w:hanging="361"/>
      </w:pPr>
      <w:rPr>
        <w:rFonts w:hint="default"/>
        <w:w w:val="100"/>
      </w:rPr>
    </w:lvl>
    <w:lvl w:ilvl="1">
      <w:start w:val="0"/>
      <w:numFmt w:val="bullet"/>
      <w:lvlText w:val="•"/>
      <w:lvlJc w:val="left"/>
      <w:pPr>
        <w:ind w:left="1216" w:hanging="361"/>
      </w:pPr>
      <w:rPr>
        <w:rFonts w:hint="default"/>
      </w:rPr>
    </w:lvl>
    <w:lvl w:ilvl="2">
      <w:start w:val="0"/>
      <w:numFmt w:val="bullet"/>
      <w:lvlText w:val="•"/>
      <w:lvlJc w:val="left"/>
      <w:pPr>
        <w:ind w:left="1892" w:hanging="361"/>
      </w:pPr>
      <w:rPr>
        <w:rFonts w:hint="default"/>
      </w:rPr>
    </w:lvl>
    <w:lvl w:ilvl="3">
      <w:start w:val="0"/>
      <w:numFmt w:val="bullet"/>
      <w:lvlText w:val="•"/>
      <w:lvlJc w:val="left"/>
      <w:pPr>
        <w:ind w:left="2568" w:hanging="361"/>
      </w:pPr>
      <w:rPr>
        <w:rFonts w:hint="default"/>
      </w:rPr>
    </w:lvl>
    <w:lvl w:ilvl="4">
      <w:start w:val="0"/>
      <w:numFmt w:val="bullet"/>
      <w:lvlText w:val="•"/>
      <w:lvlJc w:val="left"/>
      <w:pPr>
        <w:ind w:left="3244" w:hanging="361"/>
      </w:pPr>
      <w:rPr>
        <w:rFonts w:hint="default"/>
      </w:rPr>
    </w:lvl>
    <w:lvl w:ilvl="5">
      <w:start w:val="0"/>
      <w:numFmt w:val="bullet"/>
      <w:lvlText w:val="•"/>
      <w:lvlJc w:val="left"/>
      <w:pPr>
        <w:ind w:left="3920" w:hanging="361"/>
      </w:pPr>
      <w:rPr>
        <w:rFonts w:hint="default"/>
      </w:rPr>
    </w:lvl>
    <w:lvl w:ilvl="6">
      <w:start w:val="0"/>
      <w:numFmt w:val="bullet"/>
      <w:lvlText w:val="•"/>
      <w:lvlJc w:val="left"/>
      <w:pPr>
        <w:ind w:left="4596" w:hanging="361"/>
      </w:pPr>
      <w:rPr>
        <w:rFonts w:hint="default"/>
      </w:rPr>
    </w:lvl>
    <w:lvl w:ilvl="7">
      <w:start w:val="0"/>
      <w:numFmt w:val="bullet"/>
      <w:lvlText w:val="•"/>
      <w:lvlJc w:val="left"/>
      <w:pPr>
        <w:ind w:left="5272" w:hanging="361"/>
      </w:pPr>
      <w:rPr>
        <w:rFonts w:hint="default"/>
      </w:rPr>
    </w:lvl>
    <w:lvl w:ilvl="8">
      <w:start w:val="0"/>
      <w:numFmt w:val="bullet"/>
      <w:lvlText w:val="•"/>
      <w:lvlJc w:val="left"/>
      <w:pPr>
        <w:ind w:left="5948" w:hanging="361"/>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2"/>
      <w:ind w:left="20"/>
      <w:outlineLvl w:val="1"/>
    </w:pPr>
    <w:rPr>
      <w:rFonts w:ascii="Arial" w:hAnsi="Arial" w:eastAsia="Arial" w:cs="Arial"/>
      <w:b/>
      <w:bCs/>
      <w:sz w:val="24"/>
      <w:szCs w:val="24"/>
    </w:rPr>
  </w:style>
  <w:style w:styleId="ListParagraph" w:type="paragraph">
    <w:name w:val="List Paragraph"/>
    <w:basedOn w:val="Normal"/>
    <w:uiPriority w:val="1"/>
    <w:qFormat/>
    <w:pPr>
      <w:ind w:left="1180"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www.documents.dgs.ca.gov/sam/samprint/new/SAM_Master/SAM_Master_File/SAM%20Subject%20Index.pdf" TargetMode="External"/><Relationship Id="rId8" Type="http://schemas.openxmlformats.org/officeDocument/2006/relationships/hyperlink" Target="http://sam.dgs.ca.gov/TOC/1.aspx" TargetMode="External"/><Relationship Id="rId9" Type="http://schemas.openxmlformats.org/officeDocument/2006/relationships/hyperlink" Target="http://sam.dgs.ca.gov/TOC/1330.aspx" TargetMode="External"/><Relationship Id="rId10" Type="http://schemas.openxmlformats.org/officeDocument/2006/relationships/hyperlink" Target="http://sam.dgs.ca.gov/TOC/2800.aspx" TargetMode="External"/><Relationship Id="rId11" Type="http://schemas.openxmlformats.org/officeDocument/2006/relationships/hyperlink" Target="http://sam.dgs.ca.gov/TOC/4100.aspx" TargetMode="External"/><Relationship Id="rId12" Type="http://schemas.openxmlformats.org/officeDocument/2006/relationships/hyperlink" Target="http://sam.dgs.ca.gov/TOC/4900.aspx" TargetMode="External"/><Relationship Id="rId13" Type="http://schemas.openxmlformats.org/officeDocument/2006/relationships/hyperlink" Target="http://sam.dgs.ca.gov/TOC/6000.aspx" TargetMode="External"/><Relationship Id="rId14" Type="http://schemas.openxmlformats.org/officeDocument/2006/relationships/hyperlink" Target="http://sam.dgs.ca.gov/TOC/7900.aspx" TargetMode="External"/><Relationship Id="rId15" Type="http://schemas.openxmlformats.org/officeDocument/2006/relationships/hyperlink" Target="http://sam.dgs.ca.gov/TOC/8400.aspx" TargetMode="External"/><Relationship Id="rId16" Type="http://schemas.openxmlformats.org/officeDocument/2006/relationships/hyperlink" Target="http://sam.dgs.ca.gov/TOC/8700.aspx" TargetMode="Externa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header" Target="header3.xml"/><Relationship Id="rId20" Type="http://schemas.openxmlformats.org/officeDocument/2006/relationships/footer" Target="footer3.xml"/><Relationship Id="rId21" Type="http://schemas.openxmlformats.org/officeDocument/2006/relationships/hyperlink" Target="http://sam.dgs.ca.gov/Default.aspx" TargetMode="External"/><Relationship Id="rId22" Type="http://schemas.openxmlformats.org/officeDocument/2006/relationships/hyperlink" Target="http://www.dgs.ca.gov/osp/Resources/SAMMM.aspx" TargetMode="External"/><Relationship Id="rId23" Type="http://schemas.openxmlformats.org/officeDocument/2006/relationships/hyperlink" Target="mailto:emin.nabiyev@dgs.ca.gov" TargetMode="External"/><Relationship Id="rId24" Type="http://schemas.openxmlformats.org/officeDocument/2006/relationships/hyperlink" Target="mailto:Jason.tyburczy@dgs.ca.go" TargetMode="External"/><Relationship Id="rId25" Type="http://schemas.openxmlformats.org/officeDocument/2006/relationships/hyperlink" Target="mailto:tyburczy@dgs.ca.go" TargetMode="External"/><Relationship Id="rId26" Type="http://schemas.openxmlformats.org/officeDocument/2006/relationships/hyperlink" Target="https://na01.safelinks.protection.outlook.com/?url=http%3A%2F%2Fwww.sos.ca.gov%2F&amp;amp;data=02%7C01%7CTamara.Martin%40sos.ca.gov%7Ce7905818dbb04ef0a75008d5012358bf%7C03580c5db6cf44cab63b4361acc7c739%7C1%7C0%7C636416173688291542&amp;amp;sdata=DTUDTaewyvysfeLDs0S1USLKxFJKzqAqhQZkO2R5DPE%3D&amp;amp;reserved=0" TargetMode="External"/><Relationship Id="rId27" Type="http://schemas.openxmlformats.org/officeDocument/2006/relationships/hyperlink" Target="mailto:Rebecca.wendt@sos.ca.gov" TargetMode="External"/><Relationship Id="rId28" Type="http://schemas.openxmlformats.org/officeDocument/2006/relationships/hyperlink" Target="mailto:Jenny.chakonova@sos.ca.gov" TargetMode="External"/><Relationship Id="rId29" Type="http://schemas.openxmlformats.org/officeDocument/2006/relationships/hyperlink" Target="mailto:dennis.supachana@sos.ca.gov" TargetMode="External"/><Relationship Id="rId30" Type="http://schemas.openxmlformats.org/officeDocument/2006/relationships/hyperlink" Target="mailto:Sydney.bailey@sos.ca.gov" TargetMode="External"/><Relationship Id="rId31" Type="http://schemas.openxmlformats.org/officeDocument/2006/relationships/hyperlink" Target="mailto:andrew.hyslop@sos.ca.gov" TargetMode="External"/><Relationship Id="rId32" Type="http://schemas.openxmlformats.org/officeDocument/2006/relationships/header" Target="header4.xml"/><Relationship Id="rId33" Type="http://schemas.openxmlformats.org/officeDocument/2006/relationships/footer" Target="footer4.xml"/><Relationship Id="rId34" Type="http://schemas.openxmlformats.org/officeDocument/2006/relationships/hyperlink" Target="http://www.dgs.ca.gov/osp" TargetMode="External"/><Relationship Id="rId35" Type="http://schemas.openxmlformats.org/officeDocument/2006/relationships/hyperlink" Target="mailto:Danielle.mahood@dgs.ca.gov" TargetMode="External"/><Relationship Id="rId36" Type="http://schemas.openxmlformats.org/officeDocument/2006/relationships/hyperlink" Target="mailto:Robin.erskine@dgs.ca.gov" TargetMode="External"/><Relationship Id="rId37" Type="http://schemas.openxmlformats.org/officeDocument/2006/relationships/hyperlink" Target="http://www.calhr.ca.gov/" TargetMode="External"/><Relationship Id="rId38" Type="http://schemas.openxmlformats.org/officeDocument/2006/relationships/hyperlink" Target="mailto:Ray.asbell@calhr.ca.gov" TargetMode="External"/><Relationship Id="rId39" Type="http://schemas.openxmlformats.org/officeDocument/2006/relationships/hyperlink" Target="http://www.dgs.ca.gov/orim" TargetMode="External"/><Relationship Id="rId40" Type="http://schemas.openxmlformats.org/officeDocument/2006/relationships/hyperlink" Target="mailto:Isabel.cortez@dgs.ca.gov" TargetMode="External"/><Relationship Id="rId41" Type="http://schemas.openxmlformats.org/officeDocument/2006/relationships/hyperlink" Target="http://www.gov.ca.gov/" TargetMode="External"/><Relationship Id="rId42" Type="http://schemas.openxmlformats.org/officeDocument/2006/relationships/hyperlink" Target="mailto:Scott.morgan@opr.ca.gov" TargetMode="External"/><Relationship Id="rId43" Type="http://schemas.openxmlformats.org/officeDocument/2006/relationships/hyperlink" Target="http://www.dof.ca.gov/" TargetMode="External"/><Relationship Id="rId44" Type="http://schemas.openxmlformats.org/officeDocument/2006/relationships/hyperlink" Target="mailto:foinbox@dof.ca.gov" TargetMode="External"/><Relationship Id="rId45" Type="http://schemas.openxmlformats.org/officeDocument/2006/relationships/hyperlink" Target="http://www.dgs.ca.gov/ols" TargetMode="External"/><Relationship Id="rId46" Type="http://schemas.openxmlformats.org/officeDocument/2006/relationships/hyperlink" Target="mailto:Richard.Goldberg@dgs.ca.gov" TargetMode="External"/><Relationship Id="rId47" Type="http://schemas.openxmlformats.org/officeDocument/2006/relationships/hyperlink" Target="http://www.dgs.ca.gov/resd" TargetMode="External"/><Relationship Id="rId48" Type="http://schemas.openxmlformats.org/officeDocument/2006/relationships/hyperlink" Target="mailto:James.beck@dgs.ca.gov" TargetMode="External"/><Relationship Id="rId49" Type="http://schemas.openxmlformats.org/officeDocument/2006/relationships/hyperlink" Target="mailto:Karena.benskin@dgs.ca.gov" TargetMode="External"/><Relationship Id="rId50" Type="http://schemas.openxmlformats.org/officeDocument/2006/relationships/header" Target="header5.xml"/><Relationship Id="rId51" Type="http://schemas.openxmlformats.org/officeDocument/2006/relationships/footer" Target="footer5.xml"/><Relationship Id="rId52" Type="http://schemas.openxmlformats.org/officeDocument/2006/relationships/hyperlink" Target="http://www.documents.dgs.ca.gov/sam/SamPrint/new/sam_master/sam_master_file/chap1800/1805.3.pdf" TargetMode="External"/><Relationship Id="rId53" Type="http://schemas.openxmlformats.org/officeDocument/2006/relationships/hyperlink" Target="http://www.documents.dgs.ca.gov/sam/SamPrint/new/sam_master/sam_master_file/chap1800/1821.pdf" TargetMode="External"/><Relationship Id="rId54" Type="http://schemas.openxmlformats.org/officeDocument/2006/relationships/header" Target="header6.xml"/><Relationship Id="rId55" Type="http://schemas.openxmlformats.org/officeDocument/2006/relationships/footer" Target="footer6.xml"/><Relationship Id="rId56" Type="http://schemas.openxmlformats.org/officeDocument/2006/relationships/hyperlink" Target="http://www.documents.dgs.ca.gov/dgs/fmc/pdf/std067.pdf" TargetMode="External"/><Relationship Id="rId57" Type="http://schemas.openxmlformats.org/officeDocument/2006/relationships/hyperlink" Target="http://www.dgs.ca.gov/osp/Home.aspx" TargetMode="External"/><Relationship Id="rId58" Type="http://schemas.openxmlformats.org/officeDocument/2006/relationships/header" Target="header7.xml"/><Relationship Id="rId59" Type="http://schemas.openxmlformats.org/officeDocument/2006/relationships/footer" Target="footer7.xml"/><Relationship Id="rId60" Type="http://schemas.openxmlformats.org/officeDocument/2006/relationships/header" Target="header8.xml"/><Relationship Id="rId61" Type="http://schemas.openxmlformats.org/officeDocument/2006/relationships/header" Target="header9.xml"/><Relationship Id="rId62" Type="http://schemas.openxmlformats.org/officeDocument/2006/relationships/hyperlink" Target="http://www.documents.dgs.ca.gov/sam/SamPrint/new/sam_master/sam_master_file/chap4100/4120.pdf" TargetMode="External"/><Relationship Id="rId63" Type="http://schemas.openxmlformats.org/officeDocument/2006/relationships/header" Target="header10.xml"/><Relationship Id="rId64" Type="http://schemas.openxmlformats.org/officeDocument/2006/relationships/header" Target="header11.xml"/><Relationship Id="rId65" Type="http://schemas.openxmlformats.org/officeDocument/2006/relationships/footer" Target="footer8.xml"/><Relationship Id="rId66" Type="http://schemas.openxmlformats.org/officeDocument/2006/relationships/hyperlink" Target="http://sam.dgs.ca.gov/TOC/5300.aspx" TargetMode="External"/><Relationship Id="rId67" Type="http://schemas.openxmlformats.org/officeDocument/2006/relationships/hyperlink" Target="https://cdt.ca.gov/wp-content/uploads/2017/02/SIMM-5340-A-Rev-05-2016.pdf" TargetMode="External"/><Relationship Id="rId68" Type="http://schemas.openxmlformats.org/officeDocument/2006/relationships/header" Target="header12.xml"/><Relationship Id="rId69" Type="http://schemas.openxmlformats.org/officeDocument/2006/relationships/footer" Target="footer9.xml"/><Relationship Id="rId70" Type="http://schemas.openxmlformats.org/officeDocument/2006/relationships/header" Target="header13.xml"/><Relationship Id="rId71" Type="http://schemas.openxmlformats.org/officeDocument/2006/relationships/header" Target="header14.xml"/><Relationship Id="rId72" Type="http://schemas.openxmlformats.org/officeDocument/2006/relationships/header" Target="header15.xml"/><Relationship Id="rId73" Type="http://schemas.openxmlformats.org/officeDocument/2006/relationships/footer" Target="footer10.xml"/><Relationship Id="rId74" Type="http://schemas.openxmlformats.org/officeDocument/2006/relationships/image" Target="media/image1.jpeg"/><Relationship Id="rId75" Type="http://schemas.openxmlformats.org/officeDocument/2006/relationships/header" Target="header16.xml"/><Relationship Id="rId76" Type="http://schemas.openxmlformats.org/officeDocument/2006/relationships/footer" Target="footer11.xml"/><Relationship Id="rId77" Type="http://schemas.openxmlformats.org/officeDocument/2006/relationships/hyperlink" Target="http://www.sco.ca.gov/Files-ARD/transreq_transreq.pdf" TargetMode="External"/><Relationship Id="rId78" Type="http://schemas.openxmlformats.org/officeDocument/2006/relationships/header" Target="header17.xml"/><Relationship Id="rId79" Type="http://schemas.openxmlformats.org/officeDocument/2006/relationships/footer" Target="footer12.xml"/><Relationship Id="rId80" Type="http://schemas.openxmlformats.org/officeDocument/2006/relationships/hyperlink" Target="http://leginfo.legislature.ca.gov/faces/codes_displaySection.xhtml?lawCode=GOV&amp;amp;sectionNum=11251" TargetMode="External"/><Relationship Id="rId81" Type="http://schemas.openxmlformats.org/officeDocument/2006/relationships/hyperlink" Target="http://leginfo.legislature.ca.gov/faces/codes_displaySection.xhtml?lawCode=GOV&amp;amp;sectionNum=16365" TargetMode="External"/><Relationship Id="rId82" Type="http://schemas.openxmlformats.org/officeDocument/2006/relationships/hyperlink" Target="http://leginfo.legislature.ca.gov/faces/codes_displaySection.xhtml?lawCode=EDC&amp;amp;sectionNum=12060" TargetMode="External"/><Relationship Id="rId83" Type="http://schemas.openxmlformats.org/officeDocument/2006/relationships/hyperlink" Target="http://leginfo.legislature.ca.gov/faces/codes_displaySection.xhtml?lawCode=HSC&amp;amp;sectionNum=100390" TargetMode="External"/><Relationship Id="rId84" Type="http://schemas.openxmlformats.org/officeDocument/2006/relationships/hyperlink" Target="NULL" TargetMode="External"/><Relationship Id="rId85" Type="http://schemas.openxmlformats.org/officeDocument/2006/relationships/footer" Target="footer13.xml"/><Relationship Id="rId86" Type="http://schemas.openxmlformats.org/officeDocument/2006/relationships/footer" Target="footer14.xml"/><Relationship Id="rId87" Type="http://schemas.openxmlformats.org/officeDocument/2006/relationships/image" Target="media/image2.png"/><Relationship Id="rId88" Type="http://schemas.openxmlformats.org/officeDocument/2006/relationships/footer" Target="footer15.xml"/><Relationship Id="rId89" Type="http://schemas.openxmlformats.org/officeDocument/2006/relationships/image" Target="media/image3.png"/><Relationship Id="rId90" Type="http://schemas.openxmlformats.org/officeDocument/2006/relationships/footer" Target="footer16.xml"/><Relationship Id="rId91" Type="http://schemas.openxmlformats.org/officeDocument/2006/relationships/image" Target="media/image4.png"/><Relationship Id="rId92" Type="http://schemas.openxmlformats.org/officeDocument/2006/relationships/footer" Target="footer17.xml"/><Relationship Id="rId93" Type="http://schemas.openxmlformats.org/officeDocument/2006/relationships/image" Target="media/image5.png"/><Relationship Id="rId94" Type="http://schemas.openxmlformats.org/officeDocument/2006/relationships/header" Target="header18.xml"/><Relationship Id="rId95" Type="http://schemas.openxmlformats.org/officeDocument/2006/relationships/footer" Target="footer18.xml"/><Relationship Id="rId96" Type="http://schemas.openxmlformats.org/officeDocument/2006/relationships/header" Target="header19.xml"/><Relationship Id="rId97" Type="http://schemas.openxmlformats.org/officeDocument/2006/relationships/footer" Target="footer19.xml"/><Relationship Id="rId98" Type="http://schemas.openxmlformats.org/officeDocument/2006/relationships/header" Target="header20.xml"/><Relationship Id="rId99" Type="http://schemas.openxmlformats.org/officeDocument/2006/relationships/footer" Target="footer20.xml"/><Relationship Id="rId10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Tyburczy, Jason@DGS</dc:creator>
  <dcterms:created xsi:type="dcterms:W3CDTF">2020-07-13T14:54:01Z</dcterms:created>
  <dcterms:modified xsi:type="dcterms:W3CDTF">2020-07-13T14:54:01Z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2017-10-02T00:00:00Z</vt:filetime>
  </property>
  <property fmtid="{D5CDD505-2E9C-101B-9397-08002B2CF9AE}" pid="3" name="Creator">
    <vt:lpwstr>Acrobat PDFMaker 15 for Word</vt:lpwstr>
  </property>
  <property fmtid="{D5CDD505-2E9C-101B-9397-08002B2CF9AE}" pid="4" name="LastSaved">
    <vt:filetime>2020-07-13T00:00:00Z</vt:filetime>
  </property>
</Properties>
</file>