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9"/>
        </w:rPr>
      </w:pPr>
    </w:p>
    <w:p>
      <w:pPr>
        <w:spacing w:before="94"/>
        <w:ind w:left="240" w:right="0" w:firstLine="0"/>
        <w:jc w:val="left"/>
        <w:rPr>
          <w:rFonts w:ascii="Arial"/>
          <w:sz w:val="22"/>
        </w:rPr>
      </w:pPr>
      <w:bookmarkStart w:name="_bookmark0" w:id="1"/>
      <w:bookmarkEnd w:id="1"/>
      <w:r>
        <w:rPr/>
      </w:r>
      <w:bookmarkStart w:name="FinalRev423(intro)" w:id="2"/>
      <w:bookmarkEnd w:id="2"/>
      <w:r>
        <w:rPr/>
      </w:r>
      <w:r>
        <w:rPr>
          <w:rFonts w:ascii="Arial"/>
          <w:sz w:val="22"/>
        </w:rPr>
        <w:t>Revision bars are not inserted for format changes, non-substantial technical changes, and fully rewritten chapters. Revision bars appear on the right sides of all pages. Vertical (addition) bars indicate added and rewritten matter, and horizontal (deletion) bars indicate deleted matter.</w:t>
      </w:r>
    </w:p>
    <w:p>
      <w:pPr>
        <w:pStyle w:val="BodyText"/>
        <w:spacing w:before="2"/>
        <w:rPr>
          <w:rFonts w:ascii="Arial"/>
          <w:sz w:val="22"/>
        </w:rPr>
      </w:pPr>
    </w:p>
    <w:tbl>
      <w:tblPr>
        <w:tblW w:w="0" w:type="auto"/>
        <w:jc w:val="left"/>
        <w:tblInd w:w="11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99"/>
        <w:gridCol w:w="7470"/>
      </w:tblGrid>
      <w:tr>
        <w:trPr>
          <w:trHeight w:val="262" w:hRule="exact"/>
        </w:trPr>
        <w:tc>
          <w:tcPr>
            <w:tcW w:w="1999" w:type="dxa"/>
            <w:tcBorders>
              <w:bottom w:val="single" w:sz="14" w:space="0" w:color="000000"/>
            </w:tcBorders>
          </w:tcPr>
          <w:p>
            <w:pPr>
              <w:pStyle w:val="TableParagraph"/>
              <w:spacing w:line="248" w:lineRule="exact"/>
              <w:ind w:left="117" w:right="114"/>
              <w:jc w:val="center"/>
              <w:rPr>
                <w:b/>
                <w:sz w:val="22"/>
              </w:rPr>
            </w:pPr>
            <w:r>
              <w:rPr>
                <w:b/>
                <w:sz w:val="22"/>
              </w:rPr>
              <w:t>ITEM</w:t>
            </w:r>
          </w:p>
        </w:tc>
        <w:tc>
          <w:tcPr>
            <w:tcW w:w="7470" w:type="dxa"/>
            <w:tcBorders>
              <w:bottom w:val="single" w:sz="10" w:space="0" w:color="000000"/>
            </w:tcBorders>
          </w:tcPr>
          <w:p>
            <w:pPr>
              <w:pStyle w:val="TableParagraph"/>
              <w:spacing w:line="248" w:lineRule="exact"/>
              <w:ind w:left="3136" w:right="3144"/>
              <w:jc w:val="center"/>
              <w:rPr>
                <w:b/>
                <w:sz w:val="22"/>
              </w:rPr>
            </w:pPr>
            <w:r>
              <w:rPr>
                <w:b/>
                <w:sz w:val="22"/>
              </w:rPr>
              <w:t>SUMMARY</w:t>
            </w:r>
          </w:p>
        </w:tc>
      </w:tr>
      <w:tr>
        <w:trPr>
          <w:trHeight w:val="262" w:hRule="exact"/>
        </w:trPr>
        <w:tc>
          <w:tcPr>
            <w:tcW w:w="1999" w:type="dxa"/>
            <w:tcBorders>
              <w:top w:val="single" w:sz="14" w:space="0" w:color="000000"/>
            </w:tcBorders>
          </w:tcPr>
          <w:p>
            <w:pPr>
              <w:pStyle w:val="TableParagraph"/>
              <w:spacing w:line="236" w:lineRule="exact"/>
              <w:ind w:left="116" w:right="114"/>
              <w:jc w:val="center"/>
              <w:rPr>
                <w:sz w:val="22"/>
              </w:rPr>
            </w:pPr>
            <w:r>
              <w:rPr>
                <w:sz w:val="22"/>
              </w:rPr>
              <w:t>Section 7370</w:t>
            </w:r>
          </w:p>
        </w:tc>
        <w:tc>
          <w:tcPr>
            <w:tcW w:w="7470" w:type="dxa"/>
            <w:tcBorders>
              <w:top w:val="single" w:sz="10" w:space="0" w:color="000000"/>
            </w:tcBorders>
          </w:tcPr>
          <w:p>
            <w:pPr>
              <w:pStyle w:val="TableParagraph"/>
              <w:spacing w:line="242" w:lineRule="exact"/>
              <w:ind w:left="98"/>
              <w:rPr>
                <w:sz w:val="22"/>
              </w:rPr>
            </w:pPr>
            <w:r>
              <w:rPr>
                <w:sz w:val="22"/>
              </w:rPr>
              <w:t>Updated the responsibilities of the Department of Human Resources</w:t>
            </w:r>
          </w:p>
        </w:tc>
      </w:tr>
      <w:tr>
        <w:trPr>
          <w:trHeight w:val="516" w:hRule="exact"/>
        </w:trPr>
        <w:tc>
          <w:tcPr>
            <w:tcW w:w="1999" w:type="dxa"/>
          </w:tcPr>
          <w:p>
            <w:pPr>
              <w:pStyle w:val="TableParagraph"/>
              <w:spacing w:before="122"/>
              <w:ind w:left="116" w:right="114"/>
              <w:jc w:val="center"/>
              <w:rPr>
                <w:sz w:val="22"/>
              </w:rPr>
            </w:pPr>
            <w:r>
              <w:rPr>
                <w:sz w:val="22"/>
              </w:rPr>
              <w:t>Section 7924</w:t>
            </w:r>
          </w:p>
        </w:tc>
        <w:tc>
          <w:tcPr>
            <w:tcW w:w="7470" w:type="dxa"/>
          </w:tcPr>
          <w:p>
            <w:pPr>
              <w:pStyle w:val="TableParagraph"/>
              <w:spacing w:line="252" w:lineRule="exact" w:before="2"/>
              <w:ind w:left="98"/>
              <w:rPr>
                <w:sz w:val="22"/>
              </w:rPr>
            </w:pPr>
            <w:r>
              <w:rPr>
                <w:sz w:val="22"/>
              </w:rPr>
              <w:t>Correct Title for Statewide Property Inventory and include physical count and reconciliation of capitalized and noncapitalized property.</w:t>
            </w:r>
          </w:p>
        </w:tc>
      </w:tr>
      <w:tr>
        <w:trPr>
          <w:trHeight w:val="264" w:hRule="exact"/>
        </w:trPr>
        <w:tc>
          <w:tcPr>
            <w:tcW w:w="1999" w:type="dxa"/>
          </w:tcPr>
          <w:p>
            <w:pPr>
              <w:pStyle w:val="TableParagraph"/>
              <w:spacing w:line="248" w:lineRule="exact"/>
              <w:ind w:left="116" w:right="114"/>
              <w:jc w:val="center"/>
              <w:rPr>
                <w:sz w:val="22"/>
              </w:rPr>
            </w:pPr>
            <w:r>
              <w:rPr>
                <w:sz w:val="22"/>
              </w:rPr>
              <w:t>Section 7930</w:t>
            </w:r>
          </w:p>
        </w:tc>
        <w:tc>
          <w:tcPr>
            <w:tcW w:w="7470" w:type="dxa"/>
          </w:tcPr>
          <w:p>
            <w:pPr>
              <w:pStyle w:val="TableParagraph"/>
              <w:spacing w:line="248" w:lineRule="exact"/>
              <w:ind w:left="98"/>
              <w:rPr>
                <w:sz w:val="22"/>
              </w:rPr>
            </w:pPr>
            <w:r>
              <w:rPr>
                <w:sz w:val="22"/>
              </w:rPr>
              <w:t>General Corrections</w:t>
            </w:r>
          </w:p>
        </w:tc>
      </w:tr>
      <w:tr>
        <w:trPr>
          <w:trHeight w:val="516" w:hRule="exact"/>
        </w:trPr>
        <w:tc>
          <w:tcPr>
            <w:tcW w:w="1999" w:type="dxa"/>
          </w:tcPr>
          <w:p>
            <w:pPr>
              <w:pStyle w:val="TableParagraph"/>
              <w:spacing w:before="122"/>
              <w:ind w:left="116" w:right="114"/>
              <w:jc w:val="center"/>
              <w:rPr>
                <w:sz w:val="22"/>
              </w:rPr>
            </w:pPr>
            <w:r>
              <w:rPr>
                <w:sz w:val="22"/>
              </w:rPr>
              <w:t>Section 7974</w:t>
            </w:r>
          </w:p>
        </w:tc>
        <w:tc>
          <w:tcPr>
            <w:tcW w:w="7470" w:type="dxa"/>
          </w:tcPr>
          <w:p>
            <w:pPr>
              <w:pStyle w:val="TableParagraph"/>
              <w:spacing w:line="242" w:lineRule="auto"/>
              <w:ind w:left="98" w:right="126"/>
              <w:rPr>
                <w:sz w:val="22"/>
              </w:rPr>
            </w:pPr>
            <w:r>
              <w:rPr>
                <w:sz w:val="22"/>
              </w:rPr>
              <w:t>Revised to clarify requirement for cash basis reporting for sub-recipients and definition provided by Circular A-133.</w:t>
            </w:r>
          </w:p>
        </w:tc>
      </w:tr>
      <w:tr>
        <w:trPr>
          <w:trHeight w:val="1275" w:hRule="exact"/>
        </w:trPr>
        <w:tc>
          <w:tcPr>
            <w:tcW w:w="1999" w:type="dxa"/>
          </w:tcPr>
          <w:p>
            <w:pPr>
              <w:pStyle w:val="TableParagraph"/>
              <w:spacing w:before="6"/>
              <w:rPr>
                <w:sz w:val="32"/>
              </w:rPr>
            </w:pPr>
          </w:p>
          <w:p>
            <w:pPr>
              <w:pStyle w:val="TableParagraph"/>
              <w:spacing w:line="252" w:lineRule="exact"/>
              <w:ind w:left="120" w:right="114"/>
              <w:jc w:val="center"/>
              <w:rPr>
                <w:sz w:val="22"/>
              </w:rPr>
            </w:pPr>
            <w:r>
              <w:rPr>
                <w:sz w:val="22"/>
              </w:rPr>
              <w:t>Section 8471.1 to</w:t>
            </w:r>
          </w:p>
          <w:p>
            <w:pPr>
              <w:pStyle w:val="TableParagraph"/>
              <w:spacing w:line="252" w:lineRule="exact"/>
              <w:ind w:left="116" w:right="114"/>
              <w:jc w:val="center"/>
              <w:rPr>
                <w:sz w:val="22"/>
              </w:rPr>
            </w:pPr>
            <w:r>
              <w:rPr>
                <w:sz w:val="22"/>
              </w:rPr>
              <w:t>8471</w:t>
            </w:r>
          </w:p>
        </w:tc>
        <w:tc>
          <w:tcPr>
            <w:tcW w:w="7470" w:type="dxa"/>
          </w:tcPr>
          <w:p>
            <w:pPr>
              <w:pStyle w:val="TableParagraph"/>
              <w:ind w:left="98" w:right="126"/>
              <w:rPr>
                <w:sz w:val="22"/>
              </w:rPr>
            </w:pPr>
            <w:r>
              <w:rPr>
                <w:sz w:val="22"/>
              </w:rPr>
              <w:t>Section 8471.1 has been renumbered to 8471. Changed title from </w:t>
            </w:r>
            <w:r>
              <w:rPr>
                <w:i/>
                <w:sz w:val="22"/>
              </w:rPr>
              <w:t>Services Provided By The Department of General Services - General to </w:t>
            </w:r>
            <w:r>
              <w:rPr>
                <w:i/>
                <w:sz w:val="22"/>
              </w:rPr>
              <w:t>Advances To The Department of General Services For Services Provided</w:t>
            </w:r>
            <w:r>
              <w:rPr>
                <w:sz w:val="22"/>
              </w:rPr>
              <w:t>, updated calculations on advances and removed information regarding estimation.</w:t>
            </w:r>
          </w:p>
        </w:tc>
      </w:tr>
      <w:tr>
        <w:trPr>
          <w:trHeight w:val="516" w:hRule="exact"/>
        </w:trPr>
        <w:tc>
          <w:tcPr>
            <w:tcW w:w="1999" w:type="dxa"/>
          </w:tcPr>
          <w:p>
            <w:pPr>
              <w:pStyle w:val="TableParagraph"/>
              <w:spacing w:before="122"/>
              <w:ind w:left="120" w:right="2"/>
              <w:jc w:val="center"/>
              <w:rPr>
                <w:sz w:val="22"/>
              </w:rPr>
            </w:pPr>
            <w:r>
              <w:rPr>
                <w:sz w:val="22"/>
              </w:rPr>
              <w:t>Section 8471.11</w:t>
            </w:r>
          </w:p>
        </w:tc>
        <w:tc>
          <w:tcPr>
            <w:tcW w:w="7470" w:type="dxa"/>
          </w:tcPr>
          <w:p>
            <w:pPr>
              <w:pStyle w:val="TableParagraph"/>
              <w:spacing w:line="243" w:lineRule="exact"/>
              <w:ind w:left="98"/>
              <w:rPr>
                <w:sz w:val="22"/>
              </w:rPr>
            </w:pPr>
            <w:r>
              <w:rPr>
                <w:sz w:val="22"/>
              </w:rPr>
              <w:t>Deleted. </w:t>
            </w:r>
            <w:r>
              <w:rPr>
                <w:position w:val="1"/>
                <w:sz w:val="22"/>
              </w:rPr>
              <w:t>Illustration 8471.11 edited and included in renumbered section</w:t>
            </w:r>
          </w:p>
          <w:p>
            <w:pPr>
              <w:pStyle w:val="TableParagraph"/>
              <w:spacing w:line="252" w:lineRule="exact"/>
              <w:ind w:left="98"/>
              <w:rPr>
                <w:sz w:val="22"/>
              </w:rPr>
            </w:pPr>
            <w:r>
              <w:rPr>
                <w:sz w:val="22"/>
              </w:rPr>
              <w:t>8471.</w:t>
            </w:r>
          </w:p>
        </w:tc>
      </w:tr>
      <w:tr>
        <w:trPr>
          <w:trHeight w:val="528" w:hRule="exact"/>
        </w:trPr>
        <w:tc>
          <w:tcPr>
            <w:tcW w:w="1999" w:type="dxa"/>
          </w:tcPr>
          <w:p>
            <w:pPr>
              <w:pStyle w:val="TableParagraph"/>
              <w:spacing w:before="125"/>
              <w:ind w:left="120" w:right="16"/>
              <w:jc w:val="center"/>
              <w:rPr>
                <w:sz w:val="22"/>
              </w:rPr>
            </w:pPr>
            <w:r>
              <w:rPr>
                <w:w w:val="95"/>
                <w:sz w:val="22"/>
              </w:rPr>
              <w:t>Section 8471.12</w:t>
            </w:r>
          </w:p>
        </w:tc>
        <w:tc>
          <w:tcPr>
            <w:tcW w:w="7470" w:type="dxa"/>
          </w:tcPr>
          <w:p>
            <w:pPr>
              <w:pStyle w:val="TableParagraph"/>
              <w:spacing w:line="244" w:lineRule="auto"/>
              <w:ind w:left="98" w:right="126"/>
              <w:rPr>
                <w:sz w:val="22"/>
              </w:rPr>
            </w:pPr>
            <w:r>
              <w:rPr>
                <w:sz w:val="22"/>
              </w:rPr>
              <w:t>Deleted. Illustration 8471.12 combined with illustration 8471.13 and included in renumbered section 8471.2.</w:t>
            </w:r>
          </w:p>
        </w:tc>
      </w:tr>
      <w:tr>
        <w:trPr>
          <w:trHeight w:val="1380" w:hRule="exact"/>
        </w:trPr>
        <w:tc>
          <w:tcPr>
            <w:tcW w:w="1999" w:type="dxa"/>
          </w:tcPr>
          <w:p>
            <w:pPr>
              <w:pStyle w:val="TableParagraph"/>
              <w:spacing w:before="1"/>
              <w:rPr>
                <w:sz w:val="26"/>
              </w:rPr>
            </w:pPr>
          </w:p>
          <w:p>
            <w:pPr>
              <w:pStyle w:val="TableParagraph"/>
              <w:ind w:left="237" w:right="110"/>
              <w:jc w:val="center"/>
              <w:rPr>
                <w:sz w:val="22"/>
              </w:rPr>
            </w:pPr>
            <w:r>
              <w:rPr>
                <w:sz w:val="22"/>
              </w:rPr>
              <w:t>Section 8471.13 renumbered to 8471.2</w:t>
            </w:r>
          </w:p>
        </w:tc>
        <w:tc>
          <w:tcPr>
            <w:tcW w:w="7470" w:type="dxa"/>
          </w:tcPr>
          <w:p>
            <w:pPr>
              <w:pStyle w:val="TableParagraph"/>
              <w:spacing w:line="259" w:lineRule="auto"/>
              <w:ind w:left="98" w:right="480"/>
              <w:rPr>
                <w:sz w:val="22"/>
              </w:rPr>
            </w:pPr>
            <w:r>
              <w:rPr>
                <w:w w:val="105"/>
                <w:sz w:val="22"/>
              </w:rPr>
              <w:t>Section 8471.13 has been renumbered to 8471.2. Changed title from </w:t>
            </w:r>
            <w:r>
              <w:rPr>
                <w:i/>
                <w:w w:val="105"/>
                <w:sz w:val="22"/>
              </w:rPr>
              <w:t>Direct Transfer Payment of Department of General Services' </w:t>
            </w:r>
            <w:r>
              <w:rPr>
                <w:i/>
                <w:w w:val="105"/>
                <w:sz w:val="22"/>
              </w:rPr>
              <w:t>Invoices </w:t>
            </w:r>
            <w:r>
              <w:rPr>
                <w:w w:val="105"/>
                <w:sz w:val="22"/>
              </w:rPr>
              <w:t>to </w:t>
            </w:r>
            <w:r>
              <w:rPr>
                <w:i/>
                <w:w w:val="105"/>
                <w:sz w:val="22"/>
              </w:rPr>
              <w:t>Electronic Fund Transfer for Department of General </w:t>
            </w:r>
            <w:r>
              <w:rPr>
                <w:i/>
                <w:w w:val="105"/>
                <w:sz w:val="22"/>
              </w:rPr>
              <w:t>Services' Invoices. </w:t>
            </w:r>
            <w:r>
              <w:rPr>
                <w:w w:val="105"/>
                <w:sz w:val="22"/>
              </w:rPr>
              <w:t>Updated DGS information, combined illustrations 8471.12 and 8471.13 in the  section.</w:t>
            </w:r>
          </w:p>
        </w:tc>
      </w:tr>
      <w:tr>
        <w:trPr>
          <w:trHeight w:val="262" w:hRule="exact"/>
        </w:trPr>
        <w:tc>
          <w:tcPr>
            <w:tcW w:w="1999" w:type="dxa"/>
          </w:tcPr>
          <w:p>
            <w:pPr>
              <w:pStyle w:val="TableParagraph"/>
              <w:spacing w:line="248" w:lineRule="exact"/>
              <w:ind w:left="120" w:right="2"/>
              <w:jc w:val="center"/>
              <w:rPr>
                <w:sz w:val="22"/>
              </w:rPr>
            </w:pPr>
            <w:r>
              <w:rPr>
                <w:sz w:val="22"/>
              </w:rPr>
              <w:t>Section 8471.21</w:t>
            </w:r>
          </w:p>
        </w:tc>
        <w:tc>
          <w:tcPr>
            <w:tcW w:w="7470" w:type="dxa"/>
          </w:tcPr>
          <w:p>
            <w:pPr>
              <w:pStyle w:val="TableParagraph"/>
              <w:spacing w:line="248" w:lineRule="exact"/>
              <w:ind w:left="98"/>
              <w:rPr>
                <w:sz w:val="22"/>
              </w:rPr>
            </w:pPr>
            <w:r>
              <w:rPr>
                <w:sz w:val="22"/>
              </w:rPr>
              <w:t>Deleted. Service Estimates are no longer in use.</w:t>
            </w:r>
          </w:p>
        </w:tc>
      </w:tr>
      <w:tr>
        <w:trPr>
          <w:trHeight w:val="264" w:hRule="exact"/>
        </w:trPr>
        <w:tc>
          <w:tcPr>
            <w:tcW w:w="1999" w:type="dxa"/>
          </w:tcPr>
          <w:p>
            <w:pPr>
              <w:pStyle w:val="TableParagraph"/>
              <w:spacing w:line="248" w:lineRule="exact"/>
              <w:ind w:left="120" w:right="2"/>
              <w:jc w:val="center"/>
              <w:rPr>
                <w:sz w:val="22"/>
              </w:rPr>
            </w:pPr>
            <w:r>
              <w:rPr>
                <w:sz w:val="22"/>
              </w:rPr>
              <w:t>Section 8471.22</w:t>
            </w:r>
          </w:p>
        </w:tc>
        <w:tc>
          <w:tcPr>
            <w:tcW w:w="7470" w:type="dxa"/>
          </w:tcPr>
          <w:p>
            <w:pPr>
              <w:pStyle w:val="TableParagraph"/>
              <w:spacing w:line="248" w:lineRule="exact"/>
              <w:ind w:left="98"/>
              <w:rPr>
                <w:sz w:val="22"/>
              </w:rPr>
            </w:pPr>
            <w:r>
              <w:rPr>
                <w:sz w:val="22"/>
              </w:rPr>
              <w:t>Deleted. Service Estimates are no longer in use.</w:t>
            </w:r>
          </w:p>
        </w:tc>
      </w:tr>
      <w:tr>
        <w:trPr>
          <w:trHeight w:val="1023" w:hRule="exact"/>
        </w:trPr>
        <w:tc>
          <w:tcPr>
            <w:tcW w:w="1999" w:type="dxa"/>
          </w:tcPr>
          <w:p>
            <w:pPr>
              <w:pStyle w:val="TableParagraph"/>
              <w:spacing w:line="242" w:lineRule="auto" w:before="115"/>
              <w:ind w:left="237" w:right="110"/>
              <w:jc w:val="center"/>
              <w:rPr>
                <w:sz w:val="22"/>
              </w:rPr>
            </w:pPr>
            <w:r>
              <w:rPr>
                <w:sz w:val="22"/>
              </w:rPr>
              <w:t>Section 8471.23 renumbered to 8471.1</w:t>
            </w:r>
          </w:p>
        </w:tc>
        <w:tc>
          <w:tcPr>
            <w:tcW w:w="7470" w:type="dxa"/>
          </w:tcPr>
          <w:p>
            <w:pPr>
              <w:pStyle w:val="TableParagraph"/>
              <w:ind w:left="98" w:right="480"/>
              <w:rPr>
                <w:sz w:val="22"/>
              </w:rPr>
            </w:pPr>
            <w:r>
              <w:rPr>
                <w:sz w:val="22"/>
              </w:rPr>
              <w:t>Section 8471.23 has been renumbered to 8471.1. Changed title from </w:t>
            </w:r>
            <w:r>
              <w:rPr>
                <w:i/>
                <w:sz w:val="22"/>
              </w:rPr>
              <w:t>Recording Service Estimates and Advances </w:t>
            </w:r>
            <w:r>
              <w:rPr>
                <w:sz w:val="22"/>
              </w:rPr>
              <w:t>to </w:t>
            </w:r>
            <w:r>
              <w:rPr>
                <w:i/>
                <w:sz w:val="22"/>
              </w:rPr>
              <w:t>Recording Advances. </w:t>
            </w:r>
            <w:r>
              <w:rPr>
                <w:sz w:val="22"/>
              </w:rPr>
              <w:t>Updated information about the Advances being recorded in the subsidiary file and not Service Estimates.</w:t>
            </w:r>
          </w:p>
        </w:tc>
      </w:tr>
      <w:tr>
        <w:trPr>
          <w:trHeight w:val="514" w:hRule="exact"/>
        </w:trPr>
        <w:tc>
          <w:tcPr>
            <w:tcW w:w="1999" w:type="dxa"/>
          </w:tcPr>
          <w:p>
            <w:pPr>
              <w:pStyle w:val="TableParagraph"/>
              <w:spacing w:before="117"/>
              <w:ind w:left="120" w:right="2"/>
              <w:jc w:val="center"/>
              <w:rPr>
                <w:sz w:val="22"/>
              </w:rPr>
            </w:pPr>
            <w:r>
              <w:rPr>
                <w:sz w:val="22"/>
              </w:rPr>
              <w:t>Section 8471.24</w:t>
            </w:r>
          </w:p>
        </w:tc>
        <w:tc>
          <w:tcPr>
            <w:tcW w:w="7470" w:type="dxa"/>
          </w:tcPr>
          <w:p>
            <w:pPr>
              <w:pStyle w:val="TableParagraph"/>
              <w:ind w:left="98" w:right="480"/>
              <w:rPr>
                <w:sz w:val="22"/>
              </w:rPr>
            </w:pPr>
            <w:r>
              <w:rPr>
                <w:sz w:val="22"/>
              </w:rPr>
              <w:t>Deleted. Billing for DGS Services has been included in renumbered section 8471.2.</w:t>
            </w:r>
          </w:p>
        </w:tc>
      </w:tr>
      <w:tr>
        <w:trPr>
          <w:trHeight w:val="514" w:hRule="exact"/>
        </w:trPr>
        <w:tc>
          <w:tcPr>
            <w:tcW w:w="1999" w:type="dxa"/>
          </w:tcPr>
          <w:p>
            <w:pPr>
              <w:pStyle w:val="TableParagraph"/>
              <w:spacing w:before="120"/>
              <w:ind w:left="120" w:right="10"/>
              <w:jc w:val="center"/>
              <w:rPr>
                <w:sz w:val="22"/>
              </w:rPr>
            </w:pPr>
            <w:r>
              <w:rPr>
                <w:sz w:val="22"/>
              </w:rPr>
              <w:t>Section 8471.25</w:t>
            </w:r>
          </w:p>
        </w:tc>
        <w:tc>
          <w:tcPr>
            <w:tcW w:w="7470" w:type="dxa"/>
          </w:tcPr>
          <w:p>
            <w:pPr>
              <w:pStyle w:val="TableParagraph"/>
              <w:ind w:left="98"/>
              <w:rPr>
                <w:sz w:val="22"/>
              </w:rPr>
            </w:pPr>
            <w:r>
              <w:rPr>
                <w:sz w:val="22"/>
              </w:rPr>
              <w:t>Deleted. Recording settlement of DGS invoices has been included in </w:t>
            </w:r>
            <w:r>
              <w:rPr>
                <w:w w:val="95"/>
                <w:sz w:val="22"/>
              </w:rPr>
              <w:t>renumbered section 8471.2.</w:t>
            </w:r>
          </w:p>
        </w:tc>
      </w:tr>
      <w:tr>
        <w:trPr>
          <w:trHeight w:val="264" w:hRule="exact"/>
        </w:trPr>
        <w:tc>
          <w:tcPr>
            <w:tcW w:w="1999" w:type="dxa"/>
          </w:tcPr>
          <w:p>
            <w:pPr>
              <w:pStyle w:val="TableParagraph"/>
              <w:spacing w:line="248" w:lineRule="exact"/>
              <w:ind w:left="120" w:right="7"/>
              <w:jc w:val="center"/>
              <w:rPr>
                <w:sz w:val="22"/>
              </w:rPr>
            </w:pPr>
            <w:r>
              <w:rPr>
                <w:sz w:val="22"/>
              </w:rPr>
              <w:t>Section 8471.41</w:t>
            </w:r>
          </w:p>
        </w:tc>
        <w:tc>
          <w:tcPr>
            <w:tcW w:w="7470" w:type="dxa"/>
          </w:tcPr>
          <w:p>
            <w:pPr>
              <w:pStyle w:val="TableParagraph"/>
              <w:spacing w:line="248" w:lineRule="exact"/>
              <w:ind w:left="98"/>
              <w:rPr>
                <w:sz w:val="22"/>
              </w:rPr>
            </w:pPr>
            <w:r>
              <w:rPr>
                <w:sz w:val="22"/>
              </w:rPr>
              <w:t>Deleted. Service Estimates are no longer in use.</w:t>
            </w:r>
          </w:p>
        </w:tc>
      </w:tr>
      <w:tr>
        <w:trPr>
          <w:trHeight w:val="516" w:hRule="exact"/>
        </w:trPr>
        <w:tc>
          <w:tcPr>
            <w:tcW w:w="1999" w:type="dxa"/>
          </w:tcPr>
          <w:p>
            <w:pPr>
              <w:pStyle w:val="TableParagraph"/>
              <w:spacing w:before="120"/>
              <w:ind w:left="120" w:right="10"/>
              <w:jc w:val="center"/>
              <w:rPr>
                <w:sz w:val="22"/>
              </w:rPr>
            </w:pPr>
            <w:r>
              <w:rPr>
                <w:sz w:val="22"/>
              </w:rPr>
              <w:t>Section 8741.42</w:t>
            </w:r>
          </w:p>
        </w:tc>
        <w:tc>
          <w:tcPr>
            <w:tcW w:w="7470" w:type="dxa"/>
          </w:tcPr>
          <w:p>
            <w:pPr>
              <w:pStyle w:val="TableParagraph"/>
              <w:spacing w:line="242" w:lineRule="auto"/>
              <w:ind w:left="98"/>
              <w:rPr>
                <w:sz w:val="22"/>
              </w:rPr>
            </w:pPr>
            <w:r>
              <w:rPr>
                <w:sz w:val="22"/>
              </w:rPr>
              <w:t>Deleted. Recording Advances has been included in renumbered section 8471.1</w:t>
            </w:r>
          </w:p>
        </w:tc>
      </w:tr>
      <w:tr>
        <w:trPr>
          <w:trHeight w:val="264" w:hRule="exact"/>
        </w:trPr>
        <w:tc>
          <w:tcPr>
            <w:tcW w:w="1999" w:type="dxa"/>
          </w:tcPr>
          <w:p>
            <w:pPr>
              <w:pStyle w:val="TableParagraph"/>
              <w:spacing w:line="248" w:lineRule="exact"/>
              <w:ind w:left="120" w:right="10"/>
              <w:jc w:val="center"/>
              <w:rPr>
                <w:sz w:val="22"/>
              </w:rPr>
            </w:pPr>
            <w:r>
              <w:rPr>
                <w:sz w:val="22"/>
              </w:rPr>
              <w:t>Section 8471.43</w:t>
            </w:r>
          </w:p>
        </w:tc>
        <w:tc>
          <w:tcPr>
            <w:tcW w:w="7470" w:type="dxa"/>
          </w:tcPr>
          <w:p>
            <w:pPr>
              <w:pStyle w:val="TableParagraph"/>
              <w:spacing w:line="248" w:lineRule="exact"/>
              <w:ind w:left="98"/>
              <w:rPr>
                <w:sz w:val="22"/>
              </w:rPr>
            </w:pPr>
            <w:r>
              <w:rPr>
                <w:sz w:val="22"/>
              </w:rPr>
              <w:t>Deleted. Service Estimates are no longer in use.</w:t>
            </w:r>
          </w:p>
        </w:tc>
      </w:tr>
      <w:tr>
        <w:trPr>
          <w:trHeight w:val="516" w:hRule="exact"/>
        </w:trPr>
        <w:tc>
          <w:tcPr>
            <w:tcW w:w="1999" w:type="dxa"/>
          </w:tcPr>
          <w:p>
            <w:pPr>
              <w:pStyle w:val="TableParagraph"/>
              <w:spacing w:before="120"/>
              <w:ind w:left="120" w:right="10"/>
              <w:jc w:val="center"/>
              <w:rPr>
                <w:sz w:val="22"/>
              </w:rPr>
            </w:pPr>
            <w:r>
              <w:rPr>
                <w:sz w:val="22"/>
              </w:rPr>
              <w:t>Section 8471.44</w:t>
            </w:r>
          </w:p>
        </w:tc>
        <w:tc>
          <w:tcPr>
            <w:tcW w:w="7470" w:type="dxa"/>
          </w:tcPr>
          <w:p>
            <w:pPr>
              <w:pStyle w:val="TableParagraph"/>
              <w:spacing w:line="252" w:lineRule="exact"/>
              <w:ind w:left="98" w:right="126"/>
              <w:rPr>
                <w:sz w:val="22"/>
              </w:rPr>
            </w:pPr>
            <w:r>
              <w:rPr>
                <w:sz w:val="22"/>
              </w:rPr>
              <w:t>Deleted. EFT replaced No Warrant claim schedules for disbursements. See renumbered section 8471.2</w:t>
            </w:r>
          </w:p>
        </w:tc>
      </w:tr>
      <w:tr>
        <w:trPr>
          <w:trHeight w:val="1239" w:hRule="exact"/>
        </w:trPr>
        <w:tc>
          <w:tcPr>
            <w:tcW w:w="1999" w:type="dxa"/>
          </w:tcPr>
          <w:p>
            <w:pPr>
              <w:pStyle w:val="TableParagraph"/>
              <w:spacing w:before="10"/>
              <w:rPr>
                <w:sz w:val="19"/>
              </w:rPr>
            </w:pPr>
          </w:p>
          <w:p>
            <w:pPr>
              <w:pStyle w:val="TableParagraph"/>
              <w:ind w:left="120" w:right="3"/>
              <w:jc w:val="center"/>
              <w:rPr>
                <w:sz w:val="22"/>
              </w:rPr>
            </w:pPr>
            <w:r>
              <w:rPr>
                <w:sz w:val="22"/>
              </w:rPr>
              <w:t>Section 8471.45 renumbered to 8471.3</w:t>
            </w:r>
          </w:p>
        </w:tc>
        <w:tc>
          <w:tcPr>
            <w:tcW w:w="7470" w:type="dxa"/>
          </w:tcPr>
          <w:p>
            <w:pPr>
              <w:pStyle w:val="TableParagraph"/>
              <w:tabs>
                <w:tab w:pos="2760" w:val="left" w:leader="none"/>
              </w:tabs>
              <w:spacing w:line="237" w:lineRule="auto"/>
              <w:ind w:left="98" w:right="323"/>
              <w:rPr>
                <w:sz w:val="21"/>
              </w:rPr>
            </w:pPr>
            <w:r>
              <w:rPr>
                <w:sz w:val="21"/>
              </w:rPr>
              <w:t>Section 8471.45 has </w:t>
            </w:r>
            <w:r>
              <w:rPr>
                <w:spacing w:val="-3"/>
                <w:sz w:val="21"/>
              </w:rPr>
              <w:t>been </w:t>
            </w:r>
            <w:r>
              <w:rPr>
                <w:sz w:val="21"/>
              </w:rPr>
              <w:t>renumbered to section 8471.3. Changed </w:t>
            </w:r>
            <w:r>
              <w:rPr>
                <w:spacing w:val="-3"/>
                <w:sz w:val="21"/>
              </w:rPr>
              <w:t>title  </w:t>
            </w:r>
            <w:r>
              <w:rPr>
                <w:sz w:val="21"/>
              </w:rPr>
              <w:t>from </w:t>
            </w:r>
            <w:r>
              <w:rPr>
                <w:i/>
                <w:sz w:val="21"/>
              </w:rPr>
              <w:t>Recording Controller's </w:t>
            </w:r>
            <w:r>
              <w:rPr>
                <w:i/>
                <w:spacing w:val="-3"/>
                <w:sz w:val="21"/>
              </w:rPr>
              <w:t>Document </w:t>
            </w:r>
            <w:r>
              <w:rPr>
                <w:i/>
                <w:sz w:val="21"/>
              </w:rPr>
              <w:t>For "No Warrant" Claim Schedules </w:t>
            </w:r>
            <w:r>
              <w:rPr>
                <w:i/>
                <w:sz w:val="21"/>
              </w:rPr>
              <w:t>(other than printing) </w:t>
            </w:r>
            <w:r>
              <w:rPr>
                <w:sz w:val="21"/>
              </w:rPr>
              <w:t>to </w:t>
            </w:r>
            <w:r>
              <w:rPr>
                <w:i/>
                <w:sz w:val="21"/>
              </w:rPr>
              <w:t>Recording State Controller's </w:t>
            </w:r>
            <w:r>
              <w:rPr>
                <w:i/>
                <w:spacing w:val="-3"/>
                <w:position w:val="1"/>
                <w:sz w:val="21"/>
              </w:rPr>
              <w:t>Documents </w:t>
            </w:r>
            <w:r>
              <w:rPr>
                <w:i/>
                <w:position w:val="1"/>
                <w:sz w:val="21"/>
              </w:rPr>
              <w:t>For </w:t>
            </w:r>
            <w:r>
              <w:rPr>
                <w:i/>
                <w:position w:val="1"/>
                <w:sz w:val="21"/>
              </w:rPr>
              <w:t>Electronic</w:t>
            </w:r>
            <w:r>
              <w:rPr>
                <w:i/>
                <w:spacing w:val="32"/>
                <w:position w:val="1"/>
                <w:sz w:val="21"/>
              </w:rPr>
              <w:t> </w:t>
            </w:r>
            <w:r>
              <w:rPr>
                <w:i/>
                <w:position w:val="1"/>
                <w:sz w:val="21"/>
              </w:rPr>
              <w:t>Fund</w:t>
            </w:r>
            <w:r>
              <w:rPr>
                <w:i/>
                <w:spacing w:val="38"/>
                <w:position w:val="1"/>
                <w:sz w:val="21"/>
              </w:rPr>
              <w:t> </w:t>
            </w:r>
            <w:r>
              <w:rPr>
                <w:i/>
                <w:position w:val="1"/>
                <w:sz w:val="21"/>
              </w:rPr>
              <w:t>Transfer.</w:t>
              <w:tab/>
            </w:r>
            <w:r>
              <w:rPr>
                <w:sz w:val="21"/>
              </w:rPr>
              <w:t>The  EFT program replaced No Warrant</w:t>
            </w:r>
            <w:r>
              <w:rPr>
                <w:spacing w:val="35"/>
                <w:sz w:val="21"/>
              </w:rPr>
              <w:t> </w:t>
            </w:r>
            <w:r>
              <w:rPr>
                <w:sz w:val="21"/>
              </w:rPr>
              <w:t>claim</w:t>
            </w:r>
            <w:r>
              <w:rPr>
                <w:w w:val="100"/>
                <w:sz w:val="21"/>
              </w:rPr>
              <w:t> </w:t>
            </w:r>
            <w:r>
              <w:rPr>
                <w:sz w:val="21"/>
              </w:rPr>
              <w:t>schedules  for</w:t>
            </w:r>
            <w:r>
              <w:rPr>
                <w:spacing w:val="-8"/>
                <w:sz w:val="21"/>
              </w:rPr>
              <w:t> </w:t>
            </w:r>
            <w:r>
              <w:rPr>
                <w:sz w:val="21"/>
              </w:rPr>
              <w:t>disbursements.</w:t>
            </w:r>
          </w:p>
        </w:tc>
      </w:tr>
    </w:tbl>
    <w:p>
      <w:pPr>
        <w:spacing w:after="0" w:line="237" w:lineRule="auto"/>
        <w:rPr>
          <w:sz w:val="21"/>
        </w:rPr>
        <w:sectPr>
          <w:headerReference w:type="default" r:id="rId5"/>
          <w:footerReference w:type="default" r:id="rId6"/>
          <w:type w:val="continuous"/>
          <w:pgSz w:w="12240" w:h="15840"/>
          <w:pgMar w:header="605" w:footer="629" w:top="920" w:bottom="820" w:left="1200" w:right="1320"/>
          <w:pgNumType w:start="1"/>
        </w:sectPr>
      </w:pPr>
    </w:p>
    <w:p>
      <w:pPr>
        <w:pStyle w:val="BodyText"/>
        <w:spacing w:before="10" w:after="1"/>
        <w:rPr>
          <w:sz w:val="17"/>
        </w:rPr>
      </w:pPr>
    </w:p>
    <w:tbl>
      <w:tblPr>
        <w:tblW w:w="0" w:type="auto"/>
        <w:jc w:val="left"/>
        <w:tblInd w:w="11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99"/>
        <w:gridCol w:w="7470"/>
      </w:tblGrid>
      <w:tr>
        <w:trPr>
          <w:trHeight w:val="773" w:hRule="exact"/>
        </w:trPr>
        <w:tc>
          <w:tcPr>
            <w:tcW w:w="1999" w:type="dxa"/>
          </w:tcPr>
          <w:p>
            <w:pPr>
              <w:pStyle w:val="TableParagraph"/>
              <w:spacing w:line="252" w:lineRule="auto"/>
              <w:ind w:left="120" w:right="13"/>
              <w:jc w:val="center"/>
              <w:rPr>
                <w:sz w:val="21"/>
              </w:rPr>
            </w:pPr>
            <w:r>
              <w:rPr>
                <w:sz w:val="21"/>
              </w:rPr>
              <w:t>Section 8471.51 renumbered to 8471.4</w:t>
            </w:r>
          </w:p>
        </w:tc>
        <w:tc>
          <w:tcPr>
            <w:tcW w:w="7470" w:type="dxa"/>
          </w:tcPr>
          <w:p>
            <w:pPr>
              <w:pStyle w:val="TableParagraph"/>
              <w:spacing w:line="247" w:lineRule="auto"/>
              <w:ind w:left="206" w:right="652" w:firstLine="9"/>
              <w:jc w:val="both"/>
              <w:rPr>
                <w:sz w:val="21"/>
              </w:rPr>
            </w:pPr>
            <w:r>
              <w:rPr>
                <w:w w:val="105"/>
                <w:sz w:val="21"/>
              </w:rPr>
              <w:t>Section</w:t>
            </w:r>
            <w:r>
              <w:rPr>
                <w:spacing w:val="-14"/>
                <w:w w:val="105"/>
                <w:sz w:val="21"/>
              </w:rPr>
              <w:t> </w:t>
            </w:r>
            <w:r>
              <w:rPr>
                <w:w w:val="105"/>
                <w:sz w:val="21"/>
              </w:rPr>
              <w:t>8471.51</w:t>
            </w:r>
            <w:r>
              <w:rPr>
                <w:spacing w:val="-16"/>
                <w:w w:val="105"/>
                <w:sz w:val="21"/>
              </w:rPr>
              <w:t> </w:t>
            </w:r>
            <w:r>
              <w:rPr>
                <w:w w:val="105"/>
                <w:sz w:val="21"/>
              </w:rPr>
              <w:t>has</w:t>
            </w:r>
            <w:r>
              <w:rPr>
                <w:spacing w:val="-21"/>
                <w:w w:val="105"/>
                <w:sz w:val="21"/>
              </w:rPr>
              <w:t> </w:t>
            </w:r>
            <w:r>
              <w:rPr>
                <w:spacing w:val="2"/>
                <w:w w:val="105"/>
                <w:sz w:val="21"/>
              </w:rPr>
              <w:t>been</w:t>
            </w:r>
            <w:r>
              <w:rPr>
                <w:spacing w:val="-23"/>
                <w:w w:val="105"/>
                <w:sz w:val="21"/>
              </w:rPr>
              <w:t> </w:t>
            </w:r>
            <w:r>
              <w:rPr>
                <w:spacing w:val="2"/>
                <w:w w:val="105"/>
                <w:sz w:val="21"/>
              </w:rPr>
              <w:t>renumbered</w:t>
            </w:r>
            <w:r>
              <w:rPr>
                <w:spacing w:val="-23"/>
                <w:w w:val="105"/>
                <w:sz w:val="21"/>
              </w:rPr>
              <w:t> </w:t>
            </w:r>
            <w:r>
              <w:rPr>
                <w:w w:val="105"/>
                <w:sz w:val="21"/>
              </w:rPr>
              <w:t>to</w:t>
            </w:r>
            <w:r>
              <w:rPr>
                <w:spacing w:val="-23"/>
                <w:w w:val="105"/>
                <w:sz w:val="21"/>
              </w:rPr>
              <w:t> </w:t>
            </w:r>
            <w:r>
              <w:rPr>
                <w:w w:val="105"/>
                <w:sz w:val="21"/>
              </w:rPr>
              <w:t>section</w:t>
            </w:r>
            <w:r>
              <w:rPr>
                <w:spacing w:val="-14"/>
                <w:w w:val="105"/>
                <w:sz w:val="21"/>
              </w:rPr>
              <w:t> </w:t>
            </w:r>
            <w:r>
              <w:rPr>
                <w:w w:val="105"/>
                <w:sz w:val="21"/>
              </w:rPr>
              <w:t>8471.4.</w:t>
            </w:r>
            <w:r>
              <w:rPr>
                <w:spacing w:val="17"/>
                <w:w w:val="105"/>
                <w:sz w:val="21"/>
              </w:rPr>
              <w:t> </w:t>
            </w:r>
            <w:r>
              <w:rPr>
                <w:w w:val="105"/>
                <w:sz w:val="21"/>
              </w:rPr>
              <w:t>Corrected "DGS</w:t>
            </w:r>
            <w:r>
              <w:rPr>
                <w:spacing w:val="-12"/>
                <w:w w:val="105"/>
                <w:sz w:val="21"/>
              </w:rPr>
              <w:t> </w:t>
            </w:r>
            <w:r>
              <w:rPr>
                <w:w w:val="105"/>
                <w:sz w:val="21"/>
              </w:rPr>
              <w:t>may</w:t>
            </w:r>
            <w:r>
              <w:rPr>
                <w:spacing w:val="-21"/>
                <w:w w:val="105"/>
                <w:sz w:val="21"/>
              </w:rPr>
              <w:t> </w:t>
            </w:r>
            <w:r>
              <w:rPr>
                <w:w w:val="105"/>
                <w:sz w:val="21"/>
              </w:rPr>
              <w:t>file</w:t>
            </w:r>
            <w:r>
              <w:rPr>
                <w:spacing w:val="-10"/>
                <w:w w:val="105"/>
                <w:sz w:val="21"/>
              </w:rPr>
              <w:t> </w:t>
            </w:r>
            <w:r>
              <w:rPr>
                <w:w w:val="105"/>
                <w:sz w:val="21"/>
              </w:rPr>
              <w:t>a</w:t>
            </w:r>
            <w:r>
              <w:rPr>
                <w:spacing w:val="-10"/>
                <w:w w:val="105"/>
                <w:sz w:val="21"/>
              </w:rPr>
              <w:t> </w:t>
            </w:r>
            <w:r>
              <w:rPr>
                <w:w w:val="105"/>
                <w:sz w:val="21"/>
              </w:rPr>
              <w:t>claim</w:t>
            </w:r>
            <w:r>
              <w:rPr>
                <w:spacing w:val="-11"/>
                <w:w w:val="105"/>
                <w:sz w:val="21"/>
              </w:rPr>
              <w:t> </w:t>
            </w:r>
            <w:r>
              <w:rPr>
                <w:w w:val="105"/>
                <w:sz w:val="21"/>
              </w:rPr>
              <w:t>with</w:t>
            </w:r>
            <w:r>
              <w:rPr>
                <w:spacing w:val="-8"/>
                <w:w w:val="105"/>
                <w:sz w:val="21"/>
              </w:rPr>
              <w:t> </w:t>
            </w:r>
            <w:r>
              <w:rPr>
                <w:w w:val="105"/>
                <w:sz w:val="21"/>
              </w:rPr>
              <w:t>SCO"</w:t>
            </w:r>
            <w:r>
              <w:rPr>
                <w:spacing w:val="23"/>
                <w:w w:val="105"/>
                <w:sz w:val="21"/>
              </w:rPr>
              <w:t> </w:t>
            </w:r>
            <w:r>
              <w:rPr>
                <w:w w:val="105"/>
                <w:sz w:val="21"/>
              </w:rPr>
              <w:t>to</w:t>
            </w:r>
            <w:r>
              <w:rPr>
                <w:spacing w:val="-14"/>
                <w:w w:val="105"/>
                <w:sz w:val="21"/>
              </w:rPr>
              <w:t> </w:t>
            </w:r>
            <w:r>
              <w:rPr>
                <w:spacing w:val="2"/>
                <w:w w:val="105"/>
                <w:sz w:val="21"/>
              </w:rPr>
              <w:t>"DGS</w:t>
            </w:r>
            <w:r>
              <w:rPr>
                <w:spacing w:val="-5"/>
                <w:w w:val="105"/>
                <w:sz w:val="21"/>
              </w:rPr>
              <w:t> </w:t>
            </w:r>
            <w:r>
              <w:rPr>
                <w:w w:val="105"/>
                <w:sz w:val="21"/>
              </w:rPr>
              <w:t>may</w:t>
            </w:r>
            <w:r>
              <w:rPr>
                <w:spacing w:val="-11"/>
                <w:w w:val="105"/>
                <w:sz w:val="21"/>
              </w:rPr>
              <w:t> </w:t>
            </w:r>
            <w:r>
              <w:rPr>
                <w:spacing w:val="2"/>
                <w:w w:val="105"/>
                <w:sz w:val="21"/>
              </w:rPr>
              <w:t>submit</w:t>
            </w:r>
            <w:r>
              <w:rPr>
                <w:spacing w:val="-2"/>
                <w:w w:val="105"/>
                <w:sz w:val="21"/>
              </w:rPr>
              <w:t> </w:t>
            </w:r>
            <w:r>
              <w:rPr>
                <w:w w:val="105"/>
                <w:sz w:val="21"/>
              </w:rPr>
              <w:t>an</w:t>
            </w:r>
            <w:r>
              <w:rPr>
                <w:spacing w:val="-8"/>
                <w:w w:val="105"/>
                <w:sz w:val="21"/>
              </w:rPr>
              <w:t> </w:t>
            </w:r>
            <w:r>
              <w:rPr>
                <w:w w:val="105"/>
                <w:sz w:val="21"/>
              </w:rPr>
              <w:t>Electronic </w:t>
            </w:r>
            <w:r>
              <w:rPr>
                <w:spacing w:val="3"/>
                <w:w w:val="105"/>
                <w:sz w:val="21"/>
              </w:rPr>
              <w:t>Fund</w:t>
            </w:r>
            <w:r>
              <w:rPr>
                <w:spacing w:val="-31"/>
                <w:w w:val="105"/>
                <w:sz w:val="21"/>
              </w:rPr>
              <w:t> </w:t>
            </w:r>
            <w:r>
              <w:rPr>
                <w:w w:val="105"/>
                <w:sz w:val="21"/>
              </w:rPr>
              <w:t>Transfer</w:t>
            </w:r>
            <w:r>
              <w:rPr>
                <w:spacing w:val="-11"/>
                <w:w w:val="105"/>
                <w:sz w:val="21"/>
              </w:rPr>
              <w:t> </w:t>
            </w:r>
            <w:r>
              <w:rPr>
                <w:w w:val="105"/>
                <w:sz w:val="21"/>
              </w:rPr>
              <w:t>request</w:t>
            </w:r>
            <w:r>
              <w:rPr>
                <w:spacing w:val="-19"/>
                <w:w w:val="105"/>
                <w:sz w:val="21"/>
              </w:rPr>
              <w:t> </w:t>
            </w:r>
            <w:r>
              <w:rPr>
                <w:w w:val="105"/>
                <w:sz w:val="21"/>
              </w:rPr>
              <w:t>with</w:t>
            </w:r>
            <w:r>
              <w:rPr>
                <w:spacing w:val="-20"/>
                <w:w w:val="105"/>
                <w:sz w:val="21"/>
              </w:rPr>
              <w:t> </w:t>
            </w:r>
            <w:r>
              <w:rPr>
                <w:w w:val="105"/>
                <w:sz w:val="21"/>
              </w:rPr>
              <w:t>SCO"</w:t>
            </w:r>
            <w:r>
              <w:rPr>
                <w:spacing w:val="-17"/>
                <w:w w:val="105"/>
                <w:sz w:val="21"/>
              </w:rPr>
              <w:t> </w:t>
            </w:r>
            <w:r>
              <w:rPr>
                <w:w w:val="105"/>
                <w:sz w:val="21"/>
              </w:rPr>
              <w:t>and</w:t>
            </w:r>
            <w:r>
              <w:rPr>
                <w:spacing w:val="-17"/>
                <w:w w:val="105"/>
                <w:sz w:val="21"/>
              </w:rPr>
              <w:t> </w:t>
            </w:r>
            <w:r>
              <w:rPr>
                <w:w w:val="105"/>
                <w:sz w:val="21"/>
              </w:rPr>
              <w:t>minor</w:t>
            </w:r>
            <w:r>
              <w:rPr>
                <w:spacing w:val="-15"/>
                <w:w w:val="105"/>
                <w:sz w:val="21"/>
              </w:rPr>
              <w:t> </w:t>
            </w:r>
            <w:r>
              <w:rPr>
                <w:w w:val="105"/>
                <w:sz w:val="21"/>
              </w:rPr>
              <w:t>edits.</w:t>
            </w:r>
          </w:p>
        </w:tc>
      </w:tr>
      <w:tr>
        <w:trPr>
          <w:trHeight w:val="775" w:hRule="exact"/>
        </w:trPr>
        <w:tc>
          <w:tcPr>
            <w:tcW w:w="1999" w:type="dxa"/>
          </w:tcPr>
          <w:p>
            <w:pPr>
              <w:pStyle w:val="TableParagraph"/>
              <w:spacing w:line="249" w:lineRule="auto"/>
              <w:ind w:left="120" w:right="13"/>
              <w:jc w:val="center"/>
              <w:rPr>
                <w:sz w:val="21"/>
              </w:rPr>
            </w:pPr>
            <w:r>
              <w:rPr>
                <w:sz w:val="21"/>
              </w:rPr>
              <w:t>Section 8471.52 renumbered to 8471.5</w:t>
            </w:r>
          </w:p>
        </w:tc>
        <w:tc>
          <w:tcPr>
            <w:tcW w:w="7470" w:type="dxa"/>
          </w:tcPr>
          <w:p>
            <w:pPr>
              <w:pStyle w:val="TableParagraph"/>
              <w:spacing w:line="252" w:lineRule="auto"/>
              <w:ind w:left="199" w:right="323" w:firstLine="12"/>
              <w:rPr>
                <w:sz w:val="21"/>
              </w:rPr>
            </w:pPr>
            <w:r>
              <w:rPr>
                <w:w w:val="105"/>
                <w:sz w:val="21"/>
              </w:rPr>
              <w:t>Section 8471.52 has </w:t>
            </w:r>
            <w:r>
              <w:rPr>
                <w:spacing w:val="3"/>
                <w:w w:val="105"/>
                <w:sz w:val="21"/>
              </w:rPr>
              <w:t>been </w:t>
            </w:r>
            <w:r>
              <w:rPr>
                <w:spacing w:val="2"/>
                <w:w w:val="105"/>
                <w:sz w:val="21"/>
              </w:rPr>
              <w:t>renumbered </w:t>
            </w:r>
            <w:r>
              <w:rPr>
                <w:w w:val="105"/>
                <w:sz w:val="21"/>
              </w:rPr>
              <w:t>to section 8471.5. Deleted </w:t>
            </w:r>
            <w:r>
              <w:rPr>
                <w:spacing w:val="2"/>
                <w:w w:val="105"/>
                <w:sz w:val="21"/>
              </w:rPr>
              <w:t>DGS</w:t>
            </w:r>
            <w:r>
              <w:rPr>
                <w:spacing w:val="-27"/>
                <w:w w:val="105"/>
                <w:sz w:val="21"/>
              </w:rPr>
              <w:t> </w:t>
            </w:r>
            <w:r>
              <w:rPr>
                <w:w w:val="105"/>
                <w:sz w:val="21"/>
              </w:rPr>
              <w:t>address</w:t>
            </w:r>
            <w:r>
              <w:rPr>
                <w:spacing w:val="-20"/>
                <w:w w:val="105"/>
                <w:sz w:val="21"/>
              </w:rPr>
              <w:t> </w:t>
            </w:r>
            <w:r>
              <w:rPr>
                <w:spacing w:val="2"/>
                <w:w w:val="105"/>
                <w:sz w:val="21"/>
              </w:rPr>
              <w:t>information,</w:t>
            </w:r>
            <w:r>
              <w:rPr>
                <w:spacing w:val="-22"/>
                <w:w w:val="105"/>
                <w:sz w:val="21"/>
              </w:rPr>
              <w:t> </w:t>
            </w:r>
            <w:r>
              <w:rPr>
                <w:w w:val="105"/>
                <w:sz w:val="21"/>
              </w:rPr>
              <w:t>added</w:t>
            </w:r>
            <w:r>
              <w:rPr>
                <w:spacing w:val="-26"/>
                <w:w w:val="105"/>
                <w:sz w:val="21"/>
              </w:rPr>
              <w:t> </w:t>
            </w:r>
            <w:r>
              <w:rPr>
                <w:w w:val="105"/>
                <w:sz w:val="21"/>
              </w:rPr>
              <w:t>STD.</w:t>
            </w:r>
            <w:r>
              <w:rPr>
                <w:spacing w:val="-25"/>
                <w:w w:val="105"/>
                <w:sz w:val="21"/>
              </w:rPr>
              <w:t> </w:t>
            </w:r>
            <w:r>
              <w:rPr>
                <w:w w:val="105"/>
                <w:sz w:val="21"/>
              </w:rPr>
              <w:t>209</w:t>
            </w:r>
            <w:r>
              <w:rPr>
                <w:spacing w:val="-25"/>
                <w:w w:val="105"/>
                <w:sz w:val="21"/>
              </w:rPr>
              <w:t> </w:t>
            </w:r>
            <w:r>
              <w:rPr>
                <w:spacing w:val="2"/>
                <w:w w:val="105"/>
                <w:sz w:val="21"/>
              </w:rPr>
              <w:t>Invoice</w:t>
            </w:r>
            <w:r>
              <w:rPr>
                <w:spacing w:val="-26"/>
                <w:w w:val="105"/>
                <w:sz w:val="21"/>
              </w:rPr>
              <w:t> </w:t>
            </w:r>
            <w:r>
              <w:rPr>
                <w:w w:val="105"/>
                <w:sz w:val="21"/>
              </w:rPr>
              <w:t>Dispute</w:t>
            </w:r>
            <w:r>
              <w:rPr>
                <w:spacing w:val="-25"/>
                <w:w w:val="105"/>
                <w:sz w:val="21"/>
              </w:rPr>
              <w:t> </w:t>
            </w:r>
            <w:r>
              <w:rPr>
                <w:w w:val="105"/>
                <w:sz w:val="21"/>
              </w:rPr>
              <w:t>Notification form,</w:t>
            </w:r>
            <w:r>
              <w:rPr>
                <w:spacing w:val="-4"/>
                <w:w w:val="105"/>
                <w:sz w:val="21"/>
              </w:rPr>
              <w:t> </w:t>
            </w:r>
            <w:r>
              <w:rPr>
                <w:w w:val="105"/>
                <w:sz w:val="21"/>
              </w:rPr>
              <w:t>provided</w:t>
            </w:r>
            <w:r>
              <w:rPr>
                <w:spacing w:val="-17"/>
                <w:w w:val="105"/>
                <w:sz w:val="21"/>
              </w:rPr>
              <w:t> </w:t>
            </w:r>
            <w:r>
              <w:rPr>
                <w:w w:val="105"/>
                <w:sz w:val="21"/>
              </w:rPr>
              <w:t>a</w:t>
            </w:r>
            <w:r>
              <w:rPr>
                <w:spacing w:val="-20"/>
                <w:w w:val="105"/>
                <w:sz w:val="21"/>
              </w:rPr>
              <w:t> </w:t>
            </w:r>
            <w:r>
              <w:rPr>
                <w:w w:val="105"/>
                <w:sz w:val="21"/>
              </w:rPr>
              <w:t>link</w:t>
            </w:r>
            <w:r>
              <w:rPr>
                <w:spacing w:val="-24"/>
                <w:w w:val="105"/>
                <w:sz w:val="21"/>
              </w:rPr>
              <w:t> </w:t>
            </w:r>
            <w:r>
              <w:rPr>
                <w:w w:val="105"/>
                <w:sz w:val="21"/>
              </w:rPr>
              <w:t>to</w:t>
            </w:r>
            <w:r>
              <w:rPr>
                <w:spacing w:val="-9"/>
                <w:w w:val="105"/>
                <w:sz w:val="21"/>
              </w:rPr>
              <w:t> </w:t>
            </w:r>
            <w:r>
              <w:rPr>
                <w:spacing w:val="2"/>
                <w:w w:val="105"/>
                <w:sz w:val="21"/>
              </w:rPr>
              <w:t>DGS</w:t>
            </w:r>
            <w:r>
              <w:rPr>
                <w:spacing w:val="-13"/>
                <w:w w:val="105"/>
                <w:sz w:val="21"/>
              </w:rPr>
              <w:t> </w:t>
            </w:r>
            <w:r>
              <w:rPr>
                <w:spacing w:val="3"/>
                <w:w w:val="105"/>
                <w:sz w:val="21"/>
              </w:rPr>
              <w:t>standard</w:t>
            </w:r>
            <w:r>
              <w:rPr>
                <w:spacing w:val="-17"/>
                <w:w w:val="105"/>
                <w:sz w:val="21"/>
              </w:rPr>
              <w:t> </w:t>
            </w:r>
            <w:r>
              <w:rPr>
                <w:w w:val="105"/>
                <w:sz w:val="21"/>
              </w:rPr>
              <w:t>forms</w:t>
            </w:r>
            <w:r>
              <w:rPr>
                <w:spacing w:val="-1"/>
                <w:w w:val="105"/>
                <w:sz w:val="21"/>
              </w:rPr>
              <w:t> </w:t>
            </w:r>
            <w:r>
              <w:rPr>
                <w:w w:val="105"/>
                <w:sz w:val="21"/>
              </w:rPr>
              <w:t>and</w:t>
            </w:r>
            <w:r>
              <w:rPr>
                <w:spacing w:val="-17"/>
                <w:w w:val="105"/>
                <w:sz w:val="21"/>
              </w:rPr>
              <w:t> </w:t>
            </w:r>
            <w:r>
              <w:rPr>
                <w:w w:val="105"/>
                <w:sz w:val="21"/>
              </w:rPr>
              <w:t>minor</w:t>
            </w:r>
            <w:r>
              <w:rPr>
                <w:spacing w:val="-13"/>
                <w:w w:val="105"/>
                <w:sz w:val="21"/>
              </w:rPr>
              <w:t> </w:t>
            </w:r>
            <w:r>
              <w:rPr>
                <w:w w:val="105"/>
                <w:sz w:val="21"/>
              </w:rPr>
              <w:t>edits.</w:t>
            </w:r>
          </w:p>
        </w:tc>
      </w:tr>
      <w:tr>
        <w:trPr>
          <w:trHeight w:val="250" w:hRule="exact"/>
        </w:trPr>
        <w:tc>
          <w:tcPr>
            <w:tcW w:w="1999" w:type="dxa"/>
          </w:tcPr>
          <w:p>
            <w:pPr>
              <w:pStyle w:val="TableParagraph"/>
              <w:spacing w:line="234" w:lineRule="exact"/>
              <w:ind w:left="266"/>
              <w:rPr>
                <w:sz w:val="21"/>
              </w:rPr>
            </w:pPr>
            <w:r>
              <w:rPr>
                <w:sz w:val="21"/>
              </w:rPr>
              <w:t>Section 8471.61</w:t>
            </w:r>
          </w:p>
        </w:tc>
        <w:tc>
          <w:tcPr>
            <w:tcW w:w="7470" w:type="dxa"/>
          </w:tcPr>
          <w:p>
            <w:pPr>
              <w:pStyle w:val="TableParagraph"/>
              <w:spacing w:line="234" w:lineRule="exact"/>
              <w:ind w:left="216"/>
              <w:rPr>
                <w:sz w:val="21"/>
              </w:rPr>
            </w:pPr>
            <w:r>
              <w:rPr>
                <w:sz w:val="21"/>
              </w:rPr>
              <w:t>Deleted.  Service  Estimates are no longer in  use.</w:t>
            </w:r>
          </w:p>
        </w:tc>
      </w:tr>
      <w:tr>
        <w:trPr>
          <w:trHeight w:val="252" w:hRule="exact"/>
        </w:trPr>
        <w:tc>
          <w:tcPr>
            <w:tcW w:w="1999" w:type="dxa"/>
          </w:tcPr>
          <w:p>
            <w:pPr>
              <w:pStyle w:val="TableParagraph"/>
              <w:spacing w:line="237" w:lineRule="exact"/>
              <w:ind w:left="266"/>
              <w:rPr>
                <w:sz w:val="21"/>
              </w:rPr>
            </w:pPr>
            <w:r>
              <w:rPr>
                <w:sz w:val="21"/>
              </w:rPr>
              <w:t>Section 8471.62</w:t>
            </w:r>
          </w:p>
        </w:tc>
        <w:tc>
          <w:tcPr>
            <w:tcW w:w="7470" w:type="dxa"/>
          </w:tcPr>
          <w:p>
            <w:pPr>
              <w:pStyle w:val="TableParagraph"/>
              <w:spacing w:line="237" w:lineRule="exact"/>
              <w:ind w:left="216"/>
              <w:rPr>
                <w:sz w:val="21"/>
              </w:rPr>
            </w:pPr>
            <w:r>
              <w:rPr>
                <w:w w:val="105"/>
                <w:sz w:val="21"/>
              </w:rPr>
              <w:t>Deleted. Service Estimates are no longer in use.</w:t>
            </w:r>
          </w:p>
        </w:tc>
      </w:tr>
      <w:tr>
        <w:trPr>
          <w:trHeight w:val="514" w:hRule="exact"/>
        </w:trPr>
        <w:tc>
          <w:tcPr>
            <w:tcW w:w="1999" w:type="dxa"/>
          </w:tcPr>
          <w:p>
            <w:pPr>
              <w:pStyle w:val="TableParagraph"/>
              <w:spacing w:before="120"/>
              <w:ind w:left="266"/>
              <w:rPr>
                <w:sz w:val="21"/>
              </w:rPr>
            </w:pPr>
            <w:r>
              <w:rPr>
                <w:sz w:val="21"/>
              </w:rPr>
              <w:t>Section 8471.63</w:t>
            </w:r>
          </w:p>
        </w:tc>
        <w:tc>
          <w:tcPr>
            <w:tcW w:w="7470" w:type="dxa"/>
          </w:tcPr>
          <w:p>
            <w:pPr>
              <w:pStyle w:val="TableParagraph"/>
              <w:spacing w:line="244" w:lineRule="auto"/>
              <w:ind w:left="206" w:right="323" w:firstLine="9"/>
              <w:rPr>
                <w:sz w:val="21"/>
              </w:rPr>
            </w:pPr>
            <w:r>
              <w:rPr>
                <w:w w:val="105"/>
                <w:sz w:val="21"/>
              </w:rPr>
              <w:t>Deleted. EFT replaced No Warrant claim schedules for disbursements. See renumbered section 8471.2.</w:t>
            </w:r>
          </w:p>
        </w:tc>
      </w:tr>
      <w:tr>
        <w:trPr>
          <w:trHeight w:val="499" w:hRule="exact"/>
        </w:trPr>
        <w:tc>
          <w:tcPr>
            <w:tcW w:w="1999" w:type="dxa"/>
          </w:tcPr>
          <w:p>
            <w:pPr>
              <w:pStyle w:val="TableParagraph"/>
              <w:spacing w:before="115"/>
              <w:ind w:left="259"/>
              <w:rPr>
                <w:sz w:val="21"/>
              </w:rPr>
            </w:pPr>
            <w:r>
              <w:rPr>
                <w:sz w:val="21"/>
              </w:rPr>
              <w:t>Section 8471.64</w:t>
            </w:r>
          </w:p>
        </w:tc>
        <w:tc>
          <w:tcPr>
            <w:tcW w:w="7470" w:type="dxa"/>
          </w:tcPr>
          <w:p>
            <w:pPr>
              <w:pStyle w:val="TableParagraph"/>
              <w:spacing w:line="237" w:lineRule="auto"/>
              <w:ind w:left="206" w:right="1377"/>
              <w:rPr>
                <w:sz w:val="21"/>
              </w:rPr>
            </w:pPr>
            <w:r>
              <w:rPr>
                <w:sz w:val="21"/>
              </w:rPr>
              <w:t>Deleted. Return </w:t>
            </w:r>
            <w:r>
              <w:rPr>
                <w:spacing w:val="-3"/>
                <w:sz w:val="21"/>
              </w:rPr>
              <w:t>of </w:t>
            </w:r>
            <w:r>
              <w:rPr>
                <w:sz w:val="21"/>
              </w:rPr>
              <w:t>prior year advances has been included in the renumbered section 8471. See also</w:t>
            </w:r>
            <w:r>
              <w:rPr>
                <w:spacing w:val="-29"/>
                <w:sz w:val="21"/>
              </w:rPr>
              <w:t> </w:t>
            </w:r>
            <w:r>
              <w:rPr>
                <w:sz w:val="21"/>
              </w:rPr>
              <w:t>8471111ustration.</w:t>
            </w:r>
          </w:p>
        </w:tc>
      </w:tr>
      <w:tr>
        <w:trPr>
          <w:trHeight w:val="1016" w:hRule="exact"/>
        </w:trPr>
        <w:tc>
          <w:tcPr>
            <w:tcW w:w="1999" w:type="dxa"/>
            <w:tcBorders>
              <w:bottom w:val="single" w:sz="5" w:space="0" w:color="000000"/>
            </w:tcBorders>
          </w:tcPr>
          <w:p>
            <w:pPr>
              <w:pStyle w:val="TableParagraph"/>
              <w:spacing w:line="244" w:lineRule="auto"/>
              <w:ind w:left="403" w:right="782" w:firstLine="4"/>
              <w:jc w:val="center"/>
              <w:rPr>
                <w:sz w:val="21"/>
              </w:rPr>
            </w:pPr>
            <w:r>
              <w:rPr>
                <w:w w:val="105"/>
                <w:sz w:val="21"/>
              </w:rPr>
              <w:t>Section 8471.71</w:t>
            </w:r>
          </w:p>
          <w:p>
            <w:pPr>
              <w:pStyle w:val="TableParagraph"/>
              <w:spacing w:line="249" w:lineRule="auto" w:before="13"/>
              <w:ind w:left="237" w:right="612"/>
              <w:jc w:val="center"/>
              <w:rPr>
                <w:sz w:val="21"/>
              </w:rPr>
            </w:pPr>
            <w:r>
              <w:rPr>
                <w:sz w:val="21"/>
              </w:rPr>
              <w:t>renumbered to 8471.6</w:t>
            </w:r>
          </w:p>
        </w:tc>
        <w:tc>
          <w:tcPr>
            <w:tcW w:w="7470" w:type="dxa"/>
            <w:tcBorders>
              <w:bottom w:val="single" w:sz="5" w:space="0" w:color="000000"/>
            </w:tcBorders>
          </w:tcPr>
          <w:p>
            <w:pPr>
              <w:pStyle w:val="TableParagraph"/>
              <w:ind w:left="206" w:right="480" w:hanging="8"/>
              <w:rPr>
                <w:sz w:val="21"/>
              </w:rPr>
            </w:pPr>
            <w:r>
              <w:rPr>
                <w:sz w:val="21"/>
              </w:rPr>
              <w:t>Section 8471.71 has been renumbered as section 8471.6. Updated with DGS billing code and contact information,  added a link to   DGS's</w:t>
            </w:r>
          </w:p>
          <w:p>
            <w:pPr>
              <w:pStyle w:val="TableParagraph"/>
              <w:spacing w:before="15"/>
              <w:ind w:left="187"/>
              <w:rPr>
                <w:sz w:val="21"/>
              </w:rPr>
            </w:pPr>
            <w:r>
              <w:rPr>
                <w:sz w:val="21"/>
              </w:rPr>
              <w:t>AFS-94A  Customer Account  Number (CAN)  Request form.</w:t>
            </w:r>
          </w:p>
        </w:tc>
      </w:tr>
      <w:tr>
        <w:trPr>
          <w:trHeight w:val="516" w:hRule="exact"/>
        </w:trPr>
        <w:tc>
          <w:tcPr>
            <w:tcW w:w="1999" w:type="dxa"/>
            <w:tcBorders>
              <w:top w:val="single" w:sz="5" w:space="0" w:color="000000"/>
            </w:tcBorders>
          </w:tcPr>
          <w:p>
            <w:pPr>
              <w:pStyle w:val="TableParagraph"/>
              <w:spacing w:before="122"/>
              <w:ind w:left="352"/>
              <w:rPr>
                <w:sz w:val="22"/>
              </w:rPr>
            </w:pPr>
            <w:r>
              <w:rPr>
                <w:sz w:val="22"/>
              </w:rPr>
              <w:t>Section 8590</w:t>
            </w:r>
          </w:p>
        </w:tc>
        <w:tc>
          <w:tcPr>
            <w:tcW w:w="7470" w:type="dxa"/>
            <w:tcBorders>
              <w:top w:val="single" w:sz="5" w:space="0" w:color="000000"/>
            </w:tcBorders>
          </w:tcPr>
          <w:p>
            <w:pPr>
              <w:pStyle w:val="TableParagraph"/>
              <w:spacing w:line="242" w:lineRule="auto"/>
              <w:ind w:left="98"/>
              <w:rPr>
                <w:sz w:val="22"/>
              </w:rPr>
            </w:pPr>
            <w:r>
              <w:rPr>
                <w:sz w:val="22"/>
              </w:rPr>
              <w:t>Section 8590 has been revised to update form number and title, add clearance type code information, and minor edits.</w:t>
            </w:r>
          </w:p>
        </w:tc>
      </w:tr>
      <w:tr>
        <w:trPr>
          <w:trHeight w:val="516" w:hRule="exact"/>
        </w:trPr>
        <w:tc>
          <w:tcPr>
            <w:tcW w:w="1999" w:type="dxa"/>
          </w:tcPr>
          <w:p>
            <w:pPr>
              <w:pStyle w:val="TableParagraph"/>
              <w:spacing w:before="122"/>
              <w:ind w:left="352"/>
              <w:rPr>
                <w:sz w:val="22"/>
              </w:rPr>
            </w:pPr>
            <w:r>
              <w:rPr>
                <w:sz w:val="22"/>
              </w:rPr>
              <w:t>Section 8593</w:t>
            </w:r>
          </w:p>
        </w:tc>
        <w:tc>
          <w:tcPr>
            <w:tcW w:w="7470" w:type="dxa"/>
          </w:tcPr>
          <w:p>
            <w:pPr>
              <w:pStyle w:val="TableParagraph"/>
              <w:spacing w:line="242" w:lineRule="auto"/>
              <w:ind w:left="98"/>
              <w:rPr>
                <w:sz w:val="22"/>
              </w:rPr>
            </w:pPr>
            <w:r>
              <w:rPr>
                <w:sz w:val="22"/>
              </w:rPr>
              <w:t>Section 8593 has been revised to update form number and title, and minor edits.</w:t>
            </w:r>
          </w:p>
        </w:tc>
      </w:tr>
      <w:tr>
        <w:trPr>
          <w:trHeight w:val="516" w:hRule="exact"/>
        </w:trPr>
        <w:tc>
          <w:tcPr>
            <w:tcW w:w="1999" w:type="dxa"/>
          </w:tcPr>
          <w:p>
            <w:pPr>
              <w:pStyle w:val="TableParagraph"/>
              <w:spacing w:before="122"/>
              <w:ind w:left="290"/>
              <w:rPr>
                <w:sz w:val="22"/>
              </w:rPr>
            </w:pPr>
            <w:r>
              <w:rPr>
                <w:sz w:val="22"/>
              </w:rPr>
              <w:t>Section 10504</w:t>
            </w:r>
          </w:p>
        </w:tc>
        <w:tc>
          <w:tcPr>
            <w:tcW w:w="7470" w:type="dxa"/>
          </w:tcPr>
          <w:p>
            <w:pPr>
              <w:pStyle w:val="TableParagraph"/>
              <w:spacing w:line="252" w:lineRule="exact" w:before="2"/>
              <w:ind w:left="98"/>
              <w:rPr>
                <w:sz w:val="22"/>
              </w:rPr>
            </w:pPr>
            <w:r>
              <w:rPr>
                <w:sz w:val="22"/>
              </w:rPr>
              <w:t>Section 10504 has been revised to update form number and title, table edits, and minor edits.</w:t>
            </w:r>
          </w:p>
        </w:tc>
      </w:tr>
      <w:tr>
        <w:trPr>
          <w:trHeight w:val="2038" w:hRule="exact"/>
        </w:trPr>
        <w:tc>
          <w:tcPr>
            <w:tcW w:w="1999" w:type="dxa"/>
          </w:tcPr>
          <w:p>
            <w:pPr>
              <w:pStyle w:val="TableParagraph"/>
              <w:rPr>
                <w:rFonts w:ascii="Times New Roman"/>
                <w:sz w:val="24"/>
              </w:rPr>
            </w:pPr>
          </w:p>
          <w:p>
            <w:pPr>
              <w:pStyle w:val="TableParagraph"/>
              <w:rPr>
                <w:rFonts w:ascii="Times New Roman"/>
                <w:sz w:val="24"/>
              </w:rPr>
            </w:pPr>
          </w:p>
          <w:p>
            <w:pPr>
              <w:pStyle w:val="TableParagraph"/>
              <w:spacing w:before="206"/>
              <w:ind w:left="345" w:right="307" w:firstLine="256"/>
              <w:rPr>
                <w:sz w:val="22"/>
              </w:rPr>
            </w:pPr>
            <w:r>
              <w:rPr>
                <w:sz w:val="22"/>
              </w:rPr>
              <w:t>Chapter 20000-20090</w:t>
            </w:r>
          </w:p>
        </w:tc>
        <w:tc>
          <w:tcPr>
            <w:tcW w:w="7470" w:type="dxa"/>
          </w:tcPr>
          <w:p>
            <w:pPr>
              <w:pStyle w:val="TableParagraph"/>
              <w:spacing w:line="242" w:lineRule="auto"/>
              <w:ind w:left="98" w:right="333"/>
              <w:rPr>
                <w:sz w:val="22"/>
              </w:rPr>
            </w:pPr>
            <w:r>
              <w:rPr>
                <w:sz w:val="22"/>
              </w:rPr>
              <w:t>Updated terminology and requirements to reflect current law and procedures of the Financial Integrity and State Manager’s Accountability Act (FISMA), Government Code sections 13400 through 13407.</w:t>
            </w:r>
          </w:p>
          <w:p>
            <w:pPr>
              <w:pStyle w:val="TableParagraph"/>
              <w:rPr>
                <w:rFonts w:ascii="Times New Roman"/>
                <w:sz w:val="22"/>
              </w:rPr>
            </w:pPr>
          </w:p>
          <w:p>
            <w:pPr>
              <w:pStyle w:val="TableParagraph"/>
              <w:ind w:left="98"/>
              <w:rPr>
                <w:sz w:val="22"/>
              </w:rPr>
            </w:pPr>
            <w:r>
              <w:rPr>
                <w:sz w:val="22"/>
              </w:rPr>
              <w:t>Made other conforming changes throughout to remove deleted code sections, and updated central audit organizations, audit coordination, standards, internal control reporting, etc., as required.</w:t>
            </w:r>
          </w:p>
        </w:tc>
      </w:tr>
    </w:tbl>
    <w:p>
      <w:pPr>
        <w:spacing w:after="0"/>
        <w:rPr>
          <w:sz w:val="22"/>
        </w:rPr>
        <w:sectPr>
          <w:pgSz w:w="12240" w:h="15840"/>
          <w:pgMar w:header="605" w:footer="629" w:top="920" w:bottom="820" w:left="1200" w:right="1320"/>
        </w:sectPr>
      </w:pPr>
    </w:p>
    <w:p>
      <w:pPr>
        <w:spacing w:before="63"/>
        <w:ind w:left="2843" w:right="2778" w:firstLine="0"/>
        <w:jc w:val="center"/>
        <w:rPr>
          <w:rFonts w:ascii="Arial" w:hAnsi="Arial"/>
          <w:b/>
          <w:sz w:val="24"/>
        </w:rPr>
      </w:pPr>
      <w:r>
        <w:rPr/>
        <w:drawing>
          <wp:anchor distT="0" distB="0" distL="0" distR="0" allowOverlap="1" layoutInCell="1" locked="0" behindDoc="1" simplePos="0" relativeHeight="268367759">
            <wp:simplePos x="0" y="0"/>
            <wp:positionH relativeFrom="page">
              <wp:posOffset>902208</wp:posOffset>
            </wp:positionH>
            <wp:positionV relativeFrom="page">
              <wp:posOffset>9534143</wp:posOffset>
            </wp:positionV>
            <wp:extent cx="539496" cy="152400"/>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9" cstate="print"/>
                    <a:stretch>
                      <a:fillRect/>
                    </a:stretch>
                  </pic:blipFill>
                  <pic:spPr>
                    <a:xfrm>
                      <a:off x="0" y="0"/>
                      <a:ext cx="539496" cy="152400"/>
                    </a:xfrm>
                    <a:prstGeom prst="rect">
                      <a:avLst/>
                    </a:prstGeom>
                  </pic:spPr>
                </pic:pic>
              </a:graphicData>
            </a:graphic>
          </wp:anchor>
        </w:drawing>
      </w:r>
      <w:r>
        <w:rPr/>
        <w:drawing>
          <wp:anchor distT="0" distB="0" distL="0" distR="0" allowOverlap="1" layoutInCell="1" locked="0" behindDoc="1" simplePos="0" relativeHeight="268367783">
            <wp:simplePos x="0" y="0"/>
            <wp:positionH relativeFrom="page">
              <wp:posOffset>5734811</wp:posOffset>
            </wp:positionH>
            <wp:positionV relativeFrom="page">
              <wp:posOffset>9534143</wp:posOffset>
            </wp:positionV>
            <wp:extent cx="1135380" cy="152400"/>
            <wp:effectExtent l="0" t="0" r="0" b="0"/>
            <wp:wrapNone/>
            <wp:docPr id="11" name="image5.png" descr=""/>
            <wp:cNvGraphicFramePr>
              <a:graphicFrameLocks noChangeAspect="1"/>
            </wp:cNvGraphicFramePr>
            <a:graphic>
              <a:graphicData uri="http://schemas.openxmlformats.org/drawingml/2006/picture">
                <pic:pic>
                  <pic:nvPicPr>
                    <pic:cNvPr id="12" name="image5.png"/>
                    <pic:cNvPicPr/>
                  </pic:nvPicPr>
                  <pic:blipFill>
                    <a:blip r:embed="rId10" cstate="print"/>
                    <a:stretch>
                      <a:fillRect/>
                    </a:stretch>
                  </pic:blipFill>
                  <pic:spPr>
                    <a:xfrm>
                      <a:off x="0" y="0"/>
                      <a:ext cx="1135380" cy="152400"/>
                    </a:xfrm>
                    <a:prstGeom prst="rect">
                      <a:avLst/>
                    </a:prstGeom>
                  </pic:spPr>
                </pic:pic>
              </a:graphicData>
            </a:graphic>
          </wp:anchor>
        </w:drawing>
      </w:r>
      <w:r>
        <w:rPr>
          <w:rFonts w:ascii="Arial" w:hAnsi="Arial"/>
          <w:b/>
          <w:sz w:val="24"/>
        </w:rPr>
        <w:t>SAM – REVISION 423 SUMMARY</w:t>
      </w:r>
    </w:p>
    <w:p>
      <w:pPr>
        <w:pStyle w:val="BodyText"/>
        <w:spacing w:before="8"/>
        <w:rPr>
          <w:rFonts w:ascii="Arial"/>
          <w:b/>
        </w:rPr>
      </w:pPr>
      <w:r>
        <w:rPr/>
        <w:pict>
          <v:line style="position:absolute;mso-position-horizontal-relative:page;mso-position-vertical-relative:paragraph;z-index:0;mso-wrap-distance-left:0;mso-wrap-distance-right:0" from="66.599998pt,14.162842pt" to="539.999998pt,14.162842pt" stroked="true" strokeweight=".580pt" strokecolor="#000000">
            <v:stroke dashstyle="solid"/>
            <w10:wrap type="topAndBottom"/>
          </v:line>
        </w:pict>
      </w:r>
    </w:p>
    <w:p>
      <w:pPr>
        <w:spacing w:before="226"/>
        <w:ind w:left="2843" w:right="2778" w:firstLine="0"/>
        <w:jc w:val="center"/>
        <w:rPr>
          <w:rFonts w:ascii="Arial"/>
          <w:b/>
          <w:sz w:val="22"/>
        </w:rPr>
      </w:pPr>
      <w:r>
        <w:rPr>
          <w:rFonts w:ascii="Arial"/>
          <w:b/>
          <w:sz w:val="22"/>
        </w:rPr>
        <w:t>REVISION SEQUENCE INSTRUCTIONS</w:t>
      </w:r>
    </w:p>
    <w:p>
      <w:pPr>
        <w:spacing w:before="184"/>
        <w:ind w:left="240" w:right="0" w:firstLine="0"/>
        <w:jc w:val="left"/>
        <w:rPr>
          <w:rFonts w:ascii="Arial"/>
          <w:sz w:val="22"/>
        </w:rPr>
      </w:pPr>
      <w:r>
        <w:rPr>
          <w:rFonts w:ascii="Arial"/>
          <w:sz w:val="22"/>
        </w:rPr>
        <w:t>The SAM is undergoing a format transition. Therefore, page numbers are either at the center bottom or upper right corner of the page.</w:t>
      </w:r>
    </w:p>
    <w:p>
      <w:pPr>
        <w:pStyle w:val="BodyText"/>
        <w:rPr>
          <w:rFonts w:ascii="Arial"/>
        </w:rPr>
      </w:pPr>
    </w:p>
    <w:p>
      <w:pPr>
        <w:pStyle w:val="BodyText"/>
        <w:spacing w:before="10" w:after="1"/>
        <w:rPr>
          <w:rFonts w:ascii="Arial"/>
          <w:sz w:val="23"/>
        </w:rPr>
      </w:pPr>
    </w:p>
    <w:tbl>
      <w:tblPr>
        <w:tblW w:w="0" w:type="auto"/>
        <w:jc w:val="left"/>
        <w:tblInd w:w="11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337"/>
        <w:gridCol w:w="1532"/>
        <w:gridCol w:w="1981"/>
        <w:gridCol w:w="1620"/>
      </w:tblGrid>
      <w:tr>
        <w:trPr>
          <w:trHeight w:val="785" w:hRule="exact"/>
        </w:trPr>
        <w:tc>
          <w:tcPr>
            <w:tcW w:w="4337" w:type="dxa"/>
          </w:tcPr>
          <w:p>
            <w:pPr>
              <w:pStyle w:val="TableParagraph"/>
              <w:ind w:left="105"/>
              <w:rPr>
                <w:b/>
                <w:sz w:val="22"/>
              </w:rPr>
            </w:pPr>
            <w:r>
              <w:rPr>
                <w:b/>
                <w:sz w:val="22"/>
              </w:rPr>
              <w:t>Remove Page (s)</w:t>
            </w:r>
          </w:p>
        </w:tc>
        <w:tc>
          <w:tcPr>
            <w:tcW w:w="1532" w:type="dxa"/>
          </w:tcPr>
          <w:p>
            <w:pPr>
              <w:pStyle w:val="TableParagraph"/>
              <w:spacing w:line="244" w:lineRule="auto"/>
              <w:ind w:left="151" w:right="151"/>
              <w:jc w:val="center"/>
              <w:rPr>
                <w:b/>
                <w:sz w:val="22"/>
              </w:rPr>
            </w:pPr>
            <w:r>
              <w:rPr>
                <w:b/>
                <w:w w:val="90"/>
                <w:sz w:val="22"/>
              </w:rPr>
              <w:t>Consecutive </w:t>
            </w:r>
            <w:r>
              <w:rPr>
                <w:b/>
                <w:sz w:val="22"/>
              </w:rPr>
              <w:t>Number of Sheets</w:t>
            </w:r>
          </w:p>
        </w:tc>
        <w:tc>
          <w:tcPr>
            <w:tcW w:w="1981" w:type="dxa"/>
          </w:tcPr>
          <w:p>
            <w:pPr>
              <w:pStyle w:val="TableParagraph"/>
              <w:ind w:left="200" w:right="211"/>
              <w:jc w:val="center"/>
              <w:rPr>
                <w:b/>
                <w:sz w:val="22"/>
              </w:rPr>
            </w:pPr>
            <w:r>
              <w:rPr>
                <w:b/>
                <w:sz w:val="22"/>
              </w:rPr>
              <w:t>Insert Page (s)</w:t>
            </w:r>
          </w:p>
        </w:tc>
        <w:tc>
          <w:tcPr>
            <w:tcW w:w="1620" w:type="dxa"/>
          </w:tcPr>
          <w:p>
            <w:pPr>
              <w:pStyle w:val="TableParagraph"/>
              <w:spacing w:line="228" w:lineRule="auto"/>
              <w:ind w:left="148" w:right="149"/>
              <w:jc w:val="center"/>
              <w:rPr>
                <w:b/>
                <w:sz w:val="22"/>
              </w:rPr>
            </w:pPr>
            <w:r>
              <w:rPr>
                <w:b/>
                <w:sz w:val="22"/>
              </w:rPr>
              <w:t>Consecutive Number of Sheets</w:t>
            </w:r>
          </w:p>
        </w:tc>
      </w:tr>
      <w:tr>
        <w:trPr>
          <w:trHeight w:val="269" w:hRule="exact"/>
        </w:trPr>
        <w:tc>
          <w:tcPr>
            <w:tcW w:w="4337" w:type="dxa"/>
          </w:tcPr>
          <w:p>
            <w:pPr>
              <w:pStyle w:val="TableParagraph"/>
              <w:spacing w:line="251" w:lineRule="exact"/>
              <w:ind w:left="105"/>
              <w:rPr>
                <w:b/>
                <w:sz w:val="22"/>
              </w:rPr>
            </w:pPr>
            <w:r>
              <w:rPr>
                <w:b/>
                <w:sz w:val="22"/>
              </w:rPr>
              <w:t>Section 7360 - 7380</w:t>
            </w:r>
          </w:p>
        </w:tc>
        <w:tc>
          <w:tcPr>
            <w:tcW w:w="1532" w:type="dxa"/>
          </w:tcPr>
          <w:p>
            <w:pPr>
              <w:pStyle w:val="TableParagraph"/>
              <w:spacing w:line="251" w:lineRule="exact"/>
              <w:ind w:right="696"/>
              <w:jc w:val="right"/>
              <w:rPr>
                <w:b/>
                <w:sz w:val="22"/>
              </w:rPr>
            </w:pPr>
            <w:r>
              <w:rPr>
                <w:b/>
                <w:w w:val="100"/>
                <w:sz w:val="22"/>
              </w:rPr>
              <w:t>2</w:t>
            </w:r>
          </w:p>
        </w:tc>
        <w:tc>
          <w:tcPr>
            <w:tcW w:w="1981" w:type="dxa"/>
          </w:tcPr>
          <w:p>
            <w:pPr>
              <w:pStyle w:val="TableParagraph"/>
              <w:spacing w:line="251" w:lineRule="exact"/>
              <w:ind w:left="200" w:right="200"/>
              <w:jc w:val="center"/>
              <w:rPr>
                <w:b/>
                <w:sz w:val="22"/>
              </w:rPr>
            </w:pPr>
            <w:r>
              <w:rPr>
                <w:b/>
                <w:sz w:val="22"/>
              </w:rPr>
              <w:t>Same</w:t>
            </w:r>
          </w:p>
        </w:tc>
        <w:tc>
          <w:tcPr>
            <w:tcW w:w="1620" w:type="dxa"/>
          </w:tcPr>
          <w:p>
            <w:pPr>
              <w:pStyle w:val="TableParagraph"/>
              <w:spacing w:line="239" w:lineRule="exact"/>
              <w:ind w:left="741"/>
              <w:rPr>
                <w:b/>
                <w:sz w:val="22"/>
              </w:rPr>
            </w:pPr>
            <w:r>
              <w:rPr>
                <w:b/>
                <w:w w:val="100"/>
                <w:sz w:val="22"/>
              </w:rPr>
              <w:t>2</w:t>
            </w:r>
          </w:p>
        </w:tc>
      </w:tr>
      <w:tr>
        <w:trPr>
          <w:trHeight w:val="266" w:hRule="exact"/>
        </w:trPr>
        <w:tc>
          <w:tcPr>
            <w:tcW w:w="4337" w:type="dxa"/>
          </w:tcPr>
          <w:p>
            <w:pPr>
              <w:pStyle w:val="TableParagraph"/>
              <w:spacing w:line="251" w:lineRule="exact"/>
              <w:ind w:left="105"/>
              <w:rPr>
                <w:b/>
                <w:sz w:val="22"/>
              </w:rPr>
            </w:pPr>
            <w:r>
              <w:rPr>
                <w:b/>
                <w:sz w:val="22"/>
              </w:rPr>
              <w:t>Section 7922 (Cont. 1) - 7924</w:t>
            </w:r>
          </w:p>
        </w:tc>
        <w:tc>
          <w:tcPr>
            <w:tcW w:w="1532" w:type="dxa"/>
          </w:tcPr>
          <w:p>
            <w:pPr>
              <w:pStyle w:val="TableParagraph"/>
              <w:spacing w:line="251" w:lineRule="exact"/>
              <w:ind w:right="696"/>
              <w:jc w:val="right"/>
              <w:rPr>
                <w:b/>
                <w:sz w:val="22"/>
              </w:rPr>
            </w:pPr>
            <w:r>
              <w:rPr>
                <w:b/>
                <w:w w:val="100"/>
                <w:sz w:val="22"/>
              </w:rPr>
              <w:t>2</w:t>
            </w:r>
          </w:p>
        </w:tc>
        <w:tc>
          <w:tcPr>
            <w:tcW w:w="1981" w:type="dxa"/>
          </w:tcPr>
          <w:p>
            <w:pPr>
              <w:pStyle w:val="TableParagraph"/>
              <w:spacing w:line="251" w:lineRule="exact"/>
              <w:ind w:left="200" w:right="200"/>
              <w:jc w:val="center"/>
              <w:rPr>
                <w:b/>
                <w:sz w:val="22"/>
              </w:rPr>
            </w:pPr>
            <w:r>
              <w:rPr>
                <w:b/>
                <w:sz w:val="22"/>
              </w:rPr>
              <w:t>Same</w:t>
            </w:r>
          </w:p>
        </w:tc>
        <w:tc>
          <w:tcPr>
            <w:tcW w:w="1620" w:type="dxa"/>
          </w:tcPr>
          <w:p>
            <w:pPr>
              <w:pStyle w:val="TableParagraph"/>
              <w:spacing w:line="239" w:lineRule="exact"/>
              <w:ind w:left="741"/>
              <w:rPr>
                <w:b/>
                <w:sz w:val="22"/>
              </w:rPr>
            </w:pPr>
            <w:r>
              <w:rPr>
                <w:b/>
                <w:w w:val="100"/>
                <w:sz w:val="22"/>
              </w:rPr>
              <w:t>2</w:t>
            </w:r>
          </w:p>
        </w:tc>
      </w:tr>
      <w:tr>
        <w:trPr>
          <w:trHeight w:val="269" w:hRule="exact"/>
        </w:trPr>
        <w:tc>
          <w:tcPr>
            <w:tcW w:w="4337" w:type="dxa"/>
          </w:tcPr>
          <w:p>
            <w:pPr>
              <w:pStyle w:val="TableParagraph"/>
              <w:spacing w:line="251" w:lineRule="exact"/>
              <w:ind w:left="105"/>
              <w:rPr>
                <w:b/>
                <w:sz w:val="22"/>
              </w:rPr>
            </w:pPr>
            <w:r>
              <w:rPr>
                <w:b/>
                <w:sz w:val="22"/>
              </w:rPr>
              <w:t>Section 7930 – 7950</w:t>
            </w:r>
          </w:p>
        </w:tc>
        <w:tc>
          <w:tcPr>
            <w:tcW w:w="1532" w:type="dxa"/>
          </w:tcPr>
          <w:p>
            <w:pPr>
              <w:pStyle w:val="TableParagraph"/>
              <w:spacing w:line="251" w:lineRule="exact"/>
              <w:ind w:right="696"/>
              <w:jc w:val="right"/>
              <w:rPr>
                <w:b/>
                <w:sz w:val="22"/>
              </w:rPr>
            </w:pPr>
            <w:r>
              <w:rPr>
                <w:b/>
                <w:w w:val="100"/>
                <w:sz w:val="22"/>
              </w:rPr>
              <w:t>2</w:t>
            </w:r>
          </w:p>
        </w:tc>
        <w:tc>
          <w:tcPr>
            <w:tcW w:w="1981" w:type="dxa"/>
          </w:tcPr>
          <w:p>
            <w:pPr>
              <w:pStyle w:val="TableParagraph"/>
              <w:spacing w:line="251" w:lineRule="exact"/>
              <w:ind w:left="200" w:right="200"/>
              <w:jc w:val="center"/>
              <w:rPr>
                <w:b/>
                <w:sz w:val="22"/>
              </w:rPr>
            </w:pPr>
            <w:r>
              <w:rPr>
                <w:b/>
                <w:sz w:val="22"/>
              </w:rPr>
              <w:t>Same</w:t>
            </w:r>
          </w:p>
        </w:tc>
        <w:tc>
          <w:tcPr>
            <w:tcW w:w="1620" w:type="dxa"/>
          </w:tcPr>
          <w:p>
            <w:pPr>
              <w:pStyle w:val="TableParagraph"/>
              <w:spacing w:line="239" w:lineRule="exact"/>
              <w:ind w:left="741"/>
              <w:rPr>
                <w:b/>
                <w:sz w:val="22"/>
              </w:rPr>
            </w:pPr>
            <w:r>
              <w:rPr>
                <w:b/>
                <w:w w:val="100"/>
                <w:sz w:val="22"/>
              </w:rPr>
              <w:t>2</w:t>
            </w:r>
          </w:p>
        </w:tc>
      </w:tr>
      <w:tr>
        <w:trPr>
          <w:trHeight w:val="269" w:hRule="exact"/>
        </w:trPr>
        <w:tc>
          <w:tcPr>
            <w:tcW w:w="4337" w:type="dxa"/>
          </w:tcPr>
          <w:p>
            <w:pPr>
              <w:pStyle w:val="TableParagraph"/>
              <w:spacing w:line="251" w:lineRule="exact"/>
              <w:ind w:left="105"/>
              <w:rPr>
                <w:b/>
                <w:sz w:val="22"/>
              </w:rPr>
            </w:pPr>
            <w:r>
              <w:rPr>
                <w:b/>
                <w:sz w:val="22"/>
              </w:rPr>
              <w:t>Section 7962 – 7978</w:t>
            </w:r>
          </w:p>
        </w:tc>
        <w:tc>
          <w:tcPr>
            <w:tcW w:w="1532" w:type="dxa"/>
          </w:tcPr>
          <w:p>
            <w:pPr>
              <w:pStyle w:val="TableParagraph"/>
              <w:spacing w:line="251" w:lineRule="exact"/>
              <w:ind w:right="635"/>
              <w:jc w:val="right"/>
              <w:rPr>
                <w:b/>
                <w:sz w:val="22"/>
              </w:rPr>
            </w:pPr>
            <w:r>
              <w:rPr>
                <w:b/>
                <w:sz w:val="22"/>
              </w:rPr>
              <w:t>18</w:t>
            </w:r>
          </w:p>
        </w:tc>
        <w:tc>
          <w:tcPr>
            <w:tcW w:w="1981" w:type="dxa"/>
          </w:tcPr>
          <w:p>
            <w:pPr>
              <w:pStyle w:val="TableParagraph"/>
              <w:spacing w:line="251" w:lineRule="exact"/>
              <w:ind w:left="200" w:right="200"/>
              <w:jc w:val="center"/>
              <w:rPr>
                <w:b/>
                <w:sz w:val="22"/>
              </w:rPr>
            </w:pPr>
            <w:r>
              <w:rPr>
                <w:b/>
                <w:sz w:val="22"/>
              </w:rPr>
              <w:t>Same</w:t>
            </w:r>
          </w:p>
        </w:tc>
        <w:tc>
          <w:tcPr>
            <w:tcW w:w="1620" w:type="dxa"/>
          </w:tcPr>
          <w:p>
            <w:pPr>
              <w:pStyle w:val="TableParagraph"/>
              <w:spacing w:line="239" w:lineRule="exact"/>
              <w:ind w:left="681"/>
              <w:rPr>
                <w:b/>
                <w:sz w:val="22"/>
              </w:rPr>
            </w:pPr>
            <w:r>
              <w:rPr>
                <w:b/>
                <w:sz w:val="22"/>
              </w:rPr>
              <w:t>18</w:t>
            </w:r>
          </w:p>
        </w:tc>
      </w:tr>
      <w:tr>
        <w:trPr>
          <w:trHeight w:val="266" w:hRule="exact"/>
        </w:trPr>
        <w:tc>
          <w:tcPr>
            <w:tcW w:w="4337" w:type="dxa"/>
          </w:tcPr>
          <w:p>
            <w:pPr>
              <w:pStyle w:val="TableParagraph"/>
              <w:spacing w:line="251" w:lineRule="exact"/>
              <w:ind w:left="105"/>
              <w:rPr>
                <w:b/>
                <w:sz w:val="22"/>
              </w:rPr>
            </w:pPr>
            <w:r>
              <w:rPr>
                <w:b/>
                <w:sz w:val="22"/>
              </w:rPr>
              <w:t>Section 8454 – 8473.1</w:t>
            </w:r>
          </w:p>
        </w:tc>
        <w:tc>
          <w:tcPr>
            <w:tcW w:w="1532" w:type="dxa"/>
          </w:tcPr>
          <w:p>
            <w:pPr>
              <w:pStyle w:val="TableParagraph"/>
              <w:spacing w:line="251" w:lineRule="exact"/>
              <w:ind w:right="635"/>
              <w:jc w:val="right"/>
              <w:rPr>
                <w:b/>
                <w:sz w:val="22"/>
              </w:rPr>
            </w:pPr>
            <w:r>
              <w:rPr>
                <w:b/>
                <w:sz w:val="22"/>
              </w:rPr>
              <w:t>10</w:t>
            </w:r>
          </w:p>
        </w:tc>
        <w:tc>
          <w:tcPr>
            <w:tcW w:w="1981" w:type="dxa"/>
          </w:tcPr>
          <w:p>
            <w:pPr>
              <w:pStyle w:val="TableParagraph"/>
              <w:spacing w:line="251" w:lineRule="exact"/>
              <w:ind w:left="200" w:right="200"/>
              <w:jc w:val="center"/>
              <w:rPr>
                <w:b/>
                <w:sz w:val="22"/>
              </w:rPr>
            </w:pPr>
            <w:r>
              <w:rPr>
                <w:b/>
                <w:sz w:val="22"/>
              </w:rPr>
              <w:t>Same</w:t>
            </w:r>
          </w:p>
        </w:tc>
        <w:tc>
          <w:tcPr>
            <w:tcW w:w="1620" w:type="dxa"/>
          </w:tcPr>
          <w:p>
            <w:pPr>
              <w:pStyle w:val="TableParagraph"/>
              <w:spacing w:line="239" w:lineRule="exact"/>
              <w:ind w:left="681"/>
              <w:rPr>
                <w:b/>
                <w:sz w:val="22"/>
              </w:rPr>
            </w:pPr>
            <w:r>
              <w:rPr>
                <w:b/>
                <w:sz w:val="22"/>
              </w:rPr>
              <w:t>10</w:t>
            </w:r>
          </w:p>
        </w:tc>
      </w:tr>
      <w:tr>
        <w:trPr>
          <w:trHeight w:val="269" w:hRule="exact"/>
        </w:trPr>
        <w:tc>
          <w:tcPr>
            <w:tcW w:w="4337" w:type="dxa"/>
          </w:tcPr>
          <w:p>
            <w:pPr>
              <w:pStyle w:val="TableParagraph"/>
              <w:spacing w:line="251" w:lineRule="exact"/>
              <w:ind w:left="105"/>
              <w:rPr>
                <w:b/>
                <w:sz w:val="22"/>
              </w:rPr>
            </w:pPr>
            <w:r>
              <w:rPr>
                <w:b/>
                <w:sz w:val="22"/>
              </w:rPr>
              <w:t>Section 8580.4 – 8596</w:t>
            </w:r>
          </w:p>
        </w:tc>
        <w:tc>
          <w:tcPr>
            <w:tcW w:w="1532" w:type="dxa"/>
          </w:tcPr>
          <w:p>
            <w:pPr>
              <w:pStyle w:val="TableParagraph"/>
              <w:spacing w:line="251" w:lineRule="exact"/>
              <w:ind w:right="696"/>
              <w:jc w:val="right"/>
              <w:rPr>
                <w:b/>
                <w:sz w:val="22"/>
              </w:rPr>
            </w:pPr>
            <w:r>
              <w:rPr>
                <w:b/>
                <w:w w:val="100"/>
                <w:sz w:val="22"/>
              </w:rPr>
              <w:t>8</w:t>
            </w:r>
          </w:p>
        </w:tc>
        <w:tc>
          <w:tcPr>
            <w:tcW w:w="1981" w:type="dxa"/>
          </w:tcPr>
          <w:p>
            <w:pPr>
              <w:pStyle w:val="TableParagraph"/>
              <w:spacing w:line="251" w:lineRule="exact"/>
              <w:ind w:left="200" w:right="200"/>
              <w:jc w:val="center"/>
              <w:rPr>
                <w:b/>
                <w:sz w:val="22"/>
              </w:rPr>
            </w:pPr>
            <w:r>
              <w:rPr>
                <w:b/>
                <w:sz w:val="22"/>
              </w:rPr>
              <w:t>Same</w:t>
            </w:r>
          </w:p>
        </w:tc>
        <w:tc>
          <w:tcPr>
            <w:tcW w:w="1620" w:type="dxa"/>
          </w:tcPr>
          <w:p>
            <w:pPr>
              <w:pStyle w:val="TableParagraph"/>
              <w:spacing w:line="239" w:lineRule="exact"/>
              <w:ind w:left="741"/>
              <w:rPr>
                <w:b/>
                <w:sz w:val="22"/>
              </w:rPr>
            </w:pPr>
            <w:r>
              <w:rPr>
                <w:b/>
                <w:w w:val="100"/>
                <w:sz w:val="22"/>
              </w:rPr>
              <w:t>8</w:t>
            </w:r>
          </w:p>
        </w:tc>
      </w:tr>
      <w:tr>
        <w:trPr>
          <w:trHeight w:val="269" w:hRule="exact"/>
        </w:trPr>
        <w:tc>
          <w:tcPr>
            <w:tcW w:w="4337" w:type="dxa"/>
          </w:tcPr>
          <w:p>
            <w:pPr>
              <w:pStyle w:val="TableParagraph"/>
              <w:spacing w:line="251" w:lineRule="exact"/>
              <w:ind w:left="105"/>
              <w:rPr>
                <w:b/>
                <w:sz w:val="22"/>
              </w:rPr>
            </w:pPr>
            <w:r>
              <w:rPr>
                <w:b/>
                <w:sz w:val="22"/>
              </w:rPr>
              <w:t>Section 10503 (Cont. 1) – 10505</w:t>
            </w:r>
          </w:p>
        </w:tc>
        <w:tc>
          <w:tcPr>
            <w:tcW w:w="1532" w:type="dxa"/>
          </w:tcPr>
          <w:p>
            <w:pPr>
              <w:pStyle w:val="TableParagraph"/>
              <w:spacing w:line="251" w:lineRule="exact"/>
              <w:ind w:right="696"/>
              <w:jc w:val="right"/>
              <w:rPr>
                <w:b/>
                <w:sz w:val="22"/>
              </w:rPr>
            </w:pPr>
            <w:r>
              <w:rPr>
                <w:b/>
                <w:w w:val="100"/>
                <w:sz w:val="22"/>
              </w:rPr>
              <w:t>6</w:t>
            </w:r>
          </w:p>
        </w:tc>
        <w:tc>
          <w:tcPr>
            <w:tcW w:w="1981" w:type="dxa"/>
          </w:tcPr>
          <w:p>
            <w:pPr>
              <w:pStyle w:val="TableParagraph"/>
              <w:spacing w:line="251" w:lineRule="exact"/>
              <w:ind w:left="200" w:right="200"/>
              <w:jc w:val="center"/>
              <w:rPr>
                <w:b/>
                <w:sz w:val="22"/>
              </w:rPr>
            </w:pPr>
            <w:r>
              <w:rPr>
                <w:b/>
                <w:sz w:val="22"/>
              </w:rPr>
              <w:t>Same</w:t>
            </w:r>
          </w:p>
        </w:tc>
        <w:tc>
          <w:tcPr>
            <w:tcW w:w="1620" w:type="dxa"/>
          </w:tcPr>
          <w:p>
            <w:pPr>
              <w:pStyle w:val="TableParagraph"/>
              <w:spacing w:line="239" w:lineRule="exact"/>
              <w:ind w:left="741"/>
              <w:rPr>
                <w:b/>
                <w:sz w:val="22"/>
              </w:rPr>
            </w:pPr>
            <w:r>
              <w:rPr>
                <w:b/>
                <w:w w:val="100"/>
                <w:sz w:val="22"/>
              </w:rPr>
              <w:t>6</w:t>
            </w:r>
          </w:p>
        </w:tc>
      </w:tr>
      <w:tr>
        <w:trPr>
          <w:trHeight w:val="266" w:hRule="exact"/>
        </w:trPr>
        <w:tc>
          <w:tcPr>
            <w:tcW w:w="4337" w:type="dxa"/>
          </w:tcPr>
          <w:p>
            <w:pPr>
              <w:pStyle w:val="TableParagraph"/>
              <w:spacing w:line="251" w:lineRule="exact"/>
              <w:ind w:left="105"/>
              <w:rPr>
                <w:b/>
                <w:sz w:val="22"/>
              </w:rPr>
            </w:pPr>
            <w:r>
              <w:rPr>
                <w:b/>
                <w:sz w:val="22"/>
              </w:rPr>
              <w:t>Section 20000 – 20090</w:t>
            </w:r>
          </w:p>
        </w:tc>
        <w:tc>
          <w:tcPr>
            <w:tcW w:w="1532" w:type="dxa"/>
          </w:tcPr>
          <w:p>
            <w:pPr>
              <w:pStyle w:val="TableParagraph"/>
              <w:spacing w:line="251" w:lineRule="exact"/>
              <w:ind w:right="696"/>
              <w:jc w:val="right"/>
              <w:rPr>
                <w:b/>
                <w:sz w:val="22"/>
              </w:rPr>
            </w:pPr>
            <w:r>
              <w:rPr>
                <w:b/>
                <w:w w:val="100"/>
                <w:sz w:val="22"/>
              </w:rPr>
              <w:t>6</w:t>
            </w:r>
          </w:p>
        </w:tc>
        <w:tc>
          <w:tcPr>
            <w:tcW w:w="1981" w:type="dxa"/>
          </w:tcPr>
          <w:p>
            <w:pPr>
              <w:pStyle w:val="TableParagraph"/>
              <w:spacing w:line="251" w:lineRule="exact"/>
              <w:ind w:left="200" w:right="200"/>
              <w:jc w:val="center"/>
              <w:rPr>
                <w:b/>
                <w:sz w:val="22"/>
              </w:rPr>
            </w:pPr>
            <w:r>
              <w:rPr>
                <w:b/>
                <w:sz w:val="22"/>
              </w:rPr>
              <w:t>Same</w:t>
            </w:r>
          </w:p>
        </w:tc>
        <w:tc>
          <w:tcPr>
            <w:tcW w:w="1620" w:type="dxa"/>
          </w:tcPr>
          <w:p>
            <w:pPr>
              <w:pStyle w:val="TableParagraph"/>
              <w:spacing w:line="239" w:lineRule="exact"/>
              <w:ind w:left="741"/>
              <w:rPr>
                <w:b/>
                <w:sz w:val="22"/>
              </w:rPr>
            </w:pPr>
            <w:r>
              <w:rPr>
                <w:b/>
                <w:w w:val="100"/>
                <w:sz w:val="22"/>
              </w:rPr>
              <w:t>6</w:t>
            </w:r>
          </w:p>
        </w:tc>
      </w:tr>
    </w:tbl>
    <w:p>
      <w:pPr>
        <w:spacing w:after="0" w:line="239" w:lineRule="exact"/>
        <w:rPr>
          <w:sz w:val="22"/>
        </w:rPr>
        <w:sectPr>
          <w:headerReference w:type="default" r:id="rId7"/>
          <w:footerReference w:type="default" r:id="rId8"/>
          <w:pgSz w:w="12240" w:h="15840"/>
          <w:pgMar w:header="0" w:footer="622" w:top="540" w:bottom="820" w:left="1200" w:right="1320"/>
        </w:sectPr>
      </w:pPr>
    </w:p>
    <w:p>
      <w:pPr>
        <w:pStyle w:val="BodyText"/>
        <w:spacing w:before="11"/>
        <w:rPr>
          <w:rFonts w:ascii="Arial"/>
          <w:sz w:val="11"/>
        </w:rPr>
      </w:pPr>
    </w:p>
    <w:p>
      <w:pPr>
        <w:tabs>
          <w:tab w:pos="9080" w:val="left" w:leader="none"/>
        </w:tabs>
        <w:spacing w:line="229" w:lineRule="exact" w:before="92"/>
        <w:ind w:left="119" w:right="0" w:firstLine="0"/>
        <w:jc w:val="both"/>
        <w:rPr>
          <w:b/>
          <w:sz w:val="20"/>
        </w:rPr>
      </w:pPr>
      <w:bookmarkStart w:name="7360-7380(1)" w:id="3"/>
      <w:bookmarkEnd w:id="3"/>
      <w:r>
        <w:rPr/>
      </w:r>
      <w:r>
        <w:rPr>
          <w:b/>
          <w:sz w:val="20"/>
        </w:rPr>
        <w:t>LEGISLATIVE</w:t>
      </w:r>
      <w:r>
        <w:rPr>
          <w:b/>
          <w:spacing w:val="-4"/>
          <w:sz w:val="20"/>
        </w:rPr>
        <w:t> </w:t>
      </w:r>
      <w:r>
        <w:rPr>
          <w:b/>
          <w:sz w:val="20"/>
        </w:rPr>
        <w:t>ANALYST</w:t>
        <w:tab/>
        <w:t>7360</w:t>
      </w:r>
    </w:p>
    <w:p>
      <w:pPr>
        <w:pStyle w:val="BodyText"/>
        <w:spacing w:line="229" w:lineRule="exact"/>
        <w:ind w:left="119"/>
        <w:jc w:val="both"/>
      </w:pPr>
      <w:r>
        <w:rPr/>
        <w:t>(Revised 4/01)</w:t>
      </w:r>
    </w:p>
    <w:p>
      <w:pPr>
        <w:pStyle w:val="BodyText"/>
        <w:spacing w:before="11"/>
        <w:rPr>
          <w:sz w:val="19"/>
        </w:rPr>
      </w:pPr>
    </w:p>
    <w:p>
      <w:pPr>
        <w:pStyle w:val="BodyText"/>
        <w:ind w:left="120" w:right="215" w:hanging="1"/>
        <w:jc w:val="both"/>
      </w:pPr>
      <w:r>
        <w:rPr/>
        <w:t>The Legislative Analyst is appointed by the Joint Legislative Budget Committee. The Legislative Analyst's Office (LAO) acts as the Legislature's nonpartisan fiscal and policy advisor. The LAO responsibilities include  the following:</w:t>
      </w:r>
    </w:p>
    <w:p>
      <w:pPr>
        <w:pStyle w:val="BodyText"/>
        <w:spacing w:before="10"/>
        <w:rPr>
          <w:sz w:val="19"/>
        </w:rPr>
      </w:pPr>
    </w:p>
    <w:p>
      <w:pPr>
        <w:pStyle w:val="ListParagraph"/>
        <w:numPr>
          <w:ilvl w:val="0"/>
          <w:numId w:val="1"/>
        </w:numPr>
        <w:tabs>
          <w:tab w:pos="479" w:val="left" w:leader="none"/>
          <w:tab w:pos="480" w:val="left" w:leader="none"/>
        </w:tabs>
        <w:spacing w:line="240" w:lineRule="auto" w:before="1" w:after="0"/>
        <w:ind w:left="480" w:right="217" w:hanging="360"/>
        <w:jc w:val="left"/>
        <w:rPr>
          <w:sz w:val="20"/>
        </w:rPr>
      </w:pPr>
      <w:r>
        <w:rPr>
          <w:sz w:val="20"/>
        </w:rPr>
        <w:t>Advises the Legislature on fiscal matters which includes providing an extensive analysis of the Governor's annual</w:t>
      </w:r>
      <w:r>
        <w:rPr>
          <w:spacing w:val="-5"/>
          <w:sz w:val="20"/>
        </w:rPr>
        <w:t> </w:t>
      </w:r>
      <w:r>
        <w:rPr>
          <w:sz w:val="20"/>
        </w:rPr>
        <w:t>budget</w:t>
      </w:r>
      <w:r>
        <w:rPr>
          <w:spacing w:val="-5"/>
          <w:sz w:val="20"/>
        </w:rPr>
        <w:t> </w:t>
      </w:r>
      <w:r>
        <w:rPr>
          <w:sz w:val="20"/>
        </w:rPr>
        <w:t>proposals</w:t>
      </w:r>
      <w:r>
        <w:rPr>
          <w:spacing w:val="-4"/>
          <w:sz w:val="20"/>
        </w:rPr>
        <w:t> </w:t>
      </w:r>
      <w:r>
        <w:rPr>
          <w:sz w:val="20"/>
        </w:rPr>
        <w:t>and</w:t>
      </w:r>
      <w:r>
        <w:rPr>
          <w:spacing w:val="-4"/>
          <w:sz w:val="20"/>
        </w:rPr>
        <w:t> </w:t>
      </w:r>
      <w:r>
        <w:rPr>
          <w:sz w:val="20"/>
        </w:rPr>
        <w:t>updates</w:t>
      </w:r>
      <w:r>
        <w:rPr>
          <w:spacing w:val="-4"/>
          <w:sz w:val="20"/>
        </w:rPr>
        <w:t> </w:t>
      </w:r>
      <w:r>
        <w:rPr>
          <w:sz w:val="20"/>
        </w:rPr>
        <w:t>on</w:t>
      </w:r>
      <w:r>
        <w:rPr>
          <w:spacing w:val="-4"/>
          <w:sz w:val="20"/>
        </w:rPr>
        <w:t> </w:t>
      </w:r>
      <w:r>
        <w:rPr>
          <w:sz w:val="20"/>
        </w:rPr>
        <w:t>the</w:t>
      </w:r>
      <w:r>
        <w:rPr>
          <w:spacing w:val="-6"/>
          <w:sz w:val="20"/>
        </w:rPr>
        <w:t> </w:t>
      </w:r>
      <w:r>
        <w:rPr>
          <w:sz w:val="20"/>
        </w:rPr>
        <w:t>State's</w:t>
      </w:r>
      <w:r>
        <w:rPr>
          <w:spacing w:val="-4"/>
          <w:sz w:val="20"/>
        </w:rPr>
        <w:t> </w:t>
      </w:r>
      <w:r>
        <w:rPr>
          <w:sz w:val="20"/>
        </w:rPr>
        <w:t>fiscal</w:t>
      </w:r>
      <w:r>
        <w:rPr>
          <w:spacing w:val="-4"/>
          <w:sz w:val="20"/>
        </w:rPr>
        <w:t> </w:t>
      </w:r>
      <w:r>
        <w:rPr>
          <w:sz w:val="20"/>
        </w:rPr>
        <w:t>situation</w:t>
      </w:r>
      <w:r>
        <w:rPr>
          <w:spacing w:val="-4"/>
          <w:sz w:val="20"/>
        </w:rPr>
        <w:t> </w:t>
      </w:r>
      <w:r>
        <w:rPr>
          <w:sz w:val="20"/>
        </w:rPr>
        <w:t>throughout</w:t>
      </w:r>
      <w:r>
        <w:rPr>
          <w:spacing w:val="-4"/>
          <w:sz w:val="20"/>
        </w:rPr>
        <w:t> </w:t>
      </w:r>
      <w:r>
        <w:rPr>
          <w:sz w:val="20"/>
        </w:rPr>
        <w:t>the</w:t>
      </w:r>
      <w:r>
        <w:rPr>
          <w:spacing w:val="-4"/>
          <w:sz w:val="20"/>
        </w:rPr>
        <w:t> </w:t>
      </w:r>
      <w:r>
        <w:rPr>
          <w:sz w:val="20"/>
        </w:rPr>
        <w:t>fiscal</w:t>
      </w:r>
      <w:r>
        <w:rPr>
          <w:spacing w:val="-4"/>
          <w:sz w:val="20"/>
        </w:rPr>
        <w:t> </w:t>
      </w:r>
      <w:r>
        <w:rPr>
          <w:sz w:val="20"/>
        </w:rPr>
        <w:t>year.</w:t>
      </w:r>
    </w:p>
    <w:p>
      <w:pPr>
        <w:pStyle w:val="ListParagraph"/>
        <w:numPr>
          <w:ilvl w:val="0"/>
          <w:numId w:val="1"/>
        </w:numPr>
        <w:tabs>
          <w:tab w:pos="480" w:val="left" w:leader="none"/>
        </w:tabs>
        <w:spacing w:line="240" w:lineRule="auto" w:before="119" w:after="0"/>
        <w:ind w:left="480" w:right="0" w:hanging="360"/>
        <w:jc w:val="both"/>
        <w:rPr>
          <w:sz w:val="20"/>
        </w:rPr>
      </w:pPr>
      <w:r>
        <w:rPr>
          <w:sz w:val="20"/>
        </w:rPr>
        <w:t>Publishes several reports and documents regarding State and local fiscal and policy</w:t>
      </w:r>
      <w:r>
        <w:rPr>
          <w:spacing w:val="-30"/>
          <w:sz w:val="20"/>
        </w:rPr>
        <w:t> </w:t>
      </w:r>
      <w:r>
        <w:rPr>
          <w:sz w:val="20"/>
        </w:rPr>
        <w:t>issues.</w:t>
      </w:r>
    </w:p>
    <w:p>
      <w:pPr>
        <w:pStyle w:val="ListParagraph"/>
        <w:numPr>
          <w:ilvl w:val="0"/>
          <w:numId w:val="1"/>
        </w:numPr>
        <w:tabs>
          <w:tab w:pos="479" w:val="left" w:leader="none"/>
          <w:tab w:pos="480" w:val="left" w:leader="none"/>
        </w:tabs>
        <w:spacing w:line="364" w:lineRule="auto" w:before="120" w:after="0"/>
        <w:ind w:left="120" w:right="4007" w:firstLine="0"/>
        <w:jc w:val="left"/>
        <w:rPr>
          <w:sz w:val="20"/>
        </w:rPr>
      </w:pPr>
      <w:r>
        <w:rPr>
          <w:sz w:val="20"/>
        </w:rPr>
        <w:t>Prepares analyses of statewide initiatives and ballot propositions. Website:</w:t>
      </w:r>
      <w:r>
        <w:rPr>
          <w:spacing w:val="30"/>
          <w:sz w:val="20"/>
        </w:rPr>
        <w:t> </w:t>
      </w:r>
      <w:hyperlink r:id="rId13">
        <w:r>
          <w:rPr>
            <w:color w:val="0000FF"/>
            <w:sz w:val="20"/>
          </w:rPr>
          <w:t>http://www.lao.ca.gov</w:t>
        </w:r>
      </w:hyperlink>
    </w:p>
    <w:p>
      <w:pPr>
        <w:pStyle w:val="Heading2"/>
        <w:tabs>
          <w:tab w:pos="9080" w:val="left" w:leader="none"/>
        </w:tabs>
        <w:spacing w:line="228" w:lineRule="exact" w:before="118"/>
        <w:ind w:left="119"/>
        <w:jc w:val="both"/>
      </w:pPr>
      <w:r>
        <w:rPr/>
        <w:t>DEPARTMENT OF</w:t>
      </w:r>
      <w:r>
        <w:rPr>
          <w:spacing w:val="-5"/>
        </w:rPr>
        <w:t> </w:t>
      </w:r>
      <w:r>
        <w:rPr/>
        <w:t>HUMAN</w:t>
      </w:r>
      <w:r>
        <w:rPr>
          <w:spacing w:val="-3"/>
        </w:rPr>
        <w:t> </w:t>
      </w:r>
      <w:r>
        <w:rPr/>
        <w:t>RESOURCES</w:t>
        <w:tab/>
        <w:t>7370</w:t>
      </w:r>
    </w:p>
    <w:p>
      <w:pPr>
        <w:pStyle w:val="BodyText"/>
        <w:spacing w:line="228" w:lineRule="exact"/>
        <w:ind w:left="119"/>
        <w:jc w:val="both"/>
      </w:pPr>
      <w:r>
        <w:rPr/>
        <w:t>(Revised 09/13)</w:t>
      </w:r>
    </w:p>
    <w:p>
      <w:pPr>
        <w:pStyle w:val="BodyText"/>
      </w:pPr>
    </w:p>
    <w:p>
      <w:pPr>
        <w:pStyle w:val="BodyText"/>
        <w:ind w:left="120" w:right="212"/>
        <w:jc w:val="both"/>
      </w:pPr>
      <w:r>
        <w:rPr/>
        <w:pict>
          <v:shape style="position:absolute;margin-left:545.700012pt;margin-top:.157166pt;width:.1pt;height:80.5pt;mso-position-horizontal-relative:page;mso-position-vertical-relative:paragraph;z-index:1144" coordorigin="10914,3" coordsize="0,1610" path="m10914,3l10914,232m10914,232l10914,463m10914,463l10914,693m10914,693l10914,922m10914,922l10914,1153m10914,1153l10914,1383m10914,1383l10914,1612e" filled="false" stroked="true" strokeweight=".47998pt" strokecolor="#000000">
            <v:path arrowok="t"/>
            <v:stroke dashstyle="solid"/>
            <w10:wrap type="none"/>
          </v:shape>
        </w:pict>
      </w:r>
      <w:r>
        <w:rPr/>
        <w:t>The Department of Human Resources (CalHR), in conjunction with </w:t>
      </w:r>
      <w:r>
        <w:rPr>
          <w:u w:val="single"/>
        </w:rPr>
        <w:t>other state </w:t>
      </w:r>
      <w:r>
        <w:rPr/>
        <w:t>departments, develops management's negotiating positions, represents management in negotiations </w:t>
      </w:r>
      <w:r>
        <w:rPr>
          <w:u w:val="single"/>
        </w:rPr>
        <w:t>with </w:t>
      </w:r>
      <w:r>
        <w:rPr/>
        <w:t>exclusive representatives of bargaining units, and administers negotiated memorandums of understanding. </w:t>
      </w:r>
      <w:r>
        <w:rPr>
          <w:u w:val="single"/>
        </w:rPr>
        <w:t>In conjunction with the Department of Finance, CalHR administers financial activities stemming from collective bargaining and it oversees employee compensation for  both represented and non-represented employees. It also administers rules and policies governing employee entitlements</w:t>
      </w:r>
      <w:r>
        <w:rPr>
          <w:spacing w:val="-6"/>
          <w:u w:val="single"/>
        </w:rPr>
        <w:t> </w:t>
      </w:r>
      <w:r>
        <w:rPr>
          <w:u w:val="single"/>
        </w:rPr>
        <w:t>such</w:t>
      </w:r>
      <w:r>
        <w:rPr>
          <w:spacing w:val="-5"/>
          <w:u w:val="single"/>
        </w:rPr>
        <w:t> </w:t>
      </w:r>
      <w:r>
        <w:rPr>
          <w:u w:val="single"/>
        </w:rPr>
        <w:t>as</w:t>
      </w:r>
      <w:r>
        <w:rPr>
          <w:spacing w:val="-6"/>
          <w:u w:val="single"/>
        </w:rPr>
        <w:t> </w:t>
      </w:r>
      <w:r>
        <w:rPr>
          <w:u w:val="single"/>
        </w:rPr>
        <w:t>travel</w:t>
      </w:r>
      <w:r>
        <w:rPr>
          <w:spacing w:val="-8"/>
          <w:u w:val="single"/>
        </w:rPr>
        <w:t> </w:t>
      </w:r>
      <w:r>
        <w:rPr>
          <w:u w:val="single"/>
        </w:rPr>
        <w:t>reimbursement</w:t>
      </w:r>
      <w:r>
        <w:rPr>
          <w:spacing w:val="-7"/>
          <w:u w:val="single"/>
        </w:rPr>
        <w:t> </w:t>
      </w:r>
      <w:r>
        <w:rPr>
          <w:u w:val="single"/>
        </w:rPr>
        <w:t>and</w:t>
      </w:r>
      <w:r>
        <w:rPr>
          <w:spacing w:val="-7"/>
          <w:u w:val="single"/>
        </w:rPr>
        <w:t> </w:t>
      </w:r>
      <w:r>
        <w:rPr>
          <w:u w:val="single"/>
        </w:rPr>
        <w:t>relocation</w:t>
      </w:r>
      <w:r>
        <w:rPr>
          <w:spacing w:val="-5"/>
          <w:u w:val="single"/>
        </w:rPr>
        <w:t> </w:t>
      </w:r>
      <w:r>
        <w:rPr>
          <w:u w:val="single"/>
        </w:rPr>
        <w:t>expenses</w:t>
      </w:r>
      <w:r>
        <w:rPr/>
        <w:t>.</w:t>
      </w:r>
    </w:p>
    <w:p>
      <w:pPr>
        <w:pStyle w:val="BodyText"/>
        <w:spacing w:before="10"/>
        <w:rPr>
          <w:sz w:val="11"/>
        </w:rPr>
      </w:pPr>
    </w:p>
    <w:p>
      <w:pPr>
        <w:pStyle w:val="BodyText"/>
        <w:spacing w:before="92"/>
        <w:ind w:left="120"/>
      </w:pPr>
      <w:r>
        <w:rPr/>
        <w:t>CalHR also contracts and administers benefit and deferred compensation programs for state employees.</w:t>
      </w:r>
    </w:p>
    <w:p>
      <w:pPr>
        <w:pStyle w:val="BodyText"/>
        <w:spacing w:before="2"/>
        <w:rPr>
          <w:sz w:val="22"/>
        </w:rPr>
      </w:pPr>
    </w:p>
    <w:p>
      <w:pPr>
        <w:pStyle w:val="Heading2"/>
        <w:tabs>
          <w:tab w:pos="9079" w:val="left" w:leader="none"/>
        </w:tabs>
        <w:spacing w:line="228" w:lineRule="exact" w:before="0"/>
        <w:ind w:left="120"/>
      </w:pPr>
      <w:r>
        <w:rPr/>
        <w:t>CALIFORNIA STATE</w:t>
      </w:r>
      <w:r>
        <w:rPr>
          <w:spacing w:val="-6"/>
        </w:rPr>
        <w:t> </w:t>
      </w:r>
      <w:r>
        <w:rPr/>
        <w:t>AUDITOR’S</w:t>
      </w:r>
      <w:r>
        <w:rPr>
          <w:spacing w:val="-4"/>
        </w:rPr>
        <w:t> </w:t>
      </w:r>
      <w:r>
        <w:rPr/>
        <w:t>OFFICE</w:t>
        <w:tab/>
        <w:t>7380</w:t>
      </w:r>
    </w:p>
    <w:p>
      <w:pPr>
        <w:pStyle w:val="BodyText"/>
        <w:spacing w:line="228" w:lineRule="exact"/>
        <w:ind w:left="120"/>
      </w:pPr>
      <w:r>
        <w:rPr/>
        <w:t>(Revised 06/13)</w:t>
      </w:r>
    </w:p>
    <w:p>
      <w:pPr>
        <w:pStyle w:val="BodyText"/>
        <w:spacing w:before="1"/>
      </w:pPr>
    </w:p>
    <w:p>
      <w:pPr>
        <w:pStyle w:val="BodyText"/>
        <w:ind w:left="120" w:right="215"/>
        <w:jc w:val="both"/>
      </w:pPr>
      <w:r>
        <w:rPr/>
        <w:t>The California State Auditor’s Office (State Auditor) was created in 1993 and serves as the state’s independent external auditor. To assure its independence, the law frees the State Auditor from the control of the executive and legislative branches. The State Auditor promotes the effective and efficient administration and management of  public funds and programs by providing independent, nonpartisan, accurate, and objective assessments of California government’s financial and operational</w:t>
      </w:r>
      <w:r>
        <w:rPr>
          <w:spacing w:val="-29"/>
        </w:rPr>
        <w:t> </w:t>
      </w:r>
      <w:r>
        <w:rPr/>
        <w:t>activities.</w:t>
      </w:r>
    </w:p>
    <w:p>
      <w:pPr>
        <w:pStyle w:val="BodyText"/>
      </w:pPr>
    </w:p>
    <w:p>
      <w:pPr>
        <w:pStyle w:val="BodyText"/>
        <w:ind w:left="120"/>
      </w:pPr>
      <w:r>
        <w:rPr/>
        <w:t>The State Auditor responsibilities are to provide the following:</w:t>
      </w:r>
    </w:p>
    <w:p>
      <w:pPr>
        <w:pStyle w:val="BodyText"/>
        <w:spacing w:before="10"/>
        <w:rPr>
          <w:sz w:val="19"/>
        </w:rPr>
      </w:pPr>
    </w:p>
    <w:p>
      <w:pPr>
        <w:pStyle w:val="ListParagraph"/>
        <w:numPr>
          <w:ilvl w:val="0"/>
          <w:numId w:val="2"/>
        </w:numPr>
        <w:tabs>
          <w:tab w:pos="479" w:val="left" w:leader="none"/>
          <w:tab w:pos="480" w:val="left" w:leader="none"/>
        </w:tabs>
        <w:spacing w:line="240" w:lineRule="auto" w:before="0" w:after="0"/>
        <w:ind w:left="480" w:right="213" w:hanging="360"/>
        <w:jc w:val="left"/>
        <w:rPr>
          <w:sz w:val="20"/>
        </w:rPr>
      </w:pPr>
      <w:r>
        <w:rPr>
          <w:sz w:val="20"/>
        </w:rPr>
        <w:t>Independent audits of the programs and fiscal operations of state government (see SAM section 7240 for further information).</w:t>
      </w:r>
    </w:p>
    <w:p>
      <w:pPr>
        <w:pStyle w:val="ListParagraph"/>
        <w:numPr>
          <w:ilvl w:val="0"/>
          <w:numId w:val="2"/>
        </w:numPr>
        <w:tabs>
          <w:tab w:pos="479" w:val="left" w:leader="none"/>
          <w:tab w:pos="480" w:val="left" w:leader="none"/>
        </w:tabs>
        <w:spacing w:line="240" w:lineRule="auto" w:before="118" w:after="0"/>
        <w:ind w:left="480" w:right="215" w:hanging="360"/>
        <w:jc w:val="left"/>
        <w:rPr>
          <w:sz w:val="20"/>
        </w:rPr>
      </w:pPr>
      <w:r>
        <w:rPr>
          <w:sz w:val="20"/>
        </w:rPr>
        <w:t>Objective information to the Legislature, Governor, and other interested parties about the state's financial condition.</w:t>
      </w:r>
    </w:p>
    <w:p>
      <w:pPr>
        <w:pStyle w:val="BodyText"/>
        <w:spacing w:before="2"/>
        <w:rPr>
          <w:sz w:val="26"/>
        </w:rPr>
      </w:pPr>
      <w:r>
        <w:rPr/>
        <w:pict>
          <v:line style="position:absolute;mso-position-horizontal-relative:page;mso-position-vertical-relative:paragraph;z-index:1096;mso-wrap-distance-left:0;mso-wrap-distance-right:0" from="72pt,17.23867pt" to="112.049942pt,17.23867pt" stroked="true" strokeweight=".4008pt" strokecolor="#000000">
            <v:stroke dashstyle="solid"/>
            <w10:wrap type="topAndBottom"/>
          </v:line>
        </w:pict>
      </w:r>
    </w:p>
    <w:p>
      <w:pPr>
        <w:pStyle w:val="ListParagraph"/>
        <w:numPr>
          <w:ilvl w:val="0"/>
          <w:numId w:val="2"/>
        </w:numPr>
        <w:tabs>
          <w:tab w:pos="479" w:val="left" w:leader="none"/>
          <w:tab w:pos="480" w:val="left" w:leader="none"/>
        </w:tabs>
        <w:spacing w:line="240" w:lineRule="auto" w:before="91" w:after="0"/>
        <w:ind w:left="480" w:right="217" w:hanging="360"/>
        <w:jc w:val="left"/>
        <w:rPr>
          <w:sz w:val="20"/>
        </w:rPr>
      </w:pPr>
      <w:r>
        <w:rPr>
          <w:sz w:val="20"/>
        </w:rPr>
        <w:t>Identifies statewide issues or specific government entities as a high risk for waste, fraud, abuse, and mismanagement.</w:t>
      </w:r>
    </w:p>
    <w:p>
      <w:pPr>
        <w:pStyle w:val="BodyText"/>
        <w:spacing w:before="10"/>
        <w:rPr>
          <w:sz w:val="19"/>
        </w:rPr>
      </w:pPr>
    </w:p>
    <w:p>
      <w:pPr>
        <w:pStyle w:val="ListParagraph"/>
        <w:numPr>
          <w:ilvl w:val="0"/>
          <w:numId w:val="2"/>
        </w:numPr>
        <w:tabs>
          <w:tab w:pos="479" w:val="left" w:leader="none"/>
          <w:tab w:pos="480" w:val="left" w:leader="none"/>
        </w:tabs>
        <w:spacing w:line="240" w:lineRule="auto" w:before="0" w:after="0"/>
        <w:ind w:left="480" w:right="216" w:hanging="360"/>
        <w:jc w:val="left"/>
        <w:rPr>
          <w:sz w:val="20"/>
        </w:rPr>
      </w:pPr>
      <w:r>
        <w:rPr>
          <w:sz w:val="20"/>
        </w:rPr>
        <w:t>Administers the California Whistleblower Protection Act which has broad authority to perform investigations into</w:t>
      </w:r>
      <w:r>
        <w:rPr>
          <w:spacing w:val="-4"/>
          <w:sz w:val="20"/>
        </w:rPr>
        <w:t> </w:t>
      </w:r>
      <w:r>
        <w:rPr>
          <w:sz w:val="20"/>
        </w:rPr>
        <w:t>allegations</w:t>
      </w:r>
      <w:r>
        <w:rPr>
          <w:spacing w:val="-6"/>
          <w:sz w:val="20"/>
        </w:rPr>
        <w:t> </w:t>
      </w:r>
      <w:r>
        <w:rPr>
          <w:sz w:val="20"/>
        </w:rPr>
        <w:t>of</w:t>
      </w:r>
      <w:r>
        <w:rPr>
          <w:spacing w:val="-5"/>
          <w:sz w:val="20"/>
        </w:rPr>
        <w:t> </w:t>
      </w:r>
      <w:r>
        <w:rPr>
          <w:sz w:val="20"/>
        </w:rPr>
        <w:t>improper</w:t>
      </w:r>
      <w:r>
        <w:rPr>
          <w:spacing w:val="-7"/>
          <w:sz w:val="20"/>
        </w:rPr>
        <w:t> </w:t>
      </w:r>
      <w:r>
        <w:rPr>
          <w:sz w:val="20"/>
        </w:rPr>
        <w:t>governmental</w:t>
      </w:r>
      <w:r>
        <w:rPr>
          <w:spacing w:val="-5"/>
          <w:sz w:val="20"/>
        </w:rPr>
        <w:t> </w:t>
      </w:r>
      <w:r>
        <w:rPr>
          <w:sz w:val="20"/>
        </w:rPr>
        <w:t>activities</w:t>
      </w:r>
      <w:r>
        <w:rPr>
          <w:spacing w:val="-5"/>
          <w:sz w:val="20"/>
        </w:rPr>
        <w:t> </w:t>
      </w:r>
      <w:r>
        <w:rPr>
          <w:sz w:val="20"/>
        </w:rPr>
        <w:t>by</w:t>
      </w:r>
      <w:r>
        <w:rPr>
          <w:spacing w:val="-6"/>
          <w:sz w:val="20"/>
        </w:rPr>
        <w:t> </w:t>
      </w:r>
      <w:r>
        <w:rPr>
          <w:sz w:val="20"/>
        </w:rPr>
        <w:t>governmental</w:t>
      </w:r>
      <w:r>
        <w:rPr>
          <w:spacing w:val="-5"/>
          <w:sz w:val="20"/>
        </w:rPr>
        <w:t> </w:t>
      </w:r>
      <w:r>
        <w:rPr>
          <w:sz w:val="20"/>
        </w:rPr>
        <w:t>employees.</w:t>
      </w:r>
    </w:p>
    <w:p>
      <w:pPr>
        <w:pStyle w:val="BodyText"/>
        <w:spacing w:before="9"/>
        <w:rPr>
          <w:sz w:val="15"/>
        </w:rPr>
      </w:pPr>
      <w:r>
        <w:rPr/>
        <w:pict>
          <v:line style="position:absolute;mso-position-horizontal-relative:page;mso-position-vertical-relative:paragraph;z-index:1120;mso-wrap-distance-left:0;mso-wrap-distance-right:0" from="72pt,11.224057pt" to="106.979822pt,11.224057pt" stroked="true" strokeweight=".4008pt" strokecolor="#000000">
            <v:stroke dashstyle="solid"/>
            <w10:wrap type="topAndBottom"/>
          </v:line>
        </w:pict>
      </w:r>
    </w:p>
    <w:p>
      <w:pPr>
        <w:spacing w:after="0"/>
        <w:rPr>
          <w:sz w:val="15"/>
        </w:rPr>
        <w:sectPr>
          <w:headerReference w:type="default" r:id="rId11"/>
          <w:footerReference w:type="default" r:id="rId12"/>
          <w:pgSz w:w="12240" w:h="15840"/>
          <w:pgMar w:header="727" w:footer="755" w:top="940" w:bottom="940" w:left="1320" w:right="1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29"/>
        <w:ind w:left="3055" w:right="0" w:firstLine="0"/>
        <w:jc w:val="left"/>
        <w:rPr>
          <w:b/>
          <w:sz w:val="24"/>
        </w:rPr>
      </w:pPr>
      <w:r>
        <w:rPr>
          <w:b/>
          <w:sz w:val="24"/>
        </w:rPr>
        <w:t>This page intentionally left blank.</w:t>
      </w:r>
    </w:p>
    <w:p>
      <w:pPr>
        <w:spacing w:after="0"/>
        <w:jc w:val="left"/>
        <w:rPr>
          <w:sz w:val="24"/>
        </w:rPr>
        <w:sectPr>
          <w:pgSz w:w="12240" w:h="15840"/>
          <w:pgMar w:header="727" w:footer="755" w:top="940" w:bottom="940" w:left="1340" w:right="1220"/>
        </w:sectPr>
      </w:pPr>
    </w:p>
    <w:p>
      <w:pPr>
        <w:pStyle w:val="BodyText"/>
        <w:spacing w:before="9"/>
        <w:rPr>
          <w:b/>
          <w:sz w:val="15"/>
        </w:rPr>
      </w:pPr>
    </w:p>
    <w:p>
      <w:pPr>
        <w:pStyle w:val="BodyText"/>
        <w:spacing w:before="92"/>
        <w:ind w:left="120"/>
        <w:jc w:val="both"/>
      </w:pPr>
      <w:bookmarkStart w:name="7922(cont1)-7924(2)" w:id="4"/>
      <w:bookmarkEnd w:id="4"/>
      <w:r>
        <w:rPr/>
      </w:r>
      <w:r>
        <w:rPr/>
        <w:t>(Continued)</w:t>
      </w:r>
    </w:p>
    <w:p>
      <w:pPr>
        <w:pStyle w:val="BodyText"/>
        <w:spacing w:before="1"/>
      </w:pPr>
    </w:p>
    <w:p>
      <w:pPr>
        <w:pStyle w:val="Heading2"/>
        <w:tabs>
          <w:tab w:pos="8241" w:val="left" w:leader="none"/>
        </w:tabs>
        <w:spacing w:line="229" w:lineRule="exact" w:before="0"/>
        <w:ind w:left="120"/>
        <w:jc w:val="both"/>
      </w:pPr>
      <w:r>
        <w:rPr/>
        <w:t>REVOLVING</w:t>
      </w:r>
      <w:r>
        <w:rPr>
          <w:spacing w:val="-3"/>
        </w:rPr>
        <w:t> </w:t>
      </w:r>
      <w:r>
        <w:rPr/>
        <w:t>FUND</w:t>
      </w:r>
      <w:r>
        <w:rPr>
          <w:spacing w:val="-4"/>
        </w:rPr>
        <w:t> </w:t>
      </w:r>
      <w:r>
        <w:rPr/>
        <w:t>RECONCILIATION</w:t>
        <w:tab/>
        <w:t>7922 (Cont.</w:t>
      </w:r>
      <w:r>
        <w:rPr>
          <w:spacing w:val="-6"/>
        </w:rPr>
        <w:t> </w:t>
      </w:r>
      <w:r>
        <w:rPr/>
        <w:t>1)</w:t>
      </w:r>
    </w:p>
    <w:p>
      <w:pPr>
        <w:pStyle w:val="BodyText"/>
        <w:spacing w:line="229" w:lineRule="exact"/>
        <w:ind w:left="120"/>
        <w:jc w:val="both"/>
      </w:pPr>
      <w:r>
        <w:rPr/>
        <w:t>(Revised 03/11)</w:t>
      </w:r>
    </w:p>
    <w:p>
      <w:pPr>
        <w:pStyle w:val="BodyText"/>
      </w:pPr>
    </w:p>
    <w:p>
      <w:pPr>
        <w:pStyle w:val="BodyText"/>
        <w:tabs>
          <w:tab w:pos="1200" w:val="left" w:leader="none"/>
        </w:tabs>
        <w:ind w:left="1199" w:right="371" w:hanging="360"/>
      </w:pPr>
      <w:r>
        <w:rPr/>
        <w:t>1/</w:t>
        <w:tab/>
        <w:tab/>
        <w:t>Includes warrants dated the month being reconciled but not received until the following</w:t>
      </w:r>
      <w:r>
        <w:rPr>
          <w:spacing w:val="-32"/>
        </w:rPr>
        <w:t> </w:t>
      </w:r>
      <w:r>
        <w:rPr/>
        <w:t>month</w:t>
      </w:r>
      <w:r>
        <w:rPr>
          <w:spacing w:val="-2"/>
        </w:rPr>
        <w:t> </w:t>
      </w:r>
      <w:r>
        <w:rPr/>
        <w:t>(e.g.,</w:t>
      </w:r>
      <w:r>
        <w:rPr>
          <w:spacing w:val="-1"/>
          <w:w w:val="100"/>
        </w:rPr>
        <w:t> </w:t>
      </w:r>
      <w:r>
        <w:rPr/>
        <w:t>warrants dated June 30, but not received until</w:t>
      </w:r>
      <w:r>
        <w:rPr>
          <w:spacing w:val="-21"/>
        </w:rPr>
        <w:t> </w:t>
      </w:r>
      <w:r>
        <w:rPr/>
        <w:t>July).</w:t>
      </w:r>
    </w:p>
    <w:p>
      <w:pPr>
        <w:pStyle w:val="BodyText"/>
        <w:spacing w:before="10"/>
        <w:rPr>
          <w:sz w:val="19"/>
        </w:rPr>
      </w:pPr>
    </w:p>
    <w:p>
      <w:pPr>
        <w:pStyle w:val="BodyText"/>
        <w:tabs>
          <w:tab w:pos="1199" w:val="left" w:leader="none"/>
        </w:tabs>
        <w:spacing w:before="1"/>
        <w:ind w:left="1199" w:right="892" w:hanging="360"/>
      </w:pPr>
      <w:r>
        <w:rPr/>
        <w:t>2/</w:t>
        <w:tab/>
        <w:t>List advances on supporting schedules with corresponding revolving fund check</w:t>
      </w:r>
      <w:r>
        <w:rPr>
          <w:spacing w:val="-29"/>
        </w:rPr>
        <w:t> </w:t>
      </w:r>
      <w:r>
        <w:rPr/>
        <w:t>numbers</w:t>
      </w:r>
      <w:r>
        <w:rPr>
          <w:spacing w:val="-3"/>
        </w:rPr>
        <w:t> </w:t>
      </w:r>
      <w:r>
        <w:rPr/>
        <w:t>and</w:t>
      </w:r>
      <w:r>
        <w:rPr>
          <w:w w:val="100"/>
        </w:rPr>
        <w:t> </w:t>
      </w:r>
      <w:r>
        <w:rPr/>
        <w:t>amounts.</w:t>
      </w:r>
    </w:p>
    <w:p>
      <w:pPr>
        <w:pStyle w:val="BodyText"/>
      </w:pPr>
    </w:p>
    <w:p>
      <w:pPr>
        <w:pStyle w:val="BodyText"/>
        <w:tabs>
          <w:tab w:pos="1199" w:val="left" w:leader="none"/>
        </w:tabs>
        <w:spacing w:before="1"/>
        <w:ind w:left="839"/>
      </w:pPr>
      <w:r>
        <w:rPr/>
        <w:t>3/</w:t>
        <w:tab/>
        <w:t>List corresponding claim schedule numbers and</w:t>
      </w:r>
      <w:r>
        <w:rPr>
          <w:spacing w:val="-17"/>
        </w:rPr>
        <w:t> </w:t>
      </w:r>
      <w:r>
        <w:rPr/>
        <w:t>amounts.</w:t>
      </w:r>
    </w:p>
    <w:p>
      <w:pPr>
        <w:pStyle w:val="BodyText"/>
        <w:rPr>
          <w:sz w:val="22"/>
        </w:rPr>
      </w:pPr>
    </w:p>
    <w:p>
      <w:pPr>
        <w:pStyle w:val="BodyText"/>
        <w:rPr>
          <w:sz w:val="22"/>
        </w:rPr>
      </w:pPr>
    </w:p>
    <w:p>
      <w:pPr>
        <w:pStyle w:val="Heading2"/>
        <w:tabs>
          <w:tab w:pos="9009" w:val="left" w:leader="none"/>
        </w:tabs>
        <w:spacing w:line="229" w:lineRule="exact" w:before="185"/>
        <w:ind w:left="120"/>
        <w:jc w:val="both"/>
      </w:pPr>
      <w:r>
        <w:rPr/>
        <w:t>BANK</w:t>
      </w:r>
      <w:r>
        <w:rPr>
          <w:spacing w:val="-3"/>
        </w:rPr>
        <w:t> </w:t>
      </w:r>
      <w:r>
        <w:rPr/>
        <w:t>RECONCILIATION</w:t>
        <w:tab/>
        <w:t>7923</w:t>
      </w:r>
    </w:p>
    <w:p>
      <w:pPr>
        <w:pStyle w:val="BodyText"/>
        <w:spacing w:line="229" w:lineRule="exact"/>
        <w:ind w:left="120"/>
        <w:jc w:val="both"/>
      </w:pPr>
      <w:r>
        <w:rPr/>
        <w:t>(Revised 09/10)</w:t>
      </w:r>
    </w:p>
    <w:p>
      <w:pPr>
        <w:pStyle w:val="BodyText"/>
      </w:pPr>
    </w:p>
    <w:p>
      <w:pPr>
        <w:pStyle w:val="BodyText"/>
        <w:ind w:left="120" w:right="115"/>
        <w:jc w:val="both"/>
      </w:pPr>
      <w:r>
        <w:rPr/>
        <w:t>Departments will reconcile their bank account balance with the like account maintained in the Centralized State Treasury System (CTS). Departments will reconcile their General Cash, Revolving Fund Cash, and Agency Trust Fund Cash accounts with the State Treasurer’s Office (STO) bank balance, adjusted for deposits in transit, outstanding checks, and other reconciling items. When departments account for more than one fund in a bank account, departments will identify the fund’s share on the bank reconciliation.</w:t>
      </w:r>
    </w:p>
    <w:p>
      <w:pPr>
        <w:pStyle w:val="BodyText"/>
        <w:spacing w:before="10"/>
        <w:rPr>
          <w:sz w:val="19"/>
        </w:rPr>
      </w:pPr>
    </w:p>
    <w:p>
      <w:pPr>
        <w:pStyle w:val="BodyText"/>
        <w:ind w:left="120" w:right="106"/>
      </w:pPr>
      <w:r>
        <w:rPr/>
        <w:t>The State Controller’s Office (SCO) sends a monthly Centralized Treasury Trust System Account Statement (bank statement) to departments that includes a sequential listing of the following items by transaction/paid date, document number, and amount:</w:t>
      </w:r>
    </w:p>
    <w:p>
      <w:pPr>
        <w:pStyle w:val="ListParagraph"/>
        <w:numPr>
          <w:ilvl w:val="1"/>
          <w:numId w:val="2"/>
        </w:numPr>
        <w:tabs>
          <w:tab w:pos="1199" w:val="left" w:leader="none"/>
          <w:tab w:pos="1200" w:val="left" w:leader="none"/>
        </w:tabs>
        <w:spacing w:line="244" w:lineRule="exact" w:before="0" w:after="0"/>
        <w:ind w:left="1200" w:right="0" w:hanging="360"/>
        <w:jc w:val="left"/>
        <w:rPr>
          <w:sz w:val="20"/>
        </w:rPr>
      </w:pPr>
      <w:r>
        <w:rPr>
          <w:sz w:val="20"/>
        </w:rPr>
        <w:t>Checks paid during the</w:t>
      </w:r>
      <w:r>
        <w:rPr>
          <w:spacing w:val="-11"/>
          <w:sz w:val="20"/>
        </w:rPr>
        <w:t> </w:t>
      </w:r>
      <w:r>
        <w:rPr>
          <w:sz w:val="20"/>
        </w:rPr>
        <w:t>month</w:t>
      </w:r>
    </w:p>
    <w:p>
      <w:pPr>
        <w:pStyle w:val="ListParagraph"/>
        <w:numPr>
          <w:ilvl w:val="1"/>
          <w:numId w:val="2"/>
        </w:numPr>
        <w:tabs>
          <w:tab w:pos="1199" w:val="left" w:leader="none"/>
          <w:tab w:pos="1200" w:val="left" w:leader="none"/>
        </w:tabs>
        <w:spacing w:line="244" w:lineRule="exact" w:before="0" w:after="0"/>
        <w:ind w:left="1200" w:right="0" w:hanging="360"/>
        <w:jc w:val="left"/>
        <w:rPr>
          <w:sz w:val="20"/>
        </w:rPr>
      </w:pPr>
      <w:r>
        <w:rPr>
          <w:sz w:val="20"/>
        </w:rPr>
        <w:t>Transfers of Funds (i.e. TC47 SCO transaction code entries) during the</w:t>
      </w:r>
      <w:r>
        <w:rPr>
          <w:spacing w:val="-27"/>
          <w:sz w:val="20"/>
        </w:rPr>
        <w:t> </w:t>
      </w:r>
      <w:r>
        <w:rPr>
          <w:sz w:val="20"/>
        </w:rPr>
        <w:t>month</w:t>
      </w:r>
    </w:p>
    <w:p>
      <w:pPr>
        <w:pStyle w:val="ListParagraph"/>
        <w:numPr>
          <w:ilvl w:val="1"/>
          <w:numId w:val="2"/>
        </w:numPr>
        <w:tabs>
          <w:tab w:pos="1199" w:val="left" w:leader="none"/>
          <w:tab w:pos="1200" w:val="left" w:leader="none"/>
        </w:tabs>
        <w:spacing w:line="244" w:lineRule="exact" w:before="0" w:after="0"/>
        <w:ind w:left="1200" w:right="0" w:hanging="360"/>
        <w:jc w:val="left"/>
        <w:rPr>
          <w:sz w:val="20"/>
        </w:rPr>
      </w:pPr>
      <w:r>
        <w:rPr>
          <w:sz w:val="20"/>
        </w:rPr>
        <w:t>Deposits posted during the</w:t>
      </w:r>
      <w:r>
        <w:rPr>
          <w:spacing w:val="-11"/>
          <w:sz w:val="20"/>
        </w:rPr>
        <w:t> </w:t>
      </w:r>
      <w:r>
        <w:rPr>
          <w:sz w:val="20"/>
        </w:rPr>
        <w:t>month</w:t>
      </w:r>
    </w:p>
    <w:p>
      <w:pPr>
        <w:pStyle w:val="BodyText"/>
        <w:rPr>
          <w:sz w:val="24"/>
        </w:rPr>
      </w:pPr>
    </w:p>
    <w:p>
      <w:pPr>
        <w:pStyle w:val="BodyText"/>
        <w:spacing w:before="184"/>
        <w:ind w:left="120" w:right="116"/>
        <w:jc w:val="both"/>
      </w:pPr>
      <w:r>
        <w:rPr/>
        <w:t>For each check paid, the bank statement shows the check number, date of payment, and the amount paid. Departments will use the listing to determine the amount of outstanding checks. The outstanding check amount on the reconciliation will be supported by a list showing the number, date, and amount of each outstanding check. Departments will file their physical, cancelled checks in sequential check number order. Effective October 1, 2010, all agency checks will be converted to electronic images and will be available on the STO statewide Agency Paid System. Check data is updated daily and retained for five years from the check paid date. Departments can access and print images of their checks through the automated system. To obtain access to the Agency Paid System, departments shall complete the STO’s User ID Assignment/Removal Form STO-IP 130. The form and information can be obtained by contacting the STO Item Processing Section at </w:t>
      </w:r>
      <w:hyperlink r:id="rId16">
        <w:r>
          <w:rPr>
            <w:color w:val="0000FF"/>
            <w:u w:val="single" w:color="0000FF"/>
          </w:rPr>
          <w:t>Item.Processing@Treasurer.ca.gov</w:t>
        </w:r>
        <w:r>
          <w:rPr/>
          <w:t>.</w:t>
        </w:r>
      </w:hyperlink>
    </w:p>
    <w:p>
      <w:pPr>
        <w:pStyle w:val="BodyText"/>
        <w:spacing w:before="11"/>
        <w:rPr>
          <w:sz w:val="11"/>
        </w:rPr>
      </w:pPr>
    </w:p>
    <w:p>
      <w:pPr>
        <w:pStyle w:val="BodyText"/>
        <w:spacing w:before="92"/>
        <w:ind w:left="119" w:right="116"/>
        <w:jc w:val="both"/>
      </w:pPr>
      <w:r>
        <w:rPr/>
        <w:t>The bank statement also includes a chronological listing of SCO transfers from the account and bank deposits posted during the month. Departments will compare the transfers and deposits posted on the bank statement to department records to determine the amount of outstanding transfers and deposits in transit. The outstanding transfers and deposits on the reconciliation will be supported by respective lists showing the document number, date, and amount outstanding. Departments will attempt to resolve deposits in transit over 30 days.</w:t>
      </w:r>
    </w:p>
    <w:p>
      <w:pPr>
        <w:pStyle w:val="BodyText"/>
      </w:pPr>
    </w:p>
    <w:p>
      <w:pPr>
        <w:pStyle w:val="BodyText"/>
        <w:spacing w:before="1"/>
        <w:ind w:left="119" w:right="117"/>
        <w:jc w:val="both"/>
      </w:pPr>
      <w:r>
        <w:rPr/>
        <w:t>Errors on the bank statement will be corrected as provided in SAM Section 8060. The person reconciling the bank statement will trace every reconciling item between the bank and the department’s records and include an explanation on the reconciliation. Departments will file bank statements and monthly reconciliations in date order.</w:t>
      </w:r>
    </w:p>
    <w:p>
      <w:pPr>
        <w:spacing w:after="0"/>
        <w:jc w:val="both"/>
        <w:sectPr>
          <w:headerReference w:type="default" r:id="rId14"/>
          <w:footerReference w:type="default" r:id="rId15"/>
          <w:pgSz w:w="12240" w:h="15840"/>
          <w:pgMar w:header="727" w:footer="743" w:top="940" w:bottom="940" w:left="1320" w:right="1320"/>
        </w:sectPr>
      </w:pPr>
    </w:p>
    <w:p>
      <w:pPr>
        <w:pStyle w:val="BodyText"/>
        <w:rPr>
          <w:sz w:val="16"/>
        </w:rPr>
      </w:pPr>
    </w:p>
    <w:p>
      <w:pPr>
        <w:pStyle w:val="Heading2"/>
        <w:tabs>
          <w:tab w:pos="8961" w:val="left" w:leader="none"/>
        </w:tabs>
        <w:spacing w:line="228" w:lineRule="exact" w:before="92"/>
        <w:ind w:left="100"/>
      </w:pPr>
      <w:r>
        <w:rPr/>
        <w:pict>
          <v:shape style="position:absolute;margin-left:545.700012pt;margin-top:4.635515pt;width:.1pt;height:184pt;mso-position-horizontal-relative:page;mso-position-vertical-relative:paragraph;z-index:1168" coordorigin="10914,93" coordsize="0,3680" path="m10914,93l10914,322m10914,322l10914,552m10914,552l10914,783m10914,783l10914,1059m10914,1059l10914,1335m10914,1335l10914,1611m10914,1611l10914,1887m10914,1887l10914,2162m10914,2162l10914,2438m10914,2438l10914,2714m10914,2714l10914,2990m10914,2990l10914,3266m10914,3266l10914,3542m10914,3542l10914,3772e" filled="false" stroked="true" strokeweight=".47998pt" strokecolor="#000000">
            <v:path arrowok="t"/>
            <v:stroke dashstyle="solid"/>
            <w10:wrap type="none"/>
          </v:shape>
        </w:pict>
      </w:r>
      <w:r>
        <w:rPr/>
        <w:t>PROPERTY</w:t>
      </w:r>
      <w:r>
        <w:rPr>
          <w:spacing w:val="-4"/>
        </w:rPr>
        <w:t> </w:t>
      </w:r>
      <w:r>
        <w:rPr/>
        <w:t>RECONCILIATION</w:t>
        <w:tab/>
        <w:t>7924</w:t>
      </w:r>
    </w:p>
    <w:p>
      <w:pPr>
        <w:pStyle w:val="BodyText"/>
        <w:spacing w:line="228" w:lineRule="exact"/>
        <w:ind w:left="100"/>
      </w:pPr>
      <w:r>
        <w:rPr/>
        <w:t>(Revised 09/13)</w:t>
      </w:r>
    </w:p>
    <w:p>
      <w:pPr>
        <w:pStyle w:val="BodyText"/>
        <w:spacing w:before="1"/>
        <w:rPr>
          <w:sz w:val="12"/>
        </w:rPr>
      </w:pPr>
    </w:p>
    <w:p>
      <w:pPr>
        <w:pStyle w:val="BodyText"/>
        <w:spacing w:line="288" w:lineRule="auto" w:before="92"/>
        <w:ind w:left="100" w:right="212"/>
      </w:pPr>
      <w:r>
        <w:rPr/>
        <w:t>Departments will reconcile the acquisitions and dispositions of capitalized property with the amounts recorded in the property ledger. The reconciliation should be done monthly or at least quarterly, depending on the volume of transactions. See SAM section 8650, Accounting and Control of Property.</w:t>
      </w:r>
    </w:p>
    <w:p>
      <w:pPr>
        <w:pStyle w:val="BodyText"/>
        <w:spacing w:before="1"/>
        <w:rPr>
          <w:sz w:val="16"/>
        </w:rPr>
      </w:pPr>
    </w:p>
    <w:p>
      <w:pPr>
        <w:pStyle w:val="BodyText"/>
        <w:spacing w:line="285" w:lineRule="auto" w:before="92"/>
        <w:ind w:left="100" w:right="491"/>
      </w:pPr>
      <w:r>
        <w:rPr/>
        <w:t>Departments will perform a physical count of all capitalized and non-capitalized property and reconcile the count with accounting records at least once every three years. See SAM section 8652, Property Inventory.</w:t>
      </w:r>
    </w:p>
    <w:p>
      <w:pPr>
        <w:pStyle w:val="BodyText"/>
        <w:spacing w:before="3"/>
        <w:rPr>
          <w:sz w:val="16"/>
        </w:rPr>
      </w:pPr>
    </w:p>
    <w:p>
      <w:pPr>
        <w:pStyle w:val="BodyText"/>
        <w:spacing w:line="288" w:lineRule="auto" w:before="92"/>
        <w:ind w:left="100" w:right="212"/>
      </w:pPr>
      <w:r>
        <w:rPr/>
        <w:t>In addition, departments will provide the Department of General Services with updated and reconciled records of its real property assets by July 1 of each year. See SAM section 1335.1, Statewide Property Inventory.</w:t>
      </w:r>
    </w:p>
    <w:p>
      <w:pPr>
        <w:pStyle w:val="BodyText"/>
        <w:spacing w:before="1"/>
        <w:rPr>
          <w:sz w:val="16"/>
        </w:rPr>
      </w:pPr>
    </w:p>
    <w:p>
      <w:pPr>
        <w:pStyle w:val="BodyText"/>
        <w:spacing w:before="92"/>
        <w:ind w:left="100"/>
      </w:pPr>
      <w:r>
        <w:rPr/>
        <w:t>Refer to SAM Chapter 8600 for detailed information regarding property accounting.</w:t>
      </w:r>
    </w:p>
    <w:p>
      <w:pPr>
        <w:spacing w:after="0"/>
        <w:sectPr>
          <w:pgSz w:w="12240" w:h="15840"/>
          <w:pgMar w:header="727" w:footer="743" w:top="940" w:bottom="940" w:left="1340" w:right="1220"/>
        </w:sectPr>
      </w:pPr>
    </w:p>
    <w:p>
      <w:pPr>
        <w:pStyle w:val="BodyText"/>
        <w:rPr>
          <w:sz w:val="16"/>
        </w:rPr>
      </w:pPr>
      <w:r>
        <w:rPr/>
        <w:pict>
          <v:line style="position:absolute;mso-position-horizontal-relative:page;mso-position-vertical-relative:page;z-index:-67528" from="54.900002pt,268.799988pt" to="127.980002pt,268.799988pt" stroked="true" strokeweight=".48004pt" strokecolor="#000000">
            <v:stroke dashstyle="solid"/>
            <w10:wrap type="none"/>
          </v:line>
        </w:pict>
      </w:r>
    </w:p>
    <w:p>
      <w:pPr>
        <w:pStyle w:val="Heading2"/>
        <w:tabs>
          <w:tab w:pos="9480" w:val="left" w:leader="none"/>
        </w:tabs>
        <w:spacing w:line="228" w:lineRule="exact" w:before="92"/>
        <w:ind w:left="560"/>
        <w:jc w:val="both"/>
      </w:pPr>
      <w:bookmarkStart w:name="7930-7950(3)" w:id="5"/>
      <w:bookmarkEnd w:id="5"/>
      <w:r>
        <w:rPr>
          <w:b w:val="0"/>
        </w:rPr>
      </w:r>
      <w:r>
        <w:rPr/>
        <w:t>CALENDAR OF REPORTS</w:t>
      </w:r>
      <w:r>
        <w:rPr>
          <w:spacing w:val="-3"/>
        </w:rPr>
        <w:t> </w:t>
      </w:r>
      <w:r>
        <w:rPr/>
        <w:t>AND</w:t>
      </w:r>
      <w:r>
        <w:rPr>
          <w:spacing w:val="-2"/>
        </w:rPr>
        <w:t> </w:t>
      </w:r>
      <w:r>
        <w:rPr/>
        <w:t>ACTIONS</w:t>
        <w:tab/>
        <w:t>7930</w:t>
      </w:r>
    </w:p>
    <w:p>
      <w:pPr>
        <w:pStyle w:val="BodyText"/>
        <w:spacing w:line="228" w:lineRule="exact"/>
        <w:ind w:left="560"/>
        <w:jc w:val="both"/>
      </w:pPr>
      <w:r>
        <w:rPr/>
        <w:t>(Revised 09/13)</w:t>
      </w:r>
    </w:p>
    <w:p>
      <w:pPr>
        <w:pStyle w:val="BodyText"/>
        <w:spacing w:before="1"/>
      </w:pPr>
    </w:p>
    <w:p>
      <w:pPr>
        <w:pStyle w:val="BodyText"/>
        <w:ind w:left="560" w:right="814"/>
        <w:jc w:val="both"/>
      </w:pPr>
      <w:r>
        <w:rPr/>
        <w:pict>
          <v:shape style="position:absolute;margin-left:545.700012pt;margin-top:.155937pt;width:.1pt;height:46pt;mso-position-horizontal-relative:page;mso-position-vertical-relative:paragraph;z-index:1192" coordorigin="10914,3" coordsize="0,920" path="m10914,3l10914,232m10914,232l10914,463m10914,463l10914,693m10914,693l10914,922e" filled="false" stroked="true" strokeweight=".47998pt" strokecolor="#000000">
            <v:path arrowok="t"/>
            <v:stroke dashstyle="solid"/>
            <w10:wrap type="none"/>
          </v:shape>
        </w:pict>
      </w:r>
      <w:r>
        <w:rPr/>
        <w:t>Departments must submit various financial reports and forms to control agencies and other departments. The following calendar will assist departments plan to meet reporting requirements. Reports listed in the calendar are limited to reports referenced in the SAM sections under the responsibility of Department of Finance (Finance), Fiscal</w:t>
      </w:r>
      <w:r>
        <w:rPr>
          <w:spacing w:val="-5"/>
        </w:rPr>
        <w:t> </w:t>
      </w:r>
      <w:r>
        <w:rPr/>
        <w:t>Systems</w:t>
      </w:r>
      <w:r>
        <w:rPr>
          <w:spacing w:val="-5"/>
        </w:rPr>
        <w:t> </w:t>
      </w:r>
      <w:r>
        <w:rPr/>
        <w:t>and</w:t>
      </w:r>
      <w:r>
        <w:rPr>
          <w:spacing w:val="-4"/>
        </w:rPr>
        <w:t> </w:t>
      </w:r>
      <w:r>
        <w:rPr/>
        <w:t>Consulting</w:t>
      </w:r>
      <w:r>
        <w:rPr>
          <w:spacing w:val="-6"/>
        </w:rPr>
        <w:t> </w:t>
      </w:r>
      <w:r>
        <w:rPr/>
        <w:t>Unit</w:t>
      </w:r>
      <w:r>
        <w:rPr>
          <w:spacing w:val="-7"/>
        </w:rPr>
        <w:t> </w:t>
      </w:r>
      <w:r>
        <w:rPr/>
        <w:t>(FSCU)</w:t>
      </w:r>
      <w:r>
        <w:rPr>
          <w:spacing w:val="-5"/>
        </w:rPr>
        <w:t> </w:t>
      </w:r>
      <w:r>
        <w:rPr/>
        <w:t>(SAM</w:t>
      </w:r>
      <w:r>
        <w:rPr>
          <w:spacing w:val="-5"/>
        </w:rPr>
        <w:t> </w:t>
      </w:r>
      <w:r>
        <w:rPr/>
        <w:t>sections</w:t>
      </w:r>
      <w:r>
        <w:rPr>
          <w:spacing w:val="-5"/>
        </w:rPr>
        <w:t> </w:t>
      </w:r>
      <w:r>
        <w:rPr/>
        <w:t>7110-8535;</w:t>
      </w:r>
      <w:r>
        <w:rPr>
          <w:spacing w:val="-7"/>
        </w:rPr>
        <w:t> </w:t>
      </w:r>
      <w:r>
        <w:rPr/>
        <w:t>8538-8778;</w:t>
      </w:r>
      <w:r>
        <w:rPr>
          <w:spacing w:val="-7"/>
        </w:rPr>
        <w:t> </w:t>
      </w:r>
      <w:r>
        <w:rPr/>
        <w:t>8785-19464).</w:t>
      </w:r>
    </w:p>
    <w:p>
      <w:pPr>
        <w:pStyle w:val="BodyText"/>
        <w:spacing w:before="1"/>
        <w:rPr>
          <w:sz w:val="12"/>
        </w:rPr>
      </w:pPr>
    </w:p>
    <w:p>
      <w:pPr>
        <w:pStyle w:val="Heading2"/>
        <w:spacing w:before="93"/>
        <w:ind w:left="3288"/>
      </w:pPr>
      <w:r>
        <w:rPr/>
        <w:t>CALENDAR OF REPORTS AND ACTIONS</w:t>
      </w:r>
    </w:p>
    <w:p>
      <w:pPr>
        <w:pStyle w:val="BodyText"/>
        <w:rPr>
          <w:b/>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4201"/>
        <w:gridCol w:w="3029"/>
        <w:gridCol w:w="1471"/>
      </w:tblGrid>
      <w:tr>
        <w:trPr>
          <w:trHeight w:val="700" w:hRule="exact"/>
        </w:trPr>
        <w:tc>
          <w:tcPr>
            <w:tcW w:w="1800" w:type="dxa"/>
          </w:tcPr>
          <w:p>
            <w:pPr>
              <w:pStyle w:val="TableParagraph"/>
              <w:spacing w:before="11"/>
              <w:rPr>
                <w:rFonts w:ascii="Times New Roman"/>
                <w:b/>
                <w:sz w:val="19"/>
              </w:rPr>
            </w:pPr>
          </w:p>
          <w:p>
            <w:pPr>
              <w:pStyle w:val="TableParagraph"/>
              <w:ind w:left="103"/>
              <w:rPr>
                <w:rFonts w:ascii="Times New Roman"/>
                <w:b/>
                <w:sz w:val="20"/>
              </w:rPr>
            </w:pPr>
            <w:r>
              <w:rPr>
                <w:rFonts w:ascii="Times New Roman"/>
                <w:b/>
                <w:sz w:val="20"/>
              </w:rPr>
              <w:t>Due Date</w:t>
            </w:r>
          </w:p>
        </w:tc>
        <w:tc>
          <w:tcPr>
            <w:tcW w:w="4201" w:type="dxa"/>
          </w:tcPr>
          <w:p>
            <w:pPr>
              <w:pStyle w:val="TableParagraph"/>
              <w:spacing w:before="11"/>
              <w:rPr>
                <w:rFonts w:ascii="Times New Roman"/>
                <w:b/>
                <w:sz w:val="19"/>
              </w:rPr>
            </w:pPr>
          </w:p>
          <w:p>
            <w:pPr>
              <w:pStyle w:val="TableParagraph"/>
              <w:ind w:left="103"/>
              <w:rPr>
                <w:rFonts w:ascii="Times New Roman"/>
                <w:b/>
                <w:sz w:val="20"/>
              </w:rPr>
            </w:pPr>
            <w:r>
              <w:rPr>
                <w:rFonts w:ascii="Times New Roman"/>
                <w:b/>
                <w:sz w:val="20"/>
              </w:rPr>
              <w:t>Name of Report or Action</w:t>
            </w:r>
          </w:p>
        </w:tc>
        <w:tc>
          <w:tcPr>
            <w:tcW w:w="3029" w:type="dxa"/>
          </w:tcPr>
          <w:p>
            <w:pPr>
              <w:pStyle w:val="TableParagraph"/>
              <w:spacing w:before="114"/>
              <w:ind w:left="103" w:right="252"/>
              <w:rPr>
                <w:rFonts w:ascii="Times New Roman"/>
                <w:b/>
                <w:sz w:val="20"/>
              </w:rPr>
            </w:pPr>
            <w:r>
              <w:rPr>
                <w:rFonts w:ascii="Times New Roman"/>
                <w:b/>
                <w:sz w:val="20"/>
              </w:rPr>
              <w:t>Department or Other Government Requiring Report</w:t>
            </w:r>
          </w:p>
        </w:tc>
        <w:tc>
          <w:tcPr>
            <w:tcW w:w="1471" w:type="dxa"/>
          </w:tcPr>
          <w:p>
            <w:pPr>
              <w:pStyle w:val="TableParagraph"/>
              <w:spacing w:line="229" w:lineRule="exact"/>
              <w:ind w:left="103"/>
              <w:rPr>
                <w:rFonts w:ascii="Times New Roman"/>
                <w:b/>
                <w:sz w:val="20"/>
              </w:rPr>
            </w:pPr>
            <w:r>
              <w:rPr>
                <w:rFonts w:ascii="Times New Roman"/>
                <w:b/>
                <w:sz w:val="20"/>
              </w:rPr>
              <w:t>SAM</w:t>
            </w:r>
          </w:p>
          <w:p>
            <w:pPr>
              <w:pStyle w:val="TableParagraph"/>
              <w:ind w:left="103" w:right="483"/>
              <w:rPr>
                <w:rFonts w:ascii="Times New Roman"/>
                <w:b/>
                <w:sz w:val="20"/>
              </w:rPr>
            </w:pPr>
            <w:r>
              <w:rPr>
                <w:rFonts w:ascii="Times New Roman"/>
                <w:b/>
                <w:sz w:val="20"/>
              </w:rPr>
              <w:t>Section(s) Reference</w:t>
            </w:r>
          </w:p>
        </w:tc>
      </w:tr>
      <w:tr>
        <w:trPr>
          <w:trHeight w:val="470" w:hRule="exact"/>
        </w:trPr>
        <w:tc>
          <w:tcPr>
            <w:tcW w:w="1800" w:type="dxa"/>
          </w:tcPr>
          <w:p>
            <w:pPr>
              <w:pStyle w:val="TableParagraph"/>
              <w:spacing w:before="113"/>
              <w:ind w:left="103"/>
              <w:rPr>
                <w:rFonts w:ascii="Times New Roman"/>
                <w:sz w:val="20"/>
              </w:rPr>
            </w:pPr>
            <w:r>
              <w:rPr>
                <w:rFonts w:ascii="Times New Roman"/>
                <w:sz w:val="20"/>
              </w:rPr>
              <w:t>January 31</w:t>
            </w:r>
          </w:p>
        </w:tc>
        <w:tc>
          <w:tcPr>
            <w:tcW w:w="4201" w:type="dxa"/>
          </w:tcPr>
          <w:p>
            <w:pPr>
              <w:pStyle w:val="TableParagraph"/>
              <w:ind w:left="103" w:right="352"/>
              <w:rPr>
                <w:rFonts w:ascii="Times New Roman"/>
                <w:sz w:val="20"/>
              </w:rPr>
            </w:pPr>
            <w:r>
              <w:rPr>
                <w:rFonts w:ascii="Times New Roman"/>
                <w:sz w:val="20"/>
              </w:rPr>
              <w:t>Nonresident Withholding Tax Statement, FTB Form 592-B</w:t>
            </w:r>
          </w:p>
        </w:tc>
        <w:tc>
          <w:tcPr>
            <w:tcW w:w="3029" w:type="dxa"/>
          </w:tcPr>
          <w:p>
            <w:pPr>
              <w:pStyle w:val="TableParagraph"/>
              <w:spacing w:before="113"/>
              <w:ind w:left="103"/>
              <w:rPr>
                <w:rFonts w:ascii="Times New Roman"/>
                <w:sz w:val="20"/>
              </w:rPr>
            </w:pPr>
            <w:r>
              <w:rPr>
                <w:rFonts w:ascii="Times New Roman"/>
                <w:sz w:val="20"/>
              </w:rPr>
              <w:t>Franchise Tax Board (</w:t>
            </w:r>
            <w:r>
              <w:rPr>
                <w:rFonts w:ascii="Times New Roman"/>
                <w:sz w:val="20"/>
                <w:u w:val="single"/>
              </w:rPr>
              <w:t>FTB</w:t>
            </w:r>
            <w:r>
              <w:rPr>
                <w:rFonts w:ascii="Times New Roman"/>
                <w:sz w:val="20"/>
              </w:rPr>
              <w:t>)</w:t>
            </w:r>
          </w:p>
        </w:tc>
        <w:tc>
          <w:tcPr>
            <w:tcW w:w="1471" w:type="dxa"/>
          </w:tcPr>
          <w:p>
            <w:pPr>
              <w:pStyle w:val="TableParagraph"/>
              <w:spacing w:before="113"/>
              <w:ind w:left="103"/>
              <w:rPr>
                <w:rFonts w:ascii="Times New Roman"/>
                <w:sz w:val="20"/>
              </w:rPr>
            </w:pPr>
            <w:r>
              <w:rPr>
                <w:rFonts w:ascii="Times New Roman"/>
                <w:sz w:val="20"/>
              </w:rPr>
              <w:t>8422.196</w:t>
            </w:r>
          </w:p>
        </w:tc>
      </w:tr>
      <w:tr>
        <w:trPr>
          <w:trHeight w:val="1160" w:hRule="exact"/>
        </w:trPr>
        <w:tc>
          <w:tcPr>
            <w:tcW w:w="1800" w:type="dxa"/>
            <w:tcBorders>
              <w:bottom w:val="double" w:sz="5" w:space="0" w:color="000000"/>
            </w:tcBorders>
          </w:tcPr>
          <w:p>
            <w:pPr>
              <w:pStyle w:val="TableParagraph"/>
              <w:spacing w:line="227" w:lineRule="exact"/>
              <w:ind w:left="103"/>
              <w:rPr>
                <w:rFonts w:ascii="Times New Roman"/>
                <w:sz w:val="20"/>
              </w:rPr>
            </w:pPr>
            <w:r>
              <w:rPr>
                <w:rFonts w:ascii="Times New Roman"/>
                <w:sz w:val="20"/>
                <w:u w:val="single"/>
              </w:rPr>
              <w:t>(non-CALSTARS</w:t>
            </w:r>
          </w:p>
          <w:p>
            <w:pPr>
              <w:pStyle w:val="TableParagraph"/>
              <w:spacing w:line="230" w:lineRule="exact" w:before="3"/>
              <w:ind w:left="103" w:right="205"/>
              <w:rPr>
                <w:rFonts w:ascii="Times New Roman"/>
                <w:sz w:val="13"/>
              </w:rPr>
            </w:pPr>
            <w:r>
              <w:rPr>
                <w:rFonts w:ascii="Times New Roman"/>
                <w:sz w:val="20"/>
                <w:u w:val="single"/>
              </w:rPr>
              <w:t>departments) First </w:t>
            </w:r>
            <w:r>
              <w:rPr>
                <w:rFonts w:ascii="Times New Roman"/>
                <w:sz w:val="20"/>
              </w:rPr>
              <w:t>week of January </w:t>
            </w:r>
            <w:r>
              <w:rPr>
                <w:rFonts w:ascii="Times New Roman"/>
                <w:position w:val="9"/>
                <w:sz w:val="13"/>
              </w:rPr>
              <w:t>1/</w:t>
            </w:r>
          </w:p>
          <w:p>
            <w:pPr>
              <w:pStyle w:val="TableParagraph"/>
              <w:spacing w:before="202"/>
              <w:ind w:left="103"/>
              <w:rPr>
                <w:rFonts w:ascii="Times New Roman"/>
                <w:sz w:val="13"/>
              </w:rPr>
            </w:pPr>
            <w:r>
              <w:rPr>
                <w:rFonts w:ascii="Times New Roman"/>
                <w:sz w:val="20"/>
              </w:rPr>
              <w:t>February 28 </w:t>
            </w:r>
            <w:r>
              <w:rPr>
                <w:rFonts w:ascii="Times New Roman"/>
                <w:position w:val="9"/>
                <w:sz w:val="13"/>
              </w:rPr>
              <w:t>2/</w:t>
            </w:r>
          </w:p>
        </w:tc>
        <w:tc>
          <w:tcPr>
            <w:tcW w:w="4201" w:type="dxa"/>
          </w:tcPr>
          <w:p>
            <w:pPr>
              <w:pStyle w:val="TableParagraph"/>
              <w:rPr>
                <w:rFonts w:ascii="Times New Roman"/>
                <w:b/>
                <w:sz w:val="22"/>
              </w:rPr>
            </w:pPr>
          </w:p>
          <w:p>
            <w:pPr>
              <w:pStyle w:val="TableParagraph"/>
              <w:spacing w:before="9"/>
              <w:rPr>
                <w:rFonts w:ascii="Times New Roman"/>
                <w:b/>
                <w:sz w:val="17"/>
              </w:rPr>
            </w:pPr>
          </w:p>
          <w:p>
            <w:pPr>
              <w:pStyle w:val="TableParagraph"/>
              <w:ind w:left="103"/>
              <w:rPr>
                <w:rFonts w:ascii="Times New Roman"/>
                <w:sz w:val="20"/>
              </w:rPr>
            </w:pPr>
            <w:r>
              <w:rPr>
                <w:rFonts w:ascii="Times New Roman"/>
                <w:sz w:val="20"/>
              </w:rPr>
              <w:t>Annual information returns (Form 1099)</w:t>
            </w:r>
          </w:p>
        </w:tc>
        <w:tc>
          <w:tcPr>
            <w:tcW w:w="3029" w:type="dxa"/>
          </w:tcPr>
          <w:p>
            <w:pPr>
              <w:pStyle w:val="TableParagraph"/>
              <w:spacing w:before="202"/>
              <w:ind w:left="103"/>
              <w:rPr>
                <w:rFonts w:ascii="Times New Roman"/>
                <w:sz w:val="20"/>
              </w:rPr>
            </w:pPr>
            <w:r>
              <w:rPr>
                <w:rFonts w:ascii="Times New Roman"/>
                <w:position w:val="9"/>
                <w:sz w:val="13"/>
              </w:rPr>
              <w:t>1/ </w:t>
            </w:r>
            <w:r>
              <w:rPr>
                <w:rFonts w:ascii="Times New Roman"/>
                <w:sz w:val="20"/>
                <w:u w:val="single"/>
              </w:rPr>
              <w:t>FTB and</w:t>
            </w:r>
          </w:p>
          <w:p>
            <w:pPr>
              <w:pStyle w:val="TableParagraph"/>
              <w:spacing w:before="204"/>
              <w:ind w:left="103"/>
              <w:rPr>
                <w:rFonts w:ascii="Times New Roman"/>
                <w:sz w:val="20"/>
              </w:rPr>
            </w:pPr>
            <w:r>
              <w:rPr>
                <w:rFonts w:ascii="Times New Roman"/>
                <w:position w:val="9"/>
                <w:sz w:val="13"/>
              </w:rPr>
              <w:t>2/ </w:t>
            </w:r>
            <w:r>
              <w:rPr>
                <w:rFonts w:ascii="Times New Roman"/>
                <w:sz w:val="20"/>
              </w:rPr>
              <w:t>Internal Revenue Service</w:t>
            </w:r>
          </w:p>
        </w:tc>
        <w:tc>
          <w:tcPr>
            <w:tcW w:w="1471" w:type="dxa"/>
          </w:tcPr>
          <w:p>
            <w:pPr>
              <w:pStyle w:val="TableParagraph"/>
              <w:rPr>
                <w:rFonts w:ascii="Times New Roman"/>
                <w:b/>
                <w:sz w:val="22"/>
              </w:rPr>
            </w:pPr>
          </w:p>
          <w:p>
            <w:pPr>
              <w:pStyle w:val="TableParagraph"/>
              <w:spacing w:before="9"/>
              <w:rPr>
                <w:rFonts w:ascii="Times New Roman"/>
                <w:b/>
                <w:sz w:val="17"/>
              </w:rPr>
            </w:pPr>
          </w:p>
          <w:p>
            <w:pPr>
              <w:pStyle w:val="TableParagraph"/>
              <w:ind w:left="103"/>
              <w:rPr>
                <w:rFonts w:ascii="Times New Roman"/>
                <w:sz w:val="20"/>
              </w:rPr>
            </w:pPr>
            <w:r>
              <w:rPr>
                <w:rFonts w:ascii="Times New Roman"/>
                <w:sz w:val="20"/>
              </w:rPr>
              <w:t>8422.191</w:t>
            </w:r>
          </w:p>
        </w:tc>
      </w:tr>
      <w:tr>
        <w:trPr>
          <w:trHeight w:val="874" w:hRule="exact"/>
        </w:trPr>
        <w:tc>
          <w:tcPr>
            <w:tcW w:w="1800" w:type="dxa"/>
            <w:tcBorders>
              <w:top w:val="double" w:sz="5" w:space="0" w:color="000000"/>
            </w:tcBorders>
          </w:tcPr>
          <w:p>
            <w:pPr>
              <w:pStyle w:val="TableParagraph"/>
              <w:spacing w:before="2"/>
              <w:rPr>
                <w:rFonts w:ascii="Times New Roman"/>
                <w:b/>
                <w:sz w:val="26"/>
              </w:rPr>
            </w:pPr>
          </w:p>
          <w:p>
            <w:pPr>
              <w:pStyle w:val="TableParagraph"/>
              <w:ind w:left="103"/>
              <w:rPr>
                <w:rFonts w:ascii="Times New Roman"/>
                <w:sz w:val="20"/>
              </w:rPr>
            </w:pPr>
            <w:r>
              <w:rPr>
                <w:rFonts w:ascii="Times New Roman"/>
                <w:sz w:val="20"/>
              </w:rPr>
              <w:t>July 31</w:t>
            </w:r>
          </w:p>
        </w:tc>
        <w:tc>
          <w:tcPr>
            <w:tcW w:w="4201" w:type="dxa"/>
          </w:tcPr>
          <w:p>
            <w:pPr>
              <w:pStyle w:val="TableParagraph"/>
              <w:spacing w:before="3"/>
              <w:rPr>
                <w:rFonts w:ascii="Times New Roman"/>
                <w:b/>
                <w:sz w:val="17"/>
              </w:rPr>
            </w:pPr>
          </w:p>
          <w:p>
            <w:pPr>
              <w:pStyle w:val="TableParagraph"/>
              <w:ind w:left="103" w:right="114"/>
              <w:rPr>
                <w:rFonts w:ascii="Times New Roman"/>
                <w:sz w:val="20"/>
              </w:rPr>
            </w:pPr>
            <w:r>
              <w:rPr>
                <w:rFonts w:ascii="Times New Roman"/>
                <w:sz w:val="20"/>
              </w:rPr>
              <w:t>Year-end financial reports (General Fund, Feeder Funds, and Economic Uncertainty Funds)</w:t>
            </w:r>
          </w:p>
        </w:tc>
        <w:tc>
          <w:tcPr>
            <w:tcW w:w="3029" w:type="dxa"/>
          </w:tcPr>
          <w:p>
            <w:pPr>
              <w:pStyle w:val="TableParagraph"/>
              <w:spacing w:before="3"/>
              <w:rPr>
                <w:rFonts w:ascii="Times New Roman"/>
                <w:b/>
                <w:sz w:val="17"/>
              </w:rPr>
            </w:pPr>
          </w:p>
          <w:p>
            <w:pPr>
              <w:pStyle w:val="TableParagraph"/>
              <w:ind w:left="103" w:right="179"/>
              <w:rPr>
                <w:rFonts w:ascii="Times New Roman"/>
                <w:sz w:val="20"/>
              </w:rPr>
            </w:pPr>
            <w:r>
              <w:rPr>
                <w:rFonts w:ascii="Times New Roman"/>
                <w:sz w:val="20"/>
              </w:rPr>
              <w:t>SCO, Division of Accounting and Reporting (</w:t>
            </w:r>
            <w:r>
              <w:rPr>
                <w:rFonts w:ascii="Times New Roman"/>
                <w:sz w:val="20"/>
                <w:u w:val="single"/>
              </w:rPr>
              <w:t>DAR</w:t>
            </w:r>
            <w:r>
              <w:rPr>
                <w:rFonts w:ascii="Times New Roman"/>
                <w:sz w:val="20"/>
              </w:rPr>
              <w:t>)</w:t>
            </w:r>
          </w:p>
        </w:tc>
        <w:tc>
          <w:tcPr>
            <w:tcW w:w="1471" w:type="dxa"/>
          </w:tcPr>
          <w:p>
            <w:pPr>
              <w:pStyle w:val="TableParagraph"/>
              <w:spacing w:before="54"/>
              <w:ind w:left="103"/>
              <w:rPr>
                <w:rFonts w:ascii="Times New Roman"/>
                <w:sz w:val="20"/>
              </w:rPr>
            </w:pPr>
            <w:r>
              <w:rPr>
                <w:rFonts w:ascii="Times New Roman"/>
                <w:sz w:val="20"/>
              </w:rPr>
              <w:t>7952-7967</w:t>
            </w:r>
          </w:p>
          <w:p>
            <w:pPr>
              <w:pStyle w:val="TableParagraph"/>
              <w:spacing w:before="57"/>
              <w:ind w:left="103"/>
              <w:rPr>
                <w:rFonts w:ascii="Times New Roman"/>
                <w:sz w:val="20"/>
              </w:rPr>
            </w:pPr>
            <w:r>
              <w:rPr>
                <w:rFonts w:ascii="Times New Roman"/>
                <w:sz w:val="20"/>
              </w:rPr>
              <w:t>7976-7977</w:t>
            </w:r>
          </w:p>
          <w:p>
            <w:pPr>
              <w:pStyle w:val="TableParagraph"/>
              <w:spacing w:before="57"/>
              <w:ind w:left="103"/>
              <w:rPr>
                <w:rFonts w:ascii="Times New Roman"/>
                <w:sz w:val="20"/>
              </w:rPr>
            </w:pPr>
            <w:r>
              <w:rPr>
                <w:rFonts w:ascii="Times New Roman"/>
                <w:sz w:val="20"/>
              </w:rPr>
              <w:t>7979</w:t>
            </w:r>
          </w:p>
        </w:tc>
      </w:tr>
      <w:tr>
        <w:trPr>
          <w:trHeight w:val="700" w:hRule="exact"/>
        </w:trPr>
        <w:tc>
          <w:tcPr>
            <w:tcW w:w="1800" w:type="dxa"/>
          </w:tcPr>
          <w:p>
            <w:pPr>
              <w:pStyle w:val="TableParagraph"/>
              <w:spacing w:before="8"/>
              <w:rPr>
                <w:rFonts w:ascii="Times New Roman"/>
                <w:b/>
                <w:sz w:val="19"/>
              </w:rPr>
            </w:pPr>
          </w:p>
          <w:p>
            <w:pPr>
              <w:pStyle w:val="TableParagraph"/>
              <w:ind w:left="103"/>
              <w:rPr>
                <w:rFonts w:ascii="Times New Roman"/>
                <w:sz w:val="20"/>
              </w:rPr>
            </w:pPr>
            <w:r>
              <w:rPr>
                <w:rFonts w:ascii="Times New Roman"/>
                <w:sz w:val="20"/>
              </w:rPr>
              <w:t>August 20</w:t>
            </w:r>
          </w:p>
        </w:tc>
        <w:tc>
          <w:tcPr>
            <w:tcW w:w="4201" w:type="dxa"/>
          </w:tcPr>
          <w:p>
            <w:pPr>
              <w:pStyle w:val="TableParagraph"/>
              <w:spacing w:before="112"/>
              <w:ind w:left="103" w:right="631"/>
              <w:rPr>
                <w:rFonts w:ascii="Times New Roman"/>
                <w:sz w:val="20"/>
              </w:rPr>
            </w:pPr>
            <w:r>
              <w:rPr>
                <w:rFonts w:ascii="Times New Roman"/>
                <w:sz w:val="20"/>
              </w:rPr>
              <w:t>Year-end financial reports (all other funds) excluding Report 13</w:t>
            </w:r>
          </w:p>
        </w:tc>
        <w:tc>
          <w:tcPr>
            <w:tcW w:w="3029" w:type="dxa"/>
          </w:tcPr>
          <w:p>
            <w:pPr>
              <w:pStyle w:val="TableParagraph"/>
              <w:spacing w:before="8"/>
              <w:rPr>
                <w:rFonts w:ascii="Times New Roman"/>
                <w:b/>
                <w:sz w:val="19"/>
              </w:rPr>
            </w:pPr>
          </w:p>
          <w:p>
            <w:pPr>
              <w:pStyle w:val="TableParagraph"/>
              <w:ind w:left="103"/>
              <w:rPr>
                <w:rFonts w:ascii="Times New Roman"/>
                <w:sz w:val="20"/>
              </w:rPr>
            </w:pPr>
            <w:r>
              <w:rPr>
                <w:rFonts w:ascii="Times New Roman"/>
                <w:sz w:val="20"/>
              </w:rPr>
              <w:t>SCO, </w:t>
            </w:r>
            <w:r>
              <w:rPr>
                <w:rFonts w:ascii="Times New Roman"/>
                <w:sz w:val="20"/>
                <w:u w:val="single"/>
              </w:rPr>
              <w:t>DAR</w:t>
            </w:r>
          </w:p>
        </w:tc>
        <w:tc>
          <w:tcPr>
            <w:tcW w:w="1471" w:type="dxa"/>
          </w:tcPr>
          <w:p>
            <w:pPr>
              <w:pStyle w:val="TableParagraph"/>
              <w:spacing w:line="227" w:lineRule="exact"/>
              <w:ind w:left="103"/>
              <w:rPr>
                <w:rFonts w:ascii="Times New Roman"/>
                <w:sz w:val="20"/>
              </w:rPr>
            </w:pPr>
            <w:r>
              <w:rPr>
                <w:rFonts w:ascii="Times New Roman"/>
                <w:sz w:val="20"/>
              </w:rPr>
              <w:t>7952-7967</w:t>
            </w:r>
          </w:p>
          <w:p>
            <w:pPr>
              <w:pStyle w:val="TableParagraph"/>
              <w:ind w:left="103"/>
              <w:rPr>
                <w:rFonts w:ascii="Times New Roman"/>
                <w:sz w:val="20"/>
              </w:rPr>
            </w:pPr>
            <w:r>
              <w:rPr>
                <w:rFonts w:ascii="Times New Roman"/>
                <w:sz w:val="20"/>
              </w:rPr>
              <w:t>7976-7977</w:t>
            </w:r>
          </w:p>
          <w:p>
            <w:pPr>
              <w:pStyle w:val="TableParagraph"/>
              <w:ind w:left="103"/>
              <w:rPr>
                <w:rFonts w:ascii="Times New Roman"/>
                <w:sz w:val="20"/>
              </w:rPr>
            </w:pPr>
            <w:r>
              <w:rPr>
                <w:rFonts w:ascii="Times New Roman"/>
                <w:sz w:val="20"/>
              </w:rPr>
              <w:t>7979</w:t>
            </w:r>
          </w:p>
        </w:tc>
      </w:tr>
      <w:tr>
        <w:trPr>
          <w:trHeight w:val="470" w:hRule="exact"/>
        </w:trPr>
        <w:tc>
          <w:tcPr>
            <w:tcW w:w="1800" w:type="dxa"/>
          </w:tcPr>
          <w:p>
            <w:pPr>
              <w:pStyle w:val="TableParagraph"/>
              <w:spacing w:before="112"/>
              <w:ind w:left="103"/>
              <w:rPr>
                <w:rFonts w:ascii="Times New Roman"/>
                <w:sz w:val="20"/>
              </w:rPr>
            </w:pPr>
            <w:r>
              <w:rPr>
                <w:rFonts w:ascii="Times New Roman"/>
                <w:sz w:val="20"/>
              </w:rPr>
              <w:t>August 20</w:t>
            </w:r>
          </w:p>
        </w:tc>
        <w:tc>
          <w:tcPr>
            <w:tcW w:w="4201" w:type="dxa"/>
          </w:tcPr>
          <w:p>
            <w:pPr>
              <w:pStyle w:val="TableParagraph"/>
              <w:ind w:left="103" w:right="441"/>
              <w:rPr>
                <w:rFonts w:ascii="Times New Roman"/>
                <w:sz w:val="20"/>
              </w:rPr>
            </w:pPr>
            <w:r>
              <w:rPr>
                <w:rFonts w:ascii="Times New Roman"/>
                <w:sz w:val="20"/>
              </w:rPr>
              <w:t>Report 13, Report of Expenditures of Federal Funds</w:t>
            </w:r>
          </w:p>
        </w:tc>
        <w:tc>
          <w:tcPr>
            <w:tcW w:w="3029" w:type="dxa"/>
          </w:tcPr>
          <w:p>
            <w:pPr>
              <w:pStyle w:val="TableParagraph"/>
              <w:spacing w:before="112"/>
              <w:ind w:left="103"/>
              <w:rPr>
                <w:rFonts w:ascii="Times New Roman"/>
                <w:sz w:val="20"/>
              </w:rPr>
            </w:pPr>
            <w:r>
              <w:rPr>
                <w:rFonts w:ascii="Times New Roman"/>
                <w:sz w:val="20"/>
              </w:rPr>
              <w:t>Finance, FSCU; SCO, </w:t>
            </w:r>
            <w:r>
              <w:rPr>
                <w:rFonts w:ascii="Times New Roman"/>
                <w:sz w:val="20"/>
                <w:u w:val="single"/>
              </w:rPr>
              <w:t>DAR</w:t>
            </w:r>
          </w:p>
        </w:tc>
        <w:tc>
          <w:tcPr>
            <w:tcW w:w="1471" w:type="dxa"/>
          </w:tcPr>
          <w:p>
            <w:pPr>
              <w:pStyle w:val="TableParagraph"/>
              <w:spacing w:before="112"/>
              <w:ind w:left="103"/>
              <w:rPr>
                <w:rFonts w:ascii="Times New Roman"/>
                <w:sz w:val="20"/>
              </w:rPr>
            </w:pPr>
            <w:r>
              <w:rPr>
                <w:rFonts w:ascii="Times New Roman"/>
                <w:sz w:val="20"/>
              </w:rPr>
              <w:t>7974</w:t>
            </w:r>
          </w:p>
        </w:tc>
      </w:tr>
      <w:tr>
        <w:trPr>
          <w:trHeight w:val="700" w:hRule="exact"/>
        </w:trPr>
        <w:tc>
          <w:tcPr>
            <w:tcW w:w="1800" w:type="dxa"/>
          </w:tcPr>
          <w:p>
            <w:pPr>
              <w:pStyle w:val="TableParagraph"/>
              <w:spacing w:before="8"/>
              <w:rPr>
                <w:rFonts w:ascii="Times New Roman"/>
                <w:b/>
                <w:sz w:val="19"/>
              </w:rPr>
            </w:pPr>
          </w:p>
          <w:p>
            <w:pPr>
              <w:pStyle w:val="TableParagraph"/>
              <w:ind w:left="103"/>
              <w:rPr>
                <w:rFonts w:ascii="Times New Roman"/>
                <w:sz w:val="20"/>
              </w:rPr>
            </w:pPr>
            <w:r>
              <w:rPr>
                <w:rFonts w:ascii="Times New Roman"/>
                <w:sz w:val="20"/>
              </w:rPr>
              <w:t>August 20</w:t>
            </w:r>
          </w:p>
        </w:tc>
        <w:tc>
          <w:tcPr>
            <w:tcW w:w="4201" w:type="dxa"/>
          </w:tcPr>
          <w:p>
            <w:pPr>
              <w:pStyle w:val="TableParagraph"/>
              <w:spacing w:before="112"/>
              <w:ind w:left="103" w:right="191"/>
              <w:rPr>
                <w:rFonts w:ascii="Times New Roman"/>
                <w:sz w:val="20"/>
              </w:rPr>
            </w:pPr>
            <w:r>
              <w:rPr>
                <w:rFonts w:ascii="Times New Roman"/>
                <w:sz w:val="20"/>
              </w:rPr>
              <w:t>Report 14, Report of Accounts Outside the State Treasury, STD. 445</w:t>
            </w:r>
          </w:p>
        </w:tc>
        <w:tc>
          <w:tcPr>
            <w:tcW w:w="3029" w:type="dxa"/>
          </w:tcPr>
          <w:p>
            <w:pPr>
              <w:pStyle w:val="TableParagraph"/>
              <w:ind w:left="103" w:right="507"/>
              <w:jc w:val="both"/>
              <w:rPr>
                <w:rFonts w:ascii="Times New Roman"/>
                <w:sz w:val="20"/>
              </w:rPr>
            </w:pPr>
            <w:r>
              <w:rPr>
                <w:rFonts w:ascii="Times New Roman"/>
                <w:sz w:val="20"/>
              </w:rPr>
              <w:t>STO, </w:t>
            </w:r>
            <w:r>
              <w:rPr>
                <w:rFonts w:ascii="Times New Roman"/>
                <w:sz w:val="20"/>
                <w:u w:val="single"/>
              </w:rPr>
              <w:t>Collateral Management </w:t>
            </w:r>
            <w:r>
              <w:rPr>
                <w:rFonts w:ascii="Times New Roman"/>
                <w:sz w:val="20"/>
              </w:rPr>
              <w:t>Section; SCO, </w:t>
            </w:r>
            <w:r>
              <w:rPr>
                <w:rFonts w:ascii="Times New Roman"/>
                <w:sz w:val="20"/>
                <w:u w:val="single"/>
              </w:rPr>
              <w:t>DAR</w:t>
            </w:r>
            <w:r>
              <w:rPr>
                <w:rFonts w:ascii="Times New Roman"/>
                <w:sz w:val="20"/>
              </w:rPr>
              <w:t>; </w:t>
            </w:r>
            <w:r>
              <w:rPr>
                <w:rFonts w:ascii="Times New Roman"/>
                <w:sz w:val="20"/>
                <w:u w:val="single"/>
              </w:rPr>
              <w:t>Finance, </w:t>
            </w:r>
            <w:r>
              <w:rPr>
                <w:rFonts w:ascii="Times New Roman"/>
                <w:sz w:val="20"/>
              </w:rPr>
              <w:t>FSCU</w:t>
            </w:r>
          </w:p>
        </w:tc>
        <w:tc>
          <w:tcPr>
            <w:tcW w:w="1471" w:type="dxa"/>
          </w:tcPr>
          <w:p>
            <w:pPr>
              <w:pStyle w:val="TableParagraph"/>
              <w:spacing w:before="8"/>
              <w:rPr>
                <w:rFonts w:ascii="Times New Roman"/>
                <w:b/>
                <w:sz w:val="19"/>
              </w:rPr>
            </w:pPr>
          </w:p>
          <w:p>
            <w:pPr>
              <w:pStyle w:val="TableParagraph"/>
              <w:ind w:left="103"/>
              <w:rPr>
                <w:rFonts w:ascii="Times New Roman"/>
                <w:sz w:val="20"/>
              </w:rPr>
            </w:pPr>
            <w:r>
              <w:rPr>
                <w:rFonts w:ascii="Times New Roman"/>
                <w:sz w:val="20"/>
              </w:rPr>
              <w:t>7975</w:t>
            </w:r>
          </w:p>
        </w:tc>
      </w:tr>
      <w:tr>
        <w:trPr>
          <w:trHeight w:val="700" w:hRule="exact"/>
        </w:trPr>
        <w:tc>
          <w:tcPr>
            <w:tcW w:w="1800" w:type="dxa"/>
          </w:tcPr>
          <w:p>
            <w:pPr>
              <w:pStyle w:val="TableParagraph"/>
              <w:spacing w:before="8"/>
              <w:rPr>
                <w:rFonts w:ascii="Times New Roman"/>
                <w:b/>
                <w:sz w:val="19"/>
              </w:rPr>
            </w:pPr>
          </w:p>
          <w:p>
            <w:pPr>
              <w:pStyle w:val="TableParagraph"/>
              <w:spacing w:before="1"/>
              <w:ind w:left="103"/>
              <w:rPr>
                <w:rFonts w:ascii="Times New Roman"/>
                <w:sz w:val="20"/>
              </w:rPr>
            </w:pPr>
            <w:r>
              <w:rPr>
                <w:rFonts w:ascii="Times New Roman"/>
                <w:sz w:val="20"/>
              </w:rPr>
              <w:t>August 20</w:t>
            </w:r>
          </w:p>
        </w:tc>
        <w:tc>
          <w:tcPr>
            <w:tcW w:w="4201" w:type="dxa"/>
          </w:tcPr>
          <w:p>
            <w:pPr>
              <w:pStyle w:val="TableParagraph"/>
              <w:ind w:left="103" w:right="180"/>
              <w:rPr>
                <w:rFonts w:ascii="Times New Roman"/>
                <w:sz w:val="20"/>
              </w:rPr>
            </w:pPr>
            <w:r>
              <w:rPr>
                <w:rFonts w:ascii="Times New Roman"/>
                <w:sz w:val="20"/>
              </w:rPr>
              <w:t>Report 19, Statement of Capital Assets Group of Accounts and Report 22, Statement of Contingent Liabilities</w:t>
            </w:r>
          </w:p>
        </w:tc>
        <w:tc>
          <w:tcPr>
            <w:tcW w:w="3029" w:type="dxa"/>
          </w:tcPr>
          <w:p>
            <w:pPr>
              <w:pStyle w:val="TableParagraph"/>
              <w:spacing w:before="8"/>
              <w:rPr>
                <w:rFonts w:ascii="Times New Roman"/>
                <w:b/>
                <w:sz w:val="19"/>
              </w:rPr>
            </w:pPr>
          </w:p>
          <w:p>
            <w:pPr>
              <w:pStyle w:val="TableParagraph"/>
              <w:spacing w:before="1"/>
              <w:ind w:left="103"/>
              <w:rPr>
                <w:rFonts w:ascii="Times New Roman"/>
                <w:sz w:val="20"/>
              </w:rPr>
            </w:pPr>
            <w:r>
              <w:rPr>
                <w:rFonts w:ascii="Times New Roman"/>
                <w:sz w:val="20"/>
              </w:rPr>
              <w:t>SCO, </w:t>
            </w:r>
            <w:r>
              <w:rPr>
                <w:rFonts w:ascii="Times New Roman"/>
                <w:sz w:val="20"/>
                <w:u w:val="single"/>
              </w:rPr>
              <w:t>DAR</w:t>
            </w:r>
          </w:p>
        </w:tc>
        <w:tc>
          <w:tcPr>
            <w:tcW w:w="1471" w:type="dxa"/>
          </w:tcPr>
          <w:p>
            <w:pPr>
              <w:pStyle w:val="TableParagraph"/>
              <w:spacing w:before="112"/>
              <w:ind w:left="103"/>
              <w:rPr>
                <w:rFonts w:ascii="Times New Roman"/>
                <w:sz w:val="20"/>
              </w:rPr>
            </w:pPr>
            <w:r>
              <w:rPr>
                <w:rFonts w:ascii="Times New Roman"/>
                <w:sz w:val="20"/>
              </w:rPr>
              <w:t>7978</w:t>
            </w:r>
          </w:p>
          <w:p>
            <w:pPr>
              <w:pStyle w:val="TableParagraph"/>
              <w:spacing w:before="58"/>
              <w:ind w:left="103"/>
              <w:rPr>
                <w:rFonts w:ascii="Times New Roman"/>
                <w:sz w:val="20"/>
              </w:rPr>
            </w:pPr>
            <w:r>
              <w:rPr>
                <w:rFonts w:ascii="Times New Roman"/>
                <w:sz w:val="20"/>
              </w:rPr>
              <w:t>7980</w:t>
            </w:r>
          </w:p>
        </w:tc>
      </w:tr>
      <w:tr>
        <w:trPr>
          <w:trHeight w:val="470" w:hRule="exact"/>
        </w:trPr>
        <w:tc>
          <w:tcPr>
            <w:tcW w:w="1800" w:type="dxa"/>
          </w:tcPr>
          <w:p>
            <w:pPr>
              <w:pStyle w:val="TableParagraph"/>
              <w:spacing w:before="113"/>
              <w:ind w:left="103"/>
              <w:rPr>
                <w:rFonts w:ascii="Times New Roman"/>
                <w:sz w:val="20"/>
              </w:rPr>
            </w:pPr>
            <w:r>
              <w:rPr>
                <w:rFonts w:ascii="Times New Roman"/>
                <w:sz w:val="20"/>
              </w:rPr>
              <w:t>September 30</w:t>
            </w:r>
          </w:p>
        </w:tc>
        <w:tc>
          <w:tcPr>
            <w:tcW w:w="4201" w:type="dxa"/>
          </w:tcPr>
          <w:p>
            <w:pPr>
              <w:pStyle w:val="TableParagraph"/>
              <w:ind w:left="103" w:right="102"/>
              <w:rPr>
                <w:rFonts w:ascii="Times New Roman"/>
                <w:sz w:val="20"/>
              </w:rPr>
            </w:pPr>
            <w:r>
              <w:rPr>
                <w:rFonts w:ascii="Times New Roman"/>
                <w:sz w:val="20"/>
              </w:rPr>
              <w:t>Annual Late Payment Penalties Report on vendor payments for goods and services</w:t>
            </w:r>
          </w:p>
        </w:tc>
        <w:tc>
          <w:tcPr>
            <w:tcW w:w="3029" w:type="dxa"/>
          </w:tcPr>
          <w:p>
            <w:pPr>
              <w:pStyle w:val="TableParagraph"/>
              <w:ind w:left="103" w:right="413"/>
              <w:rPr>
                <w:rFonts w:ascii="Times New Roman"/>
                <w:sz w:val="20"/>
              </w:rPr>
            </w:pPr>
            <w:r>
              <w:rPr>
                <w:rFonts w:ascii="Times New Roman"/>
                <w:sz w:val="20"/>
              </w:rPr>
              <w:t>General Services, Procurement Division</w:t>
            </w:r>
          </w:p>
        </w:tc>
        <w:tc>
          <w:tcPr>
            <w:tcW w:w="1471" w:type="dxa"/>
          </w:tcPr>
          <w:p>
            <w:pPr>
              <w:pStyle w:val="TableParagraph"/>
              <w:spacing w:before="113"/>
              <w:ind w:left="103"/>
              <w:rPr>
                <w:rFonts w:ascii="Times New Roman"/>
                <w:sz w:val="20"/>
              </w:rPr>
            </w:pPr>
            <w:r>
              <w:rPr>
                <w:rFonts w:ascii="Times New Roman"/>
                <w:sz w:val="20"/>
              </w:rPr>
              <w:t>8474.1</w:t>
            </w:r>
          </w:p>
        </w:tc>
      </w:tr>
      <w:tr>
        <w:trPr>
          <w:trHeight w:val="470" w:hRule="exact"/>
        </w:trPr>
        <w:tc>
          <w:tcPr>
            <w:tcW w:w="1800" w:type="dxa"/>
          </w:tcPr>
          <w:p>
            <w:pPr>
              <w:pStyle w:val="TableParagraph"/>
              <w:spacing w:before="112"/>
              <w:ind w:left="103"/>
              <w:rPr>
                <w:rFonts w:ascii="Times New Roman"/>
                <w:sz w:val="20"/>
              </w:rPr>
            </w:pPr>
            <w:r>
              <w:rPr>
                <w:rFonts w:ascii="Times New Roman"/>
                <w:sz w:val="20"/>
              </w:rPr>
              <w:t>September 30</w:t>
            </w:r>
          </w:p>
        </w:tc>
        <w:tc>
          <w:tcPr>
            <w:tcW w:w="4201" w:type="dxa"/>
          </w:tcPr>
          <w:p>
            <w:pPr>
              <w:pStyle w:val="TableParagraph"/>
              <w:ind w:left="103" w:right="502"/>
              <w:rPr>
                <w:rFonts w:ascii="Times New Roman"/>
                <w:sz w:val="20"/>
              </w:rPr>
            </w:pPr>
            <w:r>
              <w:rPr>
                <w:rFonts w:ascii="Times New Roman"/>
                <w:sz w:val="20"/>
              </w:rPr>
              <w:t>Report of Office Revolving Fund Claims for Reimbursement</w:t>
            </w:r>
          </w:p>
        </w:tc>
        <w:tc>
          <w:tcPr>
            <w:tcW w:w="3029" w:type="dxa"/>
          </w:tcPr>
          <w:p>
            <w:pPr>
              <w:pStyle w:val="TableParagraph"/>
              <w:ind w:left="103" w:right="402"/>
              <w:rPr>
                <w:rFonts w:ascii="Times New Roman"/>
                <w:sz w:val="20"/>
              </w:rPr>
            </w:pPr>
            <w:r>
              <w:rPr>
                <w:rFonts w:ascii="Times New Roman"/>
                <w:sz w:val="20"/>
              </w:rPr>
              <w:t>Finance, Office of State Audits and Evaluations (OSAE)</w:t>
            </w:r>
          </w:p>
        </w:tc>
        <w:tc>
          <w:tcPr>
            <w:tcW w:w="1471" w:type="dxa"/>
          </w:tcPr>
          <w:p>
            <w:pPr>
              <w:pStyle w:val="TableParagraph"/>
              <w:spacing w:before="112"/>
              <w:ind w:left="103"/>
              <w:rPr>
                <w:rFonts w:ascii="Times New Roman"/>
                <w:sz w:val="20"/>
              </w:rPr>
            </w:pPr>
            <w:r>
              <w:rPr>
                <w:rFonts w:ascii="Times New Roman"/>
                <w:sz w:val="20"/>
              </w:rPr>
              <w:t>8072</w:t>
            </w:r>
          </w:p>
        </w:tc>
      </w:tr>
      <w:tr>
        <w:trPr>
          <w:trHeight w:val="700" w:hRule="exact"/>
        </w:trPr>
        <w:tc>
          <w:tcPr>
            <w:tcW w:w="1800" w:type="dxa"/>
          </w:tcPr>
          <w:p>
            <w:pPr>
              <w:pStyle w:val="TableParagraph"/>
              <w:spacing w:before="112"/>
              <w:ind w:left="103" w:right="673"/>
              <w:rPr>
                <w:rFonts w:ascii="Times New Roman"/>
                <w:sz w:val="20"/>
              </w:rPr>
            </w:pPr>
            <w:r>
              <w:rPr>
                <w:rFonts w:ascii="Times New Roman"/>
                <w:sz w:val="20"/>
              </w:rPr>
              <w:t>Before November 1</w:t>
            </w:r>
          </w:p>
        </w:tc>
        <w:tc>
          <w:tcPr>
            <w:tcW w:w="4201" w:type="dxa"/>
          </w:tcPr>
          <w:p>
            <w:pPr>
              <w:pStyle w:val="TableParagraph"/>
              <w:ind w:left="103" w:right="493"/>
              <w:jc w:val="both"/>
              <w:rPr>
                <w:rFonts w:ascii="Times New Roman"/>
                <w:sz w:val="20"/>
              </w:rPr>
            </w:pPr>
            <w:r>
              <w:rPr>
                <w:rFonts w:ascii="Times New Roman"/>
                <w:sz w:val="20"/>
              </w:rPr>
              <w:t>Report and remit certain abandoned personal property (on hand as of June 30) of escaped, discharged, or paroled inmates</w:t>
            </w:r>
          </w:p>
        </w:tc>
        <w:tc>
          <w:tcPr>
            <w:tcW w:w="3029" w:type="dxa"/>
          </w:tcPr>
          <w:p>
            <w:pPr>
              <w:pStyle w:val="TableParagraph"/>
              <w:spacing w:before="8"/>
              <w:rPr>
                <w:rFonts w:ascii="Times New Roman"/>
                <w:b/>
                <w:sz w:val="19"/>
              </w:rPr>
            </w:pPr>
          </w:p>
          <w:p>
            <w:pPr>
              <w:pStyle w:val="TableParagraph"/>
              <w:ind w:left="103"/>
              <w:rPr>
                <w:rFonts w:ascii="Times New Roman"/>
                <w:sz w:val="20"/>
              </w:rPr>
            </w:pPr>
            <w:r>
              <w:rPr>
                <w:rFonts w:ascii="Times New Roman"/>
                <w:sz w:val="20"/>
              </w:rPr>
              <w:t>SCO, </w:t>
            </w:r>
            <w:r>
              <w:rPr>
                <w:rFonts w:ascii="Times New Roman"/>
                <w:sz w:val="20"/>
                <w:u w:val="single"/>
              </w:rPr>
              <w:t>DAR</w:t>
            </w:r>
          </w:p>
        </w:tc>
        <w:tc>
          <w:tcPr>
            <w:tcW w:w="1471" w:type="dxa"/>
          </w:tcPr>
          <w:p>
            <w:pPr>
              <w:pStyle w:val="TableParagraph"/>
              <w:spacing w:before="8"/>
              <w:rPr>
                <w:rFonts w:ascii="Times New Roman"/>
                <w:b/>
                <w:sz w:val="19"/>
              </w:rPr>
            </w:pPr>
          </w:p>
          <w:p>
            <w:pPr>
              <w:pStyle w:val="TableParagraph"/>
              <w:ind w:left="103"/>
              <w:rPr>
                <w:rFonts w:ascii="Times New Roman"/>
                <w:sz w:val="20"/>
              </w:rPr>
            </w:pPr>
            <w:r>
              <w:rPr>
                <w:rFonts w:ascii="Times New Roman"/>
                <w:sz w:val="20"/>
              </w:rPr>
              <w:t>19425.2</w:t>
            </w:r>
          </w:p>
        </w:tc>
      </w:tr>
      <w:tr>
        <w:trPr>
          <w:trHeight w:val="470" w:hRule="exact"/>
        </w:trPr>
        <w:tc>
          <w:tcPr>
            <w:tcW w:w="1800" w:type="dxa"/>
          </w:tcPr>
          <w:p>
            <w:pPr>
              <w:pStyle w:val="TableParagraph"/>
              <w:ind w:left="103" w:right="228"/>
              <w:rPr>
                <w:rFonts w:ascii="Times New Roman"/>
                <w:sz w:val="20"/>
              </w:rPr>
            </w:pPr>
            <w:r>
              <w:rPr>
                <w:rFonts w:ascii="Times New Roman"/>
                <w:sz w:val="20"/>
              </w:rPr>
              <w:t>Within 20 days of event</w:t>
            </w:r>
          </w:p>
        </w:tc>
        <w:tc>
          <w:tcPr>
            <w:tcW w:w="4201" w:type="dxa"/>
          </w:tcPr>
          <w:p>
            <w:pPr>
              <w:pStyle w:val="TableParagraph"/>
              <w:ind w:left="103" w:right="524"/>
              <w:rPr>
                <w:rFonts w:ascii="Times New Roman"/>
                <w:sz w:val="20"/>
              </w:rPr>
            </w:pPr>
            <w:r>
              <w:rPr>
                <w:rFonts w:ascii="Times New Roman"/>
                <w:sz w:val="20"/>
              </w:rPr>
              <w:t>Submit Report of Independent Contractor(s) form, DE 542</w:t>
            </w:r>
          </w:p>
        </w:tc>
        <w:tc>
          <w:tcPr>
            <w:tcW w:w="3029" w:type="dxa"/>
          </w:tcPr>
          <w:p>
            <w:pPr>
              <w:pStyle w:val="TableParagraph"/>
              <w:ind w:left="103" w:right="735"/>
              <w:rPr>
                <w:rFonts w:ascii="Times New Roman"/>
                <w:sz w:val="20"/>
              </w:rPr>
            </w:pPr>
            <w:r>
              <w:rPr>
                <w:rFonts w:ascii="Times New Roman"/>
                <w:sz w:val="20"/>
              </w:rPr>
              <w:t>Employment Development Department</w:t>
            </w:r>
          </w:p>
        </w:tc>
        <w:tc>
          <w:tcPr>
            <w:tcW w:w="1471" w:type="dxa"/>
          </w:tcPr>
          <w:p>
            <w:pPr>
              <w:pStyle w:val="TableParagraph"/>
              <w:spacing w:before="112"/>
              <w:ind w:left="103"/>
              <w:rPr>
                <w:rFonts w:ascii="Times New Roman"/>
                <w:sz w:val="20"/>
              </w:rPr>
            </w:pPr>
            <w:r>
              <w:rPr>
                <w:rFonts w:ascii="Times New Roman"/>
                <w:sz w:val="20"/>
              </w:rPr>
              <w:t>8422.116</w:t>
            </w:r>
          </w:p>
        </w:tc>
      </w:tr>
      <w:tr>
        <w:trPr>
          <w:trHeight w:val="469" w:hRule="exact"/>
        </w:trPr>
        <w:tc>
          <w:tcPr>
            <w:tcW w:w="1800" w:type="dxa"/>
          </w:tcPr>
          <w:p>
            <w:pPr>
              <w:pStyle w:val="TableParagraph"/>
              <w:spacing w:before="112"/>
              <w:ind w:left="103"/>
              <w:rPr>
                <w:rFonts w:ascii="Times New Roman"/>
                <w:sz w:val="20"/>
              </w:rPr>
            </w:pPr>
            <w:r>
              <w:rPr>
                <w:rFonts w:ascii="Times New Roman"/>
                <w:sz w:val="20"/>
              </w:rPr>
              <w:t>October 1</w:t>
            </w:r>
          </w:p>
        </w:tc>
        <w:tc>
          <w:tcPr>
            <w:tcW w:w="4201" w:type="dxa"/>
          </w:tcPr>
          <w:p>
            <w:pPr>
              <w:pStyle w:val="TableParagraph"/>
              <w:ind w:left="103" w:right="524"/>
              <w:rPr>
                <w:rFonts w:ascii="Times New Roman"/>
                <w:sz w:val="20"/>
              </w:rPr>
            </w:pPr>
            <w:r>
              <w:rPr>
                <w:rFonts w:ascii="Times New Roman"/>
                <w:sz w:val="20"/>
              </w:rPr>
              <w:t>Reporting Changes in Accruals- Subsequent Events</w:t>
            </w:r>
          </w:p>
        </w:tc>
        <w:tc>
          <w:tcPr>
            <w:tcW w:w="3029" w:type="dxa"/>
          </w:tcPr>
          <w:p>
            <w:pPr>
              <w:pStyle w:val="TableParagraph"/>
              <w:spacing w:before="112"/>
              <w:ind w:left="103"/>
              <w:rPr>
                <w:rFonts w:ascii="Times New Roman"/>
                <w:sz w:val="20"/>
              </w:rPr>
            </w:pPr>
            <w:r>
              <w:rPr>
                <w:rFonts w:ascii="Times New Roman"/>
                <w:sz w:val="20"/>
              </w:rPr>
              <w:t>SCO, </w:t>
            </w:r>
            <w:r>
              <w:rPr>
                <w:rFonts w:ascii="Times New Roman"/>
                <w:sz w:val="20"/>
                <w:u w:val="single"/>
              </w:rPr>
              <w:t>DAR</w:t>
            </w:r>
          </w:p>
        </w:tc>
        <w:tc>
          <w:tcPr>
            <w:tcW w:w="1471" w:type="dxa"/>
          </w:tcPr>
          <w:p>
            <w:pPr>
              <w:pStyle w:val="TableParagraph"/>
              <w:spacing w:before="112"/>
              <w:ind w:left="103"/>
              <w:rPr>
                <w:rFonts w:ascii="Times New Roman"/>
                <w:sz w:val="20"/>
              </w:rPr>
            </w:pPr>
            <w:r>
              <w:rPr>
                <w:rFonts w:ascii="Times New Roman"/>
                <w:sz w:val="20"/>
              </w:rPr>
              <w:t>7981</w:t>
            </w:r>
          </w:p>
        </w:tc>
      </w:tr>
      <w:tr>
        <w:trPr>
          <w:trHeight w:val="470" w:hRule="exact"/>
        </w:trPr>
        <w:tc>
          <w:tcPr>
            <w:tcW w:w="1800" w:type="dxa"/>
            <w:tcBorders>
              <w:bottom w:val="double" w:sz="5" w:space="0" w:color="000000"/>
            </w:tcBorders>
          </w:tcPr>
          <w:p>
            <w:pPr>
              <w:pStyle w:val="TableParagraph"/>
              <w:ind w:left="103" w:right="551"/>
              <w:rPr>
                <w:rFonts w:ascii="Times New Roman"/>
                <w:sz w:val="20"/>
              </w:rPr>
            </w:pPr>
            <w:r>
              <w:rPr>
                <w:rFonts w:ascii="Times New Roman"/>
                <w:sz w:val="20"/>
              </w:rPr>
              <w:t>At the time of occurrence</w:t>
            </w:r>
          </w:p>
        </w:tc>
        <w:tc>
          <w:tcPr>
            <w:tcW w:w="4201" w:type="dxa"/>
          </w:tcPr>
          <w:p>
            <w:pPr>
              <w:pStyle w:val="TableParagraph"/>
              <w:spacing w:before="112"/>
              <w:ind w:left="103"/>
              <w:rPr>
                <w:rFonts w:ascii="Times New Roman"/>
                <w:sz w:val="20"/>
              </w:rPr>
            </w:pPr>
            <w:r>
              <w:rPr>
                <w:rFonts w:ascii="Times New Roman"/>
                <w:sz w:val="20"/>
              </w:rPr>
              <w:t>Report of Cash Shortage</w:t>
            </w:r>
          </w:p>
        </w:tc>
        <w:tc>
          <w:tcPr>
            <w:tcW w:w="3029" w:type="dxa"/>
          </w:tcPr>
          <w:p>
            <w:pPr>
              <w:pStyle w:val="TableParagraph"/>
              <w:spacing w:before="112"/>
              <w:ind w:left="103"/>
              <w:rPr>
                <w:rFonts w:ascii="Times New Roman"/>
                <w:sz w:val="20"/>
              </w:rPr>
            </w:pPr>
            <w:r>
              <w:rPr>
                <w:rFonts w:ascii="Times New Roman"/>
                <w:sz w:val="20"/>
              </w:rPr>
              <w:t>Finance, OSAE</w:t>
            </w:r>
          </w:p>
        </w:tc>
        <w:tc>
          <w:tcPr>
            <w:tcW w:w="1471" w:type="dxa"/>
          </w:tcPr>
          <w:p>
            <w:pPr>
              <w:pStyle w:val="TableParagraph"/>
              <w:spacing w:before="112"/>
              <w:ind w:left="103"/>
              <w:rPr>
                <w:rFonts w:ascii="Times New Roman"/>
                <w:sz w:val="20"/>
              </w:rPr>
            </w:pPr>
            <w:r>
              <w:rPr>
                <w:rFonts w:ascii="Times New Roman"/>
                <w:sz w:val="20"/>
              </w:rPr>
              <w:t>8072</w:t>
            </w:r>
          </w:p>
        </w:tc>
      </w:tr>
      <w:tr>
        <w:trPr>
          <w:trHeight w:val="240" w:hRule="exact"/>
        </w:trPr>
        <w:tc>
          <w:tcPr>
            <w:tcW w:w="1800" w:type="dxa"/>
            <w:tcBorders>
              <w:top w:val="double" w:sz="5" w:space="0" w:color="000000"/>
            </w:tcBorders>
          </w:tcPr>
          <w:p>
            <w:pPr>
              <w:pStyle w:val="TableParagraph"/>
              <w:spacing w:line="214" w:lineRule="exact"/>
              <w:ind w:left="103"/>
              <w:rPr>
                <w:rFonts w:ascii="Times New Roman"/>
                <w:sz w:val="20"/>
              </w:rPr>
            </w:pPr>
            <w:r>
              <w:rPr>
                <w:rFonts w:ascii="Times New Roman"/>
                <w:sz w:val="20"/>
              </w:rPr>
              <w:t>At least annually</w:t>
            </w:r>
          </w:p>
        </w:tc>
        <w:tc>
          <w:tcPr>
            <w:tcW w:w="4201" w:type="dxa"/>
            <w:tcBorders>
              <w:bottom w:val="double" w:sz="5" w:space="0" w:color="000000"/>
            </w:tcBorders>
          </w:tcPr>
          <w:p>
            <w:pPr>
              <w:pStyle w:val="TableParagraph"/>
              <w:spacing w:line="227" w:lineRule="exact"/>
              <w:ind w:left="104"/>
              <w:rPr>
                <w:rFonts w:ascii="Times New Roman"/>
                <w:sz w:val="20"/>
              </w:rPr>
            </w:pPr>
            <w:r>
              <w:rPr>
                <w:rFonts w:ascii="Times New Roman"/>
                <w:sz w:val="20"/>
              </w:rPr>
              <w:t>File Gasoline Tax Refund Claim, Form SCGR-1</w:t>
            </w:r>
          </w:p>
        </w:tc>
        <w:tc>
          <w:tcPr>
            <w:tcW w:w="3029" w:type="dxa"/>
          </w:tcPr>
          <w:p>
            <w:pPr>
              <w:pStyle w:val="TableParagraph"/>
              <w:spacing w:line="227" w:lineRule="exact"/>
              <w:ind w:left="103"/>
              <w:rPr>
                <w:rFonts w:ascii="Times New Roman"/>
                <w:sz w:val="20"/>
              </w:rPr>
            </w:pPr>
            <w:r>
              <w:rPr>
                <w:rFonts w:ascii="Times New Roman"/>
                <w:sz w:val="20"/>
              </w:rPr>
              <w:t>SCO, Tax Administration Section</w:t>
            </w:r>
          </w:p>
        </w:tc>
        <w:tc>
          <w:tcPr>
            <w:tcW w:w="1471" w:type="dxa"/>
          </w:tcPr>
          <w:p>
            <w:pPr>
              <w:pStyle w:val="TableParagraph"/>
              <w:spacing w:line="227" w:lineRule="exact"/>
              <w:ind w:left="103"/>
              <w:rPr>
                <w:rFonts w:ascii="Times New Roman"/>
                <w:sz w:val="20"/>
              </w:rPr>
            </w:pPr>
            <w:r>
              <w:rPr>
                <w:rFonts w:ascii="Times New Roman"/>
                <w:sz w:val="20"/>
              </w:rPr>
              <w:t>8745.3</w:t>
            </w:r>
          </w:p>
        </w:tc>
      </w:tr>
      <w:tr>
        <w:trPr>
          <w:trHeight w:val="240" w:hRule="exact"/>
        </w:trPr>
        <w:tc>
          <w:tcPr>
            <w:tcW w:w="1800" w:type="dxa"/>
          </w:tcPr>
          <w:p>
            <w:pPr>
              <w:pStyle w:val="TableParagraph"/>
              <w:spacing w:line="227" w:lineRule="exact"/>
              <w:ind w:left="103"/>
              <w:rPr>
                <w:rFonts w:ascii="Times New Roman"/>
                <w:sz w:val="20"/>
              </w:rPr>
            </w:pPr>
            <w:r>
              <w:rPr>
                <w:rFonts w:ascii="Times New Roman"/>
                <w:sz w:val="20"/>
              </w:rPr>
              <w:t>At least annually</w:t>
            </w:r>
          </w:p>
        </w:tc>
        <w:tc>
          <w:tcPr>
            <w:tcW w:w="4201" w:type="dxa"/>
            <w:tcBorders>
              <w:top w:val="double" w:sz="5" w:space="0" w:color="000000"/>
            </w:tcBorders>
          </w:tcPr>
          <w:p>
            <w:pPr>
              <w:pStyle w:val="TableParagraph"/>
              <w:spacing w:line="214" w:lineRule="exact"/>
              <w:ind w:left="104"/>
              <w:rPr>
                <w:rFonts w:ascii="Times New Roman"/>
                <w:sz w:val="20"/>
              </w:rPr>
            </w:pPr>
            <w:r>
              <w:rPr>
                <w:rFonts w:ascii="Times New Roman"/>
                <w:sz w:val="20"/>
              </w:rPr>
              <w:t>File sales and use tax returns</w:t>
            </w:r>
          </w:p>
        </w:tc>
        <w:tc>
          <w:tcPr>
            <w:tcW w:w="3029" w:type="dxa"/>
          </w:tcPr>
          <w:p>
            <w:pPr>
              <w:pStyle w:val="TableParagraph"/>
              <w:spacing w:line="227" w:lineRule="exact"/>
              <w:ind w:left="105"/>
              <w:rPr>
                <w:rFonts w:ascii="Times New Roman"/>
                <w:sz w:val="20"/>
              </w:rPr>
            </w:pPr>
            <w:r>
              <w:rPr>
                <w:rFonts w:ascii="Times New Roman"/>
                <w:sz w:val="20"/>
              </w:rPr>
              <w:t>Board of Equalization</w:t>
            </w:r>
          </w:p>
        </w:tc>
        <w:tc>
          <w:tcPr>
            <w:tcW w:w="1471" w:type="dxa"/>
          </w:tcPr>
          <w:p>
            <w:pPr>
              <w:pStyle w:val="TableParagraph"/>
              <w:spacing w:line="227" w:lineRule="exact"/>
              <w:ind w:left="105"/>
              <w:rPr>
                <w:rFonts w:ascii="Times New Roman"/>
                <w:sz w:val="20"/>
              </w:rPr>
            </w:pPr>
            <w:r>
              <w:rPr>
                <w:rFonts w:ascii="Times New Roman"/>
                <w:sz w:val="20"/>
              </w:rPr>
              <w:t>8720, 8730</w:t>
            </w:r>
          </w:p>
        </w:tc>
      </w:tr>
      <w:tr>
        <w:trPr>
          <w:trHeight w:val="1160" w:hRule="exact"/>
        </w:trPr>
        <w:tc>
          <w:tcPr>
            <w:tcW w:w="1800" w:type="dxa"/>
          </w:tcPr>
          <w:p>
            <w:pPr>
              <w:pStyle w:val="TableParagraph"/>
              <w:spacing w:before="9"/>
              <w:rPr>
                <w:rFonts w:ascii="Times New Roman"/>
                <w:b/>
                <w:sz w:val="29"/>
              </w:rPr>
            </w:pPr>
          </w:p>
          <w:p>
            <w:pPr>
              <w:pStyle w:val="TableParagraph"/>
              <w:ind w:left="103" w:right="106"/>
              <w:rPr>
                <w:rFonts w:ascii="Times New Roman"/>
                <w:sz w:val="20"/>
              </w:rPr>
            </w:pPr>
            <w:r>
              <w:rPr>
                <w:rFonts w:ascii="Times New Roman"/>
                <w:sz w:val="20"/>
                <w:u w:val="single"/>
              </w:rPr>
              <w:t>At least quarterly if taxes are withheld</w:t>
            </w:r>
          </w:p>
        </w:tc>
        <w:tc>
          <w:tcPr>
            <w:tcW w:w="4201" w:type="dxa"/>
            <w:tcBorders>
              <w:bottom w:val="double" w:sz="5" w:space="0" w:color="000000"/>
            </w:tcBorders>
          </w:tcPr>
          <w:p>
            <w:pPr>
              <w:pStyle w:val="TableParagraph"/>
              <w:ind w:left="103" w:right="941"/>
              <w:rPr>
                <w:rFonts w:ascii="Times New Roman"/>
                <w:sz w:val="20"/>
              </w:rPr>
            </w:pPr>
            <w:r>
              <w:rPr>
                <w:rFonts w:ascii="Times New Roman"/>
                <w:sz w:val="20"/>
                <w:u w:val="single"/>
              </w:rPr>
              <w:t>Resident and Nonresident Withholding Statement, FTB Form 592</w:t>
            </w:r>
          </w:p>
          <w:p>
            <w:pPr>
              <w:pStyle w:val="TableParagraph"/>
              <w:spacing w:before="2"/>
              <w:rPr>
                <w:rFonts w:ascii="Times New Roman"/>
                <w:b/>
                <w:sz w:val="20"/>
              </w:rPr>
            </w:pPr>
          </w:p>
          <w:p>
            <w:pPr>
              <w:pStyle w:val="TableParagraph"/>
              <w:ind w:left="103" w:right="230"/>
              <w:rPr>
                <w:rFonts w:ascii="Times New Roman"/>
                <w:sz w:val="20"/>
              </w:rPr>
            </w:pPr>
            <w:r>
              <w:rPr>
                <w:rFonts w:ascii="Times New Roman"/>
                <w:sz w:val="20"/>
                <w:u w:val="single"/>
              </w:rPr>
              <w:t>Payment Voucher for Resident and Nonresident </w:t>
            </w:r>
            <w:r>
              <w:rPr>
                <w:rFonts w:ascii="Times New Roman"/>
                <w:sz w:val="20"/>
              </w:rPr>
              <w:t>Withholding, FTB Form 592-V</w:t>
            </w:r>
          </w:p>
        </w:tc>
        <w:tc>
          <w:tcPr>
            <w:tcW w:w="3029" w:type="dxa"/>
          </w:tcPr>
          <w:p>
            <w:pPr>
              <w:pStyle w:val="TableParagraph"/>
              <w:rPr>
                <w:rFonts w:ascii="Times New Roman"/>
                <w:b/>
                <w:sz w:val="22"/>
              </w:rPr>
            </w:pPr>
          </w:p>
          <w:p>
            <w:pPr>
              <w:pStyle w:val="TableParagraph"/>
              <w:spacing w:before="9"/>
              <w:rPr>
                <w:rFonts w:ascii="Times New Roman"/>
                <w:b/>
                <w:sz w:val="17"/>
              </w:rPr>
            </w:pPr>
          </w:p>
          <w:p>
            <w:pPr>
              <w:pStyle w:val="TableParagraph"/>
              <w:ind w:left="103"/>
              <w:rPr>
                <w:rFonts w:ascii="Times New Roman"/>
                <w:sz w:val="20"/>
              </w:rPr>
            </w:pPr>
            <w:r>
              <w:rPr>
                <w:rFonts w:ascii="Times New Roman"/>
                <w:sz w:val="20"/>
                <w:u w:val="single"/>
              </w:rPr>
              <w:t>FTB</w:t>
            </w:r>
          </w:p>
        </w:tc>
        <w:tc>
          <w:tcPr>
            <w:tcW w:w="1471" w:type="dxa"/>
          </w:tcPr>
          <w:p>
            <w:pPr>
              <w:pStyle w:val="TableParagraph"/>
              <w:rPr>
                <w:rFonts w:ascii="Times New Roman"/>
                <w:b/>
                <w:sz w:val="22"/>
              </w:rPr>
            </w:pPr>
          </w:p>
          <w:p>
            <w:pPr>
              <w:pStyle w:val="TableParagraph"/>
              <w:spacing w:before="9"/>
              <w:rPr>
                <w:rFonts w:ascii="Times New Roman"/>
                <w:b/>
                <w:sz w:val="17"/>
              </w:rPr>
            </w:pPr>
          </w:p>
          <w:p>
            <w:pPr>
              <w:pStyle w:val="TableParagraph"/>
              <w:ind w:left="103"/>
              <w:rPr>
                <w:rFonts w:ascii="Times New Roman"/>
                <w:sz w:val="20"/>
              </w:rPr>
            </w:pPr>
            <w:r>
              <w:rPr>
                <w:rFonts w:ascii="Times New Roman"/>
                <w:sz w:val="20"/>
                <w:u w:val="single"/>
              </w:rPr>
              <w:t>8422.196</w:t>
            </w:r>
          </w:p>
        </w:tc>
      </w:tr>
    </w:tbl>
    <w:p>
      <w:pPr>
        <w:spacing w:after="0"/>
        <w:rPr>
          <w:rFonts w:ascii="Times New Roman"/>
          <w:sz w:val="20"/>
        </w:rPr>
        <w:sectPr>
          <w:pgSz w:w="12240" w:h="15840"/>
          <w:pgMar w:header="727" w:footer="743" w:top="940" w:bottom="940" w:left="880" w:right="620"/>
        </w:sectPr>
      </w:pPr>
    </w:p>
    <w:p>
      <w:pPr>
        <w:pStyle w:val="BodyText"/>
        <w:rPr>
          <w:b/>
          <w:sz w:val="16"/>
        </w:rPr>
      </w:pPr>
    </w:p>
    <w:p>
      <w:pPr>
        <w:tabs>
          <w:tab w:pos="9010" w:val="left" w:leader="none"/>
        </w:tabs>
        <w:spacing w:line="228" w:lineRule="exact" w:before="92"/>
        <w:ind w:left="120" w:right="0" w:firstLine="0"/>
        <w:jc w:val="both"/>
        <w:rPr>
          <w:b/>
          <w:sz w:val="20"/>
        </w:rPr>
      </w:pPr>
      <w:r>
        <w:rPr>
          <w:b/>
          <w:sz w:val="20"/>
        </w:rPr>
        <w:t>QUARTERLY</w:t>
      </w:r>
      <w:r>
        <w:rPr>
          <w:b/>
          <w:spacing w:val="-3"/>
          <w:sz w:val="20"/>
        </w:rPr>
        <w:t> </w:t>
      </w:r>
      <w:r>
        <w:rPr>
          <w:b/>
          <w:sz w:val="20"/>
        </w:rPr>
        <w:t>REPORTS</w:t>
        <w:tab/>
        <w:t>7940</w:t>
      </w:r>
    </w:p>
    <w:p>
      <w:pPr>
        <w:pStyle w:val="BodyText"/>
        <w:spacing w:line="228" w:lineRule="exact"/>
        <w:ind w:left="120"/>
        <w:jc w:val="both"/>
      </w:pPr>
      <w:r>
        <w:rPr/>
        <w:t>(Revised 03/11)</w:t>
      </w:r>
    </w:p>
    <w:p>
      <w:pPr>
        <w:pStyle w:val="BodyText"/>
        <w:spacing w:before="1"/>
      </w:pPr>
    </w:p>
    <w:p>
      <w:pPr>
        <w:pStyle w:val="BodyText"/>
        <w:ind w:left="120"/>
        <w:jc w:val="both"/>
      </w:pPr>
      <w:r>
        <w:rPr/>
        <w:t>Quarterly, except for June 30, departments must complete the reports listed below:</w:t>
      </w:r>
    </w:p>
    <w:p>
      <w:pPr>
        <w:pStyle w:val="BodyText"/>
        <w:spacing w:before="10"/>
        <w:rPr>
          <w:sz w:val="19"/>
        </w:rPr>
      </w:pPr>
    </w:p>
    <w:p>
      <w:pPr>
        <w:pStyle w:val="ListParagraph"/>
        <w:numPr>
          <w:ilvl w:val="0"/>
          <w:numId w:val="3"/>
        </w:numPr>
        <w:tabs>
          <w:tab w:pos="480" w:val="left" w:leader="none"/>
        </w:tabs>
        <w:spacing w:line="240" w:lineRule="auto" w:before="1" w:after="0"/>
        <w:ind w:left="479" w:right="0" w:hanging="359"/>
        <w:jc w:val="both"/>
        <w:rPr>
          <w:sz w:val="20"/>
        </w:rPr>
      </w:pPr>
      <w:r>
        <w:rPr>
          <w:sz w:val="20"/>
        </w:rPr>
        <w:t>Trial</w:t>
      </w:r>
      <w:r>
        <w:rPr>
          <w:spacing w:val="-7"/>
          <w:sz w:val="20"/>
        </w:rPr>
        <w:t> </w:t>
      </w:r>
      <w:r>
        <w:rPr>
          <w:sz w:val="20"/>
        </w:rPr>
        <w:t>Balance</w:t>
      </w:r>
    </w:p>
    <w:p>
      <w:pPr>
        <w:pStyle w:val="BodyText"/>
        <w:spacing w:before="11"/>
        <w:rPr>
          <w:sz w:val="19"/>
        </w:rPr>
      </w:pPr>
    </w:p>
    <w:p>
      <w:pPr>
        <w:pStyle w:val="ListParagraph"/>
        <w:numPr>
          <w:ilvl w:val="0"/>
          <w:numId w:val="3"/>
        </w:numPr>
        <w:tabs>
          <w:tab w:pos="480" w:val="left" w:leader="none"/>
        </w:tabs>
        <w:spacing w:line="240" w:lineRule="auto" w:before="0" w:after="0"/>
        <w:ind w:left="480" w:right="0" w:hanging="360"/>
        <w:jc w:val="both"/>
        <w:rPr>
          <w:sz w:val="20"/>
        </w:rPr>
      </w:pPr>
      <w:r>
        <w:rPr>
          <w:sz w:val="20"/>
        </w:rPr>
        <w:t>Budget</w:t>
      </w:r>
      <w:r>
        <w:rPr>
          <w:spacing w:val="-5"/>
          <w:sz w:val="20"/>
        </w:rPr>
        <w:t> </w:t>
      </w:r>
      <w:r>
        <w:rPr>
          <w:sz w:val="20"/>
        </w:rPr>
        <w:t>Report</w:t>
      </w:r>
    </w:p>
    <w:p>
      <w:pPr>
        <w:pStyle w:val="BodyText"/>
        <w:spacing w:before="10"/>
        <w:rPr>
          <w:sz w:val="19"/>
        </w:rPr>
      </w:pPr>
    </w:p>
    <w:p>
      <w:pPr>
        <w:pStyle w:val="ListParagraph"/>
        <w:numPr>
          <w:ilvl w:val="0"/>
          <w:numId w:val="3"/>
        </w:numPr>
        <w:tabs>
          <w:tab w:pos="480" w:val="left" w:leader="none"/>
        </w:tabs>
        <w:spacing w:line="240" w:lineRule="auto" w:before="1" w:after="0"/>
        <w:ind w:left="479" w:right="0" w:hanging="359"/>
        <w:jc w:val="both"/>
        <w:rPr>
          <w:sz w:val="20"/>
        </w:rPr>
      </w:pPr>
      <w:r>
        <w:rPr>
          <w:sz w:val="20"/>
        </w:rPr>
        <w:t>Reconciliation of Controller’s Accounts with Budget</w:t>
      </w:r>
      <w:r>
        <w:rPr>
          <w:spacing w:val="-30"/>
          <w:sz w:val="20"/>
        </w:rPr>
        <w:t> </w:t>
      </w:r>
      <w:r>
        <w:rPr>
          <w:sz w:val="20"/>
        </w:rPr>
        <w:t>Report</w:t>
      </w:r>
    </w:p>
    <w:p>
      <w:pPr>
        <w:pStyle w:val="BodyText"/>
      </w:pPr>
    </w:p>
    <w:p>
      <w:pPr>
        <w:pStyle w:val="ListParagraph"/>
        <w:numPr>
          <w:ilvl w:val="0"/>
          <w:numId w:val="3"/>
        </w:numPr>
        <w:tabs>
          <w:tab w:pos="480" w:val="left" w:leader="none"/>
        </w:tabs>
        <w:spacing w:line="240" w:lineRule="auto" w:before="1" w:after="0"/>
        <w:ind w:left="480" w:right="0" w:hanging="360"/>
        <w:jc w:val="both"/>
        <w:rPr>
          <w:sz w:val="20"/>
        </w:rPr>
      </w:pPr>
      <w:r>
        <w:rPr>
          <w:sz w:val="20"/>
        </w:rPr>
        <w:t>Statement of Revenue (for governmental cost funds only) See SAM section</w:t>
      </w:r>
      <w:r>
        <w:rPr>
          <w:spacing w:val="14"/>
          <w:sz w:val="20"/>
        </w:rPr>
        <w:t> </w:t>
      </w:r>
      <w:r>
        <w:rPr>
          <w:sz w:val="20"/>
        </w:rPr>
        <w:t>8210.</w:t>
      </w:r>
    </w:p>
    <w:p>
      <w:pPr>
        <w:pStyle w:val="BodyText"/>
        <w:spacing w:before="11"/>
        <w:rPr>
          <w:sz w:val="19"/>
        </w:rPr>
      </w:pPr>
    </w:p>
    <w:p>
      <w:pPr>
        <w:pStyle w:val="BodyText"/>
        <w:ind w:left="120" w:right="584"/>
      </w:pPr>
      <w:r>
        <w:rPr/>
        <w:t>The above reports will be completed within 30 days of the preceding quarter and submitted upon request to the appropriate auditor or Finance budget analyst.</w:t>
      </w:r>
    </w:p>
    <w:p>
      <w:pPr>
        <w:pStyle w:val="BodyText"/>
        <w:rPr>
          <w:sz w:val="22"/>
        </w:rPr>
      </w:pPr>
    </w:p>
    <w:p>
      <w:pPr>
        <w:pStyle w:val="BodyText"/>
        <w:spacing w:before="2"/>
        <w:rPr>
          <w:sz w:val="18"/>
        </w:rPr>
      </w:pPr>
    </w:p>
    <w:p>
      <w:pPr>
        <w:pStyle w:val="Heading2"/>
        <w:tabs>
          <w:tab w:pos="9079" w:val="left" w:leader="none"/>
        </w:tabs>
        <w:spacing w:line="228" w:lineRule="exact" w:before="0"/>
        <w:ind w:left="120"/>
        <w:jc w:val="both"/>
      </w:pPr>
      <w:r>
        <w:rPr/>
        <w:t>YEAR-END</w:t>
      </w:r>
      <w:r>
        <w:rPr>
          <w:spacing w:val="-5"/>
        </w:rPr>
        <w:t> </w:t>
      </w:r>
      <w:r>
        <w:rPr/>
        <w:t>REPORTS—GENERAL</w:t>
        <w:tab/>
        <w:t>7950</w:t>
      </w:r>
    </w:p>
    <w:p>
      <w:pPr>
        <w:pStyle w:val="BodyText"/>
        <w:spacing w:line="228" w:lineRule="exact"/>
        <w:ind w:left="120"/>
        <w:jc w:val="both"/>
      </w:pPr>
      <w:r>
        <w:rPr/>
        <w:t>(03/11)</w:t>
      </w:r>
    </w:p>
    <w:p>
      <w:pPr>
        <w:pStyle w:val="BodyText"/>
        <w:spacing w:before="1"/>
      </w:pPr>
    </w:p>
    <w:p>
      <w:pPr>
        <w:pStyle w:val="BodyText"/>
        <w:ind w:left="120"/>
      </w:pPr>
      <w:r>
        <w:rPr/>
        <w:t>The SCO distributes annual instructions to departments for preparing the year-end reports submitted to the SCO. Departments that utilize personal computer generated reports must have the report format preapproved by the SCO.</w:t>
      </w:r>
    </w:p>
    <w:p>
      <w:pPr>
        <w:pStyle w:val="BodyText"/>
      </w:pPr>
    </w:p>
    <w:p>
      <w:pPr>
        <w:pStyle w:val="BodyText"/>
        <w:ind w:left="120" w:right="112"/>
        <w:jc w:val="both"/>
      </w:pPr>
      <w:r>
        <w:rPr/>
        <w:t>Departments must prepare a separate set of year-end reports for each fund. Accounts of two or more funds will not be commingled in department statements except in a few rare instances and then only upon written permission from Finance,</w:t>
      </w:r>
      <w:r>
        <w:rPr>
          <w:spacing w:val="-5"/>
        </w:rPr>
        <w:t> </w:t>
      </w:r>
      <w:r>
        <w:rPr/>
        <w:t>FSCU.</w:t>
      </w:r>
    </w:p>
    <w:p>
      <w:pPr>
        <w:pStyle w:val="BodyText"/>
        <w:spacing w:before="10"/>
        <w:rPr>
          <w:sz w:val="19"/>
        </w:rPr>
      </w:pPr>
    </w:p>
    <w:p>
      <w:pPr>
        <w:pStyle w:val="BodyText"/>
        <w:ind w:left="120" w:right="116"/>
        <w:jc w:val="both"/>
      </w:pPr>
      <w:r>
        <w:rPr/>
        <w:t>Departments will prepare year-end reports as soon after June 30 to meet the required due dates and to estimate accruals with reasonable accuracy. See SAM section 7930 for the established due dates and SAM 7951 Illustration for a list of stan</w:t>
      </w:r>
      <w:r>
        <w:rPr>
          <w:u w:val="single"/>
        </w:rPr>
        <w:t>DAR</w:t>
      </w:r>
      <w:r>
        <w:rPr/>
        <w:t>d year-end reports and the required distribution. Departments should plan for the additional distribution of all stan</w:t>
      </w:r>
      <w:r>
        <w:rPr>
          <w:u w:val="single"/>
        </w:rPr>
        <w:t>DAR</w:t>
      </w:r>
      <w:r>
        <w:rPr/>
        <w:t>d reports to meet their internal management needs.</w:t>
      </w:r>
    </w:p>
    <w:p>
      <w:pPr>
        <w:pStyle w:val="BodyText"/>
        <w:spacing w:before="10"/>
        <w:rPr>
          <w:sz w:val="11"/>
        </w:rPr>
      </w:pPr>
    </w:p>
    <w:p>
      <w:pPr>
        <w:pStyle w:val="BodyText"/>
        <w:spacing w:before="92"/>
        <w:ind w:left="120"/>
      </w:pPr>
      <w:r>
        <w:rPr/>
        <w:t>In order that departments meet their deadlines, the following suggestions and information are offered:</w:t>
      </w:r>
    </w:p>
    <w:p>
      <w:pPr>
        <w:pStyle w:val="BodyText"/>
      </w:pPr>
    </w:p>
    <w:p>
      <w:pPr>
        <w:pStyle w:val="ListParagraph"/>
        <w:numPr>
          <w:ilvl w:val="0"/>
          <w:numId w:val="4"/>
        </w:numPr>
        <w:tabs>
          <w:tab w:pos="410" w:val="left" w:leader="none"/>
        </w:tabs>
        <w:spacing w:line="240" w:lineRule="auto" w:before="0" w:after="0"/>
        <w:ind w:left="479" w:right="0" w:hanging="359"/>
        <w:jc w:val="left"/>
        <w:rPr>
          <w:sz w:val="20"/>
        </w:rPr>
      </w:pPr>
      <w:r>
        <w:rPr>
          <w:sz w:val="20"/>
        </w:rPr>
        <w:t>Issue a year-end</w:t>
      </w:r>
      <w:r>
        <w:rPr>
          <w:spacing w:val="-18"/>
          <w:sz w:val="20"/>
        </w:rPr>
        <w:t> </w:t>
      </w:r>
      <w:r>
        <w:rPr>
          <w:sz w:val="20"/>
        </w:rPr>
        <w:t>workplan.</w:t>
      </w:r>
    </w:p>
    <w:p>
      <w:pPr>
        <w:pStyle w:val="BodyText"/>
        <w:spacing w:before="11"/>
        <w:rPr>
          <w:sz w:val="19"/>
        </w:rPr>
      </w:pPr>
    </w:p>
    <w:p>
      <w:pPr>
        <w:pStyle w:val="ListParagraph"/>
        <w:numPr>
          <w:ilvl w:val="0"/>
          <w:numId w:val="4"/>
        </w:numPr>
        <w:tabs>
          <w:tab w:pos="479" w:val="left" w:leader="none"/>
          <w:tab w:pos="481" w:val="left" w:leader="none"/>
        </w:tabs>
        <w:spacing w:line="240" w:lineRule="auto" w:before="0" w:after="0"/>
        <w:ind w:left="480" w:right="0" w:hanging="360"/>
        <w:jc w:val="left"/>
        <w:rPr>
          <w:sz w:val="20"/>
        </w:rPr>
      </w:pPr>
      <w:r>
        <w:rPr>
          <w:sz w:val="20"/>
        </w:rPr>
        <w:t>Keep accounting staff trained</w:t>
      </w:r>
      <w:r>
        <w:rPr>
          <w:spacing w:val="-36"/>
          <w:sz w:val="20"/>
        </w:rPr>
        <w:t> </w:t>
      </w:r>
      <w:r>
        <w:rPr>
          <w:sz w:val="20"/>
        </w:rPr>
        <w:t>in the procedure prescribed.</w:t>
      </w:r>
    </w:p>
    <w:p>
      <w:pPr>
        <w:pStyle w:val="BodyText"/>
        <w:spacing w:before="11"/>
        <w:rPr>
          <w:sz w:val="19"/>
        </w:rPr>
      </w:pPr>
    </w:p>
    <w:p>
      <w:pPr>
        <w:pStyle w:val="ListParagraph"/>
        <w:numPr>
          <w:ilvl w:val="0"/>
          <w:numId w:val="4"/>
        </w:numPr>
        <w:tabs>
          <w:tab w:pos="479" w:val="left" w:leader="none"/>
          <w:tab w:pos="480" w:val="left" w:leader="none"/>
        </w:tabs>
        <w:spacing w:line="240" w:lineRule="auto" w:before="0" w:after="0"/>
        <w:ind w:left="479" w:right="367" w:hanging="360"/>
        <w:jc w:val="left"/>
        <w:rPr>
          <w:sz w:val="20"/>
        </w:rPr>
      </w:pPr>
      <w:r>
        <w:rPr>
          <w:sz w:val="20"/>
        </w:rPr>
        <w:t>Keep all phases of accounting current during the fiscal year, including the reconciliations to the SCO account balances.</w:t>
      </w:r>
    </w:p>
    <w:p>
      <w:pPr>
        <w:pStyle w:val="BodyText"/>
        <w:spacing w:before="11"/>
        <w:rPr>
          <w:sz w:val="19"/>
        </w:rPr>
      </w:pPr>
    </w:p>
    <w:p>
      <w:pPr>
        <w:pStyle w:val="ListParagraph"/>
        <w:numPr>
          <w:ilvl w:val="0"/>
          <w:numId w:val="4"/>
        </w:numPr>
        <w:tabs>
          <w:tab w:pos="479" w:val="left" w:leader="none"/>
          <w:tab w:pos="480" w:val="left" w:leader="none"/>
        </w:tabs>
        <w:spacing w:line="240" w:lineRule="auto" w:before="0" w:after="0"/>
        <w:ind w:left="479" w:right="0" w:hanging="360"/>
        <w:jc w:val="left"/>
        <w:rPr>
          <w:sz w:val="20"/>
        </w:rPr>
      </w:pPr>
      <w:r>
        <w:rPr>
          <w:sz w:val="20"/>
        </w:rPr>
        <w:t>Do as much work as possible on year-end reports before June</w:t>
      </w:r>
      <w:r>
        <w:rPr>
          <w:spacing w:val="-18"/>
          <w:sz w:val="20"/>
        </w:rPr>
        <w:t> </w:t>
      </w:r>
      <w:r>
        <w:rPr>
          <w:sz w:val="20"/>
        </w:rPr>
        <w:t>30.</w:t>
      </w:r>
    </w:p>
    <w:p>
      <w:pPr>
        <w:pStyle w:val="BodyText"/>
      </w:pPr>
    </w:p>
    <w:p>
      <w:pPr>
        <w:pStyle w:val="ListParagraph"/>
        <w:numPr>
          <w:ilvl w:val="0"/>
          <w:numId w:val="4"/>
        </w:numPr>
        <w:tabs>
          <w:tab w:pos="479" w:val="left" w:leader="none"/>
          <w:tab w:pos="480" w:val="left" w:leader="none"/>
        </w:tabs>
        <w:spacing w:line="240" w:lineRule="auto" w:before="0" w:after="0"/>
        <w:ind w:left="479" w:right="0" w:hanging="360"/>
        <w:jc w:val="left"/>
        <w:rPr>
          <w:sz w:val="20"/>
        </w:rPr>
      </w:pPr>
      <w:r>
        <w:rPr>
          <w:sz w:val="20"/>
        </w:rPr>
        <w:t>Schedule vacations so they will not conflict with the preparation of the year-end</w:t>
      </w:r>
      <w:r>
        <w:rPr>
          <w:spacing w:val="-30"/>
          <w:sz w:val="20"/>
        </w:rPr>
        <w:t> </w:t>
      </w:r>
      <w:r>
        <w:rPr>
          <w:sz w:val="20"/>
        </w:rPr>
        <w:t>reports.</w:t>
      </w:r>
    </w:p>
    <w:p>
      <w:pPr>
        <w:pStyle w:val="BodyText"/>
        <w:spacing w:before="10"/>
        <w:rPr>
          <w:sz w:val="19"/>
        </w:rPr>
      </w:pPr>
    </w:p>
    <w:p>
      <w:pPr>
        <w:pStyle w:val="ListParagraph"/>
        <w:numPr>
          <w:ilvl w:val="0"/>
          <w:numId w:val="4"/>
        </w:numPr>
        <w:tabs>
          <w:tab w:pos="481" w:val="left" w:leader="none"/>
        </w:tabs>
        <w:spacing w:line="240" w:lineRule="auto" w:before="0" w:after="0"/>
        <w:ind w:left="479" w:right="114" w:hanging="360"/>
        <w:jc w:val="both"/>
        <w:rPr>
          <w:sz w:val="20"/>
        </w:rPr>
      </w:pPr>
      <w:r>
        <w:rPr>
          <w:sz w:val="20"/>
        </w:rPr>
        <w:t>Anticipate as many statement preparation problems as possible. CALSTARS departments experiencing or expecting serious difficulty in completing the required statements on time should contact the Finance, CALSTARS Client Support Unit.  Other departments should contact Finance, FSCU for</w:t>
      </w:r>
      <w:r>
        <w:rPr>
          <w:spacing w:val="-31"/>
          <w:sz w:val="20"/>
        </w:rPr>
        <w:t> </w:t>
      </w:r>
      <w:r>
        <w:rPr>
          <w:sz w:val="20"/>
        </w:rPr>
        <w:t>assistance.</w:t>
      </w:r>
    </w:p>
    <w:p>
      <w:pPr>
        <w:pStyle w:val="BodyText"/>
      </w:pPr>
    </w:p>
    <w:p>
      <w:pPr>
        <w:pStyle w:val="ListParagraph"/>
        <w:numPr>
          <w:ilvl w:val="0"/>
          <w:numId w:val="4"/>
        </w:numPr>
        <w:tabs>
          <w:tab w:pos="480" w:val="left" w:leader="none"/>
        </w:tabs>
        <w:spacing w:line="240" w:lineRule="auto" w:before="0" w:after="0"/>
        <w:ind w:left="479" w:right="116" w:hanging="360"/>
        <w:jc w:val="both"/>
        <w:rPr>
          <w:sz w:val="20"/>
        </w:rPr>
      </w:pPr>
      <w:r>
        <w:rPr>
          <w:sz w:val="20"/>
        </w:rPr>
        <w:t>The SCO will provide the following documents for year-end closing: appropriation balances; journal entries for June; Report of Accruals to Controller’s Accounts; Adjustments to Controller’s Accounts; and the Final Reconciliation of Controller’s Accounts with Final Budget Report. The SCO will notify departments by letter  of the exact dates they may expect these</w:t>
      </w:r>
      <w:r>
        <w:rPr>
          <w:spacing w:val="-34"/>
          <w:sz w:val="20"/>
        </w:rPr>
        <w:t> </w:t>
      </w:r>
      <w:r>
        <w:rPr>
          <w:sz w:val="20"/>
        </w:rPr>
        <w:t>documents.</w:t>
      </w:r>
    </w:p>
    <w:p>
      <w:pPr>
        <w:pStyle w:val="BodyText"/>
      </w:pPr>
    </w:p>
    <w:p>
      <w:pPr>
        <w:pStyle w:val="BodyText"/>
        <w:ind w:left="119"/>
      </w:pPr>
      <w:r>
        <w:rPr/>
        <w:t>(Continued)</w:t>
      </w:r>
    </w:p>
    <w:p>
      <w:pPr>
        <w:spacing w:after="0"/>
        <w:sectPr>
          <w:footerReference w:type="default" r:id="rId17"/>
          <w:pgSz w:w="12240" w:h="15840"/>
          <w:pgMar w:footer="743" w:header="727" w:top="940" w:bottom="940" w:left="1320" w:right="1320"/>
        </w:sectPr>
      </w:pPr>
    </w:p>
    <w:p>
      <w:pPr>
        <w:pStyle w:val="BodyText"/>
        <w:rPr>
          <w:sz w:val="16"/>
        </w:rPr>
      </w:pPr>
    </w:p>
    <w:p>
      <w:pPr>
        <w:tabs>
          <w:tab w:pos="8953" w:val="left" w:leader="none"/>
        </w:tabs>
        <w:spacing w:line="228" w:lineRule="exact" w:before="92"/>
        <w:ind w:left="120" w:right="0" w:firstLine="0"/>
        <w:jc w:val="both"/>
        <w:rPr>
          <w:b/>
          <w:sz w:val="20"/>
        </w:rPr>
      </w:pPr>
      <w:bookmarkStart w:name="7962-7978(4)" w:id="6"/>
      <w:bookmarkEnd w:id="6"/>
      <w:r>
        <w:rPr/>
      </w:r>
      <w:r>
        <w:rPr>
          <w:b/>
          <w:sz w:val="20"/>
        </w:rPr>
        <w:t>YEAR-END REPORTS NO. 7 AND 8, PRE AND POST CLOSING</w:t>
      </w:r>
      <w:r>
        <w:rPr>
          <w:b/>
          <w:spacing w:val="-16"/>
          <w:sz w:val="20"/>
        </w:rPr>
        <w:t> </w:t>
      </w:r>
      <w:r>
        <w:rPr>
          <w:b/>
          <w:sz w:val="20"/>
        </w:rPr>
        <w:t>TRIAL</w:t>
      </w:r>
      <w:r>
        <w:rPr>
          <w:b/>
          <w:spacing w:val="-1"/>
          <w:sz w:val="20"/>
        </w:rPr>
        <w:t> </w:t>
      </w:r>
      <w:r>
        <w:rPr>
          <w:b/>
          <w:sz w:val="20"/>
        </w:rPr>
        <w:t>BALANCES</w:t>
        <w:tab/>
        <w:t>7962</w:t>
      </w:r>
    </w:p>
    <w:p>
      <w:pPr>
        <w:pStyle w:val="BodyText"/>
        <w:spacing w:line="228" w:lineRule="exact"/>
        <w:ind w:left="170"/>
        <w:jc w:val="both"/>
      </w:pPr>
      <w:r>
        <w:rPr/>
        <w:t>(Revised 03/11)</w:t>
      </w:r>
    </w:p>
    <w:p>
      <w:pPr>
        <w:pStyle w:val="BodyText"/>
        <w:spacing w:before="1"/>
      </w:pPr>
    </w:p>
    <w:p>
      <w:pPr>
        <w:pStyle w:val="BodyText"/>
        <w:ind w:left="119" w:right="115"/>
        <w:jc w:val="both"/>
      </w:pPr>
      <w:r>
        <w:rPr/>
        <w:t>At year-end, departments will prepare a pre-closing and post-closing trial balance as of June 30. The Pre-Closing Trial Balance, Report No. 7, lists the general ledger account balances for nominal and real accounts, including accruals and adjustments, before the nominal accounts have been closed. The Post-Closing Trial Balance, Report No. 8, lists the general ledger real account balances, including accruals and adjustments, after the nominal accounts have been closed. General ledger accounts that require a subsidiary number must be reported individually (e.g., Due to</w:t>
      </w:r>
      <w:r>
        <w:rPr>
          <w:spacing w:val="-4"/>
        </w:rPr>
        <w:t> </w:t>
      </w:r>
      <w:r>
        <w:rPr/>
        <w:t>Other</w:t>
      </w:r>
      <w:r>
        <w:rPr>
          <w:spacing w:val="-4"/>
        </w:rPr>
        <w:t> </w:t>
      </w:r>
      <w:r>
        <w:rPr/>
        <w:t>Funds,</w:t>
      </w:r>
      <w:r>
        <w:rPr>
          <w:spacing w:val="-4"/>
        </w:rPr>
        <w:t> </w:t>
      </w:r>
      <w:r>
        <w:rPr/>
        <w:t>Due</w:t>
      </w:r>
      <w:r>
        <w:rPr>
          <w:spacing w:val="-5"/>
        </w:rPr>
        <w:t> </w:t>
      </w:r>
      <w:r>
        <w:rPr/>
        <w:t>From</w:t>
      </w:r>
      <w:r>
        <w:rPr>
          <w:spacing w:val="-5"/>
        </w:rPr>
        <w:t> </w:t>
      </w:r>
      <w:r>
        <w:rPr/>
        <w:t>Other</w:t>
      </w:r>
      <w:r>
        <w:rPr>
          <w:spacing w:val="-4"/>
        </w:rPr>
        <w:t> </w:t>
      </w:r>
      <w:r>
        <w:rPr/>
        <w:t>Funds,</w:t>
      </w:r>
      <w:r>
        <w:rPr>
          <w:spacing w:val="-5"/>
        </w:rPr>
        <w:t> </w:t>
      </w:r>
      <w:r>
        <w:rPr/>
        <w:t>Prepayments</w:t>
      </w:r>
      <w:r>
        <w:rPr>
          <w:spacing w:val="-4"/>
        </w:rPr>
        <w:t> </w:t>
      </w:r>
      <w:r>
        <w:rPr/>
        <w:t>to</w:t>
      </w:r>
      <w:r>
        <w:rPr>
          <w:spacing w:val="-4"/>
        </w:rPr>
        <w:t> </w:t>
      </w:r>
      <w:r>
        <w:rPr/>
        <w:t>Other</w:t>
      </w:r>
      <w:r>
        <w:rPr>
          <w:spacing w:val="-4"/>
        </w:rPr>
        <w:t> </w:t>
      </w:r>
      <w:r>
        <w:rPr/>
        <w:t>Funds,</w:t>
      </w:r>
      <w:r>
        <w:rPr>
          <w:spacing w:val="-4"/>
        </w:rPr>
        <w:t> </w:t>
      </w:r>
      <w:r>
        <w:rPr/>
        <w:t>Provision</w:t>
      </w:r>
      <w:r>
        <w:rPr>
          <w:spacing w:val="-4"/>
        </w:rPr>
        <w:t> </w:t>
      </w:r>
      <w:r>
        <w:rPr/>
        <w:t>for</w:t>
      </w:r>
      <w:r>
        <w:rPr>
          <w:spacing w:val="-5"/>
        </w:rPr>
        <w:t> </w:t>
      </w:r>
      <w:r>
        <w:rPr/>
        <w:t>Deferred</w:t>
      </w:r>
      <w:r>
        <w:rPr>
          <w:spacing w:val="-4"/>
        </w:rPr>
        <w:t> </w:t>
      </w:r>
      <w:r>
        <w:rPr/>
        <w:t>Receivables,</w:t>
      </w:r>
      <w:r>
        <w:rPr>
          <w:spacing w:val="-4"/>
        </w:rPr>
        <w:t> </w:t>
      </w:r>
      <w:r>
        <w:rPr/>
        <w:t>etc.).</w:t>
      </w:r>
    </w:p>
    <w:p>
      <w:pPr>
        <w:pStyle w:val="BodyText"/>
        <w:spacing w:before="10"/>
        <w:rPr>
          <w:sz w:val="19"/>
        </w:rPr>
      </w:pPr>
    </w:p>
    <w:p>
      <w:pPr>
        <w:pStyle w:val="BodyText"/>
        <w:spacing w:before="1"/>
        <w:ind w:left="119" w:right="158"/>
      </w:pPr>
      <w:r>
        <w:rPr/>
        <w:t>A pre and a post-closing trial balance are required for each fund in the State Treasury (including the Special Deposit Fund) and for trust fund accounts outside the State Treasury.</w:t>
      </w:r>
    </w:p>
    <w:p>
      <w:pPr>
        <w:pStyle w:val="BodyText"/>
        <w:spacing w:before="11"/>
        <w:rPr>
          <w:sz w:val="19"/>
        </w:rPr>
      </w:pPr>
    </w:p>
    <w:p>
      <w:pPr>
        <w:pStyle w:val="BodyText"/>
        <w:ind w:left="120" w:right="889" w:hanging="1"/>
      </w:pPr>
      <w:r>
        <w:rPr/>
        <w:t>A sample of Reports No. 7 and 8, Pre and Post Closing Trial Balances, is shown in </w:t>
      </w:r>
      <w:r>
        <w:rPr>
          <w:color w:val="0000FF"/>
        </w:rPr>
        <w:t>7962 Illustrations 1 </w:t>
      </w:r>
      <w:r>
        <w:rPr/>
        <w:t>and </w:t>
      </w:r>
      <w:r>
        <w:rPr>
          <w:color w:val="0000FF"/>
        </w:rPr>
        <w:t>Illustration 2</w:t>
      </w:r>
      <w:r>
        <w:rPr/>
        <w:t>.</w:t>
      </w:r>
    </w:p>
    <w:p>
      <w:pPr>
        <w:pStyle w:val="BodyText"/>
        <w:spacing w:before="1"/>
      </w:pPr>
    </w:p>
    <w:p>
      <w:pPr>
        <w:pStyle w:val="Heading2"/>
        <w:tabs>
          <w:tab w:pos="9059" w:val="left" w:leader="none"/>
        </w:tabs>
        <w:spacing w:before="1"/>
        <w:ind w:left="120"/>
        <w:jc w:val="both"/>
      </w:pPr>
      <w:r>
        <w:rPr/>
        <w:t>YEAR-END REPORT</w:t>
      </w:r>
      <w:r>
        <w:rPr>
          <w:spacing w:val="-6"/>
        </w:rPr>
        <w:t> </w:t>
      </w:r>
      <w:r>
        <w:rPr/>
        <w:t>NO.</w:t>
      </w:r>
      <w:r>
        <w:rPr>
          <w:spacing w:val="-2"/>
        </w:rPr>
        <w:t> </w:t>
      </w:r>
      <w:r>
        <w:rPr/>
        <w:t>9,</w:t>
        <w:tab/>
        <w:t>7963</w:t>
      </w:r>
    </w:p>
    <w:p>
      <w:pPr>
        <w:spacing w:line="228" w:lineRule="exact" w:before="0"/>
        <w:ind w:left="120" w:right="0" w:firstLine="0"/>
        <w:jc w:val="both"/>
        <w:rPr>
          <w:b/>
          <w:sz w:val="20"/>
        </w:rPr>
      </w:pPr>
      <w:r>
        <w:rPr>
          <w:b/>
          <w:sz w:val="20"/>
        </w:rPr>
        <w:t>ANALYSIS OF CHANGE IN FUND BALANCE (STATEMENT OF OPERATIONS)</w:t>
      </w:r>
    </w:p>
    <w:p>
      <w:pPr>
        <w:pStyle w:val="BodyText"/>
        <w:spacing w:line="228" w:lineRule="exact"/>
        <w:ind w:left="120"/>
        <w:jc w:val="both"/>
      </w:pPr>
      <w:r>
        <w:rPr/>
        <w:t>(Revised 03/11)</w:t>
      </w:r>
    </w:p>
    <w:p>
      <w:pPr>
        <w:pStyle w:val="BodyText"/>
        <w:spacing w:before="1"/>
      </w:pPr>
    </w:p>
    <w:p>
      <w:pPr>
        <w:pStyle w:val="BodyText"/>
        <w:ind w:left="119"/>
      </w:pPr>
      <w:r>
        <w:rPr/>
        <w:t>The Analysis of Change in Fund Balance, Report No. 9, is also known as the Statement of Operations. Departments must prepare an Analysis of Change in Fund Balance when they account for any one of the following:</w:t>
      </w:r>
    </w:p>
    <w:p>
      <w:pPr>
        <w:pStyle w:val="BodyText"/>
      </w:pPr>
    </w:p>
    <w:p>
      <w:pPr>
        <w:pStyle w:val="ListParagraph"/>
        <w:numPr>
          <w:ilvl w:val="0"/>
          <w:numId w:val="5"/>
        </w:numPr>
        <w:tabs>
          <w:tab w:pos="481" w:val="left" w:leader="none"/>
        </w:tabs>
        <w:spacing w:line="240" w:lineRule="auto" w:before="0" w:after="0"/>
        <w:ind w:left="479" w:right="0" w:hanging="270"/>
        <w:jc w:val="both"/>
        <w:rPr>
          <w:sz w:val="20"/>
        </w:rPr>
      </w:pPr>
      <w:r>
        <w:rPr>
          <w:sz w:val="20"/>
        </w:rPr>
        <w:t>A non-governmental cost fund in its</w:t>
      </w:r>
      <w:r>
        <w:rPr>
          <w:spacing w:val="-20"/>
          <w:sz w:val="20"/>
        </w:rPr>
        <w:t> </w:t>
      </w:r>
      <w:r>
        <w:rPr>
          <w:sz w:val="20"/>
        </w:rPr>
        <w:t>entirety.</w:t>
      </w:r>
    </w:p>
    <w:p>
      <w:pPr>
        <w:pStyle w:val="BodyText"/>
        <w:spacing w:before="10"/>
        <w:rPr>
          <w:sz w:val="19"/>
        </w:rPr>
      </w:pPr>
    </w:p>
    <w:p>
      <w:pPr>
        <w:pStyle w:val="ListParagraph"/>
        <w:numPr>
          <w:ilvl w:val="0"/>
          <w:numId w:val="5"/>
        </w:numPr>
        <w:tabs>
          <w:tab w:pos="480" w:val="left" w:leader="none"/>
        </w:tabs>
        <w:spacing w:line="240" w:lineRule="auto" w:before="0" w:after="0"/>
        <w:ind w:left="479" w:right="408" w:hanging="270"/>
        <w:jc w:val="left"/>
        <w:rPr>
          <w:sz w:val="20"/>
        </w:rPr>
      </w:pPr>
      <w:r>
        <w:rPr>
          <w:sz w:val="20"/>
        </w:rPr>
        <w:t>An account within a non-governmental cost fund, such as accounts in the Federal Trust Fund and the Special Deposit</w:t>
      </w:r>
      <w:r>
        <w:rPr>
          <w:spacing w:val="-6"/>
          <w:sz w:val="20"/>
        </w:rPr>
        <w:t> </w:t>
      </w:r>
      <w:r>
        <w:rPr>
          <w:sz w:val="20"/>
        </w:rPr>
        <w:t>Fund.</w:t>
      </w:r>
    </w:p>
    <w:p>
      <w:pPr>
        <w:pStyle w:val="BodyText"/>
        <w:spacing w:before="10"/>
        <w:rPr>
          <w:sz w:val="19"/>
        </w:rPr>
      </w:pPr>
    </w:p>
    <w:p>
      <w:pPr>
        <w:pStyle w:val="ListParagraph"/>
        <w:numPr>
          <w:ilvl w:val="0"/>
          <w:numId w:val="5"/>
        </w:numPr>
        <w:tabs>
          <w:tab w:pos="479" w:val="left" w:leader="none"/>
        </w:tabs>
        <w:spacing w:line="240" w:lineRule="auto" w:before="0" w:after="0"/>
        <w:ind w:left="479" w:right="449" w:hanging="270"/>
        <w:jc w:val="left"/>
        <w:rPr>
          <w:sz w:val="20"/>
        </w:rPr>
      </w:pPr>
      <w:r>
        <w:rPr>
          <w:sz w:val="20"/>
        </w:rPr>
        <w:t>Non-Treasury</w:t>
      </w:r>
      <w:r>
        <w:rPr>
          <w:spacing w:val="-5"/>
          <w:sz w:val="20"/>
        </w:rPr>
        <w:t> </w:t>
      </w:r>
      <w:r>
        <w:rPr>
          <w:sz w:val="20"/>
        </w:rPr>
        <w:t>Trust</w:t>
      </w:r>
      <w:r>
        <w:rPr>
          <w:spacing w:val="-3"/>
          <w:sz w:val="20"/>
        </w:rPr>
        <w:t> </w:t>
      </w:r>
      <w:r>
        <w:rPr>
          <w:sz w:val="20"/>
        </w:rPr>
        <w:t>Funds</w:t>
      </w:r>
      <w:r>
        <w:rPr>
          <w:spacing w:val="-5"/>
          <w:sz w:val="20"/>
        </w:rPr>
        <w:t> </w:t>
      </w:r>
      <w:r>
        <w:rPr>
          <w:sz w:val="20"/>
        </w:rPr>
        <w:t>–</w:t>
      </w:r>
      <w:r>
        <w:rPr>
          <w:spacing w:val="-4"/>
          <w:sz w:val="20"/>
        </w:rPr>
        <w:t> </w:t>
      </w:r>
      <w:r>
        <w:rPr>
          <w:sz w:val="20"/>
        </w:rPr>
        <w:t>Non-Treasury</w:t>
      </w:r>
      <w:r>
        <w:rPr>
          <w:spacing w:val="-5"/>
          <w:sz w:val="20"/>
        </w:rPr>
        <w:t> </w:t>
      </w:r>
      <w:r>
        <w:rPr>
          <w:sz w:val="20"/>
        </w:rPr>
        <w:t>Trust</w:t>
      </w:r>
      <w:r>
        <w:rPr>
          <w:spacing w:val="-3"/>
          <w:sz w:val="20"/>
        </w:rPr>
        <w:t> </w:t>
      </w:r>
      <w:r>
        <w:rPr>
          <w:sz w:val="20"/>
        </w:rPr>
        <w:t>Funds</w:t>
      </w:r>
      <w:r>
        <w:rPr>
          <w:spacing w:val="-4"/>
          <w:sz w:val="20"/>
        </w:rPr>
        <w:t> </w:t>
      </w:r>
      <w:r>
        <w:rPr>
          <w:sz w:val="20"/>
        </w:rPr>
        <w:t>include</w:t>
      </w:r>
      <w:r>
        <w:rPr>
          <w:spacing w:val="-3"/>
          <w:sz w:val="20"/>
        </w:rPr>
        <w:t> </w:t>
      </w:r>
      <w:r>
        <w:rPr>
          <w:sz w:val="20"/>
        </w:rPr>
        <w:t>all</w:t>
      </w:r>
      <w:r>
        <w:rPr>
          <w:spacing w:val="-3"/>
          <w:sz w:val="20"/>
        </w:rPr>
        <w:t> </w:t>
      </w:r>
      <w:r>
        <w:rPr>
          <w:sz w:val="20"/>
        </w:rPr>
        <w:t>money</w:t>
      </w:r>
      <w:r>
        <w:rPr>
          <w:spacing w:val="-4"/>
          <w:sz w:val="20"/>
        </w:rPr>
        <w:t> </w:t>
      </w:r>
      <w:r>
        <w:rPr>
          <w:sz w:val="20"/>
        </w:rPr>
        <w:t>outside</w:t>
      </w:r>
      <w:r>
        <w:rPr>
          <w:spacing w:val="-3"/>
          <w:sz w:val="20"/>
        </w:rPr>
        <w:t> </w:t>
      </w:r>
      <w:r>
        <w:rPr>
          <w:sz w:val="20"/>
        </w:rPr>
        <w:t>the</w:t>
      </w:r>
      <w:r>
        <w:rPr>
          <w:spacing w:val="-3"/>
          <w:sz w:val="20"/>
        </w:rPr>
        <w:t> </w:t>
      </w:r>
      <w:r>
        <w:rPr>
          <w:sz w:val="20"/>
        </w:rPr>
        <w:t>State</w:t>
      </w:r>
      <w:r>
        <w:rPr>
          <w:spacing w:val="-3"/>
          <w:sz w:val="20"/>
        </w:rPr>
        <w:t> </w:t>
      </w:r>
      <w:r>
        <w:rPr>
          <w:sz w:val="20"/>
        </w:rPr>
        <w:t>Treasury</w:t>
      </w:r>
      <w:r>
        <w:rPr>
          <w:spacing w:val="-4"/>
          <w:sz w:val="20"/>
        </w:rPr>
        <w:t> </w:t>
      </w:r>
      <w:r>
        <w:rPr>
          <w:sz w:val="20"/>
        </w:rPr>
        <w:t>and</w:t>
      </w:r>
      <w:r>
        <w:rPr>
          <w:spacing w:val="-4"/>
          <w:sz w:val="20"/>
        </w:rPr>
        <w:t> </w:t>
      </w:r>
      <w:r>
        <w:rPr>
          <w:sz w:val="20"/>
        </w:rPr>
        <w:t>all Agency Trust Fund Cash (e.g., Fund</w:t>
      </w:r>
      <w:r>
        <w:rPr>
          <w:spacing w:val="-22"/>
          <w:sz w:val="20"/>
        </w:rPr>
        <w:t> </w:t>
      </w:r>
      <w:r>
        <w:rPr>
          <w:sz w:val="20"/>
        </w:rPr>
        <w:t>0990).</w:t>
      </w:r>
    </w:p>
    <w:p>
      <w:pPr>
        <w:pStyle w:val="BodyText"/>
      </w:pPr>
    </w:p>
    <w:p>
      <w:pPr>
        <w:pStyle w:val="BodyText"/>
        <w:ind w:left="119" w:right="117"/>
        <w:jc w:val="both"/>
      </w:pPr>
      <w:r>
        <w:rPr/>
        <w:t>The Analysis of Change in Fund Balance provides the beginning fund balance for the fiscal year, plus any additions (e.g., revenues) less any deductions (e.g., expenditures). All additions and deductions will be detailed by the individual account number and amount. In addition, any interfund transactions will include a four-digit subsidiary number to identify the related fund (e.g., 9811.0001 Operating Transfers In General Fund).</w:t>
      </w:r>
    </w:p>
    <w:p>
      <w:pPr>
        <w:pStyle w:val="BodyText"/>
        <w:spacing w:before="10"/>
        <w:rPr>
          <w:sz w:val="19"/>
        </w:rPr>
      </w:pPr>
    </w:p>
    <w:p>
      <w:pPr>
        <w:pStyle w:val="BodyText"/>
        <w:ind w:left="119" w:right="115"/>
        <w:jc w:val="both"/>
      </w:pPr>
      <w:r>
        <w:rPr/>
        <w:t>The balance of a prior year appropriation account (e.g., Refunds to Reverted Appropriations, Prior Year Appropriations Adjustments, etc.) as of June 30, will be reported as an addition or deduction on Report No. 9, depending upon the account balance as follows:</w:t>
      </w:r>
    </w:p>
    <w:p>
      <w:pPr>
        <w:pStyle w:val="BodyText"/>
      </w:pPr>
    </w:p>
    <w:p>
      <w:pPr>
        <w:pStyle w:val="ListParagraph"/>
        <w:numPr>
          <w:ilvl w:val="0"/>
          <w:numId w:val="6"/>
        </w:numPr>
        <w:tabs>
          <w:tab w:pos="480" w:val="left" w:leader="none"/>
        </w:tabs>
        <w:spacing w:line="240" w:lineRule="auto" w:before="0" w:after="0"/>
        <w:ind w:left="479" w:right="0" w:hanging="360"/>
        <w:jc w:val="both"/>
        <w:rPr>
          <w:sz w:val="20"/>
        </w:rPr>
      </w:pPr>
      <w:r>
        <w:rPr>
          <w:sz w:val="20"/>
        </w:rPr>
        <w:t>If the account has a credit balance, list the amount as an</w:t>
      </w:r>
      <w:r>
        <w:rPr>
          <w:spacing w:val="-12"/>
          <w:sz w:val="20"/>
        </w:rPr>
        <w:t> </w:t>
      </w:r>
      <w:r>
        <w:rPr>
          <w:sz w:val="20"/>
        </w:rPr>
        <w:t>addition.</w:t>
      </w:r>
    </w:p>
    <w:p>
      <w:pPr>
        <w:pStyle w:val="BodyText"/>
        <w:spacing w:before="11"/>
        <w:rPr>
          <w:sz w:val="19"/>
        </w:rPr>
      </w:pPr>
    </w:p>
    <w:p>
      <w:pPr>
        <w:pStyle w:val="ListParagraph"/>
        <w:numPr>
          <w:ilvl w:val="0"/>
          <w:numId w:val="6"/>
        </w:numPr>
        <w:tabs>
          <w:tab w:pos="480" w:val="left" w:leader="none"/>
        </w:tabs>
        <w:spacing w:line="240" w:lineRule="auto" w:before="0" w:after="0"/>
        <w:ind w:left="479" w:right="0" w:hanging="360"/>
        <w:jc w:val="both"/>
        <w:rPr>
          <w:sz w:val="20"/>
        </w:rPr>
      </w:pPr>
      <w:r>
        <w:rPr>
          <w:sz w:val="20"/>
        </w:rPr>
        <w:t>If the account has a debit balance, list the amount as a</w:t>
      </w:r>
      <w:r>
        <w:rPr>
          <w:spacing w:val="-24"/>
          <w:sz w:val="20"/>
        </w:rPr>
        <w:t> </w:t>
      </w:r>
      <w:r>
        <w:rPr>
          <w:sz w:val="20"/>
        </w:rPr>
        <w:t>deduction.</w:t>
      </w:r>
    </w:p>
    <w:p>
      <w:pPr>
        <w:pStyle w:val="BodyText"/>
        <w:spacing w:before="11"/>
        <w:rPr>
          <w:sz w:val="19"/>
        </w:rPr>
      </w:pPr>
    </w:p>
    <w:p>
      <w:pPr>
        <w:pStyle w:val="BodyText"/>
        <w:ind w:left="119" w:right="857"/>
      </w:pPr>
      <w:r>
        <w:rPr/>
        <w:t>The ending fund balance must agree with the fund balance shown on Report No. 20, Statement of Financial Condition, if required.</w:t>
      </w:r>
    </w:p>
    <w:p>
      <w:pPr>
        <w:pStyle w:val="BodyText"/>
        <w:spacing w:before="11"/>
        <w:rPr>
          <w:sz w:val="19"/>
        </w:rPr>
      </w:pPr>
    </w:p>
    <w:p>
      <w:pPr>
        <w:pStyle w:val="BodyText"/>
        <w:ind w:left="120"/>
        <w:jc w:val="both"/>
      </w:pPr>
      <w:r>
        <w:rPr/>
        <w:t>A sample of Report No. 9, Analysis of Change in Fund Balance, is shown in the </w:t>
      </w:r>
      <w:r>
        <w:rPr>
          <w:color w:val="0000FF"/>
        </w:rPr>
        <w:t>7963 Illustration</w:t>
      </w:r>
      <w:r>
        <w:rPr/>
        <w:t>.</w:t>
      </w:r>
    </w:p>
    <w:p>
      <w:pPr>
        <w:spacing w:after="0"/>
        <w:jc w:val="both"/>
        <w:sectPr>
          <w:footerReference w:type="default" r:id="rId18"/>
          <w:pgSz w:w="12240" w:h="15840"/>
          <w:pgMar w:footer="743" w:header="727" w:top="940" w:bottom="940" w:left="1320" w:right="1320"/>
        </w:sectPr>
      </w:pPr>
    </w:p>
    <w:p>
      <w:pPr>
        <w:pStyle w:val="BodyText"/>
        <w:spacing w:before="1"/>
        <w:rPr>
          <w:sz w:val="23"/>
        </w:rPr>
      </w:pPr>
    </w:p>
    <w:p>
      <w:pPr>
        <w:pStyle w:val="BodyText"/>
        <w:ind w:left="111"/>
      </w:pPr>
      <w:r>
        <w:rPr/>
        <w:drawing>
          <wp:inline distT="0" distB="0" distL="0" distR="0">
            <wp:extent cx="5916858" cy="7653146"/>
            <wp:effectExtent l="0" t="0" r="0" b="0"/>
            <wp:docPr id="13" name="image6.png" descr=""/>
            <wp:cNvGraphicFramePr>
              <a:graphicFrameLocks noChangeAspect="1"/>
            </wp:cNvGraphicFramePr>
            <a:graphic>
              <a:graphicData uri="http://schemas.openxmlformats.org/drawingml/2006/picture">
                <pic:pic>
                  <pic:nvPicPr>
                    <pic:cNvPr id="14" name="image6.png"/>
                    <pic:cNvPicPr/>
                  </pic:nvPicPr>
                  <pic:blipFill>
                    <a:blip r:embed="rId20" cstate="print"/>
                    <a:stretch>
                      <a:fillRect/>
                    </a:stretch>
                  </pic:blipFill>
                  <pic:spPr>
                    <a:xfrm>
                      <a:off x="0" y="0"/>
                      <a:ext cx="5916858" cy="7653146"/>
                    </a:xfrm>
                    <a:prstGeom prst="rect">
                      <a:avLst/>
                    </a:prstGeom>
                  </pic:spPr>
                </pic:pic>
              </a:graphicData>
            </a:graphic>
          </wp:inline>
        </w:drawing>
      </w:r>
      <w:r>
        <w:rPr/>
      </w:r>
    </w:p>
    <w:p>
      <w:pPr>
        <w:spacing w:after="0"/>
        <w:sectPr>
          <w:footerReference w:type="default" r:id="rId19"/>
          <w:pgSz w:w="12240" w:h="15840"/>
          <w:pgMar w:footer="743" w:header="727" w:top="940" w:bottom="940" w:left="1320" w:right="1320"/>
        </w:sectPr>
      </w:pPr>
    </w:p>
    <w:p>
      <w:pPr>
        <w:pStyle w:val="BodyText"/>
        <w:spacing w:before="1"/>
        <w:rPr>
          <w:sz w:val="23"/>
        </w:rPr>
      </w:pPr>
    </w:p>
    <w:p>
      <w:pPr>
        <w:pStyle w:val="BodyText"/>
        <w:ind w:left="111"/>
      </w:pPr>
      <w:r>
        <w:rPr/>
        <w:drawing>
          <wp:inline distT="0" distB="0" distL="0" distR="0">
            <wp:extent cx="5916858" cy="7653146"/>
            <wp:effectExtent l="0" t="0" r="0" b="0"/>
            <wp:docPr id="15" name="image7.png" descr=""/>
            <wp:cNvGraphicFramePr>
              <a:graphicFrameLocks noChangeAspect="1"/>
            </wp:cNvGraphicFramePr>
            <a:graphic>
              <a:graphicData uri="http://schemas.openxmlformats.org/drawingml/2006/picture">
                <pic:pic>
                  <pic:nvPicPr>
                    <pic:cNvPr id="16" name="image7.png"/>
                    <pic:cNvPicPr/>
                  </pic:nvPicPr>
                  <pic:blipFill>
                    <a:blip r:embed="rId21" cstate="print"/>
                    <a:stretch>
                      <a:fillRect/>
                    </a:stretch>
                  </pic:blipFill>
                  <pic:spPr>
                    <a:xfrm>
                      <a:off x="0" y="0"/>
                      <a:ext cx="5916858" cy="7653146"/>
                    </a:xfrm>
                    <a:prstGeom prst="rect">
                      <a:avLst/>
                    </a:prstGeom>
                  </pic:spPr>
                </pic:pic>
              </a:graphicData>
            </a:graphic>
          </wp:inline>
        </w:drawing>
      </w:r>
      <w:r>
        <w:rPr/>
      </w:r>
    </w:p>
    <w:p>
      <w:pPr>
        <w:spacing w:after="0"/>
        <w:sectPr>
          <w:pgSz w:w="12240" w:h="15840"/>
          <w:pgMar w:header="727" w:footer="743" w:top="940" w:bottom="940" w:left="1320" w:right="1320"/>
        </w:sectPr>
      </w:pPr>
    </w:p>
    <w:p>
      <w:pPr>
        <w:pStyle w:val="BodyText"/>
        <w:spacing w:before="1"/>
        <w:rPr>
          <w:sz w:val="23"/>
        </w:rPr>
      </w:pPr>
    </w:p>
    <w:p>
      <w:pPr>
        <w:pStyle w:val="BodyText"/>
        <w:ind w:left="111"/>
      </w:pPr>
      <w:r>
        <w:rPr/>
        <w:drawing>
          <wp:inline distT="0" distB="0" distL="0" distR="0">
            <wp:extent cx="5916858" cy="7653146"/>
            <wp:effectExtent l="0" t="0" r="0" b="0"/>
            <wp:docPr id="17" name="image8.png" descr=""/>
            <wp:cNvGraphicFramePr>
              <a:graphicFrameLocks noChangeAspect="1"/>
            </wp:cNvGraphicFramePr>
            <a:graphic>
              <a:graphicData uri="http://schemas.openxmlformats.org/drawingml/2006/picture">
                <pic:pic>
                  <pic:nvPicPr>
                    <pic:cNvPr id="18" name="image8.png"/>
                    <pic:cNvPicPr/>
                  </pic:nvPicPr>
                  <pic:blipFill>
                    <a:blip r:embed="rId22" cstate="print"/>
                    <a:stretch>
                      <a:fillRect/>
                    </a:stretch>
                  </pic:blipFill>
                  <pic:spPr>
                    <a:xfrm>
                      <a:off x="0" y="0"/>
                      <a:ext cx="5916858" cy="7653146"/>
                    </a:xfrm>
                    <a:prstGeom prst="rect">
                      <a:avLst/>
                    </a:prstGeom>
                  </pic:spPr>
                </pic:pic>
              </a:graphicData>
            </a:graphic>
          </wp:inline>
        </w:drawing>
      </w:r>
      <w:r>
        <w:rPr/>
      </w:r>
    </w:p>
    <w:p>
      <w:pPr>
        <w:spacing w:after="0"/>
        <w:sectPr>
          <w:pgSz w:w="12240" w:h="15840"/>
          <w:pgMar w:header="727" w:footer="743" w:top="940" w:bottom="940" w:left="1320" w:right="1320"/>
        </w:sectPr>
      </w:pPr>
    </w:p>
    <w:p>
      <w:pPr>
        <w:pStyle w:val="BodyText"/>
        <w:spacing w:before="1"/>
        <w:rPr>
          <w:sz w:val="23"/>
        </w:rPr>
      </w:pPr>
    </w:p>
    <w:p>
      <w:pPr>
        <w:pStyle w:val="BodyText"/>
        <w:ind w:left="111"/>
      </w:pPr>
      <w:r>
        <w:rPr/>
        <w:drawing>
          <wp:inline distT="0" distB="0" distL="0" distR="0">
            <wp:extent cx="5916858" cy="7653146"/>
            <wp:effectExtent l="0" t="0" r="0" b="0"/>
            <wp:docPr id="19" name="image9.png" descr=""/>
            <wp:cNvGraphicFramePr>
              <a:graphicFrameLocks noChangeAspect="1"/>
            </wp:cNvGraphicFramePr>
            <a:graphic>
              <a:graphicData uri="http://schemas.openxmlformats.org/drawingml/2006/picture">
                <pic:pic>
                  <pic:nvPicPr>
                    <pic:cNvPr id="20" name="image9.png"/>
                    <pic:cNvPicPr/>
                  </pic:nvPicPr>
                  <pic:blipFill>
                    <a:blip r:embed="rId23" cstate="print"/>
                    <a:stretch>
                      <a:fillRect/>
                    </a:stretch>
                  </pic:blipFill>
                  <pic:spPr>
                    <a:xfrm>
                      <a:off x="0" y="0"/>
                      <a:ext cx="5916858" cy="7653146"/>
                    </a:xfrm>
                    <a:prstGeom prst="rect">
                      <a:avLst/>
                    </a:prstGeom>
                  </pic:spPr>
                </pic:pic>
              </a:graphicData>
            </a:graphic>
          </wp:inline>
        </w:drawing>
      </w:r>
      <w:r>
        <w:rPr/>
      </w:r>
    </w:p>
    <w:p>
      <w:pPr>
        <w:spacing w:after="0"/>
        <w:sectPr>
          <w:pgSz w:w="12240" w:h="15840"/>
          <w:pgMar w:header="727" w:footer="743" w:top="940" w:bottom="940" w:left="1320" w:right="1320"/>
        </w:sectPr>
      </w:pPr>
    </w:p>
    <w:p>
      <w:pPr>
        <w:pStyle w:val="BodyText"/>
        <w:spacing w:before="1"/>
        <w:rPr>
          <w:sz w:val="23"/>
        </w:rPr>
      </w:pPr>
    </w:p>
    <w:p>
      <w:pPr>
        <w:pStyle w:val="BodyText"/>
        <w:ind w:left="111"/>
      </w:pPr>
      <w:r>
        <w:rPr/>
        <w:drawing>
          <wp:inline distT="0" distB="0" distL="0" distR="0">
            <wp:extent cx="5916858" cy="7653146"/>
            <wp:effectExtent l="0" t="0" r="0" b="0"/>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24" cstate="print"/>
                    <a:stretch>
                      <a:fillRect/>
                    </a:stretch>
                  </pic:blipFill>
                  <pic:spPr>
                    <a:xfrm>
                      <a:off x="0" y="0"/>
                      <a:ext cx="5916858" cy="7653146"/>
                    </a:xfrm>
                    <a:prstGeom prst="rect">
                      <a:avLst/>
                    </a:prstGeom>
                  </pic:spPr>
                </pic:pic>
              </a:graphicData>
            </a:graphic>
          </wp:inline>
        </w:drawing>
      </w:r>
      <w:r>
        <w:rPr/>
      </w:r>
    </w:p>
    <w:p>
      <w:pPr>
        <w:spacing w:after="0"/>
        <w:sectPr>
          <w:pgSz w:w="12240" w:h="15840"/>
          <w:pgMar w:header="727" w:footer="743" w:top="940" w:bottom="940" w:left="1320" w:right="1320"/>
        </w:sectPr>
      </w:pPr>
    </w:p>
    <w:p>
      <w:pPr>
        <w:pStyle w:val="BodyText"/>
      </w:pPr>
    </w:p>
    <w:p>
      <w:pPr>
        <w:pStyle w:val="BodyText"/>
        <w:spacing w:before="11"/>
        <w:rPr>
          <w:sz w:val="15"/>
        </w:rPr>
      </w:pPr>
    </w:p>
    <w:p>
      <w:pPr>
        <w:tabs>
          <w:tab w:pos="9040" w:val="left" w:leader="none"/>
        </w:tabs>
        <w:spacing w:before="92"/>
        <w:ind w:left="120" w:right="0" w:firstLine="0"/>
        <w:jc w:val="left"/>
        <w:rPr>
          <w:b/>
          <w:sz w:val="20"/>
        </w:rPr>
      </w:pPr>
      <w:r>
        <w:rPr>
          <w:b/>
          <w:sz w:val="20"/>
        </w:rPr>
        <w:t>YEAR-END REPORT</w:t>
      </w:r>
      <w:r>
        <w:rPr>
          <w:b/>
          <w:spacing w:val="-4"/>
          <w:sz w:val="20"/>
        </w:rPr>
        <w:t> </w:t>
      </w:r>
      <w:r>
        <w:rPr>
          <w:b/>
          <w:sz w:val="20"/>
        </w:rPr>
        <w:t>NO.</w:t>
      </w:r>
      <w:r>
        <w:rPr>
          <w:b/>
          <w:spacing w:val="-1"/>
          <w:sz w:val="20"/>
        </w:rPr>
        <w:t> </w:t>
      </w:r>
      <w:r>
        <w:rPr>
          <w:b/>
          <w:sz w:val="20"/>
        </w:rPr>
        <w:t>10</w:t>
        <w:tab/>
        <w:t>7965</w:t>
      </w:r>
    </w:p>
    <w:p>
      <w:pPr>
        <w:spacing w:line="229" w:lineRule="exact" w:before="0"/>
        <w:ind w:left="120" w:right="0" w:firstLine="0"/>
        <w:jc w:val="left"/>
        <w:rPr>
          <w:b/>
          <w:sz w:val="20"/>
        </w:rPr>
      </w:pPr>
      <w:r>
        <w:rPr>
          <w:b/>
          <w:sz w:val="20"/>
        </w:rPr>
        <w:t>ANALYSIS AND RECONCILIATION OF REVOLVING FUND ACCOUNTABILITY</w:t>
      </w:r>
    </w:p>
    <w:p>
      <w:pPr>
        <w:pStyle w:val="BodyText"/>
        <w:spacing w:line="229" w:lineRule="exact"/>
        <w:ind w:left="120"/>
      </w:pPr>
      <w:r>
        <w:rPr/>
        <w:t>(Revised 03/11)</w:t>
      </w:r>
    </w:p>
    <w:p>
      <w:pPr>
        <w:pStyle w:val="BodyText"/>
        <w:spacing w:before="11"/>
        <w:rPr>
          <w:sz w:val="19"/>
        </w:rPr>
      </w:pPr>
    </w:p>
    <w:p>
      <w:pPr>
        <w:pStyle w:val="BodyText"/>
        <w:ind w:left="120" w:right="213"/>
        <w:jc w:val="both"/>
      </w:pPr>
      <w:r>
        <w:rPr/>
        <w:t>During the fiscal year, Account No. 1130, Revolving Fund Cash, is accounted for on an imprest basis. Because the revolving fund consists of items other than cash, this procedure will overstate cash in a department’s year-end reports. Therefore, adjusting entries are necessary at year-end to properly reflect the actual revolving fund composition, as of June 30, for year-end report purposes. The adjusting entries will reduce the balance of the revolving fund cash account to the balance of the revolving fund portion of the department’s checking account. The adjusting entries are recorded in the fund the revolving fund was withdrawn from and are reversed as of July 1. The amounts of these entries will also be shown on the Accrual Worksheet, Report No. 2 as Revolving Fund Adjustments.  See SAM section 10601.</w:t>
      </w:r>
    </w:p>
    <w:p>
      <w:pPr>
        <w:pStyle w:val="BodyText"/>
      </w:pPr>
    </w:p>
    <w:p>
      <w:pPr>
        <w:pStyle w:val="BodyText"/>
        <w:spacing w:line="230" w:lineRule="exact"/>
        <w:ind w:left="120"/>
      </w:pPr>
      <w:r>
        <w:rPr/>
        <w:t>The source for the adjusting entries is an Analysis and Reconciliation of Revolving Fund Accountability, Report No.</w:t>
      </w:r>
    </w:p>
    <w:p>
      <w:pPr>
        <w:pStyle w:val="ListParagraph"/>
        <w:numPr>
          <w:ilvl w:val="0"/>
          <w:numId w:val="7"/>
        </w:numPr>
        <w:tabs>
          <w:tab w:pos="471" w:val="left" w:leader="none"/>
        </w:tabs>
        <w:spacing w:line="230" w:lineRule="exact" w:before="0" w:after="0"/>
        <w:ind w:left="470" w:right="0" w:hanging="350"/>
        <w:jc w:val="left"/>
        <w:rPr>
          <w:sz w:val="20"/>
        </w:rPr>
      </w:pPr>
      <w:r>
        <w:rPr>
          <w:sz w:val="20"/>
        </w:rPr>
        <w:t>The report consists of the</w:t>
      </w:r>
      <w:r>
        <w:rPr>
          <w:spacing w:val="-13"/>
          <w:sz w:val="20"/>
        </w:rPr>
        <w:t> </w:t>
      </w:r>
      <w:r>
        <w:rPr>
          <w:sz w:val="20"/>
        </w:rPr>
        <w:t>following:</w:t>
      </w:r>
    </w:p>
    <w:p>
      <w:pPr>
        <w:pStyle w:val="BodyText"/>
        <w:spacing w:before="1"/>
      </w:pPr>
    </w:p>
    <w:p>
      <w:pPr>
        <w:pStyle w:val="ListParagraph"/>
        <w:numPr>
          <w:ilvl w:val="1"/>
          <w:numId w:val="7"/>
        </w:numPr>
        <w:tabs>
          <w:tab w:pos="478" w:val="left" w:leader="none"/>
          <w:tab w:pos="479" w:val="left" w:leader="none"/>
        </w:tabs>
        <w:spacing w:line="240" w:lineRule="auto" w:before="0" w:after="0"/>
        <w:ind w:left="480" w:right="1144" w:hanging="360"/>
        <w:jc w:val="left"/>
        <w:rPr>
          <w:sz w:val="20"/>
        </w:rPr>
      </w:pPr>
      <w:r>
        <w:rPr>
          <w:sz w:val="20"/>
        </w:rPr>
        <w:t>Cash in subrevolving funds, undeposited receipts, and unreceipted SCO warrants in transit issued for reimbursement of the revolving</w:t>
      </w:r>
      <w:r>
        <w:rPr>
          <w:spacing w:val="-15"/>
          <w:sz w:val="20"/>
        </w:rPr>
        <w:t> </w:t>
      </w:r>
      <w:r>
        <w:rPr>
          <w:sz w:val="20"/>
        </w:rPr>
        <w:t>fund.</w:t>
      </w:r>
    </w:p>
    <w:p>
      <w:pPr>
        <w:pStyle w:val="ListParagraph"/>
        <w:numPr>
          <w:ilvl w:val="1"/>
          <w:numId w:val="7"/>
        </w:numPr>
        <w:tabs>
          <w:tab w:pos="479" w:val="left" w:leader="none"/>
          <w:tab w:pos="480" w:val="left" w:leader="none"/>
        </w:tabs>
        <w:spacing w:line="240" w:lineRule="auto" w:before="184" w:after="0"/>
        <w:ind w:left="479" w:right="0" w:hanging="359"/>
        <w:jc w:val="left"/>
        <w:rPr>
          <w:sz w:val="20"/>
        </w:rPr>
      </w:pPr>
      <w:r>
        <w:rPr>
          <w:sz w:val="20"/>
        </w:rPr>
        <w:t>Cash book balance – Amount of revolving fund cash in the department’s general checking</w:t>
      </w:r>
      <w:r>
        <w:rPr>
          <w:spacing w:val="-19"/>
          <w:sz w:val="20"/>
        </w:rPr>
        <w:t> </w:t>
      </w:r>
      <w:r>
        <w:rPr>
          <w:sz w:val="20"/>
        </w:rPr>
        <w:t>account.</w:t>
      </w:r>
    </w:p>
    <w:p>
      <w:pPr>
        <w:pStyle w:val="ListParagraph"/>
        <w:numPr>
          <w:ilvl w:val="1"/>
          <w:numId w:val="7"/>
        </w:numPr>
        <w:tabs>
          <w:tab w:pos="480" w:val="left" w:leader="none"/>
          <w:tab w:pos="481" w:val="left" w:leader="none"/>
        </w:tabs>
        <w:spacing w:line="240" w:lineRule="auto" w:before="184" w:after="0"/>
        <w:ind w:left="480" w:right="0" w:hanging="360"/>
        <w:jc w:val="left"/>
        <w:rPr>
          <w:sz w:val="20"/>
        </w:rPr>
      </w:pPr>
      <w:r>
        <w:rPr>
          <w:sz w:val="20"/>
        </w:rPr>
        <w:t>Salary</w:t>
      </w:r>
      <w:r>
        <w:rPr>
          <w:spacing w:val="-3"/>
          <w:sz w:val="20"/>
        </w:rPr>
        <w:t> </w:t>
      </w:r>
      <w:r>
        <w:rPr>
          <w:sz w:val="20"/>
        </w:rPr>
        <w:t>and</w:t>
      </w:r>
      <w:r>
        <w:rPr>
          <w:spacing w:val="-2"/>
          <w:sz w:val="20"/>
        </w:rPr>
        <w:t> </w:t>
      </w:r>
      <w:r>
        <w:rPr>
          <w:sz w:val="20"/>
        </w:rPr>
        <w:t>travel</w:t>
      </w:r>
      <w:r>
        <w:rPr>
          <w:spacing w:val="-3"/>
          <w:sz w:val="20"/>
        </w:rPr>
        <w:t> </w:t>
      </w:r>
      <w:r>
        <w:rPr>
          <w:sz w:val="20"/>
        </w:rPr>
        <w:t>advances</w:t>
      </w:r>
      <w:r>
        <w:rPr>
          <w:spacing w:val="-3"/>
          <w:sz w:val="20"/>
        </w:rPr>
        <w:t> </w:t>
      </w:r>
      <w:r>
        <w:rPr>
          <w:sz w:val="20"/>
        </w:rPr>
        <w:t>–</w:t>
      </w:r>
      <w:r>
        <w:rPr>
          <w:spacing w:val="-4"/>
          <w:sz w:val="20"/>
        </w:rPr>
        <w:t> </w:t>
      </w:r>
      <w:r>
        <w:rPr>
          <w:sz w:val="20"/>
        </w:rPr>
        <w:t>Amount</w:t>
      </w:r>
      <w:r>
        <w:rPr>
          <w:spacing w:val="-4"/>
          <w:sz w:val="20"/>
        </w:rPr>
        <w:t> </w:t>
      </w:r>
      <w:r>
        <w:rPr>
          <w:sz w:val="20"/>
        </w:rPr>
        <w:t>of</w:t>
      </w:r>
      <w:r>
        <w:rPr>
          <w:spacing w:val="-3"/>
          <w:sz w:val="20"/>
        </w:rPr>
        <w:t> </w:t>
      </w:r>
      <w:r>
        <w:rPr>
          <w:sz w:val="20"/>
        </w:rPr>
        <w:t>outstanding</w:t>
      </w:r>
      <w:r>
        <w:rPr>
          <w:spacing w:val="-3"/>
          <w:sz w:val="20"/>
        </w:rPr>
        <w:t> </w:t>
      </w:r>
      <w:r>
        <w:rPr>
          <w:sz w:val="20"/>
        </w:rPr>
        <w:t>advances</w:t>
      </w:r>
      <w:r>
        <w:rPr>
          <w:spacing w:val="-2"/>
          <w:sz w:val="20"/>
        </w:rPr>
        <w:t> </w:t>
      </w:r>
      <w:r>
        <w:rPr>
          <w:sz w:val="20"/>
        </w:rPr>
        <w:t>to</w:t>
      </w:r>
      <w:r>
        <w:rPr>
          <w:spacing w:val="-1"/>
          <w:sz w:val="20"/>
        </w:rPr>
        <w:t> </w:t>
      </w:r>
      <w:r>
        <w:rPr>
          <w:sz w:val="20"/>
        </w:rPr>
        <w:t>employees</w:t>
      </w:r>
      <w:r>
        <w:rPr>
          <w:spacing w:val="-2"/>
          <w:sz w:val="20"/>
        </w:rPr>
        <w:t> </w:t>
      </w:r>
      <w:r>
        <w:rPr>
          <w:sz w:val="20"/>
        </w:rPr>
        <w:t>for</w:t>
      </w:r>
      <w:r>
        <w:rPr>
          <w:spacing w:val="-3"/>
          <w:sz w:val="20"/>
        </w:rPr>
        <w:t> </w:t>
      </w:r>
      <w:r>
        <w:rPr>
          <w:sz w:val="20"/>
        </w:rPr>
        <w:t>salary</w:t>
      </w:r>
      <w:r>
        <w:rPr>
          <w:spacing w:val="-3"/>
          <w:sz w:val="20"/>
        </w:rPr>
        <w:t> </w:t>
      </w:r>
      <w:r>
        <w:rPr>
          <w:sz w:val="20"/>
        </w:rPr>
        <w:t>and</w:t>
      </w:r>
      <w:r>
        <w:rPr>
          <w:spacing w:val="-2"/>
          <w:sz w:val="20"/>
        </w:rPr>
        <w:t> </w:t>
      </w:r>
      <w:r>
        <w:rPr>
          <w:sz w:val="20"/>
        </w:rPr>
        <w:t>travel</w:t>
      </w:r>
      <w:r>
        <w:rPr>
          <w:spacing w:val="-3"/>
          <w:sz w:val="20"/>
        </w:rPr>
        <w:t> </w:t>
      </w:r>
      <w:r>
        <w:rPr>
          <w:sz w:val="20"/>
        </w:rPr>
        <w:t>advances.</w:t>
      </w:r>
    </w:p>
    <w:p>
      <w:pPr>
        <w:pStyle w:val="ListParagraph"/>
        <w:numPr>
          <w:ilvl w:val="1"/>
          <w:numId w:val="7"/>
        </w:numPr>
        <w:tabs>
          <w:tab w:pos="479" w:val="left" w:leader="none"/>
          <w:tab w:pos="480" w:val="left" w:leader="none"/>
        </w:tabs>
        <w:spacing w:line="240" w:lineRule="auto" w:before="184" w:after="0"/>
        <w:ind w:left="479" w:right="0" w:hanging="359"/>
        <w:jc w:val="left"/>
        <w:rPr>
          <w:sz w:val="20"/>
        </w:rPr>
      </w:pPr>
      <w:r>
        <w:rPr>
          <w:sz w:val="20"/>
        </w:rPr>
        <w:t>Claims</w:t>
      </w:r>
      <w:r>
        <w:rPr>
          <w:spacing w:val="-2"/>
          <w:sz w:val="20"/>
        </w:rPr>
        <w:t> </w:t>
      </w:r>
      <w:r>
        <w:rPr>
          <w:sz w:val="20"/>
        </w:rPr>
        <w:t>filed</w:t>
      </w:r>
      <w:r>
        <w:rPr>
          <w:spacing w:val="-2"/>
          <w:sz w:val="20"/>
        </w:rPr>
        <w:t> </w:t>
      </w:r>
      <w:r>
        <w:rPr>
          <w:sz w:val="20"/>
        </w:rPr>
        <w:t>on</w:t>
      </w:r>
      <w:r>
        <w:rPr>
          <w:spacing w:val="-3"/>
          <w:sz w:val="20"/>
        </w:rPr>
        <w:t> </w:t>
      </w:r>
      <w:r>
        <w:rPr>
          <w:sz w:val="20"/>
        </w:rPr>
        <w:t>or</w:t>
      </w:r>
      <w:r>
        <w:rPr>
          <w:spacing w:val="-3"/>
          <w:sz w:val="20"/>
        </w:rPr>
        <w:t> </w:t>
      </w:r>
      <w:r>
        <w:rPr>
          <w:sz w:val="20"/>
        </w:rPr>
        <w:t>before</w:t>
      </w:r>
      <w:r>
        <w:rPr>
          <w:spacing w:val="-2"/>
          <w:sz w:val="20"/>
        </w:rPr>
        <w:t> </w:t>
      </w:r>
      <w:r>
        <w:rPr>
          <w:sz w:val="20"/>
        </w:rPr>
        <w:t>June</w:t>
      </w:r>
      <w:r>
        <w:rPr>
          <w:spacing w:val="-2"/>
          <w:sz w:val="20"/>
        </w:rPr>
        <w:t> </w:t>
      </w:r>
      <w:r>
        <w:rPr>
          <w:sz w:val="20"/>
        </w:rPr>
        <w:t>30</w:t>
      </w:r>
      <w:r>
        <w:rPr>
          <w:spacing w:val="-1"/>
          <w:sz w:val="20"/>
        </w:rPr>
        <w:t> </w:t>
      </w:r>
      <w:r>
        <w:rPr>
          <w:sz w:val="20"/>
        </w:rPr>
        <w:t>to</w:t>
      </w:r>
      <w:r>
        <w:rPr>
          <w:spacing w:val="-3"/>
          <w:sz w:val="20"/>
        </w:rPr>
        <w:t> </w:t>
      </w:r>
      <w:r>
        <w:rPr>
          <w:sz w:val="20"/>
        </w:rPr>
        <w:t>reimburse</w:t>
      </w:r>
      <w:r>
        <w:rPr>
          <w:spacing w:val="-2"/>
          <w:sz w:val="20"/>
        </w:rPr>
        <w:t> </w:t>
      </w:r>
      <w:r>
        <w:rPr>
          <w:sz w:val="20"/>
        </w:rPr>
        <w:t>the</w:t>
      </w:r>
      <w:r>
        <w:rPr>
          <w:spacing w:val="-3"/>
          <w:sz w:val="20"/>
        </w:rPr>
        <w:t> </w:t>
      </w:r>
      <w:r>
        <w:rPr>
          <w:sz w:val="20"/>
        </w:rPr>
        <w:t>revolving</w:t>
      </w:r>
      <w:r>
        <w:rPr>
          <w:spacing w:val="-3"/>
          <w:sz w:val="20"/>
        </w:rPr>
        <w:t> </w:t>
      </w:r>
      <w:r>
        <w:rPr>
          <w:sz w:val="20"/>
        </w:rPr>
        <w:t>fund</w:t>
      </w:r>
      <w:r>
        <w:rPr>
          <w:spacing w:val="-3"/>
          <w:sz w:val="20"/>
        </w:rPr>
        <w:t> </w:t>
      </w:r>
      <w:r>
        <w:rPr>
          <w:sz w:val="20"/>
        </w:rPr>
        <w:t>but</w:t>
      </w:r>
      <w:r>
        <w:rPr>
          <w:spacing w:val="-4"/>
          <w:sz w:val="20"/>
        </w:rPr>
        <w:t> </w:t>
      </w:r>
      <w:r>
        <w:rPr>
          <w:sz w:val="20"/>
        </w:rPr>
        <w:t>not</w:t>
      </w:r>
      <w:r>
        <w:rPr>
          <w:spacing w:val="-4"/>
          <w:sz w:val="20"/>
        </w:rPr>
        <w:t> </w:t>
      </w:r>
      <w:r>
        <w:rPr>
          <w:sz w:val="20"/>
        </w:rPr>
        <w:t>paid</w:t>
      </w:r>
      <w:r>
        <w:rPr>
          <w:spacing w:val="-3"/>
          <w:sz w:val="20"/>
        </w:rPr>
        <w:t> </w:t>
      </w:r>
      <w:r>
        <w:rPr>
          <w:sz w:val="20"/>
        </w:rPr>
        <w:t>by</w:t>
      </w:r>
      <w:r>
        <w:rPr>
          <w:spacing w:val="-3"/>
          <w:sz w:val="20"/>
        </w:rPr>
        <w:t> </w:t>
      </w:r>
      <w:r>
        <w:rPr>
          <w:sz w:val="20"/>
        </w:rPr>
        <w:t>June</w:t>
      </w:r>
      <w:r>
        <w:rPr>
          <w:spacing w:val="-3"/>
          <w:sz w:val="20"/>
        </w:rPr>
        <w:t> </w:t>
      </w:r>
      <w:r>
        <w:rPr>
          <w:sz w:val="20"/>
        </w:rPr>
        <w:t>30.</w:t>
      </w:r>
    </w:p>
    <w:p>
      <w:pPr>
        <w:pStyle w:val="BodyText"/>
        <w:spacing w:before="11"/>
        <w:rPr>
          <w:sz w:val="17"/>
        </w:rPr>
      </w:pPr>
    </w:p>
    <w:p>
      <w:pPr>
        <w:pStyle w:val="ListParagraph"/>
        <w:numPr>
          <w:ilvl w:val="1"/>
          <w:numId w:val="7"/>
        </w:numPr>
        <w:tabs>
          <w:tab w:pos="480" w:val="left" w:leader="none"/>
          <w:tab w:pos="481" w:val="left" w:leader="none"/>
        </w:tabs>
        <w:spacing w:line="240" w:lineRule="auto" w:before="0" w:after="0"/>
        <w:ind w:left="480" w:right="231" w:hanging="360"/>
        <w:jc w:val="left"/>
        <w:rPr>
          <w:sz w:val="20"/>
        </w:rPr>
      </w:pPr>
      <w:r>
        <w:rPr>
          <w:sz w:val="20"/>
        </w:rPr>
        <w:t>Revolving fund disbursements not scheduled for reimbursement by June 30 and expenditures have been accrued via the A-8</w:t>
      </w:r>
      <w:r>
        <w:rPr>
          <w:spacing w:val="-11"/>
          <w:sz w:val="20"/>
        </w:rPr>
        <w:t> </w:t>
      </w:r>
      <w:r>
        <w:rPr>
          <w:sz w:val="20"/>
        </w:rPr>
        <w:t>entry.</w:t>
      </w:r>
    </w:p>
    <w:p>
      <w:pPr>
        <w:pStyle w:val="ListParagraph"/>
        <w:numPr>
          <w:ilvl w:val="1"/>
          <w:numId w:val="7"/>
        </w:numPr>
        <w:tabs>
          <w:tab w:pos="479" w:val="left" w:leader="none"/>
          <w:tab w:pos="480" w:val="left" w:leader="none"/>
        </w:tabs>
        <w:spacing w:line="240" w:lineRule="auto" w:before="183" w:after="0"/>
        <w:ind w:left="479" w:right="0" w:hanging="359"/>
        <w:jc w:val="left"/>
        <w:rPr>
          <w:sz w:val="20"/>
        </w:rPr>
      </w:pPr>
      <w:r>
        <w:rPr>
          <w:sz w:val="20"/>
        </w:rPr>
        <w:t>Amount of revolving fund withdrawn from appropriation or pursuant to</w:t>
      </w:r>
      <w:r>
        <w:rPr>
          <w:spacing w:val="-32"/>
          <w:sz w:val="20"/>
        </w:rPr>
        <w:t> </w:t>
      </w:r>
      <w:r>
        <w:rPr>
          <w:sz w:val="20"/>
        </w:rPr>
        <w:t>statute.</w:t>
      </w:r>
    </w:p>
    <w:p>
      <w:pPr>
        <w:pStyle w:val="BodyText"/>
        <w:spacing w:before="183"/>
        <w:ind w:left="120"/>
      </w:pPr>
      <w:r>
        <w:rPr/>
        <w:t>Report No. 10 is not submitted to the SCO, but it is kept on file with other year-end reports for audit purposes.</w:t>
      </w:r>
    </w:p>
    <w:p>
      <w:pPr>
        <w:pStyle w:val="BodyText"/>
        <w:spacing w:before="10"/>
        <w:rPr>
          <w:sz w:val="19"/>
        </w:rPr>
      </w:pPr>
    </w:p>
    <w:p>
      <w:pPr>
        <w:pStyle w:val="BodyText"/>
        <w:ind w:left="120" w:right="483"/>
      </w:pPr>
      <w:r>
        <w:rPr/>
        <w:t>A sample of Report No. 10, Analysis and Reconciliation of Revolving Fund Accountability, is shown in the </w:t>
      </w:r>
      <w:r>
        <w:rPr>
          <w:color w:val="0000FF"/>
        </w:rPr>
        <w:t>7965 Illustration</w:t>
      </w:r>
      <w:r>
        <w:rPr/>
        <w:t>.</w:t>
      </w:r>
    </w:p>
    <w:p>
      <w:pPr>
        <w:pStyle w:val="BodyText"/>
        <w:spacing w:before="1"/>
      </w:pPr>
    </w:p>
    <w:p>
      <w:pPr>
        <w:pStyle w:val="Heading2"/>
        <w:tabs>
          <w:tab w:pos="9041" w:val="left" w:leader="none"/>
        </w:tabs>
        <w:spacing w:line="229" w:lineRule="exact" w:before="0"/>
        <w:ind w:left="120"/>
      </w:pPr>
      <w:r>
        <w:rPr/>
        <w:t>YEAR-END REPORT NO. 11,</w:t>
      </w:r>
      <w:r>
        <w:rPr>
          <w:spacing w:val="-7"/>
        </w:rPr>
        <w:t> </w:t>
      </w:r>
      <w:r>
        <w:rPr/>
        <w:t>BANK</w:t>
      </w:r>
      <w:r>
        <w:rPr>
          <w:spacing w:val="-2"/>
        </w:rPr>
        <w:t> </w:t>
      </w:r>
      <w:r>
        <w:rPr/>
        <w:t>RECONCILIATION</w:t>
        <w:tab/>
        <w:t>7967</w:t>
      </w:r>
    </w:p>
    <w:p>
      <w:pPr>
        <w:pStyle w:val="BodyText"/>
        <w:spacing w:line="229" w:lineRule="exact"/>
        <w:ind w:left="120"/>
      </w:pPr>
      <w:r>
        <w:rPr/>
        <w:t>(Revised 03/11)</w:t>
      </w:r>
    </w:p>
    <w:p>
      <w:pPr>
        <w:pStyle w:val="BodyText"/>
      </w:pPr>
    </w:p>
    <w:p>
      <w:pPr>
        <w:pStyle w:val="BodyText"/>
        <w:ind w:left="120" w:right="215"/>
        <w:jc w:val="both"/>
      </w:pPr>
      <w:r>
        <w:rPr/>
        <w:t>This report will be prepared by departments in accordance with SAM section 7923 requirements for monthly bank reconciliations. Report No. 11 is not submitted to the SCO, but it is kept on file with other year-end reports for audit purposes.</w:t>
      </w:r>
    </w:p>
    <w:p>
      <w:pPr>
        <w:pStyle w:val="BodyText"/>
      </w:pPr>
    </w:p>
    <w:p>
      <w:pPr>
        <w:pStyle w:val="BodyText"/>
        <w:spacing w:before="1"/>
        <w:ind w:left="120"/>
      </w:pPr>
      <w:r>
        <w:rPr/>
        <w:t>A sample of Report No. 11, Bank Reconciliation, is shown in the </w:t>
      </w:r>
      <w:r>
        <w:rPr>
          <w:color w:val="0000FF"/>
        </w:rPr>
        <w:t>7967 Illustration</w:t>
      </w:r>
      <w:r>
        <w:rPr/>
        <w:t>.</w:t>
      </w:r>
    </w:p>
    <w:p>
      <w:pPr>
        <w:pStyle w:val="BodyText"/>
        <w:spacing w:before="2"/>
      </w:pPr>
    </w:p>
    <w:p>
      <w:pPr>
        <w:pStyle w:val="Heading2"/>
        <w:tabs>
          <w:tab w:pos="9041" w:val="left" w:leader="none"/>
        </w:tabs>
        <w:spacing w:line="229" w:lineRule="exact" w:before="0"/>
        <w:ind w:left="120"/>
      </w:pPr>
      <w:r>
        <w:rPr/>
        <w:t>YEAR-END REPORT NO. 13, REPORT OF EXPENDITURES OF</w:t>
      </w:r>
      <w:r>
        <w:rPr>
          <w:spacing w:val="-12"/>
        </w:rPr>
        <w:t> </w:t>
      </w:r>
      <w:r>
        <w:rPr/>
        <w:t>FEDERAL</w:t>
      </w:r>
      <w:r>
        <w:rPr>
          <w:spacing w:val="-2"/>
        </w:rPr>
        <w:t> </w:t>
      </w:r>
      <w:r>
        <w:rPr/>
        <w:t>FUNDS</w:t>
        <w:tab/>
        <w:t>7974</w:t>
      </w:r>
    </w:p>
    <w:p>
      <w:pPr>
        <w:pStyle w:val="BodyText"/>
        <w:spacing w:line="229" w:lineRule="exact"/>
        <w:ind w:left="120"/>
      </w:pPr>
      <w:r>
        <w:rPr/>
        <w:t>(Revised 09/13)</w:t>
      </w:r>
    </w:p>
    <w:p>
      <w:pPr>
        <w:pStyle w:val="BodyText"/>
        <w:spacing w:before="11"/>
        <w:rPr>
          <w:sz w:val="19"/>
        </w:rPr>
      </w:pPr>
    </w:p>
    <w:p>
      <w:pPr>
        <w:pStyle w:val="BodyText"/>
        <w:ind w:left="120" w:right="274"/>
      </w:pPr>
      <w:r>
        <w:rPr/>
        <w:pict>
          <v:shape style="position:absolute;margin-left:545.700012pt;margin-top:.156763pt;width:.1pt;height:80.55pt;mso-position-horizontal-relative:page;mso-position-vertical-relative:paragraph;z-index:1240" coordorigin="10914,3" coordsize="0,1611" path="m10914,3l10914,234m10914,234l10914,463m10914,463l10914,693m10914,693l10914,924m10914,924l10914,1153m10914,1153l10914,1383m10914,1383l10914,1614e" filled="false" stroked="true" strokeweight=".47998pt" strokecolor="#000000">
            <v:path arrowok="t"/>
            <v:stroke dashstyle="solid"/>
            <w10:wrap type="none"/>
          </v:shape>
        </w:pict>
      </w:r>
      <w:r>
        <w:rPr/>
        <w:t>At year-end, departments will prepare a Report of Expenditures of Federal Funds, Report No. 13, for all federal funds. </w:t>
      </w:r>
      <w:r>
        <w:rPr>
          <w:u w:val="single"/>
        </w:rPr>
        <w:t>Departments must report </w:t>
      </w:r>
      <w:r>
        <w:rPr/>
        <w:t>expenditures and encumbrances for each federal award by Catalog of Federal Domestic Assistance (CFDA) number and program title. Expenditures shall include accruals of all valid obligations incurred and receivables earned as of June 30, </w:t>
      </w:r>
      <w:r>
        <w:rPr>
          <w:u w:val="single"/>
        </w:rPr>
        <w:t>with the exception of payments to sub-recipients which must be recorded on a cash basis. Circular A-133 defines a sub-recipient as a non-federal entity that expends federal awards received from a pass-through entity to carry out a federal program, but does not include an individual that is a beneficiary of such a program. For additional guidance on year-end reporting, refer to SAM section 17130. </w:t>
      </w:r>
      <w:r>
        <w:rPr/>
        <w:t>(Continued)</w:t>
      </w:r>
    </w:p>
    <w:p>
      <w:pPr>
        <w:spacing w:after="0"/>
        <w:sectPr>
          <w:pgSz w:w="12240" w:h="15840"/>
          <w:pgMar w:header="727" w:footer="743" w:top="940" w:bottom="940" w:left="1320" w:right="1220"/>
        </w:sectPr>
      </w:pPr>
    </w:p>
    <w:p>
      <w:pPr>
        <w:pStyle w:val="BodyText"/>
        <w:spacing w:before="1"/>
        <w:rPr>
          <w:sz w:val="23"/>
        </w:rPr>
      </w:pPr>
    </w:p>
    <w:p>
      <w:pPr>
        <w:pStyle w:val="BodyText"/>
        <w:ind w:left="111"/>
      </w:pPr>
      <w:r>
        <w:rPr/>
        <w:drawing>
          <wp:inline distT="0" distB="0" distL="0" distR="0">
            <wp:extent cx="5916859" cy="7683436"/>
            <wp:effectExtent l="0" t="0" r="0" b="0"/>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26" cstate="print"/>
                    <a:stretch>
                      <a:fillRect/>
                    </a:stretch>
                  </pic:blipFill>
                  <pic:spPr>
                    <a:xfrm>
                      <a:off x="0" y="0"/>
                      <a:ext cx="5916859" cy="7683436"/>
                    </a:xfrm>
                    <a:prstGeom prst="rect">
                      <a:avLst/>
                    </a:prstGeom>
                  </pic:spPr>
                </pic:pic>
              </a:graphicData>
            </a:graphic>
          </wp:inline>
        </w:drawing>
      </w:r>
      <w:r>
        <w:rPr/>
      </w:r>
    </w:p>
    <w:p>
      <w:pPr>
        <w:spacing w:after="0"/>
        <w:sectPr>
          <w:footerReference w:type="default" r:id="rId25"/>
          <w:pgSz w:w="12240" w:h="15840"/>
          <w:pgMar w:footer="743" w:header="727" w:top="940" w:bottom="940" w:left="1320" w:right="1320"/>
        </w:sectPr>
      </w:pPr>
    </w:p>
    <w:p>
      <w:pPr>
        <w:pStyle w:val="BodyText"/>
        <w:spacing w:before="1"/>
        <w:rPr>
          <w:sz w:val="23"/>
        </w:rPr>
      </w:pPr>
    </w:p>
    <w:p>
      <w:pPr>
        <w:pStyle w:val="BodyText"/>
        <w:ind w:left="111"/>
      </w:pPr>
      <w:r>
        <w:rPr/>
        <w:drawing>
          <wp:inline distT="0" distB="0" distL="0" distR="0">
            <wp:extent cx="5916859" cy="7683436"/>
            <wp:effectExtent l="0" t="0" r="0" b="0"/>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27" cstate="print"/>
                    <a:stretch>
                      <a:fillRect/>
                    </a:stretch>
                  </pic:blipFill>
                  <pic:spPr>
                    <a:xfrm>
                      <a:off x="0" y="0"/>
                      <a:ext cx="5916859" cy="7683436"/>
                    </a:xfrm>
                    <a:prstGeom prst="rect">
                      <a:avLst/>
                    </a:prstGeom>
                  </pic:spPr>
                </pic:pic>
              </a:graphicData>
            </a:graphic>
          </wp:inline>
        </w:drawing>
      </w:r>
      <w:r>
        <w:rPr/>
      </w:r>
    </w:p>
    <w:p>
      <w:pPr>
        <w:spacing w:after="0"/>
        <w:sectPr>
          <w:pgSz w:w="12240" w:h="15840"/>
          <w:pgMar w:header="727" w:footer="743" w:top="940" w:bottom="940" w:left="1320" w:right="1320"/>
        </w:sectPr>
      </w:pPr>
    </w:p>
    <w:p>
      <w:pPr>
        <w:pStyle w:val="BodyText"/>
        <w:spacing w:before="9"/>
        <w:rPr>
          <w:sz w:val="15"/>
        </w:rPr>
      </w:pPr>
    </w:p>
    <w:p>
      <w:pPr>
        <w:pStyle w:val="BodyText"/>
        <w:spacing w:before="92"/>
        <w:ind w:left="120"/>
      </w:pPr>
      <w:r>
        <w:rPr/>
        <w:t>(Continued)</w:t>
      </w:r>
    </w:p>
    <w:p>
      <w:pPr>
        <w:pStyle w:val="BodyText"/>
        <w:spacing w:before="1"/>
      </w:pPr>
    </w:p>
    <w:p>
      <w:pPr>
        <w:pStyle w:val="Heading2"/>
        <w:tabs>
          <w:tab w:pos="8240" w:val="left" w:leader="none"/>
        </w:tabs>
        <w:spacing w:line="229" w:lineRule="exact" w:before="0"/>
        <w:ind w:left="120"/>
      </w:pPr>
      <w:r>
        <w:rPr/>
        <w:t>YEAR-END REPORT NO. 13, REPORT OF EXPENDITURES OF</w:t>
      </w:r>
      <w:r>
        <w:rPr>
          <w:spacing w:val="-15"/>
        </w:rPr>
        <w:t> </w:t>
      </w:r>
      <w:r>
        <w:rPr/>
        <w:t>FEDERAL</w:t>
      </w:r>
      <w:r>
        <w:rPr>
          <w:spacing w:val="-3"/>
        </w:rPr>
        <w:t> </w:t>
      </w:r>
      <w:r>
        <w:rPr/>
        <w:t>FUNDS</w:t>
        <w:tab/>
        <w:t>7974 (Cont.</w:t>
      </w:r>
      <w:r>
        <w:rPr>
          <w:spacing w:val="-7"/>
        </w:rPr>
        <w:t> </w:t>
      </w:r>
      <w:r>
        <w:rPr/>
        <w:t>1)</w:t>
      </w:r>
    </w:p>
    <w:p>
      <w:pPr>
        <w:pStyle w:val="BodyText"/>
        <w:spacing w:line="229" w:lineRule="exact"/>
        <w:ind w:left="120"/>
      </w:pPr>
      <w:r>
        <w:rPr/>
        <w:t>(Revised 09/13)</w:t>
      </w:r>
    </w:p>
    <w:p>
      <w:pPr>
        <w:pStyle w:val="BodyText"/>
      </w:pPr>
    </w:p>
    <w:p>
      <w:pPr>
        <w:pStyle w:val="BodyText"/>
        <w:ind w:left="120" w:right="290"/>
      </w:pPr>
      <w:r>
        <w:rPr/>
        <w:pict>
          <v:shape style="position:absolute;margin-left:545.700012pt;margin-top:.156018pt;width:.1pt;height:138pt;mso-position-horizontal-relative:page;mso-position-vertical-relative:paragraph;z-index:1264" coordorigin="10914,3" coordsize="0,2760" path="m10914,3l10914,234m10914,234l10914,463m10914,463l10914,693m10914,693l10914,922m10914,922l10914,1153m10914,1153l10914,1383m10914,1383l10914,1612m10914,1612l10914,1843m10914,1843l10914,2073m10914,2073l10914,2302m10914,2302l10914,2533m10914,2533l10914,2763e" filled="false" stroked="true" strokeweight=".47998pt" strokecolor="#000000">
            <v:path arrowok="t"/>
            <v:stroke dashstyle="solid"/>
            <w10:wrap type="none"/>
          </v:shape>
        </w:pict>
      </w:r>
      <w:r>
        <w:rPr/>
        <w:t>The remaining balance of the grant shall not be accrued as an expenditure if it does not represent valid obligations incurred as of June 30. Encumbrances shall include commitments that will become expenditures after June 30 when goods or services are received. In addition, segregate American Recovery and Reinvestment Act (ARRA) expenditures from non-ARRA expenditures in instances where the same CFDA number is used.</w:t>
      </w:r>
    </w:p>
    <w:p>
      <w:pPr>
        <w:pStyle w:val="BodyText"/>
        <w:spacing w:before="11"/>
        <w:rPr>
          <w:sz w:val="11"/>
        </w:rPr>
      </w:pPr>
    </w:p>
    <w:p>
      <w:pPr>
        <w:pStyle w:val="BodyText"/>
        <w:spacing w:before="92"/>
        <w:ind w:left="120" w:right="307"/>
      </w:pPr>
      <w:r>
        <w:rPr/>
        <w:t>The original signed Report No. 13 is submitted to the Department of Finance (Finance), Fiscal Systems and Consulting Unit by August 20th. A copy of Report No. 13 </w:t>
      </w:r>
      <w:r>
        <w:rPr>
          <w:u w:val="single"/>
        </w:rPr>
        <w:t>must </w:t>
      </w:r>
      <w:r>
        <w:rPr/>
        <w:t>be submitted to the State Controller’s Office with the year-end financial reports. Supporting documentation used to prepare the Report No. 13 </w:t>
      </w:r>
      <w:r>
        <w:rPr>
          <w:u w:val="single"/>
        </w:rPr>
        <w:t>must </w:t>
      </w:r>
      <w:r>
        <w:rPr/>
        <w:t>be maintained by the department in the event Finance, Office of State Audits and Evaluations or the California State Auditor’s Office requests to review.</w:t>
      </w:r>
    </w:p>
    <w:p>
      <w:pPr>
        <w:pStyle w:val="BodyText"/>
        <w:spacing w:before="11"/>
        <w:rPr>
          <w:sz w:val="11"/>
        </w:rPr>
      </w:pPr>
    </w:p>
    <w:p>
      <w:pPr>
        <w:pStyle w:val="BodyText"/>
        <w:spacing w:before="92"/>
        <w:ind w:left="120"/>
      </w:pPr>
      <w:r>
        <w:rPr/>
        <w:pict>
          <v:line style="position:absolute;mso-position-horizontal-relative:page;mso-position-vertical-relative:paragraph;z-index:-67456" from="311.940002pt,15.255925pt" to="314.460002pt,15.255925pt" stroked="true" strokeweight=".47998pt" strokecolor="#000000">
            <v:stroke dashstyle="solid"/>
            <w10:wrap type="none"/>
          </v:line>
        </w:pict>
      </w:r>
      <w:r>
        <w:rPr>
          <w:u w:val="single"/>
        </w:rPr>
        <w:t>A sample of Report No. 13 is shown in the </w:t>
      </w:r>
      <w:r>
        <w:rPr>
          <w:color w:val="548ED4"/>
          <w:u w:val="single" w:color="000000"/>
        </w:rPr>
        <w:t>7974 Illustration</w:t>
      </w:r>
      <w:r>
        <w:rPr/>
        <w:t>.</w:t>
      </w:r>
    </w:p>
    <w:p>
      <w:pPr>
        <w:pStyle w:val="BodyText"/>
        <w:spacing w:before="4"/>
        <w:rPr>
          <w:sz w:val="17"/>
        </w:rPr>
      </w:pPr>
    </w:p>
    <w:p>
      <w:pPr>
        <w:pStyle w:val="Heading2"/>
        <w:tabs>
          <w:tab w:pos="9020" w:val="left" w:leader="none"/>
        </w:tabs>
        <w:spacing w:before="92"/>
        <w:ind w:left="120"/>
        <w:jc w:val="both"/>
      </w:pPr>
      <w:r>
        <w:rPr/>
        <w:t>YEAR-END REPORT</w:t>
      </w:r>
      <w:r>
        <w:rPr>
          <w:spacing w:val="-4"/>
        </w:rPr>
        <w:t> </w:t>
      </w:r>
      <w:r>
        <w:rPr/>
        <w:t>NO.</w:t>
      </w:r>
      <w:r>
        <w:rPr>
          <w:spacing w:val="-1"/>
        </w:rPr>
        <w:t> </w:t>
      </w:r>
      <w:r>
        <w:rPr/>
        <w:t>14,</w:t>
        <w:tab/>
        <w:t>7975</w:t>
      </w:r>
    </w:p>
    <w:p>
      <w:pPr>
        <w:spacing w:before="0"/>
        <w:ind w:left="120" w:right="3203" w:firstLine="0"/>
        <w:jc w:val="left"/>
        <w:rPr>
          <w:b/>
          <w:sz w:val="20"/>
        </w:rPr>
      </w:pPr>
      <w:r>
        <w:rPr>
          <w:b/>
          <w:sz w:val="20"/>
        </w:rPr>
        <w:t>REPORT OF BANK/SAVINGS AND LOAN ASSOCIATION ACCOUNT OUTSIDE THE TREASURY SYSTEM</w:t>
      </w:r>
    </w:p>
    <w:p>
      <w:pPr>
        <w:pStyle w:val="BodyText"/>
        <w:spacing w:line="227" w:lineRule="exact"/>
        <w:ind w:left="120"/>
        <w:jc w:val="both"/>
      </w:pPr>
      <w:r>
        <w:rPr/>
        <w:t>(Revised 06/13)</w:t>
      </w:r>
    </w:p>
    <w:p>
      <w:pPr>
        <w:pStyle w:val="BodyText"/>
        <w:spacing w:before="184"/>
        <w:ind w:left="120" w:right="216"/>
        <w:jc w:val="both"/>
      </w:pPr>
      <w:r>
        <w:rPr/>
        <w:t>At year-end, departments (including agencies) must prepare a Report No. 14, Report of Accounts Outside the State Treasury, form STD. 445. The Report No. 14 must include any account outside the centralized State Treasury System (CTS) in which state money is deposited or must indicate that there are no accounts to report.  Department  of Finance (Finance), Fiscal Systems and Consulting Unit (FSCU) approval (See SAM section 8002) or statutory authority is required to maintain accounts outside of the</w:t>
      </w:r>
      <w:r>
        <w:rPr>
          <w:spacing w:val="-28"/>
        </w:rPr>
        <w:t> </w:t>
      </w:r>
      <w:r>
        <w:rPr/>
        <w:t>CTS.</w:t>
      </w:r>
    </w:p>
    <w:p>
      <w:pPr>
        <w:pStyle w:val="BodyText"/>
        <w:spacing w:before="11"/>
        <w:rPr>
          <w:sz w:val="19"/>
        </w:rPr>
      </w:pPr>
    </w:p>
    <w:p>
      <w:pPr>
        <w:pStyle w:val="BodyText"/>
        <w:ind w:left="120" w:right="216"/>
        <w:jc w:val="both"/>
      </w:pPr>
      <w:r>
        <w:rPr/>
        <w:t>Each Report 14 shall include the department name, address, organization code, fiscal year-end date, signature, name and title of officer signing the report, contact telephone number and date signed. Only one Report No. 14 per department shall be submitted.</w:t>
      </w:r>
    </w:p>
    <w:p>
      <w:pPr>
        <w:pStyle w:val="BodyText"/>
      </w:pPr>
    </w:p>
    <w:p>
      <w:pPr>
        <w:pStyle w:val="BodyText"/>
        <w:spacing w:line="480" w:lineRule="auto" w:before="1"/>
        <w:ind w:left="120" w:right="1428"/>
      </w:pPr>
      <w:r>
        <w:rPr/>
        <w:t>If no accounts exist outside the CTS, indicate “No accounts outside State Treasury” on the Report 14. When there are accounts outside of the CTS, the Report No. 14 shall include the following:</w:t>
      </w:r>
    </w:p>
    <w:p>
      <w:pPr>
        <w:pStyle w:val="ListParagraph"/>
        <w:numPr>
          <w:ilvl w:val="2"/>
          <w:numId w:val="7"/>
        </w:numPr>
        <w:tabs>
          <w:tab w:pos="1559" w:val="left" w:leader="none"/>
          <w:tab w:pos="1560" w:val="left" w:leader="none"/>
        </w:tabs>
        <w:spacing w:line="245" w:lineRule="exact" w:before="8" w:after="0"/>
        <w:ind w:left="1560" w:right="0" w:hanging="360"/>
        <w:jc w:val="left"/>
        <w:rPr>
          <w:sz w:val="20"/>
        </w:rPr>
      </w:pPr>
      <w:r>
        <w:rPr>
          <w:sz w:val="20"/>
        </w:rPr>
        <w:t>Account</w:t>
      </w:r>
      <w:r>
        <w:rPr>
          <w:spacing w:val="-5"/>
          <w:sz w:val="20"/>
        </w:rPr>
        <w:t> </w:t>
      </w:r>
      <w:r>
        <w:rPr>
          <w:sz w:val="20"/>
        </w:rPr>
        <w:t>title</w:t>
      </w:r>
      <w:r>
        <w:rPr>
          <w:spacing w:val="-5"/>
          <w:sz w:val="20"/>
        </w:rPr>
        <w:t> </w:t>
      </w:r>
      <w:r>
        <w:rPr>
          <w:sz w:val="20"/>
        </w:rPr>
        <w:t>and</w:t>
      </w:r>
      <w:r>
        <w:rPr>
          <w:spacing w:val="-5"/>
          <w:sz w:val="20"/>
        </w:rPr>
        <w:t> </w:t>
      </w:r>
      <w:r>
        <w:rPr>
          <w:sz w:val="20"/>
        </w:rPr>
        <w:t>number</w:t>
      </w:r>
      <w:r>
        <w:rPr>
          <w:spacing w:val="-5"/>
          <w:sz w:val="20"/>
        </w:rPr>
        <w:t> </w:t>
      </w:r>
      <w:r>
        <w:rPr>
          <w:sz w:val="20"/>
        </w:rPr>
        <w:t>appearing</w:t>
      </w:r>
      <w:r>
        <w:rPr>
          <w:spacing w:val="-6"/>
          <w:sz w:val="20"/>
        </w:rPr>
        <w:t> </w:t>
      </w:r>
      <w:r>
        <w:rPr>
          <w:sz w:val="20"/>
        </w:rPr>
        <w:t>on</w:t>
      </w:r>
      <w:r>
        <w:rPr>
          <w:spacing w:val="-6"/>
          <w:sz w:val="20"/>
        </w:rPr>
        <w:t> </w:t>
      </w:r>
      <w:r>
        <w:rPr>
          <w:sz w:val="20"/>
        </w:rPr>
        <w:t>bank/savings</w:t>
      </w:r>
      <w:r>
        <w:rPr>
          <w:spacing w:val="-6"/>
          <w:sz w:val="20"/>
        </w:rPr>
        <w:t> </w:t>
      </w:r>
      <w:r>
        <w:rPr>
          <w:sz w:val="20"/>
        </w:rPr>
        <w:t>and</w:t>
      </w:r>
      <w:r>
        <w:rPr>
          <w:spacing w:val="-6"/>
          <w:sz w:val="20"/>
        </w:rPr>
        <w:t> </w:t>
      </w:r>
      <w:r>
        <w:rPr>
          <w:sz w:val="20"/>
        </w:rPr>
        <w:t>loan/other</w:t>
      </w:r>
      <w:r>
        <w:rPr>
          <w:spacing w:val="-7"/>
          <w:sz w:val="20"/>
        </w:rPr>
        <w:t> </w:t>
      </w:r>
      <w:r>
        <w:rPr>
          <w:sz w:val="20"/>
        </w:rPr>
        <w:t>depository</w:t>
      </w:r>
      <w:r>
        <w:rPr>
          <w:spacing w:val="-6"/>
          <w:sz w:val="20"/>
        </w:rPr>
        <w:t> </w:t>
      </w:r>
      <w:r>
        <w:rPr>
          <w:sz w:val="20"/>
        </w:rPr>
        <w:t>statement.</w:t>
      </w:r>
    </w:p>
    <w:p>
      <w:pPr>
        <w:pStyle w:val="ListParagraph"/>
        <w:numPr>
          <w:ilvl w:val="2"/>
          <w:numId w:val="7"/>
        </w:numPr>
        <w:tabs>
          <w:tab w:pos="1559" w:val="left" w:leader="none"/>
          <w:tab w:pos="1560" w:val="left" w:leader="none"/>
        </w:tabs>
        <w:spacing w:line="245" w:lineRule="exact" w:before="0" w:after="0"/>
        <w:ind w:left="1560" w:right="0" w:hanging="360"/>
        <w:jc w:val="left"/>
        <w:rPr>
          <w:sz w:val="20"/>
        </w:rPr>
      </w:pPr>
      <w:r>
        <w:rPr>
          <w:sz w:val="20"/>
        </w:rPr>
        <w:t>Type of account (savings, checking, ZBA, certificate of deposits, investment,</w:t>
      </w:r>
      <w:r>
        <w:rPr>
          <w:spacing w:val="-31"/>
          <w:sz w:val="20"/>
        </w:rPr>
        <w:t> </w:t>
      </w:r>
      <w:r>
        <w:rPr>
          <w:sz w:val="20"/>
        </w:rPr>
        <w:t>etc.).</w:t>
      </w:r>
    </w:p>
    <w:p>
      <w:pPr>
        <w:pStyle w:val="ListParagraph"/>
        <w:numPr>
          <w:ilvl w:val="2"/>
          <w:numId w:val="7"/>
        </w:numPr>
        <w:tabs>
          <w:tab w:pos="1559" w:val="left" w:leader="none"/>
          <w:tab w:pos="1560" w:val="left" w:leader="none"/>
        </w:tabs>
        <w:spacing w:line="240" w:lineRule="auto" w:before="0" w:after="0"/>
        <w:ind w:left="1560" w:right="214" w:hanging="360"/>
        <w:jc w:val="left"/>
        <w:rPr>
          <w:sz w:val="20"/>
        </w:rPr>
      </w:pPr>
      <w:r>
        <w:rPr>
          <w:sz w:val="20"/>
        </w:rPr>
        <w:t>Brief description and purpose of account. Must be consistent with the purpose approved by Finance, FSCU or authorized by</w:t>
      </w:r>
      <w:r>
        <w:rPr>
          <w:spacing w:val="-12"/>
          <w:sz w:val="20"/>
        </w:rPr>
        <w:t> </w:t>
      </w:r>
      <w:r>
        <w:rPr>
          <w:sz w:val="20"/>
        </w:rPr>
        <w:t>law.</w:t>
      </w:r>
    </w:p>
    <w:p>
      <w:pPr>
        <w:pStyle w:val="ListParagraph"/>
        <w:numPr>
          <w:ilvl w:val="2"/>
          <w:numId w:val="7"/>
        </w:numPr>
        <w:tabs>
          <w:tab w:pos="1559" w:val="left" w:leader="none"/>
          <w:tab w:pos="1560" w:val="left" w:leader="none"/>
        </w:tabs>
        <w:spacing w:line="244" w:lineRule="exact" w:before="0" w:after="0"/>
        <w:ind w:left="1560" w:right="0" w:hanging="360"/>
        <w:jc w:val="left"/>
        <w:rPr>
          <w:sz w:val="20"/>
        </w:rPr>
      </w:pPr>
      <w:r>
        <w:rPr>
          <w:sz w:val="20"/>
        </w:rPr>
        <w:t>Name and address of depository and</w:t>
      </w:r>
      <w:r>
        <w:rPr>
          <w:spacing w:val="-15"/>
          <w:sz w:val="20"/>
        </w:rPr>
        <w:t> </w:t>
      </w:r>
      <w:r>
        <w:rPr>
          <w:sz w:val="20"/>
        </w:rPr>
        <w:t>branch.</w:t>
      </w:r>
    </w:p>
    <w:p>
      <w:pPr>
        <w:pStyle w:val="ListParagraph"/>
        <w:numPr>
          <w:ilvl w:val="2"/>
          <w:numId w:val="7"/>
        </w:numPr>
        <w:tabs>
          <w:tab w:pos="1559" w:val="left" w:leader="none"/>
          <w:tab w:pos="1560" w:val="left" w:leader="none"/>
        </w:tabs>
        <w:spacing w:line="244" w:lineRule="exact" w:before="0" w:after="0"/>
        <w:ind w:left="1560" w:right="0" w:hanging="360"/>
        <w:jc w:val="left"/>
        <w:rPr>
          <w:sz w:val="20"/>
        </w:rPr>
      </w:pPr>
      <w:r>
        <w:rPr>
          <w:sz w:val="20"/>
        </w:rPr>
        <w:t>“Finance</w:t>
      </w:r>
      <w:r>
        <w:rPr>
          <w:spacing w:val="-7"/>
          <w:sz w:val="20"/>
        </w:rPr>
        <w:t> </w:t>
      </w:r>
      <w:r>
        <w:rPr>
          <w:sz w:val="20"/>
        </w:rPr>
        <w:t>approval”</w:t>
      </w:r>
      <w:r>
        <w:rPr>
          <w:spacing w:val="-6"/>
          <w:sz w:val="20"/>
        </w:rPr>
        <w:t> </w:t>
      </w:r>
      <w:r>
        <w:rPr>
          <w:sz w:val="20"/>
        </w:rPr>
        <w:t>and</w:t>
      </w:r>
      <w:r>
        <w:rPr>
          <w:spacing w:val="-7"/>
          <w:sz w:val="20"/>
        </w:rPr>
        <w:t> </w:t>
      </w:r>
      <w:r>
        <w:rPr>
          <w:sz w:val="20"/>
        </w:rPr>
        <w:t>date</w:t>
      </w:r>
      <w:r>
        <w:rPr>
          <w:spacing w:val="-7"/>
          <w:sz w:val="20"/>
        </w:rPr>
        <w:t> </w:t>
      </w:r>
      <w:r>
        <w:rPr>
          <w:sz w:val="20"/>
        </w:rPr>
        <w:t>or</w:t>
      </w:r>
      <w:r>
        <w:rPr>
          <w:spacing w:val="-6"/>
          <w:sz w:val="20"/>
        </w:rPr>
        <w:t> </w:t>
      </w:r>
      <w:r>
        <w:rPr>
          <w:sz w:val="20"/>
        </w:rPr>
        <w:t>specific</w:t>
      </w:r>
      <w:r>
        <w:rPr>
          <w:spacing w:val="-6"/>
          <w:sz w:val="20"/>
        </w:rPr>
        <w:t> </w:t>
      </w:r>
      <w:r>
        <w:rPr>
          <w:sz w:val="20"/>
        </w:rPr>
        <w:t>statutory</w:t>
      </w:r>
      <w:r>
        <w:rPr>
          <w:spacing w:val="-6"/>
          <w:sz w:val="20"/>
        </w:rPr>
        <w:t> </w:t>
      </w:r>
      <w:r>
        <w:rPr>
          <w:sz w:val="20"/>
        </w:rPr>
        <w:t>authority.</w:t>
      </w:r>
    </w:p>
    <w:p>
      <w:pPr>
        <w:pStyle w:val="ListParagraph"/>
        <w:numPr>
          <w:ilvl w:val="2"/>
          <w:numId w:val="7"/>
        </w:numPr>
        <w:tabs>
          <w:tab w:pos="1559" w:val="left" w:leader="none"/>
          <w:tab w:pos="1560" w:val="left" w:leader="none"/>
        </w:tabs>
        <w:spacing w:line="240" w:lineRule="auto" w:before="0" w:after="0"/>
        <w:ind w:left="1560" w:right="216" w:hanging="360"/>
        <w:jc w:val="left"/>
        <w:rPr>
          <w:sz w:val="20"/>
        </w:rPr>
      </w:pPr>
      <w:r>
        <w:rPr>
          <w:sz w:val="20"/>
        </w:rPr>
        <w:t>Book balance of account as of June 30. If the account was closed during the reporting period, include “N/A” and the date when the account was</w:t>
      </w:r>
      <w:r>
        <w:rPr>
          <w:spacing w:val="-25"/>
          <w:sz w:val="20"/>
        </w:rPr>
        <w:t> </w:t>
      </w:r>
      <w:r>
        <w:rPr>
          <w:sz w:val="20"/>
        </w:rPr>
        <w:t>closed.</w:t>
      </w:r>
    </w:p>
    <w:p>
      <w:pPr>
        <w:pStyle w:val="ListParagraph"/>
        <w:numPr>
          <w:ilvl w:val="2"/>
          <w:numId w:val="7"/>
        </w:numPr>
        <w:tabs>
          <w:tab w:pos="1559" w:val="left" w:leader="none"/>
          <w:tab w:pos="1560" w:val="left" w:leader="none"/>
        </w:tabs>
        <w:spacing w:line="244" w:lineRule="exact" w:before="0" w:after="0"/>
        <w:ind w:left="1560" w:right="0" w:hanging="360"/>
        <w:jc w:val="left"/>
        <w:rPr>
          <w:sz w:val="20"/>
        </w:rPr>
      </w:pPr>
      <w:r>
        <w:rPr>
          <w:sz w:val="20"/>
        </w:rPr>
        <w:t>Indicate</w:t>
      </w:r>
      <w:r>
        <w:rPr>
          <w:spacing w:val="-4"/>
          <w:sz w:val="20"/>
        </w:rPr>
        <w:t> </w:t>
      </w:r>
      <w:r>
        <w:rPr>
          <w:sz w:val="20"/>
        </w:rPr>
        <w:t>whether</w:t>
      </w:r>
      <w:r>
        <w:rPr>
          <w:spacing w:val="-4"/>
          <w:sz w:val="20"/>
        </w:rPr>
        <w:t> </w:t>
      </w:r>
      <w:r>
        <w:rPr>
          <w:sz w:val="20"/>
        </w:rPr>
        <w:t>the</w:t>
      </w:r>
      <w:r>
        <w:rPr>
          <w:spacing w:val="-4"/>
          <w:sz w:val="20"/>
        </w:rPr>
        <w:t> </w:t>
      </w:r>
      <w:r>
        <w:rPr>
          <w:sz w:val="20"/>
        </w:rPr>
        <w:t>account</w:t>
      </w:r>
      <w:r>
        <w:rPr>
          <w:spacing w:val="-4"/>
          <w:sz w:val="20"/>
        </w:rPr>
        <w:t> </w:t>
      </w:r>
      <w:r>
        <w:rPr>
          <w:sz w:val="20"/>
        </w:rPr>
        <w:t>is</w:t>
      </w:r>
      <w:r>
        <w:rPr>
          <w:spacing w:val="-4"/>
          <w:sz w:val="20"/>
        </w:rPr>
        <w:t> </w:t>
      </w:r>
      <w:r>
        <w:rPr>
          <w:sz w:val="20"/>
        </w:rPr>
        <w:t>collateralized</w:t>
      </w:r>
      <w:r>
        <w:rPr>
          <w:spacing w:val="-4"/>
          <w:sz w:val="20"/>
        </w:rPr>
        <w:t> </w:t>
      </w:r>
      <w:r>
        <w:rPr>
          <w:sz w:val="20"/>
        </w:rPr>
        <w:t>or</w:t>
      </w:r>
      <w:r>
        <w:rPr>
          <w:spacing w:val="-4"/>
          <w:sz w:val="20"/>
        </w:rPr>
        <w:t> </w:t>
      </w:r>
      <w:r>
        <w:rPr>
          <w:sz w:val="20"/>
        </w:rPr>
        <w:t>if</w:t>
      </w:r>
      <w:r>
        <w:rPr>
          <w:spacing w:val="-4"/>
          <w:sz w:val="20"/>
        </w:rPr>
        <w:t> </w:t>
      </w:r>
      <w:r>
        <w:rPr>
          <w:sz w:val="20"/>
        </w:rPr>
        <w:t>collateral</w:t>
      </w:r>
      <w:r>
        <w:rPr>
          <w:spacing w:val="-4"/>
          <w:sz w:val="20"/>
        </w:rPr>
        <w:t> </w:t>
      </w:r>
      <w:r>
        <w:rPr>
          <w:sz w:val="20"/>
        </w:rPr>
        <w:t>is</w:t>
      </w:r>
      <w:r>
        <w:rPr>
          <w:spacing w:val="-4"/>
          <w:sz w:val="20"/>
        </w:rPr>
        <w:t> </w:t>
      </w:r>
      <w:r>
        <w:rPr>
          <w:sz w:val="20"/>
        </w:rPr>
        <w:t>not</w:t>
      </w:r>
      <w:r>
        <w:rPr>
          <w:spacing w:val="-4"/>
          <w:sz w:val="20"/>
        </w:rPr>
        <w:t> </w:t>
      </w:r>
      <w:r>
        <w:rPr>
          <w:sz w:val="20"/>
        </w:rPr>
        <w:t>required.</w:t>
      </w:r>
    </w:p>
    <w:p>
      <w:pPr>
        <w:pStyle w:val="BodyText"/>
      </w:pPr>
    </w:p>
    <w:p>
      <w:pPr>
        <w:pStyle w:val="BodyText"/>
        <w:ind w:left="120" w:right="216"/>
        <w:jc w:val="both"/>
      </w:pPr>
      <w:r>
        <w:rPr/>
        <w:t>Accounts outside the CTS shall be reviewed periodically to ensure compliance with Finance approval and/or legal authority. If the account was approved by Finance and there is a need to update any conditions of the approval, including the purpose of the account or the banking information, a new request for approval must be submitted to Finance FSCU.</w:t>
      </w:r>
    </w:p>
    <w:p>
      <w:pPr>
        <w:pStyle w:val="BodyText"/>
        <w:spacing w:before="10"/>
        <w:rPr>
          <w:sz w:val="19"/>
        </w:rPr>
      </w:pPr>
    </w:p>
    <w:p>
      <w:pPr>
        <w:pStyle w:val="BodyText"/>
        <w:spacing w:before="1"/>
        <w:ind w:left="119" w:right="214"/>
        <w:jc w:val="both"/>
      </w:pPr>
      <w:r>
        <w:rPr/>
        <w:t>The department head is required to certify under penalty of perjury all information stated on the Report No. 14 is true and correct and the use of the account(s) is consistent with Finance approval or as authorized by law. The certification also affirms the deposited funds will be adequately collateralized throughout the year in accordance  with law. For additional information regarding the security and collateral requirements, consult with the State Treasurer’s Office</w:t>
      </w:r>
      <w:r>
        <w:rPr>
          <w:spacing w:val="-7"/>
        </w:rPr>
        <w:t> </w:t>
      </w:r>
      <w:r>
        <w:rPr/>
        <w:t>(STO).</w:t>
      </w:r>
    </w:p>
    <w:p>
      <w:pPr>
        <w:spacing w:after="0"/>
        <w:jc w:val="both"/>
        <w:sectPr>
          <w:pgSz w:w="12240" w:h="15840"/>
          <w:pgMar w:header="727" w:footer="743" w:top="940" w:bottom="940" w:left="1320" w:right="1220"/>
        </w:sectPr>
      </w:pPr>
    </w:p>
    <w:p>
      <w:pPr>
        <w:pStyle w:val="BodyText"/>
        <w:spacing w:before="9"/>
        <w:rPr>
          <w:sz w:val="15"/>
        </w:rPr>
      </w:pPr>
    </w:p>
    <w:p>
      <w:pPr>
        <w:pStyle w:val="BodyText"/>
        <w:spacing w:before="92"/>
        <w:ind w:left="120" w:right="116"/>
        <w:jc w:val="both"/>
      </w:pPr>
      <w:r>
        <w:rPr/>
        <w:t>The original Report No. 14 must be sent to the STO and a copy must be sent to Finance, FSCU by August 20. A copy of the Report No. 14 should only be submitted to the State Controller’s Office when there are accounts outside of the CTS.</w:t>
      </w:r>
    </w:p>
    <w:p>
      <w:pPr>
        <w:pStyle w:val="BodyText"/>
        <w:spacing w:before="10"/>
        <w:rPr>
          <w:sz w:val="19"/>
        </w:rPr>
      </w:pPr>
    </w:p>
    <w:p>
      <w:pPr>
        <w:pStyle w:val="BodyText"/>
        <w:ind w:left="120"/>
        <w:jc w:val="both"/>
      </w:pPr>
      <w:r>
        <w:rPr/>
        <w:t>A sample of Report No. 14 is shown in the </w:t>
      </w:r>
      <w:r>
        <w:rPr>
          <w:color w:val="0000FF"/>
        </w:rPr>
        <w:t>7975 Illustration</w:t>
      </w:r>
      <w:r>
        <w:rPr/>
        <w:t>.</w:t>
      </w:r>
    </w:p>
    <w:p>
      <w:pPr>
        <w:pStyle w:val="BodyText"/>
        <w:spacing w:before="1"/>
        <w:rPr>
          <w:sz w:val="12"/>
        </w:rPr>
      </w:pPr>
      <w:r>
        <w:rPr/>
        <w:drawing>
          <wp:anchor distT="0" distB="0" distL="0" distR="0" allowOverlap="1" layoutInCell="1" locked="0" behindDoc="0" simplePos="0" relativeHeight="1312">
            <wp:simplePos x="0" y="0"/>
            <wp:positionH relativeFrom="page">
              <wp:posOffset>909066</wp:posOffset>
            </wp:positionH>
            <wp:positionV relativeFrom="paragraph">
              <wp:posOffset>113065</wp:posOffset>
            </wp:positionV>
            <wp:extent cx="5916273" cy="7653147"/>
            <wp:effectExtent l="0" t="0" r="0" b="0"/>
            <wp:wrapTopAndBottom/>
            <wp:docPr id="27" name="image13.png" descr=""/>
            <wp:cNvGraphicFramePr>
              <a:graphicFrameLocks noChangeAspect="1"/>
            </wp:cNvGraphicFramePr>
            <a:graphic>
              <a:graphicData uri="http://schemas.openxmlformats.org/drawingml/2006/picture">
                <pic:pic>
                  <pic:nvPicPr>
                    <pic:cNvPr id="28" name="image13.png"/>
                    <pic:cNvPicPr/>
                  </pic:nvPicPr>
                  <pic:blipFill>
                    <a:blip r:embed="rId28" cstate="print"/>
                    <a:stretch>
                      <a:fillRect/>
                    </a:stretch>
                  </pic:blipFill>
                  <pic:spPr>
                    <a:xfrm>
                      <a:off x="0" y="0"/>
                      <a:ext cx="5916273" cy="7653147"/>
                    </a:xfrm>
                    <a:prstGeom prst="rect">
                      <a:avLst/>
                    </a:prstGeom>
                  </pic:spPr>
                </pic:pic>
              </a:graphicData>
            </a:graphic>
          </wp:anchor>
        </w:drawing>
      </w:r>
    </w:p>
    <w:p>
      <w:pPr>
        <w:spacing w:after="0"/>
        <w:rPr>
          <w:sz w:val="12"/>
        </w:rPr>
        <w:sectPr>
          <w:pgSz w:w="12240" w:h="15840"/>
          <w:pgMar w:header="727" w:footer="743" w:top="940" w:bottom="940" w:left="1320" w:right="1320"/>
        </w:sectPr>
      </w:pPr>
    </w:p>
    <w:p>
      <w:pPr>
        <w:pStyle w:val="BodyText"/>
        <w:spacing w:before="1"/>
        <w:rPr>
          <w:sz w:val="23"/>
        </w:rPr>
      </w:pPr>
    </w:p>
    <w:p>
      <w:pPr>
        <w:pStyle w:val="BodyText"/>
        <w:ind w:left="111"/>
      </w:pPr>
      <w:r>
        <w:rPr/>
        <w:drawing>
          <wp:inline distT="0" distB="0" distL="0" distR="0">
            <wp:extent cx="5916858" cy="7653146"/>
            <wp:effectExtent l="0" t="0" r="0" b="0"/>
            <wp:docPr id="29" name="image14.png" descr=""/>
            <wp:cNvGraphicFramePr>
              <a:graphicFrameLocks noChangeAspect="1"/>
            </wp:cNvGraphicFramePr>
            <a:graphic>
              <a:graphicData uri="http://schemas.openxmlformats.org/drawingml/2006/picture">
                <pic:pic>
                  <pic:nvPicPr>
                    <pic:cNvPr id="30" name="image14.png"/>
                    <pic:cNvPicPr/>
                  </pic:nvPicPr>
                  <pic:blipFill>
                    <a:blip r:embed="rId29" cstate="print"/>
                    <a:stretch>
                      <a:fillRect/>
                    </a:stretch>
                  </pic:blipFill>
                  <pic:spPr>
                    <a:xfrm>
                      <a:off x="0" y="0"/>
                      <a:ext cx="5916858" cy="7653146"/>
                    </a:xfrm>
                    <a:prstGeom prst="rect">
                      <a:avLst/>
                    </a:prstGeom>
                  </pic:spPr>
                </pic:pic>
              </a:graphicData>
            </a:graphic>
          </wp:inline>
        </w:drawing>
      </w:r>
      <w:r>
        <w:rPr/>
      </w:r>
    </w:p>
    <w:p>
      <w:pPr>
        <w:spacing w:after="0"/>
        <w:sectPr>
          <w:pgSz w:w="12240" w:h="15840"/>
          <w:pgMar w:header="727" w:footer="743" w:top="940" w:bottom="940" w:left="1320" w:right="1320"/>
        </w:sectPr>
      </w:pPr>
    </w:p>
    <w:p>
      <w:pPr>
        <w:pStyle w:val="BodyText"/>
        <w:rPr>
          <w:sz w:val="16"/>
        </w:rPr>
      </w:pPr>
    </w:p>
    <w:p>
      <w:pPr>
        <w:pStyle w:val="Heading2"/>
        <w:tabs>
          <w:tab w:pos="9040" w:val="left" w:leader="none"/>
        </w:tabs>
        <w:spacing w:line="230" w:lineRule="exact" w:before="92"/>
        <w:ind w:left="120"/>
      </w:pPr>
      <w:r>
        <w:rPr/>
        <w:t>YEAR-END REPORT</w:t>
      </w:r>
      <w:r>
        <w:rPr>
          <w:spacing w:val="-4"/>
        </w:rPr>
        <w:t> </w:t>
      </w:r>
      <w:r>
        <w:rPr/>
        <w:t>NO.</w:t>
      </w:r>
      <w:r>
        <w:rPr>
          <w:spacing w:val="-1"/>
        </w:rPr>
        <w:t> </w:t>
      </w:r>
      <w:r>
        <w:rPr/>
        <w:t>15,</w:t>
        <w:tab/>
        <w:t>7976</w:t>
      </w:r>
    </w:p>
    <w:p>
      <w:pPr>
        <w:spacing w:before="0"/>
        <w:ind w:left="120" w:right="2975" w:firstLine="0"/>
        <w:jc w:val="left"/>
        <w:rPr>
          <w:b/>
          <w:sz w:val="20"/>
        </w:rPr>
      </w:pPr>
      <w:r>
        <w:rPr>
          <w:b/>
          <w:sz w:val="20"/>
        </w:rPr>
        <w:t>RECONCILIATION OF AGENCY ACCOUNTS WITH TRANSACTIONS PER STATE CONTROLLER</w:t>
      </w:r>
    </w:p>
    <w:p>
      <w:pPr>
        <w:pStyle w:val="BodyText"/>
        <w:spacing w:line="228" w:lineRule="exact"/>
        <w:ind w:left="120"/>
      </w:pPr>
      <w:r>
        <w:rPr/>
        <w:t>(Revised 06/13)</w:t>
      </w:r>
    </w:p>
    <w:p>
      <w:pPr>
        <w:pStyle w:val="BodyText"/>
        <w:spacing w:before="10"/>
        <w:rPr>
          <w:sz w:val="19"/>
        </w:rPr>
      </w:pPr>
    </w:p>
    <w:p>
      <w:pPr>
        <w:pStyle w:val="BodyText"/>
        <w:ind w:left="120" w:right="123"/>
      </w:pPr>
      <w:r>
        <w:rPr/>
        <w:t>This report assures the accuracy and completeness of a department's revenue and expenditure accounts reported on its year-end reports. The Report No. 15 presents a reconciliation of a department's nominal accounts, the 8000 and 9000 series general ledger accounts with transactions per the State Controller as of June 30. The fund administrator will also include on Report 15 certain statewide assessments charged to the fund. Submit this report with other year- end reports to the SCO.</w:t>
      </w:r>
    </w:p>
    <w:p>
      <w:pPr>
        <w:pStyle w:val="BodyText"/>
      </w:pPr>
    </w:p>
    <w:p>
      <w:pPr>
        <w:pStyle w:val="BodyText"/>
        <w:ind w:left="119" w:right="151"/>
      </w:pPr>
      <w:r>
        <w:rPr/>
        <w:t>A sample and instructions of how to complete Report No. 15, Reconciliation of Agency Accounts with Transactions per State Controller, is shown in the </w:t>
      </w:r>
      <w:r>
        <w:rPr>
          <w:color w:val="0000FF"/>
        </w:rPr>
        <w:t>7976 Illustration 1 </w:t>
      </w:r>
      <w:r>
        <w:rPr/>
        <w:t>and </w:t>
      </w:r>
      <w:r>
        <w:rPr>
          <w:color w:val="0000FF"/>
        </w:rPr>
        <w:t>Illustration 2</w:t>
      </w:r>
      <w:r>
        <w:rPr/>
        <w:t>.</w:t>
      </w:r>
    </w:p>
    <w:p>
      <w:pPr>
        <w:pStyle w:val="BodyText"/>
        <w:rPr>
          <w:sz w:val="22"/>
        </w:rPr>
      </w:pPr>
    </w:p>
    <w:p>
      <w:pPr>
        <w:pStyle w:val="BodyText"/>
        <w:spacing w:before="2"/>
        <w:rPr>
          <w:sz w:val="18"/>
        </w:rPr>
      </w:pPr>
    </w:p>
    <w:p>
      <w:pPr>
        <w:pStyle w:val="Heading2"/>
        <w:tabs>
          <w:tab w:pos="9020" w:val="left" w:leader="none"/>
        </w:tabs>
        <w:spacing w:before="0"/>
        <w:ind w:left="119"/>
      </w:pPr>
      <w:r>
        <w:rPr/>
        <w:t>YEAR-END REPORT</w:t>
      </w:r>
      <w:r>
        <w:rPr>
          <w:spacing w:val="-4"/>
        </w:rPr>
        <w:t> </w:t>
      </w:r>
      <w:r>
        <w:rPr/>
        <w:t>NO.</w:t>
      </w:r>
      <w:r>
        <w:rPr>
          <w:spacing w:val="-1"/>
        </w:rPr>
        <w:t> </w:t>
      </w:r>
      <w:r>
        <w:rPr/>
        <w:t>18,</w:t>
        <w:tab/>
        <w:t>7977</w:t>
      </w:r>
    </w:p>
    <w:p>
      <w:pPr>
        <w:spacing w:line="229" w:lineRule="exact" w:before="0"/>
        <w:ind w:left="119" w:right="0" w:firstLine="0"/>
        <w:jc w:val="left"/>
        <w:rPr>
          <w:b/>
          <w:sz w:val="20"/>
        </w:rPr>
      </w:pPr>
      <w:r>
        <w:rPr>
          <w:b/>
          <w:sz w:val="20"/>
        </w:rPr>
        <w:t>STATEMENT OF CHANGES IN CAPITAL ASSETS GROUP OF ACCOUNTS</w:t>
      </w:r>
    </w:p>
    <w:p>
      <w:pPr>
        <w:pStyle w:val="BodyText"/>
        <w:spacing w:line="229" w:lineRule="exact"/>
        <w:ind w:left="119"/>
      </w:pPr>
      <w:r>
        <w:rPr/>
        <w:t>(Revised 09/10)</w:t>
      </w:r>
    </w:p>
    <w:p>
      <w:pPr>
        <w:pStyle w:val="BodyText"/>
      </w:pPr>
    </w:p>
    <w:p>
      <w:pPr>
        <w:pStyle w:val="BodyText"/>
        <w:ind w:left="119" w:right="117"/>
        <w:jc w:val="both"/>
      </w:pPr>
      <w:r>
        <w:rPr/>
        <w:t>This report accounts for changes resulting from capital asset acquisitions and dispositions during the fiscal year. Submit this report with other year-end reports to the SCO. See SAM Sections 7463 and 8660 for additional information.</w:t>
      </w:r>
    </w:p>
    <w:p>
      <w:pPr>
        <w:pStyle w:val="BodyText"/>
        <w:spacing w:before="184"/>
        <w:ind w:left="120"/>
      </w:pPr>
      <w:r>
        <w:rPr/>
        <w:t>A sample of Report No. 18, Statement of Changes in Capital Assets Group of Accounts, is shown in the 7977 Illustration.</w:t>
      </w:r>
    </w:p>
    <w:p>
      <w:pPr>
        <w:spacing w:after="0"/>
        <w:sectPr>
          <w:pgSz w:w="12240" w:h="15840"/>
          <w:pgMar w:header="727" w:footer="743" w:top="940" w:bottom="940" w:left="1320" w:right="1320"/>
        </w:sectPr>
      </w:pPr>
    </w:p>
    <w:p>
      <w:pPr>
        <w:pStyle w:val="BodyText"/>
        <w:spacing w:before="1"/>
        <w:rPr>
          <w:sz w:val="23"/>
        </w:rPr>
      </w:pPr>
    </w:p>
    <w:p>
      <w:pPr>
        <w:pStyle w:val="BodyText"/>
        <w:ind w:left="111"/>
      </w:pPr>
      <w:r>
        <w:rPr/>
        <w:drawing>
          <wp:inline distT="0" distB="0" distL="0" distR="0">
            <wp:extent cx="5916858" cy="7653146"/>
            <wp:effectExtent l="0" t="0" r="0" b="0"/>
            <wp:docPr id="31" name="image15.png" descr=""/>
            <wp:cNvGraphicFramePr>
              <a:graphicFrameLocks noChangeAspect="1"/>
            </wp:cNvGraphicFramePr>
            <a:graphic>
              <a:graphicData uri="http://schemas.openxmlformats.org/drawingml/2006/picture">
                <pic:pic>
                  <pic:nvPicPr>
                    <pic:cNvPr id="32" name="image15.png"/>
                    <pic:cNvPicPr/>
                  </pic:nvPicPr>
                  <pic:blipFill>
                    <a:blip r:embed="rId31" cstate="print"/>
                    <a:stretch>
                      <a:fillRect/>
                    </a:stretch>
                  </pic:blipFill>
                  <pic:spPr>
                    <a:xfrm>
                      <a:off x="0" y="0"/>
                      <a:ext cx="5916858" cy="7653146"/>
                    </a:xfrm>
                    <a:prstGeom prst="rect">
                      <a:avLst/>
                    </a:prstGeom>
                  </pic:spPr>
                </pic:pic>
              </a:graphicData>
            </a:graphic>
          </wp:inline>
        </w:drawing>
      </w:r>
      <w:r>
        <w:rPr/>
      </w:r>
    </w:p>
    <w:p>
      <w:pPr>
        <w:spacing w:after="0"/>
        <w:sectPr>
          <w:footerReference w:type="default" r:id="rId30"/>
          <w:pgSz w:w="12240" w:h="15840"/>
          <w:pgMar w:footer="743" w:header="727" w:top="940" w:bottom="940" w:left="1320" w:right="1320"/>
        </w:sectPr>
      </w:pPr>
    </w:p>
    <w:p>
      <w:pPr>
        <w:pStyle w:val="BodyText"/>
        <w:spacing w:before="1"/>
        <w:rPr>
          <w:sz w:val="23"/>
        </w:rPr>
      </w:pPr>
    </w:p>
    <w:p>
      <w:pPr>
        <w:pStyle w:val="BodyText"/>
        <w:ind w:left="111"/>
      </w:pPr>
      <w:r>
        <w:rPr/>
        <w:drawing>
          <wp:inline distT="0" distB="0" distL="0" distR="0">
            <wp:extent cx="5916858" cy="7653146"/>
            <wp:effectExtent l="0" t="0" r="0" b="0"/>
            <wp:docPr id="33" name="image16.png" descr=""/>
            <wp:cNvGraphicFramePr>
              <a:graphicFrameLocks noChangeAspect="1"/>
            </wp:cNvGraphicFramePr>
            <a:graphic>
              <a:graphicData uri="http://schemas.openxmlformats.org/drawingml/2006/picture">
                <pic:pic>
                  <pic:nvPicPr>
                    <pic:cNvPr id="34" name="image16.png"/>
                    <pic:cNvPicPr/>
                  </pic:nvPicPr>
                  <pic:blipFill>
                    <a:blip r:embed="rId32" cstate="print"/>
                    <a:stretch>
                      <a:fillRect/>
                    </a:stretch>
                  </pic:blipFill>
                  <pic:spPr>
                    <a:xfrm>
                      <a:off x="0" y="0"/>
                      <a:ext cx="5916858" cy="7653146"/>
                    </a:xfrm>
                    <a:prstGeom prst="rect">
                      <a:avLst/>
                    </a:prstGeom>
                  </pic:spPr>
                </pic:pic>
              </a:graphicData>
            </a:graphic>
          </wp:inline>
        </w:drawing>
      </w:r>
      <w:r>
        <w:rPr/>
      </w:r>
    </w:p>
    <w:p>
      <w:pPr>
        <w:spacing w:after="0"/>
        <w:sectPr>
          <w:pgSz w:w="12240" w:h="15840"/>
          <w:pgMar w:header="727" w:footer="743" w:top="940" w:bottom="940" w:left="1320" w:right="1320"/>
        </w:sectPr>
      </w:pPr>
    </w:p>
    <w:p>
      <w:pPr>
        <w:pStyle w:val="BodyText"/>
      </w:pPr>
    </w:p>
    <w:p>
      <w:pPr>
        <w:pStyle w:val="BodyText"/>
        <w:spacing w:before="11"/>
        <w:rPr>
          <w:sz w:val="15"/>
        </w:rPr>
      </w:pPr>
    </w:p>
    <w:p>
      <w:pPr>
        <w:tabs>
          <w:tab w:pos="9000" w:val="left" w:leader="none"/>
        </w:tabs>
        <w:spacing w:before="92"/>
        <w:ind w:left="100" w:right="0" w:firstLine="0"/>
        <w:jc w:val="both"/>
        <w:rPr>
          <w:b/>
          <w:sz w:val="20"/>
        </w:rPr>
      </w:pPr>
      <w:r>
        <w:rPr>
          <w:b/>
          <w:sz w:val="20"/>
        </w:rPr>
        <w:t>YEAR-END REPORT</w:t>
      </w:r>
      <w:r>
        <w:rPr>
          <w:b/>
          <w:spacing w:val="-4"/>
          <w:sz w:val="20"/>
        </w:rPr>
        <w:t> </w:t>
      </w:r>
      <w:r>
        <w:rPr>
          <w:b/>
          <w:sz w:val="20"/>
        </w:rPr>
        <w:t>NO.</w:t>
      </w:r>
      <w:r>
        <w:rPr>
          <w:b/>
          <w:spacing w:val="-1"/>
          <w:sz w:val="20"/>
        </w:rPr>
        <w:t> </w:t>
      </w:r>
      <w:r>
        <w:rPr>
          <w:b/>
          <w:sz w:val="20"/>
        </w:rPr>
        <w:t>19,</w:t>
        <w:tab/>
        <w:t>7978</w:t>
      </w:r>
    </w:p>
    <w:p>
      <w:pPr>
        <w:spacing w:line="229" w:lineRule="exact" w:before="0"/>
        <w:ind w:left="100" w:right="0" w:firstLine="0"/>
        <w:jc w:val="both"/>
        <w:rPr>
          <w:b/>
          <w:sz w:val="20"/>
        </w:rPr>
      </w:pPr>
      <w:r>
        <w:rPr>
          <w:b/>
          <w:sz w:val="20"/>
        </w:rPr>
        <w:t>STATEMENT OF CAPITAL ASSETS GROUP OF ACCOUNTS</w:t>
      </w:r>
    </w:p>
    <w:p>
      <w:pPr>
        <w:pStyle w:val="BodyText"/>
        <w:spacing w:line="229" w:lineRule="exact"/>
        <w:ind w:left="100"/>
        <w:jc w:val="both"/>
      </w:pPr>
      <w:r>
        <w:rPr/>
        <w:t>(Revised 09/10)</w:t>
      </w:r>
    </w:p>
    <w:p>
      <w:pPr>
        <w:pStyle w:val="BodyText"/>
        <w:spacing w:before="11"/>
        <w:rPr>
          <w:sz w:val="19"/>
        </w:rPr>
      </w:pPr>
    </w:p>
    <w:p>
      <w:pPr>
        <w:pStyle w:val="BodyText"/>
        <w:ind w:left="100" w:right="114"/>
        <w:jc w:val="both"/>
      </w:pPr>
      <w:r>
        <w:rPr/>
        <w:t>This report accounts for the total capital assets of an agency and identifies the fund that purchased the capital assets. Report No. 19 summarizes the information contained in Report No. 18 as of June 30. Submit this report with other year-end reports to the SCO. See SAM Sections 7463 and 8660 for additional information.</w:t>
      </w:r>
    </w:p>
    <w:p>
      <w:pPr>
        <w:pStyle w:val="BodyText"/>
        <w:spacing w:before="183"/>
        <w:ind w:left="100"/>
        <w:jc w:val="both"/>
      </w:pPr>
      <w:r>
        <w:rPr/>
        <w:t>A sample of Report No. 19, Statement of Capital Assets Group of Accounts, is shown in the </w:t>
      </w:r>
      <w:r>
        <w:rPr>
          <w:color w:val="0000FF"/>
        </w:rPr>
        <w:t>7978 Illustration</w:t>
      </w:r>
      <w:r>
        <w:rPr/>
        <w:t>.</w:t>
      </w:r>
    </w:p>
    <w:p>
      <w:pPr>
        <w:spacing w:after="0"/>
        <w:jc w:val="both"/>
        <w:sectPr>
          <w:pgSz w:w="12240" w:h="15840"/>
          <w:pgMar w:header="727" w:footer="743" w:top="940" w:bottom="940" w:left="1340" w:right="1320"/>
        </w:sectPr>
      </w:pPr>
    </w:p>
    <w:p>
      <w:pPr>
        <w:pStyle w:val="BodyText"/>
        <w:spacing w:before="11"/>
        <w:rPr>
          <w:sz w:val="16"/>
        </w:rPr>
      </w:pPr>
    </w:p>
    <w:p>
      <w:pPr>
        <w:tabs>
          <w:tab w:pos="9077" w:val="left" w:leader="none"/>
        </w:tabs>
        <w:spacing w:before="92"/>
        <w:ind w:left="120" w:right="0" w:firstLine="0"/>
        <w:jc w:val="left"/>
        <w:rPr>
          <w:b/>
          <w:sz w:val="20"/>
        </w:rPr>
      </w:pPr>
      <w:bookmarkStart w:name="8454-8473.1(5)" w:id="7"/>
      <w:bookmarkEnd w:id="7"/>
      <w:r>
        <w:rPr/>
      </w:r>
      <w:r>
        <w:rPr>
          <w:b/>
          <w:sz w:val="20"/>
        </w:rPr>
        <w:t>PUBLIC WORKS PROJECTS</w:t>
        <w:tab/>
        <w:t>8454</w:t>
      </w:r>
    </w:p>
    <w:p>
      <w:pPr>
        <w:pStyle w:val="BodyText"/>
        <w:spacing w:before="1"/>
        <w:ind w:left="120"/>
      </w:pPr>
      <w:r>
        <w:rPr/>
        <w:t>(Revised 12/89)</w:t>
      </w:r>
    </w:p>
    <w:p>
      <w:pPr>
        <w:pStyle w:val="BodyText"/>
        <w:spacing w:before="7"/>
      </w:pPr>
    </w:p>
    <w:p>
      <w:pPr>
        <w:pStyle w:val="BodyText"/>
        <w:spacing w:line="244" w:lineRule="auto"/>
        <w:ind w:left="120" w:right="192"/>
        <w:jc w:val="both"/>
      </w:pPr>
      <w:r>
        <w:rPr/>
        <w:t>After (1) moneys have been budgeted for a public works project, (2) general agreement as to the scope of the project and its cost has been reached between the agency and the Office of the State Architect, Department of General Services, and (3) the approval of the Public Works Board has been obtained, if required, the normal procedure is as follows:</w:t>
      </w:r>
    </w:p>
    <w:p>
      <w:pPr>
        <w:pStyle w:val="BodyText"/>
        <w:spacing w:before="3"/>
      </w:pPr>
    </w:p>
    <w:p>
      <w:pPr>
        <w:pStyle w:val="ListParagraph"/>
        <w:numPr>
          <w:ilvl w:val="0"/>
          <w:numId w:val="8"/>
        </w:numPr>
        <w:tabs>
          <w:tab w:pos="479" w:val="left" w:leader="none"/>
          <w:tab w:pos="480" w:val="left" w:leader="none"/>
        </w:tabs>
        <w:spacing w:line="244" w:lineRule="auto" w:before="0" w:after="0"/>
        <w:ind w:left="480" w:right="315" w:hanging="360"/>
        <w:jc w:val="left"/>
        <w:rPr>
          <w:sz w:val="20"/>
        </w:rPr>
      </w:pPr>
      <w:r>
        <w:rPr>
          <w:sz w:val="20"/>
        </w:rPr>
        <w:t>The Office of the State Architect will prepare a Public Works Project Authorization and Transfer Request, OAC Form 22, in septuplicate, retaining one copy and forwarding the original and five copies to the agency</w:t>
      </w:r>
      <w:r>
        <w:rPr>
          <w:spacing w:val="-2"/>
          <w:sz w:val="20"/>
        </w:rPr>
        <w:t> </w:t>
      </w:r>
      <w:r>
        <w:rPr>
          <w:sz w:val="20"/>
        </w:rPr>
        <w:t>concerned.</w:t>
      </w:r>
    </w:p>
    <w:p>
      <w:pPr>
        <w:pStyle w:val="BodyText"/>
        <w:spacing w:before="4"/>
        <w:rPr>
          <w:sz w:val="17"/>
        </w:rPr>
      </w:pPr>
    </w:p>
    <w:p>
      <w:pPr>
        <w:pStyle w:val="ListParagraph"/>
        <w:numPr>
          <w:ilvl w:val="0"/>
          <w:numId w:val="8"/>
        </w:numPr>
        <w:tabs>
          <w:tab w:pos="479" w:val="left" w:leader="none"/>
          <w:tab w:pos="480" w:val="left" w:leader="none"/>
        </w:tabs>
        <w:spacing w:line="244" w:lineRule="auto" w:before="0" w:after="0"/>
        <w:ind w:left="479" w:right="264" w:hanging="359"/>
        <w:jc w:val="left"/>
        <w:rPr>
          <w:sz w:val="20"/>
        </w:rPr>
      </w:pPr>
      <w:r>
        <w:rPr>
          <w:sz w:val="20"/>
        </w:rPr>
        <w:t>The agency or institution accounting officer will certify as to the availability of funds on the original and five copies of the</w:t>
      </w:r>
      <w:r>
        <w:rPr>
          <w:spacing w:val="-3"/>
          <w:sz w:val="20"/>
        </w:rPr>
        <w:t> </w:t>
      </w:r>
      <w:r>
        <w:rPr>
          <w:sz w:val="20"/>
        </w:rPr>
        <w:t>document.</w:t>
      </w:r>
    </w:p>
    <w:p>
      <w:pPr>
        <w:pStyle w:val="BodyText"/>
        <w:spacing w:before="4"/>
        <w:rPr>
          <w:sz w:val="17"/>
        </w:rPr>
      </w:pPr>
    </w:p>
    <w:p>
      <w:pPr>
        <w:pStyle w:val="ListParagraph"/>
        <w:numPr>
          <w:ilvl w:val="0"/>
          <w:numId w:val="8"/>
        </w:numPr>
        <w:tabs>
          <w:tab w:pos="479" w:val="left" w:leader="none"/>
          <w:tab w:pos="480" w:val="left" w:leader="none"/>
        </w:tabs>
        <w:spacing w:line="240" w:lineRule="auto" w:before="0" w:after="0"/>
        <w:ind w:left="479" w:right="0" w:hanging="360"/>
        <w:jc w:val="left"/>
        <w:rPr>
          <w:sz w:val="20"/>
        </w:rPr>
      </w:pPr>
      <w:r>
        <w:rPr>
          <w:sz w:val="20"/>
        </w:rPr>
        <w:t>An agency executive officer will sign his approval on the original and all copies forwarded to</w:t>
      </w:r>
      <w:r>
        <w:rPr>
          <w:spacing w:val="-23"/>
          <w:sz w:val="20"/>
        </w:rPr>
        <w:t> </w:t>
      </w:r>
      <w:r>
        <w:rPr>
          <w:sz w:val="20"/>
        </w:rPr>
        <w:t>him.</w:t>
      </w:r>
    </w:p>
    <w:p>
      <w:pPr>
        <w:pStyle w:val="BodyText"/>
        <w:spacing w:before="8"/>
        <w:rPr>
          <w:sz w:val="17"/>
        </w:rPr>
      </w:pPr>
    </w:p>
    <w:p>
      <w:pPr>
        <w:pStyle w:val="ListParagraph"/>
        <w:numPr>
          <w:ilvl w:val="0"/>
          <w:numId w:val="8"/>
        </w:numPr>
        <w:tabs>
          <w:tab w:pos="479" w:val="left" w:leader="none"/>
          <w:tab w:pos="480" w:val="left" w:leader="none"/>
        </w:tabs>
        <w:spacing w:line="244" w:lineRule="auto" w:before="1" w:after="0"/>
        <w:ind w:left="479" w:right="116" w:hanging="360"/>
        <w:jc w:val="left"/>
        <w:rPr>
          <w:sz w:val="20"/>
        </w:rPr>
      </w:pPr>
      <w:r>
        <w:rPr>
          <w:sz w:val="20"/>
        </w:rPr>
        <w:t>As requirements differ among agencies, each agency will determine the specific routing and distribution of copies to meet its needs, but will forward the original and at least three copies promptly to the Department of Finance for approval as to compliance with budget requirements. Agencies are urged to minimize internal routing of the form to expedite its processing, the transfer of funds, and the initiation of the</w:t>
      </w:r>
      <w:r>
        <w:rPr>
          <w:spacing w:val="7"/>
          <w:sz w:val="20"/>
        </w:rPr>
        <w:t> </w:t>
      </w:r>
      <w:r>
        <w:rPr>
          <w:sz w:val="20"/>
        </w:rPr>
        <w:t>project.</w:t>
      </w:r>
    </w:p>
    <w:p>
      <w:pPr>
        <w:pStyle w:val="BodyText"/>
        <w:spacing w:before="4"/>
        <w:rPr>
          <w:sz w:val="17"/>
        </w:rPr>
      </w:pPr>
    </w:p>
    <w:p>
      <w:pPr>
        <w:pStyle w:val="ListParagraph"/>
        <w:numPr>
          <w:ilvl w:val="0"/>
          <w:numId w:val="8"/>
        </w:numPr>
        <w:tabs>
          <w:tab w:pos="479" w:val="left" w:leader="none"/>
          <w:tab w:pos="480" w:val="left" w:leader="none"/>
        </w:tabs>
        <w:spacing w:line="244" w:lineRule="auto" w:before="0" w:after="0"/>
        <w:ind w:left="479" w:right="243" w:hanging="360"/>
        <w:jc w:val="left"/>
        <w:rPr>
          <w:sz w:val="20"/>
        </w:rPr>
      </w:pPr>
      <w:r>
        <w:rPr>
          <w:sz w:val="20"/>
        </w:rPr>
        <w:t>After approval, the Department of Finance will forward the original to the State Controller's Office, the duplicate to the Office of the State Architect, retain one copy for its own files, and forward the remaining copy or copies to the agency concerned.</w:t>
      </w:r>
    </w:p>
    <w:p>
      <w:pPr>
        <w:pStyle w:val="BodyText"/>
        <w:spacing w:before="3"/>
        <w:rPr>
          <w:sz w:val="17"/>
        </w:rPr>
      </w:pPr>
    </w:p>
    <w:p>
      <w:pPr>
        <w:pStyle w:val="ListParagraph"/>
        <w:numPr>
          <w:ilvl w:val="0"/>
          <w:numId w:val="8"/>
        </w:numPr>
        <w:tabs>
          <w:tab w:pos="479" w:val="left" w:leader="none"/>
          <w:tab w:pos="480" w:val="left" w:leader="none"/>
        </w:tabs>
        <w:spacing w:line="240" w:lineRule="auto" w:before="1" w:after="0"/>
        <w:ind w:left="479" w:right="0" w:hanging="360"/>
        <w:jc w:val="left"/>
        <w:rPr>
          <w:sz w:val="20"/>
        </w:rPr>
      </w:pPr>
      <w:r>
        <w:rPr>
          <w:sz w:val="20"/>
        </w:rPr>
        <w:t>The Office of the State Architect will proceed with scheduling the work when its approved copy is</w:t>
      </w:r>
      <w:r>
        <w:rPr>
          <w:spacing w:val="15"/>
          <w:sz w:val="20"/>
        </w:rPr>
        <w:t> </w:t>
      </w:r>
      <w:r>
        <w:rPr>
          <w:sz w:val="20"/>
        </w:rPr>
        <w:t>returned.</w:t>
      </w:r>
    </w:p>
    <w:p>
      <w:pPr>
        <w:pStyle w:val="BodyText"/>
        <w:spacing w:before="9"/>
        <w:rPr>
          <w:sz w:val="17"/>
        </w:rPr>
      </w:pPr>
    </w:p>
    <w:p>
      <w:pPr>
        <w:pStyle w:val="ListParagraph"/>
        <w:numPr>
          <w:ilvl w:val="0"/>
          <w:numId w:val="8"/>
        </w:numPr>
        <w:tabs>
          <w:tab w:pos="479" w:val="left" w:leader="none"/>
          <w:tab w:pos="480" w:val="left" w:leader="none"/>
        </w:tabs>
        <w:spacing w:line="244" w:lineRule="auto" w:before="0" w:after="0"/>
        <w:ind w:left="479" w:right="256" w:hanging="360"/>
        <w:jc w:val="left"/>
        <w:rPr>
          <w:sz w:val="20"/>
        </w:rPr>
      </w:pPr>
      <w:r>
        <w:rPr>
          <w:sz w:val="20"/>
        </w:rPr>
        <w:t>The State Controller's Office, upon receipt of the approved copy, will transfer the amount requested from the fund and appropriation specified to the Architecture Revolving Fund. If cash is not immediately available in the fund concerned, the State Controller's Office will make the transfer as soon as the necessary cash becomes</w:t>
      </w:r>
      <w:r>
        <w:rPr>
          <w:spacing w:val="-19"/>
          <w:sz w:val="20"/>
        </w:rPr>
        <w:t> </w:t>
      </w:r>
      <w:r>
        <w:rPr>
          <w:sz w:val="20"/>
        </w:rPr>
        <w:t>available.</w:t>
      </w:r>
    </w:p>
    <w:p>
      <w:pPr>
        <w:pStyle w:val="BodyText"/>
        <w:spacing w:before="4"/>
        <w:rPr>
          <w:sz w:val="17"/>
        </w:rPr>
      </w:pPr>
    </w:p>
    <w:p>
      <w:pPr>
        <w:pStyle w:val="BodyText"/>
        <w:spacing w:line="244" w:lineRule="auto"/>
        <w:ind w:left="119"/>
      </w:pPr>
      <w:r>
        <w:rPr/>
        <w:t>On those projects for which a written agreement between the agency and the Office of the State Architect is necessary, an Interagency Agreement, Std. Form 13. will be initiated by the Office of the State Architect. These agreements will cover the entire scope of a project; when more than one OAC Form 22 will be initiated as funds are needed.</w:t>
      </w:r>
    </w:p>
    <w:p>
      <w:pPr>
        <w:pStyle w:val="BodyText"/>
        <w:spacing w:before="3"/>
      </w:pPr>
    </w:p>
    <w:p>
      <w:pPr>
        <w:pStyle w:val="BodyText"/>
        <w:spacing w:line="244" w:lineRule="auto"/>
        <w:ind w:left="119" w:right="199"/>
      </w:pPr>
      <w:r>
        <w:rPr/>
        <w:t>Agencies will encumber Public Works Project Authorization and Transfer Requests, OAC Form 22, at the time those requests are approved by the agency.</w:t>
      </w:r>
    </w:p>
    <w:p>
      <w:pPr>
        <w:spacing w:after="0" w:line="244" w:lineRule="auto"/>
        <w:sectPr>
          <w:headerReference w:type="default" r:id="rId33"/>
          <w:footerReference w:type="default" r:id="rId34"/>
          <w:pgSz w:w="12240" w:h="15840"/>
          <w:pgMar w:header="483" w:footer="742" w:top="700" w:bottom="940" w:left="1320" w:right="620"/>
        </w:sectPr>
      </w:pPr>
    </w:p>
    <w:p>
      <w:pPr>
        <w:pStyle w:val="BodyText"/>
      </w:pPr>
    </w:p>
    <w:p>
      <w:pPr>
        <w:pStyle w:val="BodyText"/>
        <w:spacing w:before="3"/>
        <w:rPr>
          <w:sz w:val="17"/>
        </w:rPr>
      </w:pPr>
    </w:p>
    <w:p>
      <w:pPr>
        <w:spacing w:before="92"/>
        <w:ind w:left="120" w:right="0" w:firstLine="0"/>
        <w:jc w:val="left"/>
        <w:rPr>
          <w:b/>
          <w:sz w:val="20"/>
        </w:rPr>
      </w:pPr>
      <w:r>
        <w:rPr>
          <w:b/>
          <w:sz w:val="20"/>
        </w:rPr>
        <w:t>SERVICES PROVIDED BY THE DEPARTMENT OF GENERAL SERVICES</w:t>
      </w:r>
    </w:p>
    <w:p>
      <w:pPr>
        <w:pStyle w:val="BodyText"/>
        <w:spacing w:before="8"/>
        <w:rPr>
          <w:b/>
        </w:rPr>
      </w:pPr>
    </w:p>
    <w:p>
      <w:pPr>
        <w:tabs>
          <w:tab w:pos="9078" w:val="left" w:leader="none"/>
        </w:tabs>
        <w:spacing w:before="0"/>
        <w:ind w:left="120" w:right="0" w:firstLine="0"/>
        <w:jc w:val="left"/>
        <w:rPr>
          <w:b/>
          <w:sz w:val="20"/>
        </w:rPr>
      </w:pPr>
      <w:r>
        <w:rPr/>
        <w:pict>
          <v:shape style="position:absolute;margin-left:581.700012pt;margin-top:-.263164pt;width:.1pt;height:117.1pt;mso-position-horizontal-relative:page;mso-position-vertical-relative:paragraph;z-index:1336" coordorigin="11634,-5" coordsize="0,2342" path="m11634,-5l11634,230m11634,230l11634,464m11634,464l11634,698m11634,698l11634,932m11634,932l11634,1166m11634,1166l11634,1400m11634,1400l11634,1634m11634,1634l11634,1868m11634,1868l11634,2102m11634,2102l11634,2336e" filled="false" stroked="true" strokeweight=".47998pt" strokecolor="#000000">
            <v:path arrowok="t"/>
            <v:stroke dashstyle="solid"/>
            <w10:wrap type="none"/>
          </v:shape>
        </w:pict>
      </w:r>
      <w:r>
        <w:rPr>
          <w:b/>
          <w:sz w:val="20"/>
        </w:rPr>
        <w:t>ADVANCES TO </w:t>
      </w:r>
      <w:r>
        <w:rPr>
          <w:b/>
          <w:sz w:val="20"/>
          <w:u w:val="single"/>
        </w:rPr>
        <w:t>THE DEPARTMENT OF GENERAL SERVICES FOR</w:t>
      </w:r>
      <w:r>
        <w:rPr>
          <w:b/>
          <w:spacing w:val="9"/>
          <w:sz w:val="20"/>
          <w:u w:val="single"/>
        </w:rPr>
        <w:t> </w:t>
      </w:r>
      <w:r>
        <w:rPr>
          <w:b/>
          <w:sz w:val="20"/>
          <w:u w:val="single"/>
        </w:rPr>
        <w:t>SERVICES </w:t>
      </w:r>
      <w:r>
        <w:rPr>
          <w:b/>
          <w:sz w:val="20"/>
        </w:rPr>
        <w:t>PROVIDED</w:t>
        <w:tab/>
        <w:t>8471</w:t>
      </w:r>
    </w:p>
    <w:p>
      <w:pPr>
        <w:pStyle w:val="BodyText"/>
        <w:spacing w:before="1"/>
        <w:ind w:left="120"/>
      </w:pPr>
      <w:r>
        <w:rPr/>
        <w:t>(Revised 09/13 and renumbered from 8471.1)</w:t>
      </w:r>
    </w:p>
    <w:p>
      <w:pPr>
        <w:pStyle w:val="BodyText"/>
        <w:spacing w:before="8"/>
        <w:rPr>
          <w:sz w:val="12"/>
        </w:rPr>
      </w:pPr>
    </w:p>
    <w:p>
      <w:pPr>
        <w:pStyle w:val="BodyText"/>
        <w:spacing w:line="244" w:lineRule="auto" w:before="92"/>
        <w:ind w:left="120" w:right="242"/>
      </w:pPr>
      <w:r>
        <w:rPr>
          <w:u w:val="single"/>
        </w:rPr>
        <w:t>Departments </w:t>
      </w:r>
      <w:r>
        <w:rPr/>
        <w:t>using services provided by the Department of General Services (</w:t>
      </w:r>
      <w:r>
        <w:rPr>
          <w:u w:val="single"/>
        </w:rPr>
        <w:t>DGS</w:t>
      </w:r>
      <w:r>
        <w:rPr/>
        <w:t>) will make advances from their operating funds and appropriations </w:t>
      </w:r>
      <w:r>
        <w:rPr>
          <w:u w:val="single"/>
        </w:rPr>
        <w:t>to assist </w:t>
      </w:r>
      <w:r>
        <w:rPr/>
        <w:t>in financing these services. </w:t>
      </w:r>
      <w:r>
        <w:rPr>
          <w:u w:val="single"/>
        </w:rPr>
        <w:t>DGS will calculate the advance amount based on an approved percentage of the annual cost of services rendered to departments.  (See Government Code sections 11256 - 11263, 11290, and 11370.4). No advances or portions thereof will be returned until the following fiscal year budget has been passed and all prior year’s invoices have been paid.</w:t>
      </w:r>
    </w:p>
    <w:p>
      <w:pPr>
        <w:pStyle w:val="BodyText"/>
        <w:spacing w:before="3"/>
        <w:rPr>
          <w:sz w:val="12"/>
        </w:rPr>
      </w:pPr>
    </w:p>
    <w:p>
      <w:pPr>
        <w:pStyle w:val="BodyText"/>
        <w:spacing w:before="92"/>
        <w:ind w:left="120"/>
      </w:pPr>
      <w:r>
        <w:rPr>
          <w:u w:val="single"/>
        </w:rPr>
        <w:t>The normal flow of transactions for advances to the DGS is shown in the 8471 Illustration.</w:t>
      </w:r>
    </w:p>
    <w:p>
      <w:pPr>
        <w:pStyle w:val="BodyText"/>
        <w:spacing w:before="11"/>
        <w:rPr>
          <w:sz w:val="12"/>
        </w:rPr>
      </w:pPr>
    </w:p>
    <w:p>
      <w:pPr>
        <w:pStyle w:val="Heading2"/>
        <w:tabs>
          <w:tab w:pos="9479" w:val="right" w:leader="none"/>
        </w:tabs>
        <w:spacing w:before="92"/>
        <w:ind w:left="120"/>
      </w:pPr>
      <w:r>
        <w:rPr/>
        <w:pict>
          <v:line style="position:absolute;mso-position-horizontal-relative:page;mso-position-vertical-relative:paragraph;z-index:-67384" from="72pt,15.496206pt" to="540pt,15.496206pt" stroked="true" strokeweight=".96002pt" strokecolor="#000000">
            <v:stroke dashstyle="solid"/>
            <w10:wrap type="none"/>
          </v:line>
        </w:pict>
      </w:r>
      <w:r>
        <w:rPr/>
        <w:pict>
          <v:shape style="position:absolute;margin-left:581.700012pt;margin-top:4.336216pt;width:.1pt;height:70.3pt;mso-position-horizontal-relative:page;mso-position-vertical-relative:paragraph;z-index:1384" coordorigin="11634,87" coordsize="0,1406" path="m11634,87l11634,322m11634,322l11634,556m11634,556l11634,790m11634,790l11634,1024m11634,1024l11634,1258m11634,1258l11634,1492e" filled="false" stroked="true" strokeweight=".47998pt" strokecolor="#000000">
            <v:path arrowok="t"/>
            <v:stroke dashstyle="solid"/>
            <w10:wrap type="none"/>
          </v:shape>
        </w:pict>
      </w:r>
      <w:r>
        <w:rPr/>
        <w:t>RECORDING SERVICE ESTIMATES AND ADVANCES</w:t>
        <w:tab/>
        <w:t>8471.1</w:t>
      </w:r>
    </w:p>
    <w:p>
      <w:pPr>
        <w:pStyle w:val="BodyText"/>
        <w:spacing w:before="1"/>
        <w:ind w:left="120"/>
      </w:pPr>
      <w:r>
        <w:rPr>
          <w:u w:val="single"/>
        </w:rPr>
        <w:t>(Revised 09/13 and renumbered from 8471.23)</w:t>
      </w:r>
    </w:p>
    <w:p>
      <w:pPr>
        <w:pStyle w:val="BodyText"/>
        <w:spacing w:line="244" w:lineRule="auto" w:before="237"/>
        <w:ind w:left="120" w:right="242"/>
      </w:pPr>
      <w:r>
        <w:rPr>
          <w:u w:val="single"/>
        </w:rPr>
        <w:t>When the State Controller's Office (SCO) issues a Notice of Transfer journal entry for the advance, it will be recorded as of the SCO’s date on the journal entry. Departments will keep a subsidiary file by fund, agency, and appropriation to record the amount of the original advance, subsequent liquidation of the advance, and the balance owing on each advance.</w:t>
      </w:r>
    </w:p>
    <w:p>
      <w:pPr>
        <w:pStyle w:val="BodyText"/>
        <w:spacing w:before="2"/>
        <w:rPr>
          <w:sz w:val="24"/>
        </w:rPr>
      </w:pPr>
    </w:p>
    <w:p>
      <w:pPr>
        <w:pStyle w:val="Heading2"/>
        <w:tabs>
          <w:tab w:pos="8927" w:val="left" w:leader="none"/>
        </w:tabs>
        <w:spacing w:before="1"/>
        <w:ind w:left="120"/>
      </w:pPr>
      <w:r>
        <w:rPr/>
        <w:pict>
          <v:shape style="position:absolute;margin-left:581.700012pt;margin-top:-.214056pt;width:.1pt;height:380.65pt;mso-position-horizontal-relative:page;mso-position-vertical-relative:paragraph;z-index:1408" coordorigin="11634,-4" coordsize="0,7613" path="m11634,-4l11634,231m11634,231l11634,465m11634,465l11634,853m11634,853l11634,1240m11634,1240l11634,1628m11634,1628l11634,1916m11634,1916l11634,2204m11634,2204l11634,2492m11634,2492l11634,2879m11634,2879l11634,3267m11634,3267l11634,3655m11634,3655l11634,4042m11634,4042l11634,4430m11634,4430l11634,4917m11634,4917l11634,5205m11634,5205l11634,5493m11634,5493l11634,5781m11634,5781l11634,6069m11634,6069l11634,6357m11634,6357l11634,6645m11634,6645l11634,6933m11634,6933l11634,7221m11634,7221l11634,7609e" filled="false" stroked="true" strokeweight=".47998pt" strokecolor="#000000">
            <v:path arrowok="t"/>
            <v:stroke dashstyle="solid"/>
            <w10:wrap type="none"/>
          </v:shape>
        </w:pict>
      </w:r>
      <w:r>
        <w:rPr>
          <w:u w:val="single"/>
        </w:rPr>
        <w:t>ELECTRONIC FUND TRANSFER FOR DEPARTMENT OF GENERAL</w:t>
      </w:r>
      <w:r>
        <w:rPr>
          <w:spacing w:val="8"/>
          <w:u w:val="single"/>
        </w:rPr>
        <w:t> </w:t>
      </w:r>
      <w:r>
        <w:rPr>
          <w:u w:val="single"/>
        </w:rPr>
        <w:t>SERVICES'</w:t>
      </w:r>
      <w:r>
        <w:rPr>
          <w:spacing w:val="1"/>
          <w:u w:val="single"/>
        </w:rPr>
        <w:t> </w:t>
      </w:r>
      <w:r>
        <w:rPr>
          <w:u w:val="single"/>
        </w:rPr>
        <w:t>INVOICES</w:t>
        <w:tab/>
        <w:t>8471.2</w:t>
      </w:r>
    </w:p>
    <w:p>
      <w:pPr>
        <w:pStyle w:val="BodyText"/>
        <w:spacing w:before="2"/>
        <w:ind w:left="120"/>
      </w:pPr>
      <w:r>
        <w:rPr>
          <w:u w:val="single"/>
        </w:rPr>
        <w:t>(Revised 09/13 and renumbered from 8471.13)</w:t>
      </w:r>
    </w:p>
    <w:p>
      <w:pPr>
        <w:pStyle w:val="Heading1"/>
        <w:spacing w:line="249" w:lineRule="auto" w:before="112"/>
        <w:ind w:right="242"/>
      </w:pPr>
      <w:r>
        <w:rPr>
          <w:u w:val="single"/>
        </w:rPr>
        <w:t>DGS has implemented the Electronic Fund Transfer (EFT) system to streamline the payment of invoices and to eliminate the need for departments to prepare and submit claim schedules to SCO.</w:t>
      </w:r>
    </w:p>
    <w:p>
      <w:pPr>
        <w:spacing w:line="288" w:lineRule="exact" w:before="194"/>
        <w:ind w:left="120" w:right="709" w:firstLine="0"/>
        <w:jc w:val="left"/>
        <w:rPr>
          <w:sz w:val="24"/>
        </w:rPr>
      </w:pPr>
      <w:r>
        <w:rPr/>
        <w:pict>
          <v:line style="position:absolute;mso-position-horizontal-relative:page;mso-position-vertical-relative:paragraph;z-index:-67312" from="72pt,51.639984pt" to="512.7pt,51.639984pt" stroked="true" strokeweight=".600010pt" strokecolor="#000000">
            <v:stroke dashstyle="solid"/>
            <w10:wrap type="none"/>
          </v:line>
        </w:pict>
      </w:r>
      <w:r>
        <w:rPr>
          <w:sz w:val="24"/>
          <w:u w:val="single"/>
        </w:rPr>
        <w:t>Under the EFT system, DGS continues to produce individual invoices for services and products provided to departments. The Notices of EFT are compiled into one electronic file by the end of the </w:t>
      </w:r>
      <w:r>
        <w:rPr>
          <w:sz w:val="24"/>
        </w:rPr>
        <w:t>month and submitted to the SCO on the 2</w:t>
      </w:r>
      <w:r>
        <w:rPr>
          <w:position w:val="11"/>
          <w:sz w:val="16"/>
        </w:rPr>
        <w:t>nd </w:t>
      </w:r>
      <w:r>
        <w:rPr>
          <w:sz w:val="24"/>
        </w:rPr>
        <w:t>workday of the following month for processing.</w:t>
      </w:r>
    </w:p>
    <w:p>
      <w:pPr>
        <w:spacing w:line="249" w:lineRule="auto" w:before="6"/>
        <w:ind w:left="120" w:right="715" w:firstLine="0"/>
        <w:jc w:val="left"/>
        <w:rPr>
          <w:sz w:val="24"/>
        </w:rPr>
      </w:pPr>
      <w:r>
        <w:rPr>
          <w:sz w:val="24"/>
          <w:u w:val="single"/>
        </w:rPr>
        <w:t>Approximately 8 working days are required by the SCO to process the EFT requests and to post the journal entries.</w:t>
      </w:r>
    </w:p>
    <w:p>
      <w:pPr>
        <w:spacing w:line="249" w:lineRule="auto" w:before="165"/>
        <w:ind w:left="120" w:right="770" w:firstLine="0"/>
        <w:jc w:val="left"/>
        <w:rPr>
          <w:sz w:val="24"/>
        </w:rPr>
      </w:pPr>
      <w:r>
        <w:rPr/>
        <w:pict>
          <v:line style="position:absolute;mso-position-horizontal-relative:page;mso-position-vertical-relative:paragraph;z-index:-67288" from="72pt,22.838757pt" to="548.04pt,22.838757pt" stroked="true" strokeweight=".599980pt" strokecolor="#000000">
            <v:stroke dashstyle="solid"/>
            <w10:wrap type="none"/>
          </v:line>
        </w:pict>
      </w:r>
      <w:r>
        <w:rPr/>
        <w:pict>
          <v:line style="position:absolute;mso-position-horizontal-relative:page;mso-position-vertical-relative:paragraph;z-index:-67264" from="366pt,37.238743pt" to="369pt,37.238743pt" stroked="true" strokeweight=".600010pt" strokecolor="#000000">
            <v:stroke dashstyle="solid"/>
            <w10:wrap type="none"/>
          </v:line>
        </w:pict>
      </w:r>
      <w:r>
        <w:rPr>
          <w:sz w:val="24"/>
        </w:rPr>
        <w:t>A copy of the individual invoices is available to view and print on the DGS-OFS website by the 5</w:t>
      </w:r>
      <w:r>
        <w:rPr>
          <w:position w:val="11"/>
          <w:sz w:val="16"/>
        </w:rPr>
        <w:t>th </w:t>
      </w:r>
      <w:r>
        <w:rPr>
          <w:sz w:val="24"/>
          <w:u w:val="single"/>
        </w:rPr>
        <w:t>calendar day of the following month at: </w:t>
      </w:r>
      <w:hyperlink r:id="rId36">
        <w:r>
          <w:rPr>
            <w:color w:val="0000FF"/>
            <w:sz w:val="24"/>
            <w:u w:val="single" w:color="000000"/>
          </w:rPr>
          <w:t>www.ofs.dgs.ca.gov</w:t>
        </w:r>
        <w:r>
          <w:rPr>
            <w:sz w:val="24"/>
          </w:rPr>
          <w:t>.</w:t>
        </w:r>
      </w:hyperlink>
    </w:p>
    <w:p>
      <w:pPr>
        <w:spacing w:line="249" w:lineRule="auto" w:before="200"/>
        <w:ind w:left="120" w:right="483" w:firstLine="0"/>
        <w:jc w:val="left"/>
        <w:rPr>
          <w:sz w:val="24"/>
        </w:rPr>
      </w:pPr>
      <w:r>
        <w:rPr/>
        <w:pict>
          <v:line style="position:absolute;mso-position-horizontal-relative:page;mso-position-vertical-relative:paragraph;z-index:-67240" from="329.040009pt,37.223122pt" to="332.040009pt,37.223122pt" stroked="true" strokeweight=".599980pt" strokecolor="#000000">
            <v:stroke dashstyle="solid"/>
            <w10:wrap type="none"/>
          </v:line>
        </w:pict>
      </w:r>
      <w:r>
        <w:rPr>
          <w:sz w:val="24"/>
          <w:u w:val="single"/>
        </w:rPr>
        <w:t>An access account is needed to retrieve this information. To set up an access account, the departments </w:t>
      </w:r>
      <w:hyperlink r:id="rId37">
        <w:r>
          <w:rPr>
            <w:sz w:val="24"/>
            <w:u w:val="single"/>
          </w:rPr>
          <w:t>will need to contact:</w:t>
        </w:r>
        <w:r>
          <w:rPr>
            <w:spacing w:val="58"/>
            <w:sz w:val="24"/>
            <w:u w:val="single"/>
          </w:rPr>
          <w:t> </w:t>
        </w:r>
        <w:r>
          <w:rPr>
            <w:color w:val="0000FF"/>
            <w:sz w:val="24"/>
            <w:u w:val="single" w:color="000000"/>
          </w:rPr>
          <w:t>SRFFiscalServices@dgs.ca.gov</w:t>
        </w:r>
        <w:r>
          <w:rPr>
            <w:sz w:val="24"/>
          </w:rPr>
          <w:t>.</w:t>
        </w:r>
      </w:hyperlink>
    </w:p>
    <w:p>
      <w:pPr>
        <w:spacing w:line="380" w:lineRule="atLeast" w:before="96"/>
        <w:ind w:left="120" w:right="5241" w:firstLine="0"/>
        <w:jc w:val="left"/>
        <w:rPr>
          <w:sz w:val="24"/>
        </w:rPr>
      </w:pPr>
      <w:r>
        <w:rPr>
          <w:sz w:val="24"/>
          <w:u w:val="single"/>
        </w:rPr>
        <w:t>For information regarding the EFT program contact: Department of General Services</w:t>
      </w:r>
    </w:p>
    <w:p>
      <w:pPr>
        <w:spacing w:line="288" w:lineRule="exact" w:before="5"/>
        <w:ind w:left="120" w:right="7273" w:firstLine="0"/>
        <w:jc w:val="left"/>
        <w:rPr>
          <w:sz w:val="24"/>
        </w:rPr>
      </w:pPr>
      <w:r>
        <w:rPr/>
        <w:pict>
          <v:line style="position:absolute;mso-position-horizontal-relative:page;mso-position-vertical-relative:paragraph;z-index:-67216" from="72pt,27.790094pt" to="204.06pt,27.790094pt" stroked="true" strokeweight=".600010pt" strokecolor="#000000">
            <v:stroke dashstyle="solid"/>
            <w10:wrap type="none"/>
          </v:line>
        </w:pict>
      </w:r>
      <w:r>
        <w:rPr>
          <w:sz w:val="24"/>
          <w:u w:val="single"/>
        </w:rPr>
        <w:t>Office of Fiscal Services - SRF </w:t>
      </w:r>
      <w:r>
        <w:rPr>
          <w:sz w:val="24"/>
        </w:rPr>
        <w:t>707 Third Street, 10</w:t>
      </w:r>
      <w:r>
        <w:rPr>
          <w:position w:val="11"/>
          <w:sz w:val="16"/>
        </w:rPr>
        <w:t>th </w:t>
      </w:r>
      <w:r>
        <w:rPr>
          <w:sz w:val="24"/>
        </w:rPr>
        <w:t>Floor </w:t>
      </w:r>
      <w:r>
        <w:rPr>
          <w:sz w:val="24"/>
          <w:u w:val="single"/>
        </w:rPr>
        <w:t>West Sacramento, CA</w:t>
      </w:r>
      <w:r>
        <w:rPr>
          <w:spacing w:val="54"/>
          <w:sz w:val="24"/>
          <w:u w:val="single"/>
        </w:rPr>
        <w:t> </w:t>
      </w:r>
      <w:r>
        <w:rPr>
          <w:sz w:val="24"/>
          <w:u w:val="single"/>
        </w:rPr>
        <w:t>95605</w:t>
      </w:r>
    </w:p>
    <w:p>
      <w:pPr>
        <w:pStyle w:val="BodyText"/>
        <w:spacing w:before="8"/>
        <w:rPr>
          <w:sz w:val="17"/>
        </w:rPr>
      </w:pPr>
    </w:p>
    <w:p>
      <w:pPr>
        <w:spacing w:before="90"/>
        <w:ind w:left="120" w:right="0" w:firstLine="0"/>
        <w:jc w:val="left"/>
        <w:rPr>
          <w:sz w:val="24"/>
        </w:rPr>
      </w:pPr>
      <w:r>
        <w:rPr>
          <w:sz w:val="24"/>
          <w:u w:val="single"/>
        </w:rPr>
        <w:t>FAX: (916) 376-5165</w:t>
      </w:r>
    </w:p>
    <w:p>
      <w:pPr>
        <w:spacing w:before="11"/>
        <w:ind w:left="120" w:right="0" w:firstLine="0"/>
        <w:jc w:val="left"/>
        <w:rPr>
          <w:sz w:val="24"/>
        </w:rPr>
      </w:pPr>
      <w:hyperlink r:id="rId37">
        <w:r>
          <w:rPr>
            <w:sz w:val="24"/>
            <w:u w:val="single"/>
          </w:rPr>
          <w:t>E-Mail:</w:t>
        </w:r>
      </w:hyperlink>
      <w:r>
        <w:rPr>
          <w:sz w:val="24"/>
          <w:u w:val="single"/>
        </w:rPr>
        <w:t> </w:t>
      </w:r>
      <w:hyperlink r:id="rId37">
        <w:r>
          <w:rPr>
            <w:color w:val="0000FF"/>
            <w:sz w:val="24"/>
            <w:u w:val="single" w:color="000000"/>
          </w:rPr>
          <w:t>SRFFiscalServices@dgs.ca.gov</w:t>
        </w:r>
      </w:hyperlink>
    </w:p>
    <w:p>
      <w:pPr>
        <w:pStyle w:val="BodyText"/>
        <w:spacing w:before="10"/>
        <w:rPr>
          <w:sz w:val="26"/>
        </w:rPr>
      </w:pPr>
    </w:p>
    <w:p>
      <w:pPr>
        <w:spacing w:before="90"/>
        <w:ind w:left="120" w:right="0" w:firstLine="0"/>
        <w:jc w:val="left"/>
        <w:rPr>
          <w:rFonts w:ascii="Arial"/>
          <w:sz w:val="18"/>
        </w:rPr>
      </w:pPr>
      <w:r>
        <w:rPr>
          <w:sz w:val="24"/>
          <w:u w:val="single"/>
        </w:rPr>
        <w:t>The normal flow of transactions for the EFT System is provided in 8471.2 Illustration</w:t>
      </w:r>
      <w:r>
        <w:rPr>
          <w:rFonts w:ascii="Arial"/>
          <w:sz w:val="18"/>
          <w:u w:val="single"/>
        </w:rPr>
        <w:t>.</w:t>
      </w:r>
    </w:p>
    <w:p>
      <w:pPr>
        <w:pStyle w:val="BodyText"/>
        <w:rPr>
          <w:rFonts w:ascii="Arial"/>
        </w:rPr>
      </w:pPr>
    </w:p>
    <w:p>
      <w:pPr>
        <w:pStyle w:val="BodyText"/>
        <w:spacing w:before="4"/>
        <w:rPr>
          <w:rFonts w:ascii="Arial"/>
          <w:sz w:val="23"/>
        </w:rPr>
      </w:pPr>
    </w:p>
    <w:p>
      <w:pPr>
        <w:pStyle w:val="BodyText"/>
        <w:spacing w:before="92"/>
        <w:ind w:left="120"/>
      </w:pPr>
      <w:r>
        <w:rPr>
          <w:w w:val="100"/>
        </w:rPr>
        <w:t>.</w:t>
      </w:r>
    </w:p>
    <w:p>
      <w:pPr>
        <w:spacing w:after="0"/>
        <w:sectPr>
          <w:footerReference w:type="default" r:id="rId35"/>
          <w:pgSz w:w="12240" w:h="15840"/>
          <w:pgMar w:footer="742" w:header="483" w:top="700" w:bottom="940" w:left="1320" w:right="500"/>
        </w:sectPr>
      </w:pPr>
    </w:p>
    <w:p>
      <w:pPr>
        <w:pStyle w:val="BodyText"/>
      </w:pPr>
    </w:p>
    <w:p>
      <w:pPr>
        <w:pStyle w:val="BodyText"/>
        <w:spacing w:before="5"/>
        <w:rPr>
          <w:sz w:val="17"/>
        </w:rPr>
      </w:pPr>
    </w:p>
    <w:p>
      <w:pPr>
        <w:pStyle w:val="Heading2"/>
        <w:tabs>
          <w:tab w:pos="8928" w:val="left" w:leader="none"/>
        </w:tabs>
        <w:spacing w:before="92"/>
        <w:ind w:left="120"/>
      </w:pPr>
      <w:r>
        <w:rPr/>
        <w:pict>
          <v:shape style="position:absolute;margin-left:581.700012pt;margin-top:4.335517pt;width:.1pt;height:70.3pt;mso-position-horizontal-relative:page;mso-position-vertical-relative:paragraph;z-index:1552" coordorigin="11634,87" coordsize="0,1406" path="m11634,87l11634,322m11634,322l11634,556m11634,556l11634,790m11634,790l11634,1024m11634,1024l11634,1258m11634,1258l11634,1492e" filled="false" stroked="true" strokeweight=".47998pt" strokecolor="#000000">
            <v:path arrowok="t"/>
            <v:stroke dashstyle="solid"/>
            <w10:wrap type="none"/>
          </v:shape>
        </w:pict>
      </w:r>
      <w:r>
        <w:rPr>
          <w:u w:val="single"/>
        </w:rPr>
        <w:t>RECORDING STATE CONTROLLER'S DOCUMENTS FOR ELECTRONIC</w:t>
      </w:r>
      <w:r>
        <w:rPr>
          <w:spacing w:val="9"/>
          <w:u w:val="single"/>
        </w:rPr>
        <w:t> </w:t>
      </w:r>
      <w:r>
        <w:rPr>
          <w:u w:val="single"/>
        </w:rPr>
        <w:t>FUND</w:t>
      </w:r>
      <w:r>
        <w:rPr>
          <w:spacing w:val="1"/>
          <w:u w:val="single"/>
        </w:rPr>
        <w:t> </w:t>
      </w:r>
      <w:r>
        <w:rPr>
          <w:u w:val="single"/>
        </w:rPr>
        <w:t>TRANSFER</w:t>
        <w:tab/>
        <w:t>8471.3</w:t>
      </w:r>
    </w:p>
    <w:p>
      <w:pPr>
        <w:pStyle w:val="BodyText"/>
        <w:spacing w:before="1"/>
        <w:ind w:left="120"/>
      </w:pPr>
      <w:r>
        <w:rPr>
          <w:u w:val="single"/>
        </w:rPr>
        <w:t>(Revised 09/13 and renumbered from 8471.45)</w:t>
      </w:r>
    </w:p>
    <w:p>
      <w:pPr>
        <w:pStyle w:val="BodyText"/>
        <w:spacing w:before="7"/>
        <w:rPr>
          <w:sz w:val="12"/>
        </w:rPr>
      </w:pPr>
    </w:p>
    <w:p>
      <w:pPr>
        <w:pStyle w:val="BodyText"/>
        <w:spacing w:line="244" w:lineRule="auto" w:before="92"/>
        <w:ind w:left="120" w:right="483"/>
      </w:pPr>
      <w:r>
        <w:rPr>
          <w:u w:val="single"/>
        </w:rPr>
        <w:t>The SCO will issue a Notice of Transfer journal entry for the DGS charges received via the EFT. The journal entry will either (1) reduce the advance, if there is an advance or (2) transfer the money, if the advance has not been issued.</w:t>
      </w:r>
    </w:p>
    <w:p>
      <w:pPr>
        <w:pStyle w:val="BodyText"/>
        <w:spacing w:line="230" w:lineRule="exact"/>
        <w:ind w:left="120"/>
      </w:pPr>
      <w:r>
        <w:rPr>
          <w:u w:val="single"/>
        </w:rPr>
        <w:t>Departments will record the transaction as of the SCO’s date on the journal entry.</w:t>
      </w:r>
    </w:p>
    <w:p>
      <w:pPr>
        <w:pStyle w:val="BodyText"/>
        <w:rPr>
          <w:sz w:val="13"/>
        </w:rPr>
      </w:pPr>
    </w:p>
    <w:p>
      <w:pPr>
        <w:pStyle w:val="Heading2"/>
        <w:tabs>
          <w:tab w:pos="9479" w:val="right" w:leader="none"/>
        </w:tabs>
        <w:spacing w:before="92"/>
        <w:ind w:left="120"/>
      </w:pPr>
      <w:r>
        <w:rPr/>
        <w:pict>
          <v:line style="position:absolute;mso-position-horizontal-relative:page;mso-position-vertical-relative:paragraph;z-index:-67168" from="72pt,15.49634pt" to="540pt,15.49634pt" stroked="true" strokeweight=".96002pt" strokecolor="#000000">
            <v:stroke dashstyle="solid"/>
            <w10:wrap type="none"/>
          </v:line>
        </w:pict>
      </w:r>
      <w:r>
        <w:rPr/>
        <w:pict>
          <v:shape style="position:absolute;margin-left:581.700012pt;margin-top:4.336350pt;width:.1pt;height:128.8pt;mso-position-horizontal-relative:page;mso-position-vertical-relative:paragraph;z-index:1600" coordorigin="11634,87" coordsize="0,2576" path="m11634,87l11634,322m11634,322l11634,556m11634,556l11634,790m11634,790l11634,1024m11634,1024l11634,1258m11634,1258l11634,1492m11634,1492l11634,1726m11634,1726l11634,1960m11634,1960l11634,2194m11634,2194l11634,2428m11634,2428l11634,2662e" filled="false" stroked="true" strokeweight=".47998pt" strokecolor="#000000">
            <v:path arrowok="t"/>
            <v:stroke dashstyle="solid"/>
            <w10:wrap type="none"/>
          </v:shape>
        </w:pict>
      </w:r>
      <w:r>
        <w:rPr/>
        <w:t>DELINQUENT DEPARTMENT OF GENERAL</w:t>
      </w:r>
      <w:r>
        <w:rPr>
          <w:spacing w:val="-3"/>
        </w:rPr>
        <w:t> </w:t>
      </w:r>
      <w:r>
        <w:rPr/>
        <w:t>SERVICES'</w:t>
      </w:r>
      <w:r>
        <w:rPr>
          <w:spacing w:val="-1"/>
        </w:rPr>
        <w:t> </w:t>
      </w:r>
      <w:r>
        <w:rPr/>
        <w:t>INVOICES</w:t>
        <w:tab/>
        <w:t>8471.4</w:t>
      </w:r>
    </w:p>
    <w:p>
      <w:pPr>
        <w:pStyle w:val="BodyText"/>
        <w:spacing w:before="1"/>
        <w:ind w:left="120"/>
      </w:pPr>
      <w:r>
        <w:rPr>
          <w:u w:val="single"/>
        </w:rPr>
        <w:t>(Revised 09/13 and renumbered from 8471.51)</w:t>
      </w:r>
    </w:p>
    <w:p>
      <w:pPr>
        <w:pStyle w:val="BodyText"/>
        <w:spacing w:line="244" w:lineRule="auto" w:before="237"/>
        <w:ind w:left="120" w:right="242"/>
      </w:pPr>
      <w:r>
        <w:rPr>
          <w:u w:val="single"/>
        </w:rPr>
        <w:t>DGS will collect delinquent invoices in accordance with Government Code section 11291 which states: "If a state agency refuses to pay the charges fixed by the Department of General Services pursuant to this article, the department may file a claim for such charges against any appropriations made for the support or maintenance of all or any part of the work and affairs of the state agency."  Allowing invoices to become delinquent will be considered a refusal to pay.</w:t>
      </w:r>
    </w:p>
    <w:p>
      <w:pPr>
        <w:pStyle w:val="BodyText"/>
        <w:spacing w:line="244" w:lineRule="auto" w:before="232"/>
        <w:ind w:left="120"/>
      </w:pPr>
      <w:r>
        <w:rPr>
          <w:u w:val="single"/>
        </w:rPr>
        <w:t>An invoice will be considered delinquent if it is not scheduled by the department within 60 days from the date of the invoice unless the total amount due is less than $10. DGS may submit an EFT with the SCO when a department allows invoices to become delinquent and the SCO will transfer the payment from the department's appropriation.</w:t>
      </w:r>
    </w:p>
    <w:p>
      <w:pPr>
        <w:pStyle w:val="Heading2"/>
        <w:tabs>
          <w:tab w:pos="9479" w:val="right" w:leader="none"/>
        </w:tabs>
        <w:spacing w:before="236"/>
        <w:ind w:left="120"/>
      </w:pPr>
      <w:r>
        <w:rPr/>
        <w:pict>
          <v:line style="position:absolute;mso-position-horizontal-relative:page;mso-position-vertical-relative:paragraph;z-index:-67120" from="72pt,22.696241pt" to="540pt,22.696241pt" stroked="true" strokeweight=".95999pt" strokecolor="#000000">
            <v:stroke dashstyle="solid"/>
            <w10:wrap type="none"/>
          </v:line>
        </w:pict>
      </w:r>
      <w:r>
        <w:rPr/>
        <w:pict>
          <v:shape style="position:absolute;margin-left:581.700012pt;margin-top:11.536237pt;width:.1pt;height:105.4pt;mso-position-horizontal-relative:page;mso-position-vertical-relative:paragraph;z-index:1648" coordorigin="11634,231" coordsize="0,2108" path="m11634,231l11634,466m11634,466l11634,700m11634,700l11634,934m11634,934l11634,1168m11634,1168l11634,1402m11634,1402l11634,1636m11634,1636l11634,1870m11634,1870l11634,2104m11634,2104l11634,2338e" filled="false" stroked="true" strokeweight=".47998pt" strokecolor="#000000">
            <v:path arrowok="t"/>
            <v:stroke dashstyle="solid"/>
            <w10:wrap type="none"/>
          </v:shape>
        </w:pict>
      </w:r>
      <w:r>
        <w:rPr/>
        <w:t>CONTESTED DEPARTMENT OF GENERAL</w:t>
      </w:r>
      <w:r>
        <w:rPr>
          <w:spacing w:val="-2"/>
        </w:rPr>
        <w:t> </w:t>
      </w:r>
      <w:r>
        <w:rPr/>
        <w:t>SERVICES'</w:t>
      </w:r>
      <w:r>
        <w:rPr>
          <w:spacing w:val="-1"/>
        </w:rPr>
        <w:t> </w:t>
      </w:r>
      <w:r>
        <w:rPr/>
        <w:t>INVOICES</w:t>
        <w:tab/>
        <w:t>8471.5</w:t>
      </w:r>
    </w:p>
    <w:p>
      <w:pPr>
        <w:pStyle w:val="BodyText"/>
        <w:spacing w:before="1"/>
        <w:ind w:left="120"/>
      </w:pPr>
      <w:r>
        <w:rPr>
          <w:u w:val="single"/>
        </w:rPr>
        <w:t>(Revised 09/13 and renumbered from 8471.52)</w:t>
      </w:r>
    </w:p>
    <w:p>
      <w:pPr>
        <w:pStyle w:val="BodyText"/>
        <w:spacing w:line="244" w:lineRule="auto" w:before="237"/>
        <w:ind w:left="120" w:right="242"/>
      </w:pPr>
      <w:r>
        <w:rPr>
          <w:u w:val="single"/>
        </w:rPr>
        <w:t>If a department is billed by DGS for (1) services that were not performed, or (2) services that are not in accordance with an interagency agreement (IA), the department should notify DGS within 60 days of the invoice date. The department shall submit a STD. 209, Invoice Dispute Notification form directly to the contact information indicated on the invoice. The absence of an IA does not preclude the payment of valid invoices.</w:t>
      </w:r>
    </w:p>
    <w:p>
      <w:pPr>
        <w:pStyle w:val="BodyText"/>
        <w:spacing w:before="233"/>
        <w:ind w:left="120"/>
      </w:pPr>
      <w:r>
        <w:rPr>
          <w:u w:val="single"/>
        </w:rPr>
        <w:t>This form is available at: </w:t>
      </w:r>
      <w:hyperlink r:id="rId38">
        <w:r>
          <w:rPr>
            <w:color w:val="0000FF"/>
            <w:u w:val="single" w:color="000000"/>
          </w:rPr>
          <w:t>http://www.dgs.ca.gov/osp/Forms/Search/pdf_fillPrint.aspx</w:t>
        </w:r>
      </w:hyperlink>
    </w:p>
    <w:p>
      <w:pPr>
        <w:pStyle w:val="Heading2"/>
        <w:tabs>
          <w:tab w:pos="9479" w:val="right" w:leader="none"/>
        </w:tabs>
        <w:spacing w:before="242"/>
        <w:ind w:left="120"/>
      </w:pPr>
      <w:r>
        <w:rPr/>
        <w:pict>
          <v:line style="position:absolute;mso-position-horizontal-relative:page;mso-position-vertical-relative:paragraph;z-index:-67072" from="72pt,22.996229pt" to="540pt,22.996229pt" stroked="true" strokeweight=".96002pt" strokecolor="#000000">
            <v:stroke dashstyle="solid"/>
            <w10:wrap type="none"/>
          </v:line>
        </w:pict>
      </w:r>
      <w:r>
        <w:rPr/>
        <w:pict>
          <v:shape style="position:absolute;margin-left:581.700012pt;margin-top:11.836239pt;width:.1pt;height:199pt;mso-position-horizontal-relative:page;mso-position-vertical-relative:paragraph;z-index:1696" coordorigin="11634,237" coordsize="0,3980" path="m11634,237l11634,472m11634,472l11634,706m11634,706l11634,940m11634,940l11634,1174m11634,1174l11634,1408m11634,1408l11634,1642m11634,1642l11634,1876m11634,1876l11634,2110m11634,2110l11634,2344m11634,2344l11634,2578m11634,2578l11634,2812m11634,2812l11634,3046m11634,3046l11634,3280m11634,3280l11634,3514m11634,3514l11634,3748m11634,3748l11634,3982m11634,3982l11634,4216e" filled="false" stroked="true" strokeweight=".47998pt" strokecolor="#000000">
            <v:path arrowok="t"/>
            <v:stroke dashstyle="solid"/>
            <w10:wrap type="none"/>
          </v:shape>
        </w:pict>
      </w:r>
      <w:r>
        <w:rPr/>
        <w:t>GENERAL SERVICES</w:t>
      </w:r>
      <w:r>
        <w:rPr>
          <w:spacing w:val="-1"/>
        </w:rPr>
        <w:t> </w:t>
      </w:r>
      <w:r>
        <w:rPr/>
        <w:t>BILLING INFORMATION</w:t>
        <w:tab/>
        <w:t>8471.6</w:t>
      </w:r>
    </w:p>
    <w:p>
      <w:pPr>
        <w:pStyle w:val="BodyText"/>
        <w:spacing w:before="2"/>
        <w:ind w:left="120"/>
      </w:pPr>
      <w:r>
        <w:rPr>
          <w:u w:val="single"/>
        </w:rPr>
        <w:t>(Revised 09/13 and renumbered from 8471.71)</w:t>
      </w:r>
    </w:p>
    <w:p>
      <w:pPr>
        <w:pStyle w:val="BodyText"/>
        <w:spacing w:line="244" w:lineRule="auto" w:before="238"/>
        <w:ind w:left="120" w:right="242"/>
      </w:pPr>
      <w:r>
        <w:rPr>
          <w:u w:val="single"/>
        </w:rPr>
        <w:t>DGS assigns a six digit numeric code to state departments referred to as a Customer Account Number (CAN) in billing for services provided. To request a new CAN or to revise an existing CAN (e.g., update billing address), departments must properly fill out AFS-94A, CUSTOMER ACCOUNT NUMBER (CAN) REQUEST form available on DGS’s website at: </w:t>
      </w:r>
      <w:hyperlink r:id="rId39">
        <w:r>
          <w:rPr>
            <w:color w:val="0000FF"/>
            <w:u w:val="single" w:color="0000FF"/>
          </w:rPr>
          <w:t>http://www.documents.dgs.ca.gov/ofs/Afs94a.pdf</w:t>
        </w:r>
      </w:hyperlink>
    </w:p>
    <w:p>
      <w:pPr>
        <w:pStyle w:val="BodyText"/>
        <w:spacing w:before="233"/>
        <w:ind w:left="120"/>
      </w:pPr>
      <w:r>
        <w:rPr>
          <w:u w:val="single"/>
        </w:rPr>
        <w:t>The completed form AFS-94A, approved by the department fiscal officer, should be submitted to:</w:t>
      </w:r>
    </w:p>
    <w:p>
      <w:pPr>
        <w:pStyle w:val="BodyText"/>
        <w:spacing w:before="7"/>
      </w:pPr>
    </w:p>
    <w:p>
      <w:pPr>
        <w:pStyle w:val="BodyText"/>
        <w:ind w:left="120"/>
      </w:pPr>
      <w:r>
        <w:rPr>
          <w:u w:val="single"/>
        </w:rPr>
        <w:t>Department of General Services</w:t>
      </w:r>
    </w:p>
    <w:p>
      <w:pPr>
        <w:pStyle w:val="BodyText"/>
        <w:spacing w:line="234" w:lineRule="exact" w:before="3"/>
        <w:ind w:left="120" w:right="6425"/>
      </w:pPr>
      <w:r>
        <w:rPr/>
        <w:pict>
          <v:line style="position:absolute;mso-position-horizontal-relative:page;mso-position-vertical-relative:paragraph;z-index:-67024" from="72pt,22.530096pt" to="182.28pt,22.530096pt" stroked="true" strokeweight=".48001pt" strokecolor="#000000">
            <v:stroke dashstyle="solid"/>
            <w10:wrap type="none"/>
          </v:line>
        </w:pict>
      </w:r>
      <w:r>
        <w:rPr>
          <w:u w:val="single"/>
        </w:rPr>
        <w:t>Office of Fiscal Services - SRF (IMS Code Z-1) </w:t>
      </w:r>
      <w:r>
        <w:rPr/>
        <w:t>707 Third Street, 10</w:t>
      </w:r>
      <w:r>
        <w:rPr>
          <w:position w:val="9"/>
          <w:sz w:val="13"/>
        </w:rPr>
        <w:t>th </w:t>
      </w:r>
      <w:r>
        <w:rPr/>
        <w:t>Floor</w:t>
      </w:r>
    </w:p>
    <w:p>
      <w:pPr>
        <w:pStyle w:val="BodyText"/>
        <w:ind w:left="120"/>
      </w:pPr>
      <w:r>
        <w:rPr>
          <w:u w:val="single"/>
        </w:rPr>
        <w:t>West Sacramento, CA 95605</w:t>
      </w:r>
    </w:p>
    <w:p>
      <w:pPr>
        <w:pStyle w:val="BodyText"/>
        <w:spacing w:before="7"/>
        <w:rPr>
          <w:sz w:val="12"/>
        </w:rPr>
      </w:pPr>
    </w:p>
    <w:p>
      <w:pPr>
        <w:pStyle w:val="BodyText"/>
        <w:spacing w:before="92"/>
        <w:ind w:left="120"/>
      </w:pPr>
      <w:r>
        <w:rPr>
          <w:u w:val="single"/>
        </w:rPr>
        <w:t>FAX to: (916) 376-5165</w:t>
      </w:r>
    </w:p>
    <w:p>
      <w:pPr>
        <w:pStyle w:val="BodyText"/>
        <w:spacing w:before="3"/>
        <w:ind w:left="120"/>
      </w:pPr>
      <w:hyperlink r:id="rId37">
        <w:r>
          <w:rPr>
            <w:u w:val="single"/>
          </w:rPr>
          <w:t>E-mail to:</w:t>
        </w:r>
      </w:hyperlink>
      <w:r>
        <w:rPr>
          <w:u w:val="single"/>
        </w:rPr>
        <w:t> </w:t>
      </w:r>
      <w:hyperlink r:id="rId37">
        <w:r>
          <w:rPr>
            <w:color w:val="0000FF"/>
            <w:u w:val="single" w:color="000000"/>
          </w:rPr>
          <w:t>SRFFiscalServices@dgs.ca.gov</w:t>
        </w:r>
      </w:hyperlink>
    </w:p>
    <w:p>
      <w:pPr>
        <w:spacing w:after="0"/>
        <w:sectPr>
          <w:pgSz w:w="12240" w:h="15840"/>
          <w:pgMar w:header="483" w:footer="742" w:top="700" w:bottom="940" w:left="1320" w:right="500"/>
        </w:sectPr>
      </w:pPr>
    </w:p>
    <w:p>
      <w:pPr>
        <w:pStyle w:val="BodyText"/>
        <w:spacing w:before="2"/>
        <w:rPr>
          <w:sz w:val="16"/>
        </w:rPr>
      </w:pPr>
      <w:r>
        <w:rPr/>
        <w:pict>
          <v:shape style="position:absolute;margin-left:460.079987pt;margin-top:330.540009pt;width:6pt;height:64.6pt;mso-position-horizontal-relative:page;mso-position-vertical-relative:page;z-index:-66736" coordorigin="9202,6611" coordsize="120,1292" path="m9254,7782l9202,7782,9262,7902,9308,7810,9262,7810,9257,7807,9254,7802,9254,7782xm9262,6611l9257,6613,9254,6618,9254,7802,9257,7807,9262,7810,9268,7807,9270,7802,9270,6618,9268,6613,9262,6611xm9322,7782l9270,7782,9270,7802,9268,7807,9262,7810,9308,7810,9322,7782xe" filled="true" fillcolor="#000000" stroked="false">
            <v:path arrowok="t"/>
            <v:fill type="solid"/>
            <w10:wrap type="none"/>
          </v:shape>
        </w:pict>
      </w:r>
    </w:p>
    <w:p>
      <w:pPr>
        <w:tabs>
          <w:tab w:pos="2802" w:val="left" w:leader="none"/>
        </w:tabs>
        <w:spacing w:before="95"/>
        <w:ind w:left="220" w:right="0" w:firstLine="0"/>
        <w:jc w:val="left"/>
        <w:rPr>
          <w:rFonts w:ascii="Arial"/>
          <w:sz w:val="18"/>
        </w:rPr>
      </w:pPr>
      <w:r>
        <w:rPr>
          <w:rFonts w:ascii="Arial"/>
          <w:sz w:val="18"/>
        </w:rPr>
        <w:t>(Revised</w:t>
      </w:r>
      <w:r>
        <w:rPr>
          <w:rFonts w:ascii="Arial"/>
          <w:spacing w:val="-1"/>
          <w:sz w:val="18"/>
        </w:rPr>
        <w:t> </w:t>
      </w:r>
      <w:r>
        <w:rPr>
          <w:rFonts w:ascii="Arial"/>
          <w:sz w:val="18"/>
        </w:rPr>
        <w:t>09/13)</w:t>
        <w:tab/>
        <w:t>ADVANCES TO THE DEPARTMENT OF</w:t>
      </w:r>
      <w:r>
        <w:rPr>
          <w:rFonts w:ascii="Arial"/>
          <w:spacing w:val="4"/>
          <w:sz w:val="18"/>
        </w:rPr>
        <w:t> </w:t>
      </w:r>
      <w:r>
        <w:rPr>
          <w:rFonts w:ascii="Arial"/>
          <w:sz w:val="18"/>
        </w:rPr>
        <w:t>GENERAL</w:t>
      </w:r>
    </w:p>
    <w:p>
      <w:pPr>
        <w:spacing w:before="0"/>
        <w:ind w:left="3614" w:right="0" w:firstLine="0"/>
        <w:jc w:val="left"/>
        <w:rPr>
          <w:rFonts w:ascii="Arial"/>
          <w:sz w:val="18"/>
        </w:rPr>
      </w:pPr>
      <w:r>
        <w:rPr>
          <w:rFonts w:ascii="Arial"/>
          <w:sz w:val="18"/>
        </w:rPr>
        <w:t>SERVICES FOR SERVICES PROVIDED</w:t>
      </w:r>
    </w:p>
    <w:p>
      <w:pPr>
        <w:pStyle w:val="BodyText"/>
        <w:rPr>
          <w:rFonts w:ascii="Arial"/>
        </w:rPr>
      </w:pPr>
    </w:p>
    <w:p>
      <w:pPr>
        <w:pStyle w:val="BodyText"/>
        <w:rPr>
          <w:rFonts w:ascii="Arial"/>
        </w:rPr>
      </w:pPr>
    </w:p>
    <w:p>
      <w:pPr>
        <w:pStyle w:val="BodyText"/>
        <w:spacing w:before="10"/>
        <w:rPr>
          <w:rFonts w:ascii="Arial"/>
          <w:sz w:val="27"/>
        </w:rPr>
      </w:pPr>
    </w:p>
    <w:p>
      <w:pPr>
        <w:spacing w:before="94"/>
        <w:ind w:left="3373" w:right="0" w:firstLine="0"/>
        <w:jc w:val="left"/>
        <w:rPr>
          <w:rFonts w:ascii="Arial"/>
          <w:sz w:val="18"/>
        </w:rPr>
      </w:pPr>
      <w:r>
        <w:rPr>
          <w:rFonts w:ascii="Arial"/>
          <w:sz w:val="18"/>
          <w:u w:val="single"/>
        </w:rPr>
        <w:t>NORMAL FLOW OF TRANSACTIONS</w:t>
      </w:r>
    </w:p>
    <w:p>
      <w:pPr>
        <w:spacing w:before="100"/>
        <w:ind w:left="220" w:right="0" w:firstLine="0"/>
        <w:jc w:val="left"/>
        <w:rPr>
          <w:rFonts w:ascii="Arial"/>
          <w:sz w:val="18"/>
        </w:rPr>
      </w:pPr>
      <w:r>
        <w:rPr>
          <w:rFonts w:ascii="Arial"/>
          <w:sz w:val="18"/>
        </w:rPr>
        <w:t>Accounting Section</w:t>
      </w:r>
    </w:p>
    <w:p>
      <w:pPr>
        <w:tabs>
          <w:tab w:pos="4540" w:val="left" w:leader="none"/>
          <w:tab w:pos="7103" w:val="left" w:leader="none"/>
        </w:tabs>
        <w:spacing w:before="0"/>
        <w:ind w:left="220" w:right="0" w:firstLine="0"/>
        <w:jc w:val="left"/>
        <w:rPr>
          <w:rFonts w:ascii="Arial" w:hAnsi="Arial"/>
          <w:sz w:val="18"/>
        </w:rPr>
      </w:pPr>
      <w:r>
        <w:rPr/>
        <w:pict>
          <v:shape style="position:absolute;margin-left:460.079987pt;margin-top:106.481873pt;width:6pt;height:28.05pt;mso-position-horizontal-relative:page;mso-position-vertical-relative:paragraph;z-index:-66760" coordorigin="9202,2130" coordsize="120,561" path="m9254,2570l9202,2570,9262,2690,9308,2598,9262,2598,9257,2595,9254,2589,9254,2570xm9262,2130l9257,2131,9254,2137,9254,2589,9257,2595,9262,2598,9268,2595,9270,2589,9270,2137,9268,2131,9262,2130xm9322,2570l9270,2570,9270,2589,9268,2595,9262,2598,9308,2598,9322,2570xe" filled="true" fillcolor="#000000" stroked="false">
            <v:path arrowok="t"/>
            <v:fill type="solid"/>
            <w10:wrap type="none"/>
          </v:shape>
        </w:pict>
      </w:r>
      <w:r>
        <w:rPr/>
        <w:pict>
          <v:shape style="position:absolute;margin-left:189.300003pt;margin-top:79.301872pt;width:220.2pt;height:6pt;mso-position-horizontal-relative:page;mso-position-vertical-relative:paragraph;z-index:-66712" coordorigin="3786,1586" coordsize="4404,120" path="m8070,1586l8070,1706,8173,1654,8090,1654,8095,1652,8098,1646,8095,1641,8090,1639,8176,1639,8070,1586xm8070,1639l3794,1639,3788,1641,3786,1646,3788,1652,3794,1654,8070,1654,8070,1639xm8176,1639l8090,1639,8095,1641,8098,1646,8095,1652,8090,1654,8173,1654,8190,1646,8176,1639xe" filled="true" fillcolor="#000000" stroked="false">
            <v:path arrowok="t"/>
            <v:fill type="solid"/>
            <w10:wrap type="none"/>
          </v:shape>
        </w:pict>
      </w:r>
      <w:r>
        <w:rPr>
          <w:rFonts w:ascii="Arial" w:hAnsi="Arial"/>
          <w:sz w:val="18"/>
          <w:u w:val="single"/>
        </w:rPr>
        <w:t>Dept. of</w:t>
      </w:r>
      <w:r>
        <w:rPr>
          <w:rFonts w:ascii="Arial" w:hAnsi="Arial"/>
          <w:spacing w:val="-8"/>
          <w:sz w:val="18"/>
          <w:u w:val="single"/>
        </w:rPr>
        <w:t> </w:t>
      </w:r>
      <w:r>
        <w:rPr>
          <w:rFonts w:ascii="Arial" w:hAnsi="Arial"/>
          <w:sz w:val="18"/>
          <w:u w:val="single"/>
        </w:rPr>
        <w:t>General</w:t>
      </w:r>
      <w:r>
        <w:rPr>
          <w:rFonts w:ascii="Arial" w:hAnsi="Arial"/>
          <w:spacing w:val="-4"/>
          <w:sz w:val="18"/>
          <w:u w:val="single"/>
        </w:rPr>
        <w:t> </w:t>
      </w:r>
      <w:r>
        <w:rPr>
          <w:rFonts w:ascii="Arial" w:hAnsi="Arial"/>
          <w:sz w:val="18"/>
          <w:u w:val="single"/>
        </w:rPr>
        <w:t>Services</w:t>
      </w:r>
      <w:r>
        <w:rPr>
          <w:rFonts w:ascii="Arial" w:hAnsi="Arial"/>
          <w:sz w:val="18"/>
        </w:rPr>
        <w:tab/>
      </w:r>
      <w:r>
        <w:rPr>
          <w:rFonts w:ascii="Arial" w:hAnsi="Arial"/>
          <w:sz w:val="18"/>
          <w:u w:val="single"/>
        </w:rPr>
        <w:t>Department</w:t>
      </w:r>
      <w:r>
        <w:rPr>
          <w:rFonts w:ascii="Arial" w:hAnsi="Arial"/>
          <w:sz w:val="18"/>
        </w:rPr>
        <w:tab/>
      </w:r>
      <w:r>
        <w:rPr>
          <w:rFonts w:ascii="Arial" w:hAnsi="Arial"/>
          <w:sz w:val="18"/>
          <w:u w:val="single"/>
        </w:rPr>
        <w:t>State Controller’s</w:t>
      </w:r>
      <w:r>
        <w:rPr>
          <w:rFonts w:ascii="Arial" w:hAnsi="Arial"/>
          <w:spacing w:val="-1"/>
          <w:sz w:val="18"/>
          <w:u w:val="single"/>
        </w:rPr>
        <w:t> </w:t>
      </w:r>
      <w:r>
        <w:rPr>
          <w:rFonts w:ascii="Arial" w:hAnsi="Arial"/>
          <w:sz w:val="18"/>
          <w:u w:val="single"/>
        </w:rPr>
        <w:t>Office</w:t>
      </w:r>
    </w:p>
    <w:p>
      <w:pPr>
        <w:pStyle w:val="BodyText"/>
        <w:rPr>
          <w:rFonts w:ascii="Arial"/>
        </w:rPr>
      </w:pPr>
    </w:p>
    <w:p>
      <w:pPr>
        <w:pStyle w:val="BodyText"/>
        <w:spacing w:before="11"/>
        <w:rPr>
          <w:rFonts w:ascii="Arial"/>
          <w:sz w:val="24"/>
        </w:rPr>
      </w:pPr>
      <w:r>
        <w:rPr/>
        <w:pict>
          <v:group style="position:absolute;margin-left:71.690002pt;margin-top:16.305021pt;width:442.6pt;height:214.4pt;mso-position-horizontal-relative:page;mso-position-vertical-relative:paragraph;z-index:1864;mso-wrap-distance-left:0;mso-wrap-distance-right:0" coordorigin="1434,326" coordsize="8852,4288">
            <v:line style="position:absolute" from="5341,3518" to="7619,3518" stroked="true" strokeweight=".48001pt" strokecolor="#000000">
              <v:stroke dashstyle="solid"/>
            </v:line>
            <v:line style="position:absolute" from="5346,3514" to="5346,4596" stroked="true" strokeweight=".48001pt" strokecolor="#000000">
              <v:stroke dashstyle="solid"/>
            </v:line>
            <v:line style="position:absolute" from="5341,4591" to="7609,4591" stroked="true" strokeweight=".48001pt" strokecolor="#000000">
              <v:stroke dashstyle="solid"/>
            </v:line>
            <v:line style="position:absolute" from="7614,3514" to="7614,4596" stroked="true" strokeweight=".48001pt" strokecolor="#000000">
              <v:stroke dashstyle="solid"/>
            </v:line>
            <v:shape style="position:absolute;left:3794;top:2341;width:4403;height:1234" coordorigin="3794,2341" coordsize="4403,1234" path="m3894,3460l3794,3548,3925,3575,3913,3530,3893,3530,3887,3529,3883,3524,3884,3518,3888,3516,3908,3510,3894,3460xm3908,3510l3888,3516,3884,3518,3883,3524,3887,3529,3893,3530,3912,3525,3908,3510xm3912,3525l3893,3530,3913,3530,3912,3525xm8188,2341l3908,3510,3912,3525,8192,2357,8196,2353,8197,2347,8194,2342,8188,2341xe" filled="true" fillcolor="#000000" stroked="false">
              <v:path arrowok="t"/>
              <v:fill type="solid"/>
            </v:shape>
            <v:shape style="position:absolute;left:6538;top:2334;width:1659;height:1208" coordorigin="6538,2334" coordsize="1659,1208" path="m6600,3422l6538,3541,6671,3518,6650,3490,6618,3490,6613,3487,6612,3481,6614,3476,6631,3464,6600,3422xm6631,3464l6614,3476,6612,3481,6613,3487,6618,3490,6623,3488,6640,3476,6631,3464xm6640,3476l6623,3488,6618,3490,6650,3490,6640,3476xm8190,2334l8184,2335,6631,3464,6640,3476,8194,2347,8196,2342,8195,2336,8190,2334xe" filled="true" fillcolor="#000000" stroked="false">
              <v:path arrowok="t"/>
              <v:fill type="solid"/>
            </v:shape>
            <v:shape style="position:absolute;left:3794;top:2334;width:4403;height:2267" type="#_x0000_t202" filled="false" stroked="false">
              <v:textbox inset="0,0,0,0">
                <w:txbxContent>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0"/>
                      <w:rPr>
                        <w:rFonts w:ascii="Arial"/>
                        <w:sz w:val="20"/>
                      </w:rPr>
                    </w:pPr>
                  </w:p>
                  <w:p>
                    <w:pPr>
                      <w:spacing w:line="240" w:lineRule="auto" w:before="11"/>
                      <w:rPr>
                        <w:rFonts w:ascii="Arial"/>
                        <w:sz w:val="18"/>
                      </w:rPr>
                    </w:pPr>
                  </w:p>
                  <w:p>
                    <w:pPr>
                      <w:spacing w:line="333" w:lineRule="auto" w:before="0"/>
                      <w:ind w:left="1659" w:right="682" w:firstLine="0"/>
                      <w:jc w:val="left"/>
                      <w:rPr>
                        <w:rFonts w:ascii="Arial"/>
                        <w:sz w:val="18"/>
                      </w:rPr>
                    </w:pPr>
                    <w:r>
                      <w:rPr>
                        <w:rFonts w:ascii="Arial"/>
                        <w:sz w:val="18"/>
                      </w:rPr>
                      <w:t>Receives journal entry and records advance payment.</w:t>
                    </w:r>
                  </w:p>
                </w:txbxContent>
              </v:textbox>
              <w10:wrap type="none"/>
            </v:shape>
            <v:shape style="position:absolute;left:1439;top:331;width:2358;height:2801" type="#_x0000_t202" filled="false" stroked="true" strokeweight=".48001pt" strokecolor="#000000">
              <v:textbox inset="0,0,0,0">
                <w:txbxContent>
                  <w:p>
                    <w:pPr>
                      <w:spacing w:line="333" w:lineRule="auto" w:before="179"/>
                      <w:ind w:left="103" w:right="93" w:firstLine="0"/>
                      <w:jc w:val="left"/>
                      <w:rPr>
                        <w:rFonts w:ascii="Arial"/>
                        <w:sz w:val="18"/>
                      </w:rPr>
                    </w:pPr>
                    <w:r>
                      <w:rPr>
                        <w:rFonts w:ascii="Arial"/>
                        <w:sz w:val="18"/>
                      </w:rPr>
                      <w:t>Calculates the advances based on an approved percentage for the annual cost of services provided. Prepares Transfer Requests to collect the current fiscal year advances and returns prior year advances.</w:t>
                    </w:r>
                  </w:p>
                </w:txbxContent>
              </v:textbox>
              <v:stroke dashstyle="solid"/>
              <w10:wrap type="none"/>
            </v:shape>
            <v:shape style="position:absolute;left:8182;top:860;width:2088;height:785" type="#_x0000_t202" filled="false" stroked="true" strokeweight=".48004pt" strokecolor="#000000">
              <v:textbox inset="0,0,0,0">
                <w:txbxContent>
                  <w:p>
                    <w:pPr>
                      <w:spacing w:line="333" w:lineRule="auto" w:before="179"/>
                      <w:ind w:left="103" w:right="744" w:firstLine="0"/>
                      <w:jc w:val="left"/>
                      <w:rPr>
                        <w:rFonts w:ascii="Arial"/>
                        <w:sz w:val="18"/>
                      </w:rPr>
                    </w:pPr>
                    <w:r>
                      <w:rPr>
                        <w:rFonts w:ascii="Arial"/>
                        <w:sz w:val="18"/>
                      </w:rPr>
                      <w:t>Audits Transfer Requests.</w:t>
                    </w:r>
                  </w:p>
                </w:txbxContent>
              </v:textbox>
              <v:stroke dashstyle="solid"/>
              <w10:wrap type="none"/>
            </v:shape>
            <v:shape style="position:absolute;left:8192;top:2309;width:2088;height:1073" type="#_x0000_t202" filled="false" stroked="true" strokeweight=".47998pt" strokecolor="#000000">
              <v:textbox inset="0,0,0,0">
                <w:txbxContent>
                  <w:p>
                    <w:pPr>
                      <w:spacing w:line="333" w:lineRule="auto" w:before="179"/>
                      <w:ind w:left="103" w:right="144" w:firstLine="0"/>
                      <w:jc w:val="left"/>
                      <w:rPr>
                        <w:rFonts w:ascii="Arial"/>
                        <w:sz w:val="18"/>
                      </w:rPr>
                    </w:pPr>
                    <w:r>
                      <w:rPr>
                        <w:rFonts w:ascii="Arial"/>
                        <w:sz w:val="18"/>
                      </w:rPr>
                      <w:t>Issues journal entry for current fiscal year advances.</w:t>
                    </w:r>
                  </w:p>
                </w:txbxContent>
              </v:textbox>
              <v:stroke dashstyle="solid"/>
              <w10:wrap type="none"/>
            </v:shape>
            <v:shape style="position:absolute;left:1439;top:3536;width:2358;height:1073" type="#_x0000_t202" filled="false" stroked="true" strokeweight=".48001pt" strokecolor="#000000">
              <v:textbox inset="0,0,0,0">
                <w:txbxContent>
                  <w:p>
                    <w:pPr>
                      <w:spacing w:line="333" w:lineRule="auto" w:before="179"/>
                      <w:ind w:left="103" w:right="118" w:firstLine="0"/>
                      <w:jc w:val="left"/>
                      <w:rPr>
                        <w:rFonts w:ascii="Arial"/>
                        <w:sz w:val="18"/>
                      </w:rPr>
                    </w:pPr>
                    <w:r>
                      <w:rPr>
                        <w:rFonts w:ascii="Arial"/>
                        <w:sz w:val="18"/>
                      </w:rPr>
                      <w:t>Receives journal entry and records advance collection.</w:t>
                    </w:r>
                  </w:p>
                </w:txbxContent>
              </v:textbox>
              <v:stroke dashstyle="solid"/>
              <w10:wrap type="none"/>
            </v:shape>
            <w10:wrap type="topAndBottom"/>
          </v:group>
        </w:pict>
      </w:r>
    </w:p>
    <w:p>
      <w:pPr>
        <w:pStyle w:val="BodyText"/>
        <w:spacing w:before="7"/>
        <w:rPr>
          <w:rFonts w:ascii="Arial"/>
          <w:sz w:val="7"/>
        </w:rPr>
      </w:pPr>
    </w:p>
    <w:p>
      <w:pPr>
        <w:pStyle w:val="BodyText"/>
        <w:ind w:left="107"/>
        <w:rPr>
          <w:rFonts w:ascii="Arial"/>
        </w:rPr>
      </w:pPr>
      <w:r>
        <w:rPr>
          <w:spacing w:val="-49"/>
        </w:rPr>
        <w:t> </w:t>
      </w:r>
      <w:r>
        <w:rPr>
          <w:rFonts w:ascii="Arial"/>
          <w:spacing w:val="-49"/>
        </w:rPr>
        <w:pict>
          <v:shape style="width:117pt;height:39.25pt;mso-position-horizontal-relative:char;mso-position-vertical-relative:line" type="#_x0000_t202" filled="false" stroked="true" strokeweight=".48pt" strokecolor="#000000">
            <w10:anchorlock/>
            <v:textbox inset="0,0,0,0">
              <w:txbxContent>
                <w:p>
                  <w:pPr>
                    <w:spacing w:line="333" w:lineRule="auto" w:before="179"/>
                    <w:ind w:left="103" w:right="85" w:firstLine="0"/>
                    <w:jc w:val="left"/>
                    <w:rPr>
                      <w:rFonts w:ascii="Arial"/>
                      <w:sz w:val="18"/>
                    </w:rPr>
                  </w:pPr>
                  <w:r>
                    <w:rPr>
                      <w:rFonts w:ascii="Arial"/>
                      <w:sz w:val="18"/>
                    </w:rPr>
                    <w:t>Receives journal entry and records returned advance.</w:t>
                  </w:r>
                </w:p>
              </w:txbxContent>
            </v:textbox>
            <v:stroke dashstyle="solid"/>
          </v:shape>
        </w:pict>
      </w:r>
      <w:r>
        <w:rPr>
          <w:rFonts w:ascii="Arial"/>
          <w:spacing w:val="-49"/>
        </w:rPr>
      </w:r>
      <w:r>
        <w:rPr>
          <w:spacing w:val="-39"/>
        </w:rPr>
        <w:t> </w:t>
      </w:r>
      <w:r>
        <w:rPr>
          <w:rFonts w:ascii="Arial"/>
          <w:spacing w:val="-39"/>
          <w:position w:val="1"/>
        </w:rPr>
        <w:pict>
          <v:group style="width:328.05pt;height:117.15pt;mso-position-horizontal-relative:char;mso-position-vertical-relative:line" coordorigin="0,0" coordsize="6561,2343">
            <v:shape style="position:absolute;left:0;top:5;width:4493;height:1559" coordorigin="0,5" coordsize="4493,1559" path="m94,1450l0,1546,132,1564,117,1521,97,1521,91,1519,88,1516,88,1510,91,1506,110,1500,94,1450xm110,1500l91,1506,88,1510,88,1516,91,1519,97,1521,115,1514,110,1500xm115,1514l97,1521,117,1521,115,1514xm4489,5l4483,5,110,1500,115,1514,4488,18,4493,15,4493,9,4489,5xe" filled="true" fillcolor="#000000" stroked="false">
              <v:path arrowok="t"/>
              <v:fill type="solid"/>
            </v:shape>
            <v:shape style="position:absolute;left:3000;top:4;width:1493;height:1542" coordorigin="3000,4" coordsize="1493,1542" path="m3040,1417l3000,1546,3126,1501,3105,1481,3070,1481,3064,1479,3061,1474,3064,1469,3078,1454,3040,1417xm3078,1454l3064,1469,3061,1474,3064,1479,3070,1481,3074,1479,3088,1465,3078,1454xm3088,1465l3074,1479,3070,1481,3105,1481,3088,1465xm4486,4l4481,6,3078,1454,3088,1465,4490,17,4493,11,4490,6,4486,4xe" filled="true" fillcolor="#000000" stroked="false">
              <v:path arrowok="t"/>
              <v:fill type="solid"/>
            </v:shape>
            <v:shape style="position:absolute;left:4486;top:5;width:2070;height:1073" type="#_x0000_t202" filled="false" stroked="true" strokeweight=".47998pt" strokecolor="#000000">
              <v:textbox inset="0,0,0,0">
                <w:txbxContent>
                  <w:p>
                    <w:pPr>
                      <w:spacing w:line="333" w:lineRule="auto" w:before="179"/>
                      <w:ind w:left="103" w:right="126" w:firstLine="0"/>
                      <w:jc w:val="left"/>
                      <w:rPr>
                        <w:rFonts w:ascii="Arial"/>
                        <w:sz w:val="18"/>
                      </w:rPr>
                    </w:pPr>
                    <w:r>
                      <w:rPr>
                        <w:rFonts w:ascii="Arial"/>
                        <w:sz w:val="18"/>
                      </w:rPr>
                      <w:t>Issues journal entry for return of unused prior year advances.</w:t>
                    </w:r>
                  </w:p>
                </w:txbxContent>
              </v:textbox>
              <v:stroke dashstyle="solid"/>
              <w10:wrap type="none"/>
            </v:shape>
            <v:shape style="position:absolute;left:1606;top:1553;width:2340;height:785" type="#_x0000_t202" filled="false" stroked="true" strokeweight=".48001pt" strokecolor="#000000">
              <v:textbox inset="0,0,0,0">
                <w:txbxContent>
                  <w:p>
                    <w:pPr>
                      <w:spacing w:line="333" w:lineRule="auto" w:before="179"/>
                      <w:ind w:left="103" w:right="85" w:firstLine="0"/>
                      <w:jc w:val="left"/>
                      <w:rPr>
                        <w:rFonts w:ascii="Arial"/>
                        <w:sz w:val="18"/>
                      </w:rPr>
                    </w:pPr>
                    <w:r>
                      <w:rPr>
                        <w:rFonts w:ascii="Arial"/>
                        <w:sz w:val="18"/>
                      </w:rPr>
                      <w:t>Receives journal entry and records returned advance.</w:t>
                    </w:r>
                  </w:p>
                </w:txbxContent>
              </v:textbox>
              <v:stroke dashstyle="solid"/>
              <w10:wrap type="none"/>
            </v:shape>
          </v:group>
        </w:pict>
      </w:r>
      <w:r>
        <w:rPr>
          <w:rFonts w:ascii="Arial"/>
          <w:spacing w:val="-39"/>
          <w:position w:val="1"/>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sz w:val="21"/>
        </w:rPr>
      </w:pPr>
    </w:p>
    <w:p>
      <w:pPr>
        <w:spacing w:before="0"/>
        <w:ind w:left="4604" w:right="3765" w:firstLine="0"/>
        <w:jc w:val="center"/>
        <w:rPr>
          <w:rFonts w:ascii="Arial"/>
          <w:sz w:val="18"/>
        </w:rPr>
      </w:pPr>
      <w:r>
        <w:rPr>
          <w:rFonts w:ascii="Arial"/>
          <w:sz w:val="18"/>
        </w:rPr>
        <w:t>8471 Illustration</w:t>
      </w:r>
    </w:p>
    <w:p>
      <w:pPr>
        <w:spacing w:after="0"/>
        <w:jc w:val="center"/>
        <w:rPr>
          <w:rFonts w:ascii="Arial"/>
          <w:sz w:val="18"/>
        </w:rPr>
        <w:sectPr>
          <w:footerReference w:type="default" r:id="rId40"/>
          <w:pgSz w:w="12240" w:h="15840"/>
          <w:pgMar w:footer="742" w:header="483" w:top="700" w:bottom="940" w:left="1220" w:right="1340"/>
        </w:sectPr>
      </w:pPr>
    </w:p>
    <w:p>
      <w:pPr>
        <w:pStyle w:val="BodyText"/>
        <w:spacing w:before="8"/>
        <w:rPr>
          <w:rFonts w:ascii="Arial"/>
          <w:sz w:val="15"/>
        </w:rPr>
      </w:pPr>
      <w:r>
        <w:rPr/>
        <w:pict>
          <v:shape style="position:absolute;margin-left:126pt;margin-top:275.880005pt;width:6pt;height:20.65pt;mso-position-horizontal-relative:page;mso-position-vertical-relative:page;z-index:-66424" coordorigin="2520,5518" coordsize="120,413" path="m2573,5810l2520,5810,2580,5930,2626,5838,2580,5838,2575,5836,2573,5830,2573,5810xm2580,5518l2575,5520,2573,5525,2573,5830,2575,5836,2580,5838,2585,5836,2587,5830,2587,5525,2585,5520,2580,5518xm2640,5810l2587,5810,2587,5830,2585,5836,2580,5838,2626,5838,2640,5810xe" filled="true" fillcolor="#000000" stroked="false">
            <v:path arrowok="t"/>
            <v:fill type="solid"/>
            <w10:wrap type="none"/>
          </v:shape>
        </w:pict>
      </w:r>
      <w:r>
        <w:rPr/>
        <w:drawing>
          <wp:anchor distT="0" distB="0" distL="0" distR="0" allowOverlap="1" layoutInCell="1" locked="0" behindDoc="1" simplePos="0" relativeHeight="268369055">
            <wp:simplePos x="0" y="0"/>
            <wp:positionH relativeFrom="page">
              <wp:posOffset>1600200</wp:posOffset>
            </wp:positionH>
            <wp:positionV relativeFrom="page">
              <wp:posOffset>4263390</wp:posOffset>
            </wp:positionV>
            <wp:extent cx="76262" cy="233362"/>
            <wp:effectExtent l="0" t="0" r="0" b="0"/>
            <wp:wrapNone/>
            <wp:docPr id="35" name="image17.png" descr=""/>
            <wp:cNvGraphicFramePr>
              <a:graphicFrameLocks noChangeAspect="1"/>
            </wp:cNvGraphicFramePr>
            <a:graphic>
              <a:graphicData uri="http://schemas.openxmlformats.org/drawingml/2006/picture">
                <pic:pic>
                  <pic:nvPicPr>
                    <pic:cNvPr id="36" name="image17.png"/>
                    <pic:cNvPicPr/>
                  </pic:nvPicPr>
                  <pic:blipFill>
                    <a:blip r:embed="rId43" cstate="print"/>
                    <a:stretch>
                      <a:fillRect/>
                    </a:stretch>
                  </pic:blipFill>
                  <pic:spPr>
                    <a:xfrm>
                      <a:off x="0" y="0"/>
                      <a:ext cx="76262" cy="233362"/>
                    </a:xfrm>
                    <a:prstGeom prst="rect">
                      <a:avLst/>
                    </a:prstGeom>
                  </pic:spPr>
                </pic:pic>
              </a:graphicData>
            </a:graphic>
          </wp:anchor>
        </w:drawing>
      </w:r>
      <w:r>
        <w:rPr/>
        <w:pict>
          <v:shape style="position:absolute;margin-left:193.139999pt;margin-top:317.640015pt;width:265.9pt;height:6pt;mso-position-horizontal-relative:page;mso-position-vertical-relative:page;z-index:-66376" coordorigin="3863,6353" coordsize="5318,120" path="m9060,6353l9060,6473,9166,6420,9080,6420,9085,6419,9088,6413,9085,6408,9080,6406,9166,6406,9060,6353xm9060,6406l3870,6406,3865,6408,3863,6413,3865,6419,3870,6420,9060,6420,9060,6406xm9166,6406l9080,6406,9085,6408,9088,6413,9085,6419,9080,6420,9166,6420,9180,6413,9166,6406xe" filled="true" fillcolor="#000000" stroked="false">
            <v:path arrowok="t"/>
            <v:fill type="solid"/>
            <w10:wrap type="none"/>
          </v:shape>
        </w:pict>
      </w:r>
      <w:r>
        <w:rPr/>
        <w:pict>
          <v:shape style="position:absolute;margin-left:193.139999pt;margin-top:380.76001pt;width:56.6pt;height:6pt;mso-position-horizontal-relative:page;mso-position-vertical-relative:page;z-index:-66352" coordorigin="3863,7615" coordsize="1132,120" path="m4874,7615l4874,7735,4980,7682,4895,7682,4901,7680,4902,7675,4901,7669,4895,7668,4980,7668,4874,7615xm4874,7668l3870,7668,3865,7669,3863,7675,3865,7680,3870,7682,4874,7682,4874,7668xm4980,7668l4895,7668,4901,7669,4902,7675,4901,7680,4895,7682,4980,7682,4994,7675,4980,7668xe" filled="true" fillcolor="#000000" stroked="false">
            <v:path arrowok="t"/>
            <v:fill type="solid"/>
            <w10:wrap type="none"/>
          </v:shape>
        </w:pict>
      </w:r>
    </w:p>
    <w:p>
      <w:pPr>
        <w:tabs>
          <w:tab w:pos="3120" w:val="left" w:leader="none"/>
        </w:tabs>
        <w:spacing w:before="94"/>
        <w:ind w:left="3098" w:right="3075" w:hanging="2859"/>
        <w:jc w:val="left"/>
        <w:rPr>
          <w:rFonts w:ascii="Arial" w:hAnsi="Arial"/>
          <w:sz w:val="18"/>
        </w:rPr>
      </w:pPr>
      <w:r>
        <w:rPr>
          <w:rFonts w:ascii="Arial" w:hAnsi="Arial"/>
          <w:sz w:val="18"/>
        </w:rPr>
        <w:t>(Revised</w:t>
      </w:r>
      <w:r>
        <w:rPr>
          <w:rFonts w:ascii="Arial" w:hAnsi="Arial"/>
          <w:spacing w:val="-1"/>
          <w:sz w:val="18"/>
        </w:rPr>
        <w:t> </w:t>
      </w:r>
      <w:r>
        <w:rPr>
          <w:rFonts w:ascii="Arial" w:hAnsi="Arial"/>
          <w:sz w:val="18"/>
        </w:rPr>
        <w:t>09/13)</w:t>
        <w:tab/>
        <w:tab/>
        <w:t>ELECTRONIC FUND TRANSFER (EFT) FOR</w:t>
      </w:r>
      <w:r>
        <w:rPr>
          <w:rFonts w:ascii="Arial" w:hAnsi="Arial"/>
          <w:w w:val="100"/>
          <w:sz w:val="18"/>
        </w:rPr>
        <w:t> </w:t>
      </w:r>
      <w:r>
        <w:rPr>
          <w:rFonts w:ascii="Arial" w:hAnsi="Arial"/>
          <w:sz w:val="18"/>
        </w:rPr>
        <w:t>DEPARTMENT OF GENERAL SERVICES’</w:t>
      </w:r>
      <w:r>
        <w:rPr>
          <w:rFonts w:ascii="Arial" w:hAnsi="Arial"/>
          <w:spacing w:val="-27"/>
          <w:sz w:val="18"/>
        </w:rPr>
        <w:t> </w:t>
      </w:r>
      <w:r>
        <w:rPr>
          <w:rFonts w:ascii="Arial" w:hAnsi="Arial"/>
          <w:sz w:val="18"/>
        </w:rPr>
        <w:t>INVOICES</w:t>
      </w:r>
    </w:p>
    <w:p>
      <w:pPr>
        <w:pStyle w:val="BodyText"/>
        <w:rPr>
          <w:rFonts w:ascii="Arial"/>
        </w:rPr>
      </w:pPr>
    </w:p>
    <w:p>
      <w:pPr>
        <w:pStyle w:val="BodyText"/>
        <w:spacing w:before="6"/>
        <w:rPr>
          <w:rFonts w:ascii="Arial"/>
          <w:sz w:val="23"/>
        </w:rPr>
      </w:pPr>
    </w:p>
    <w:p>
      <w:pPr>
        <w:spacing w:before="95"/>
        <w:ind w:left="3344" w:right="0" w:firstLine="0"/>
        <w:jc w:val="left"/>
        <w:rPr>
          <w:rFonts w:ascii="Arial"/>
          <w:sz w:val="18"/>
        </w:rPr>
      </w:pPr>
      <w:r>
        <w:rPr>
          <w:rFonts w:ascii="Arial"/>
          <w:sz w:val="18"/>
          <w:u w:val="single"/>
        </w:rPr>
        <w:t>NORMAL FLOW OF TRANSACTIONS</w:t>
      </w:r>
    </w:p>
    <w:p>
      <w:pPr>
        <w:spacing w:before="100"/>
        <w:ind w:left="240" w:right="0" w:firstLine="0"/>
        <w:jc w:val="left"/>
        <w:rPr>
          <w:rFonts w:ascii="Arial"/>
          <w:sz w:val="18"/>
        </w:rPr>
      </w:pPr>
      <w:r>
        <w:rPr>
          <w:rFonts w:ascii="Arial"/>
          <w:sz w:val="18"/>
        </w:rPr>
        <w:t>Accounting Section</w:t>
      </w:r>
    </w:p>
    <w:p>
      <w:pPr>
        <w:tabs>
          <w:tab w:pos="4444" w:val="left" w:leader="none"/>
          <w:tab w:pos="7643" w:val="left" w:leader="none"/>
        </w:tabs>
        <w:spacing w:before="0"/>
        <w:ind w:left="240" w:right="0" w:firstLine="0"/>
        <w:jc w:val="left"/>
        <w:rPr>
          <w:rFonts w:ascii="Arial" w:hAnsi="Arial"/>
          <w:sz w:val="18"/>
        </w:rPr>
      </w:pPr>
      <w:r>
        <w:rPr>
          <w:rFonts w:ascii="Arial" w:hAnsi="Arial"/>
          <w:sz w:val="18"/>
          <w:u w:val="single"/>
        </w:rPr>
        <w:t>Dept. of</w:t>
      </w:r>
      <w:r>
        <w:rPr>
          <w:rFonts w:ascii="Arial" w:hAnsi="Arial"/>
          <w:spacing w:val="-1"/>
          <w:sz w:val="18"/>
          <w:u w:val="single"/>
        </w:rPr>
        <w:t> </w:t>
      </w:r>
      <w:r>
        <w:rPr>
          <w:rFonts w:ascii="Arial" w:hAnsi="Arial"/>
          <w:sz w:val="18"/>
          <w:u w:val="single"/>
        </w:rPr>
        <w:t>General</w:t>
      </w:r>
      <w:r>
        <w:rPr>
          <w:rFonts w:ascii="Arial" w:hAnsi="Arial"/>
          <w:spacing w:val="-1"/>
          <w:sz w:val="18"/>
          <w:u w:val="single"/>
        </w:rPr>
        <w:t> </w:t>
      </w:r>
      <w:r>
        <w:rPr>
          <w:rFonts w:ascii="Arial" w:hAnsi="Arial"/>
          <w:sz w:val="18"/>
          <w:u w:val="single"/>
        </w:rPr>
        <w:t>Services</w:t>
      </w:r>
      <w:r>
        <w:rPr>
          <w:rFonts w:ascii="Arial" w:hAnsi="Arial"/>
          <w:sz w:val="18"/>
        </w:rPr>
        <w:tab/>
      </w:r>
      <w:r>
        <w:rPr>
          <w:rFonts w:ascii="Arial" w:hAnsi="Arial"/>
          <w:sz w:val="18"/>
          <w:u w:val="single"/>
        </w:rPr>
        <w:t>Department</w:t>
      </w:r>
      <w:r>
        <w:rPr>
          <w:rFonts w:ascii="Arial" w:hAnsi="Arial"/>
          <w:sz w:val="18"/>
        </w:rPr>
        <w:tab/>
      </w:r>
      <w:r>
        <w:rPr>
          <w:rFonts w:ascii="Arial" w:hAnsi="Arial"/>
          <w:sz w:val="18"/>
          <w:u w:val="single"/>
        </w:rPr>
        <w:t>State Controller’s</w:t>
      </w:r>
      <w:r>
        <w:rPr>
          <w:rFonts w:ascii="Arial" w:hAnsi="Arial"/>
          <w:spacing w:val="-22"/>
          <w:sz w:val="18"/>
          <w:u w:val="single"/>
        </w:rPr>
        <w:t> </w:t>
      </w:r>
      <w:r>
        <w:rPr>
          <w:rFonts w:ascii="Arial" w:hAnsi="Arial"/>
          <w:sz w:val="18"/>
          <w:u w:val="single"/>
        </w:rPr>
        <w:t>Office</w:t>
      </w:r>
    </w:p>
    <w:p>
      <w:pPr>
        <w:pStyle w:val="BodyText"/>
        <w:rPr>
          <w:rFonts w:ascii="Arial"/>
        </w:rPr>
      </w:pPr>
    </w:p>
    <w:p>
      <w:pPr>
        <w:pStyle w:val="BodyText"/>
        <w:rPr>
          <w:rFonts w:ascii="Arial"/>
          <w:sz w:val="19"/>
        </w:rPr>
      </w:pPr>
      <w:r>
        <w:rPr/>
        <w:pict>
          <v:group style="position:absolute;margin-left:66.350006pt;margin-top:12.910985pt;width:314.55pt;height:105.35pt;mso-position-horizontal-relative:page;mso-position-vertical-relative:paragraph;z-index:2104;mso-wrap-distance-left:0;mso-wrap-distance-right:0" coordorigin="1327,258" coordsize="6291,2107">
            <v:shape style="position:absolute;left:3869;top:1036;width:743;height:503" coordorigin="3869,1036" coordsize="743,503" path="m3935,1421l3869,1539,4002,1521,3981,1490,3950,1490,3946,1487,3944,1481,3948,1476,3965,1465,3935,1421xm3965,1465l3948,1476,3944,1481,3946,1487,3950,1490,3956,1488,3973,1477,3965,1465xm3973,1477l3956,1488,3950,1490,3981,1490,3973,1477xm4606,1036l4600,1037,3965,1465,3973,1477,4608,1050,4612,1046,4610,1040,4606,1036xe" filled="true" fillcolor="#000000" stroked="false">
              <v:path arrowok="t"/>
              <v:fill type="solid"/>
            </v:shape>
            <v:shape style="position:absolute;left:4590;top:263;width:3023;height:785" type="#_x0000_t202" filled="false" stroked="true" strokeweight=".48001pt" strokecolor="#000000">
              <v:textbox inset="0,0,0,0">
                <w:txbxContent>
                  <w:p>
                    <w:pPr>
                      <w:spacing w:line="333" w:lineRule="auto" w:before="179"/>
                      <w:ind w:left="1286" w:right="195" w:hanging="1079"/>
                      <w:jc w:val="left"/>
                      <w:rPr>
                        <w:rFonts w:ascii="Arial"/>
                        <w:sz w:val="18"/>
                      </w:rPr>
                    </w:pPr>
                    <w:r>
                      <w:rPr>
                        <w:rFonts w:ascii="Arial"/>
                        <w:sz w:val="18"/>
                      </w:rPr>
                      <w:t>Receives services/products from DGS.</w:t>
                    </w:r>
                  </w:p>
                </w:txbxContent>
              </v:textbox>
              <v:stroke dashstyle="solid"/>
              <w10:wrap type="none"/>
            </v:shape>
            <v:shape style="position:absolute;left:1332;top:1520;width:2568;height:840" type="#_x0000_t202" filled="false" stroked="true" strokeweight=".48001pt" strokecolor="#000000">
              <v:textbox inset="0,0,0,0">
                <w:txbxContent>
                  <w:p>
                    <w:pPr>
                      <w:spacing w:line="240" w:lineRule="auto" w:before="11"/>
                      <w:rPr>
                        <w:rFonts w:ascii="Arial"/>
                        <w:sz w:val="17"/>
                      </w:rPr>
                    </w:pPr>
                  </w:p>
                  <w:p>
                    <w:pPr>
                      <w:spacing w:before="0"/>
                      <w:ind w:left="895" w:right="92" w:hanging="790"/>
                      <w:jc w:val="left"/>
                      <w:rPr>
                        <w:rFonts w:ascii="Arial"/>
                        <w:sz w:val="18"/>
                      </w:rPr>
                    </w:pPr>
                    <w:r>
                      <w:rPr>
                        <w:rFonts w:ascii="Arial"/>
                        <w:sz w:val="18"/>
                      </w:rPr>
                      <w:t>Bills departments for services rendered.</w:t>
                    </w:r>
                  </w:p>
                </w:txbxContent>
              </v:textbox>
              <v:stroke dashstyle="solid"/>
              <w10:wrap type="none"/>
            </v:shape>
            <w10:wrap type="topAndBottom"/>
          </v:group>
        </w:pict>
      </w:r>
      <w:r>
        <w:rPr/>
        <w:pict>
          <v:shape style="position:absolute;margin-left:66.600006pt;margin-top:135.680984pt;width:126.9pt;height:42pt;mso-position-horizontal-relative:page;mso-position-vertical-relative:paragraph;z-index:2128;mso-wrap-distance-left:0;mso-wrap-distance-right:0" type="#_x0000_t202" filled="false" stroked="true" strokeweight=".48001pt" strokecolor="#000000">
            <v:textbox inset="0,0,0,0">
              <w:txbxContent>
                <w:p>
                  <w:pPr>
                    <w:pStyle w:val="BodyText"/>
                    <w:spacing w:before="11"/>
                    <w:rPr>
                      <w:rFonts w:ascii="Arial"/>
                      <w:sz w:val="17"/>
                    </w:rPr>
                  </w:pPr>
                </w:p>
                <w:p>
                  <w:pPr>
                    <w:spacing w:before="0"/>
                    <w:ind w:left="609" w:right="176" w:hanging="428"/>
                    <w:jc w:val="left"/>
                    <w:rPr>
                      <w:rFonts w:ascii="Arial"/>
                      <w:sz w:val="18"/>
                    </w:rPr>
                  </w:pPr>
                  <w:r>
                    <w:rPr>
                      <w:rFonts w:ascii="Arial"/>
                      <w:sz w:val="18"/>
                    </w:rPr>
                    <w:t>Submits EFT file to SCO to transfer request.</w:t>
                  </w:r>
                </w:p>
              </w:txbxContent>
            </v:textbox>
            <v:stroke dashstyle="solid"/>
            <w10:wrap type="topAndBottom"/>
          </v:shape>
        </w:pict>
      </w:r>
      <w:r>
        <w:rPr/>
        <w:pict>
          <v:shape style="position:absolute;margin-left:459.299988pt;margin-top:142.760971pt;width:122.1pt;height:35.85pt;mso-position-horizontal-relative:page;mso-position-vertical-relative:paragraph;z-index:2152;mso-wrap-distance-left:0;mso-wrap-distance-right:0" type="#_x0000_t202" filled="false" stroked="true" strokeweight=".48004pt" strokecolor="#000000">
            <v:textbox inset="0,0,0,0">
              <w:txbxContent>
                <w:p>
                  <w:pPr>
                    <w:pStyle w:val="BodyText"/>
                    <w:spacing w:before="7"/>
                    <w:rPr>
                      <w:rFonts w:ascii="Arial"/>
                      <w:sz w:val="21"/>
                    </w:rPr>
                  </w:pPr>
                </w:p>
                <w:p>
                  <w:pPr>
                    <w:spacing w:before="0"/>
                    <w:ind w:left="604" w:right="0" w:firstLine="0"/>
                    <w:jc w:val="left"/>
                    <w:rPr>
                      <w:rFonts w:ascii="Arial"/>
                      <w:sz w:val="18"/>
                    </w:rPr>
                  </w:pPr>
                  <w:r>
                    <w:rPr>
                      <w:rFonts w:ascii="Arial"/>
                      <w:sz w:val="18"/>
                    </w:rPr>
                    <w:t>Audits EFT file.</w:t>
                  </w:r>
                </w:p>
              </w:txbxContent>
            </v:textbox>
            <v:stroke dashstyle="solid"/>
            <w10:wrap type="topAndBottom"/>
          </v:shape>
        </w:pict>
      </w:r>
      <w:r>
        <w:rPr/>
        <w:pict>
          <v:shape style="position:absolute;margin-left:66.600006pt;margin-top:194.660965pt;width:127.2pt;height:40.35pt;mso-position-horizontal-relative:page;mso-position-vertical-relative:paragraph;z-index:2176;mso-wrap-distance-left:0;mso-wrap-distance-right:0" type="#_x0000_t202" filled="false" stroked="true" strokeweight=".48pt" strokecolor="#000000">
            <v:textbox inset="0,0,0,0">
              <w:txbxContent>
                <w:p>
                  <w:pPr>
                    <w:pStyle w:val="BodyText"/>
                    <w:spacing w:before="11"/>
                    <w:rPr>
                      <w:rFonts w:ascii="Arial"/>
                      <w:sz w:val="17"/>
                    </w:rPr>
                  </w:pPr>
                </w:p>
                <w:p>
                  <w:pPr>
                    <w:spacing w:before="0"/>
                    <w:ind w:left="488" w:right="141" w:hanging="336"/>
                    <w:jc w:val="left"/>
                    <w:rPr>
                      <w:rFonts w:ascii="Arial"/>
                      <w:sz w:val="18"/>
                    </w:rPr>
                  </w:pPr>
                  <w:r>
                    <w:rPr>
                      <w:rFonts w:ascii="Arial"/>
                      <w:sz w:val="18"/>
                    </w:rPr>
                    <w:t>Prepares Notice of EFT and notify Departments.</w:t>
                  </w:r>
                </w:p>
              </w:txbxContent>
            </v:textbox>
            <v:stroke dashstyle="solid"/>
            <w10:wrap type="topAndBottom"/>
          </v:shape>
        </w:pict>
      </w:r>
      <w:r>
        <w:rPr/>
        <w:pict>
          <v:shape style="position:absolute;margin-left:249.300003pt;margin-top:203.54097pt;width:149.4pt;height:40.65pt;mso-position-horizontal-relative:page;mso-position-vertical-relative:paragraph;z-index:2200;mso-wrap-distance-left:0;mso-wrap-distance-right:0" type="#_x0000_t202" filled="false" stroked="true" strokeweight=".48001pt" strokecolor="#000000">
            <v:textbox inset="0,0,0,0">
              <w:txbxContent>
                <w:p>
                  <w:pPr>
                    <w:pStyle w:val="BodyText"/>
                    <w:spacing w:before="9"/>
                    <w:rPr>
                      <w:rFonts w:ascii="Arial"/>
                      <w:sz w:val="25"/>
                    </w:rPr>
                  </w:pPr>
                </w:p>
                <w:p>
                  <w:pPr>
                    <w:spacing w:before="0"/>
                    <w:ind w:left="550" w:right="0" w:firstLine="0"/>
                    <w:jc w:val="left"/>
                    <w:rPr>
                      <w:rFonts w:ascii="Arial"/>
                      <w:sz w:val="18"/>
                    </w:rPr>
                  </w:pPr>
                  <w:r>
                    <w:rPr>
                      <w:rFonts w:ascii="Arial"/>
                      <w:sz w:val="18"/>
                    </w:rPr>
                    <w:t>Reviews Notice of EFT.</w:t>
                  </w:r>
                </w:p>
              </w:txbxContent>
            </v:textbox>
            <v:stroke dashstyle="solid"/>
            <w10:wrap type="topAndBottom"/>
          </v:shape>
        </w:pict>
      </w:r>
      <w:r>
        <w:rPr/>
        <w:pict>
          <v:group style="position:absolute;margin-left:65.630005pt;margin-top:263.050995pt;width:516.0500pt;height:124.8pt;mso-position-horizontal-relative:page;mso-position-vertical-relative:paragraph;z-index:2296;mso-wrap-distance-left:0;mso-wrap-distance-right:0" coordorigin="1313,5261" coordsize="10321,2496">
            <v:shape style="position:absolute;left:3871;top:5484;width:5318;height:120" coordorigin="3871,5484" coordsize="5318,120" path="m3991,5484l3871,5544,3991,5604,3991,5552,3971,5552,3966,5550,3964,5544,3966,5540,3971,5537,3991,5537,3991,5484xm3991,5537l3971,5537,3966,5540,3964,5544,3966,5550,3971,5552,3991,5552,3991,5537xm9181,5537l3991,5537,3991,5552,9181,5552,9186,5550,9188,5544,9186,5540,9181,5537xe" filled="true" fillcolor="#000000" stroked="false">
              <v:path arrowok="t"/>
              <v:fill type="solid"/>
            </v:shape>
            <v:shape style="position:absolute;left:8038;top:5552;width:1149;height:1162" coordorigin="8038,5552" coordsize="1149,1162" path="m8080,6586l8038,6713,8165,6670,8144,6650,8108,6650,8102,6647,8101,6642,8102,6638,8117,6623,8080,6586xm8117,6623l8102,6638,8101,6642,8102,6647,8108,6650,8113,6647,8127,6633,8117,6623xm8127,6633l8113,6647,8108,6650,8144,6650,8127,6633xm9178,5552l9173,5553,8117,6623,8127,6633,9184,5564,9186,5559,9184,5553,9178,5552xe" filled="true" fillcolor="#000000" stroked="false">
              <v:path arrowok="t"/>
              <v:fill type="solid"/>
            </v:shape>
            <v:shape style="position:absolute;left:1318;top:5279;width:2562;height:722" type="#_x0000_t202" filled="false" stroked="true" strokeweight=".47998pt" strokecolor="#000000">
              <v:textbox inset="0,0,0,0">
                <w:txbxContent>
                  <w:p>
                    <w:pPr>
                      <w:spacing w:line="240" w:lineRule="auto" w:before="11"/>
                      <w:rPr>
                        <w:rFonts w:ascii="Arial"/>
                        <w:sz w:val="17"/>
                      </w:rPr>
                    </w:pPr>
                  </w:p>
                  <w:p>
                    <w:pPr>
                      <w:spacing w:before="0"/>
                      <w:ind w:left="398" w:right="0" w:firstLine="0"/>
                      <w:jc w:val="left"/>
                      <w:rPr>
                        <w:rFonts w:ascii="Arial"/>
                        <w:sz w:val="18"/>
                      </w:rPr>
                    </w:pPr>
                    <w:r>
                      <w:rPr>
                        <w:rFonts w:ascii="Arial"/>
                        <w:sz w:val="18"/>
                      </w:rPr>
                      <w:t>Records journal entry.</w:t>
                    </w:r>
                  </w:p>
                </w:txbxContent>
              </v:textbox>
              <v:stroke dashstyle="solid"/>
              <w10:wrap type="none"/>
            </v:shape>
            <v:shape style="position:absolute;left:9180;top:5266;width:2448;height:812" type="#_x0000_t202" filled="false" stroked="true" strokeweight=".48004pt" strokecolor="#000000">
              <v:textbox inset="0,0,0,0">
                <w:txbxContent>
                  <w:p>
                    <w:pPr>
                      <w:spacing w:line="240" w:lineRule="auto" w:before="11"/>
                      <w:rPr>
                        <w:rFonts w:ascii="Arial"/>
                        <w:sz w:val="17"/>
                      </w:rPr>
                    </w:pPr>
                  </w:p>
                  <w:p>
                    <w:pPr>
                      <w:spacing w:before="0"/>
                      <w:ind w:left="370" w:right="357" w:firstLine="4"/>
                      <w:jc w:val="left"/>
                      <w:rPr>
                        <w:rFonts w:ascii="Arial"/>
                        <w:sz w:val="18"/>
                      </w:rPr>
                    </w:pPr>
                    <w:r>
                      <w:rPr>
                        <w:rFonts w:ascii="Arial"/>
                        <w:sz w:val="18"/>
                      </w:rPr>
                      <w:t>Posts journal entry to transfer the payment.</w:t>
                    </w:r>
                  </w:p>
                </w:txbxContent>
              </v:textbox>
              <v:stroke dashstyle="solid"/>
              <w10:wrap type="none"/>
            </v:shape>
            <v:shape style="position:absolute;left:4933;top:6704;width:3094;height:1048" type="#_x0000_t202" filled="false" stroked="true" strokeweight=".47998pt" strokecolor="#000000">
              <v:textbox inset="0,0,0,0">
                <w:txbxContent>
                  <w:p>
                    <w:pPr>
                      <w:spacing w:line="240" w:lineRule="auto" w:before="11"/>
                      <w:rPr>
                        <w:rFonts w:ascii="Arial"/>
                        <w:sz w:val="17"/>
                      </w:rPr>
                    </w:pPr>
                  </w:p>
                  <w:p>
                    <w:pPr>
                      <w:spacing w:before="0"/>
                      <w:ind w:left="103" w:right="379" w:firstLine="0"/>
                      <w:jc w:val="left"/>
                      <w:rPr>
                        <w:rFonts w:ascii="Arial"/>
                        <w:sz w:val="18"/>
                      </w:rPr>
                    </w:pPr>
                    <w:r>
                      <w:rPr>
                        <w:rFonts w:ascii="Arial"/>
                        <w:sz w:val="18"/>
                      </w:rPr>
                      <w:t>Records journal entry and reconciles Notice of EFT against individual invoices.</w:t>
                    </w:r>
                  </w:p>
                </w:txbxContent>
              </v:textbox>
              <v:stroke dashstyle="solid"/>
              <w10:wrap type="none"/>
            </v:shape>
            <w10:wrap type="topAndBottom"/>
          </v:group>
        </w:pict>
      </w:r>
    </w:p>
    <w:p>
      <w:pPr>
        <w:pStyle w:val="BodyText"/>
        <w:rPr>
          <w:rFonts w:ascii="Arial"/>
          <w:sz w:val="24"/>
        </w:rPr>
      </w:pPr>
    </w:p>
    <w:p>
      <w:pPr>
        <w:pStyle w:val="BodyText"/>
        <w:spacing w:before="2"/>
        <w:rPr>
          <w:rFonts w:ascii="Arial"/>
          <w:sz w:val="21"/>
        </w:rPr>
      </w:pPr>
    </w:p>
    <w:p>
      <w:pPr>
        <w:pStyle w:val="BodyText"/>
        <w:spacing w:before="5"/>
        <w:rPr>
          <w:rFonts w:ascii="Arial"/>
          <w:sz w:val="26"/>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3"/>
        <w:rPr>
          <w:rFonts w:ascii="Arial"/>
          <w:sz w:val="21"/>
        </w:rPr>
      </w:pPr>
    </w:p>
    <w:p>
      <w:pPr>
        <w:spacing w:before="0"/>
        <w:ind w:left="240" w:right="134" w:firstLine="0"/>
        <w:jc w:val="left"/>
        <w:rPr>
          <w:rFonts w:ascii="Arial"/>
          <w:sz w:val="18"/>
        </w:rPr>
      </w:pPr>
      <w:r>
        <w:rPr>
          <w:rFonts w:ascii="Arial"/>
          <w:sz w:val="18"/>
        </w:rPr>
        <w:t>Note: If any department discovers an invoice discrepancy, the department should notify Department of General Services who will issue an adjustment or credit that will automatically be recorded in the following EFT.</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4"/>
        <w:rPr>
          <w:rFonts w:ascii="Arial"/>
          <w:sz w:val="24"/>
        </w:rPr>
      </w:pPr>
    </w:p>
    <w:p>
      <w:pPr>
        <w:spacing w:before="1"/>
        <w:ind w:left="4548" w:right="4530" w:firstLine="0"/>
        <w:jc w:val="center"/>
        <w:rPr>
          <w:rFonts w:ascii="Arial"/>
          <w:sz w:val="18"/>
        </w:rPr>
      </w:pPr>
      <w:r>
        <w:rPr>
          <w:rFonts w:ascii="Arial"/>
          <w:sz w:val="18"/>
        </w:rPr>
        <w:t>8471.2 Illustration</w:t>
      </w:r>
    </w:p>
    <w:p>
      <w:pPr>
        <w:spacing w:after="0"/>
        <w:jc w:val="center"/>
        <w:rPr>
          <w:rFonts w:ascii="Arial"/>
          <w:sz w:val="18"/>
        </w:rPr>
        <w:sectPr>
          <w:headerReference w:type="default" r:id="rId41"/>
          <w:footerReference w:type="default" r:id="rId42"/>
          <w:pgSz w:w="12240" w:h="15840"/>
          <w:pgMar w:header="719" w:footer="742" w:top="940" w:bottom="940" w:left="1200" w:right="500"/>
        </w:sectPr>
      </w:pPr>
    </w:p>
    <w:p>
      <w:pPr>
        <w:pStyle w:val="BodyText"/>
        <w:spacing w:before="5"/>
        <w:rPr>
          <w:rFonts w:ascii="Arial"/>
          <w:sz w:val="16"/>
        </w:rPr>
      </w:pPr>
    </w:p>
    <w:p>
      <w:pPr>
        <w:pStyle w:val="Heading2"/>
        <w:spacing w:before="92"/>
        <w:ind w:left="120"/>
      </w:pPr>
      <w:r>
        <w:rPr/>
        <w:t>PRINTING</w:t>
      </w:r>
    </w:p>
    <w:p>
      <w:pPr>
        <w:tabs>
          <w:tab w:pos="9479" w:val="right" w:leader="none"/>
        </w:tabs>
        <w:spacing w:before="239"/>
        <w:ind w:left="120" w:right="0" w:firstLine="0"/>
        <w:jc w:val="left"/>
        <w:rPr>
          <w:b/>
          <w:sz w:val="20"/>
        </w:rPr>
      </w:pPr>
      <w:r>
        <w:rPr>
          <w:b/>
          <w:sz w:val="20"/>
        </w:rPr>
        <w:t>INVOICES FOR PRINTING SERVICES AND SUPPLIES</w:t>
      </w:r>
      <w:r>
        <w:rPr>
          <w:sz w:val="20"/>
        </w:rPr>
        <w:t>)</w:t>
      </w:r>
      <w:r>
        <w:rPr>
          <w:b/>
          <w:sz w:val="20"/>
        </w:rPr>
        <w:tab/>
        <w:t>8472.1</w:t>
      </w:r>
    </w:p>
    <w:p>
      <w:pPr>
        <w:pStyle w:val="BodyText"/>
        <w:spacing w:before="4"/>
        <w:ind w:left="119"/>
      </w:pPr>
      <w:r>
        <w:rPr/>
        <w:t>(Revised and Renumbered 8/70</w:t>
      </w:r>
    </w:p>
    <w:p>
      <w:pPr>
        <w:pStyle w:val="BodyText"/>
        <w:spacing w:before="8"/>
      </w:pPr>
    </w:p>
    <w:p>
      <w:pPr>
        <w:pStyle w:val="BodyText"/>
        <w:ind w:left="119"/>
      </w:pPr>
      <w:r>
        <w:rPr/>
        <w:t>(See SAM Section 2812 for other instructions on the preparation of requisitions.)</w:t>
      </w:r>
    </w:p>
    <w:p>
      <w:pPr>
        <w:pStyle w:val="BodyText"/>
        <w:spacing w:line="244" w:lineRule="auto" w:before="124"/>
        <w:ind w:left="119" w:right="113"/>
      </w:pPr>
      <w:r>
        <w:rPr/>
        <w:t>Printing Requisition-Invoice, Std. Form 67, serves as a requisition on and as an invoice of the Department of General Services, Office of State Printing. Agencies will submit Std. Form 67 in quadruplicate, the original and two copies of which will be used by the Office of State Printing as invoices when the services or supplies are furnished. At the top of each Std. Form 67, agencies will show the fund, appropriation, and budget act item from which the charge is to be paid.</w:t>
      </w:r>
    </w:p>
    <w:p>
      <w:pPr>
        <w:pStyle w:val="BodyText"/>
        <w:spacing w:line="244" w:lineRule="auto" w:before="119"/>
        <w:ind w:left="119" w:right="113"/>
      </w:pPr>
      <w:r>
        <w:rPr/>
        <w:t>The form also authorizes the State Controller to make a journal entry for the amount of the charges from funds advanced to the Service Revolving Fund. This authorization must be signed by a person of the agency properly authorized to approve claims in accordance with Board of Control Rule 624.</w:t>
      </w:r>
    </w:p>
    <w:p>
      <w:pPr>
        <w:pStyle w:val="BodyText"/>
        <w:spacing w:before="6"/>
      </w:pPr>
    </w:p>
    <w:p>
      <w:pPr>
        <w:pStyle w:val="Heading2"/>
        <w:tabs>
          <w:tab w:pos="8925" w:val="left" w:leader="none"/>
        </w:tabs>
        <w:spacing w:before="0"/>
        <w:ind w:left="119"/>
      </w:pPr>
      <w:r>
        <w:rPr/>
        <w:t>PROCESSING BY OFFICE OF</w:t>
      </w:r>
      <w:r>
        <w:rPr>
          <w:spacing w:val="4"/>
        </w:rPr>
        <w:t> </w:t>
      </w:r>
      <w:r>
        <w:rPr/>
        <w:t>STATE</w:t>
      </w:r>
      <w:r>
        <w:rPr>
          <w:spacing w:val="1"/>
        </w:rPr>
        <w:t> </w:t>
      </w:r>
      <w:r>
        <w:rPr/>
        <w:t>PRINTING</w:t>
        <w:tab/>
        <w:t>8472.2</w:t>
      </w:r>
    </w:p>
    <w:p>
      <w:pPr>
        <w:pStyle w:val="BodyText"/>
        <w:spacing w:before="1"/>
        <w:ind w:left="119"/>
      </w:pPr>
      <w:r>
        <w:rPr/>
        <w:t>(Revised and Renumbered 8/70)</w:t>
      </w:r>
    </w:p>
    <w:p>
      <w:pPr>
        <w:pStyle w:val="BodyText"/>
        <w:spacing w:before="2"/>
        <w:rPr>
          <w:sz w:val="21"/>
        </w:rPr>
      </w:pPr>
    </w:p>
    <w:p>
      <w:pPr>
        <w:pStyle w:val="BodyText"/>
        <w:ind w:left="119"/>
      </w:pPr>
      <w:r>
        <w:rPr/>
        <w:t>After furnishing agencies with services or supplies, the Office of State Printing will:</w:t>
      </w:r>
    </w:p>
    <w:p>
      <w:pPr>
        <w:pStyle w:val="BodyText"/>
        <w:spacing w:before="2"/>
        <w:rPr>
          <w:sz w:val="21"/>
        </w:rPr>
      </w:pPr>
    </w:p>
    <w:p>
      <w:pPr>
        <w:pStyle w:val="ListParagraph"/>
        <w:numPr>
          <w:ilvl w:val="0"/>
          <w:numId w:val="9"/>
        </w:numPr>
        <w:tabs>
          <w:tab w:pos="839" w:val="left" w:leader="none"/>
          <w:tab w:pos="840" w:val="left" w:leader="none"/>
        </w:tabs>
        <w:spacing w:line="244" w:lineRule="auto" w:before="0" w:after="0"/>
        <w:ind w:left="839" w:right="717" w:hanging="720"/>
        <w:jc w:val="left"/>
        <w:rPr>
          <w:sz w:val="20"/>
        </w:rPr>
      </w:pPr>
      <w:r>
        <w:rPr>
          <w:sz w:val="20"/>
        </w:rPr>
        <w:t>Enter the job cost on the original and two copies of the appropriate Std. Form 67 in the box reserved for this purpose.</w:t>
      </w:r>
    </w:p>
    <w:p>
      <w:pPr>
        <w:pStyle w:val="BodyText"/>
        <w:spacing w:before="9"/>
      </w:pPr>
    </w:p>
    <w:p>
      <w:pPr>
        <w:pStyle w:val="ListParagraph"/>
        <w:numPr>
          <w:ilvl w:val="0"/>
          <w:numId w:val="9"/>
        </w:numPr>
        <w:tabs>
          <w:tab w:pos="839" w:val="left" w:leader="none"/>
          <w:tab w:pos="840" w:val="left" w:leader="none"/>
        </w:tabs>
        <w:spacing w:line="244" w:lineRule="auto" w:before="0" w:after="0"/>
        <w:ind w:left="839" w:right="187" w:hanging="720"/>
        <w:jc w:val="left"/>
        <w:rPr>
          <w:sz w:val="20"/>
        </w:rPr>
      </w:pPr>
      <w:r>
        <w:rPr>
          <w:sz w:val="20"/>
        </w:rPr>
        <w:t>Prepare a journal entry request in triplicate for each group of invoices (Std. Form 67) chargeable to a single appropriation applicable to one agency.  Each request will show: (a) request number, (b) name of agency, (c)</w:t>
      </w:r>
      <w:r>
        <w:rPr>
          <w:spacing w:val="9"/>
          <w:sz w:val="20"/>
        </w:rPr>
        <w:t> </w:t>
      </w:r>
      <w:r>
        <w:rPr>
          <w:sz w:val="20"/>
        </w:rPr>
        <w:t>fund,</w:t>
      </w:r>
    </w:p>
    <w:p>
      <w:pPr>
        <w:pStyle w:val="BodyText"/>
        <w:spacing w:line="244" w:lineRule="auto"/>
        <w:ind w:left="839"/>
      </w:pPr>
      <w:r>
        <w:rPr/>
        <w:t>(d) appropriation, (e) budget act item, (f) list by job number of the amount of each supporting Std. Form 67, and (g) total amount chargeable to the appropriation.</w:t>
      </w:r>
    </w:p>
    <w:p>
      <w:pPr>
        <w:pStyle w:val="BodyText"/>
        <w:spacing w:before="10"/>
      </w:pPr>
    </w:p>
    <w:p>
      <w:pPr>
        <w:pStyle w:val="ListParagraph"/>
        <w:numPr>
          <w:ilvl w:val="0"/>
          <w:numId w:val="10"/>
        </w:numPr>
        <w:tabs>
          <w:tab w:pos="1559" w:val="left" w:leader="none"/>
          <w:tab w:pos="1560" w:val="left" w:leader="none"/>
        </w:tabs>
        <w:spacing w:line="244" w:lineRule="auto" w:before="0" w:after="0"/>
        <w:ind w:left="1559" w:right="636" w:hanging="720"/>
        <w:jc w:val="left"/>
        <w:rPr>
          <w:sz w:val="20"/>
        </w:rPr>
      </w:pPr>
      <w:r>
        <w:rPr>
          <w:sz w:val="20"/>
        </w:rPr>
        <w:t>The original copy of the request and the original copies of the Std. Form 67 will be sent to the State Controller's Office for audit and preparation of the journal</w:t>
      </w:r>
      <w:r>
        <w:rPr>
          <w:spacing w:val="-7"/>
          <w:sz w:val="20"/>
        </w:rPr>
        <w:t> </w:t>
      </w:r>
      <w:r>
        <w:rPr>
          <w:sz w:val="20"/>
        </w:rPr>
        <w:t>entry.</w:t>
      </w:r>
    </w:p>
    <w:p>
      <w:pPr>
        <w:pStyle w:val="BodyText"/>
        <w:spacing w:before="9"/>
      </w:pPr>
    </w:p>
    <w:p>
      <w:pPr>
        <w:pStyle w:val="ListParagraph"/>
        <w:numPr>
          <w:ilvl w:val="0"/>
          <w:numId w:val="10"/>
        </w:numPr>
        <w:tabs>
          <w:tab w:pos="1559" w:val="left" w:leader="none"/>
          <w:tab w:pos="1560" w:val="left" w:leader="none"/>
        </w:tabs>
        <w:spacing w:line="244" w:lineRule="auto" w:before="0" w:after="0"/>
        <w:ind w:left="1559" w:right="869" w:hanging="720"/>
        <w:jc w:val="left"/>
        <w:rPr>
          <w:sz w:val="20"/>
        </w:rPr>
      </w:pPr>
      <w:r>
        <w:rPr>
          <w:sz w:val="20"/>
        </w:rPr>
        <w:t>The duplicate copy of the request will be attached to the duplicate copies of the Std. Form 67 and forwarded to the</w:t>
      </w:r>
      <w:r>
        <w:rPr>
          <w:spacing w:val="3"/>
          <w:sz w:val="20"/>
        </w:rPr>
        <w:t> </w:t>
      </w:r>
      <w:r>
        <w:rPr>
          <w:sz w:val="20"/>
        </w:rPr>
        <w:t>agency.</w:t>
      </w:r>
    </w:p>
    <w:p>
      <w:pPr>
        <w:pStyle w:val="BodyText"/>
        <w:spacing w:before="9"/>
      </w:pPr>
    </w:p>
    <w:p>
      <w:pPr>
        <w:pStyle w:val="ListParagraph"/>
        <w:numPr>
          <w:ilvl w:val="0"/>
          <w:numId w:val="10"/>
        </w:numPr>
        <w:tabs>
          <w:tab w:pos="1559" w:val="left" w:leader="none"/>
          <w:tab w:pos="1560" w:val="left" w:leader="none"/>
        </w:tabs>
        <w:spacing w:line="244" w:lineRule="auto" w:before="0" w:after="0"/>
        <w:ind w:left="1559" w:right="925" w:hanging="720"/>
        <w:jc w:val="left"/>
        <w:rPr>
          <w:sz w:val="20"/>
        </w:rPr>
      </w:pPr>
      <w:r>
        <w:rPr>
          <w:sz w:val="20"/>
        </w:rPr>
        <w:t>The triplicate copy of the request and the triplicate copies of the Std. Form 67 will be retained as supporting detail of accounts receivable pending receipt of the Controller's Journal</w:t>
      </w:r>
      <w:r>
        <w:rPr>
          <w:spacing w:val="9"/>
          <w:sz w:val="20"/>
        </w:rPr>
        <w:t> </w:t>
      </w:r>
      <w:r>
        <w:rPr>
          <w:sz w:val="20"/>
        </w:rPr>
        <w:t>Entry.</w:t>
      </w:r>
    </w:p>
    <w:p>
      <w:pPr>
        <w:pStyle w:val="BodyText"/>
        <w:spacing w:before="9"/>
      </w:pPr>
    </w:p>
    <w:p>
      <w:pPr>
        <w:pStyle w:val="ListParagraph"/>
        <w:numPr>
          <w:ilvl w:val="0"/>
          <w:numId w:val="9"/>
        </w:numPr>
        <w:tabs>
          <w:tab w:pos="838" w:val="left" w:leader="none"/>
          <w:tab w:pos="840" w:val="left" w:leader="none"/>
        </w:tabs>
        <w:spacing w:line="240" w:lineRule="auto" w:before="0" w:after="0"/>
        <w:ind w:left="839" w:right="0" w:hanging="720"/>
        <w:jc w:val="left"/>
        <w:rPr>
          <w:sz w:val="20"/>
        </w:rPr>
      </w:pPr>
      <w:r>
        <w:rPr>
          <w:sz w:val="20"/>
        </w:rPr>
        <w:t>Record payment in the Service Revolving Fund accounts when the State Controller's Journal Entry is</w:t>
      </w:r>
      <w:r>
        <w:rPr>
          <w:spacing w:val="10"/>
          <w:sz w:val="20"/>
        </w:rPr>
        <w:t> </w:t>
      </w:r>
      <w:r>
        <w:rPr>
          <w:sz w:val="20"/>
        </w:rPr>
        <w:t>received.</w:t>
      </w:r>
    </w:p>
    <w:p>
      <w:pPr>
        <w:spacing w:after="0" w:line="240" w:lineRule="auto"/>
        <w:jc w:val="left"/>
        <w:rPr>
          <w:sz w:val="20"/>
        </w:rPr>
        <w:sectPr>
          <w:pgSz w:w="12240" w:h="15840"/>
          <w:pgMar w:header="719" w:footer="742" w:top="940" w:bottom="940" w:left="1320" w:right="680"/>
        </w:sectPr>
      </w:pPr>
    </w:p>
    <w:p>
      <w:pPr>
        <w:pStyle w:val="BodyText"/>
        <w:spacing w:before="5"/>
        <w:rPr>
          <w:sz w:val="16"/>
        </w:rPr>
      </w:pPr>
    </w:p>
    <w:p>
      <w:pPr>
        <w:tabs>
          <w:tab w:pos="9479" w:val="right" w:leader="none"/>
        </w:tabs>
        <w:spacing w:before="92"/>
        <w:ind w:left="120" w:right="0" w:firstLine="0"/>
        <w:jc w:val="left"/>
        <w:rPr>
          <w:b/>
          <w:sz w:val="20"/>
        </w:rPr>
      </w:pPr>
      <w:r>
        <w:rPr>
          <w:b/>
          <w:sz w:val="20"/>
        </w:rPr>
        <w:t>PROCESSING BY STATE CONTROLLER'S OFFICE</w:t>
        <w:tab/>
        <w:t>8472.3</w:t>
      </w:r>
    </w:p>
    <w:p>
      <w:pPr>
        <w:pStyle w:val="BodyText"/>
        <w:spacing w:before="7"/>
        <w:ind w:left="120"/>
      </w:pPr>
      <w:r>
        <w:rPr/>
        <w:t>(Revised and Renumbered 8/70)</w:t>
      </w:r>
    </w:p>
    <w:p>
      <w:pPr>
        <w:pStyle w:val="BodyText"/>
        <w:spacing w:before="8"/>
        <w:rPr>
          <w:sz w:val="21"/>
        </w:rPr>
      </w:pPr>
    </w:p>
    <w:p>
      <w:pPr>
        <w:pStyle w:val="BodyText"/>
        <w:spacing w:line="249" w:lineRule="auto"/>
        <w:ind w:left="119" w:right="199"/>
      </w:pPr>
      <w:r>
        <w:rPr/>
        <w:t>The State Controller's Office will audit and determine the correctness and propriety of each journal entry request received from the Office of State Printing.</w:t>
      </w:r>
    </w:p>
    <w:p>
      <w:pPr>
        <w:pStyle w:val="BodyText"/>
        <w:spacing w:before="11"/>
      </w:pPr>
    </w:p>
    <w:p>
      <w:pPr>
        <w:pStyle w:val="BodyText"/>
        <w:spacing w:line="249" w:lineRule="auto"/>
        <w:ind w:left="119" w:right="108"/>
      </w:pPr>
      <w:r>
        <w:rPr/>
        <w:t>Any errors disclosed by this audit will be corrected in the usual manner by claim corrections. One copy of the claim corrections will be sent to the Office of State Printing and one copy will be sent to the agency. (Agencies will not use such claim corrections as accounting documents since expenditures are recorded on the basis of State Controller's Journal Entries.)</w:t>
      </w:r>
    </w:p>
    <w:p>
      <w:pPr>
        <w:pStyle w:val="BodyText"/>
        <w:spacing w:before="11"/>
      </w:pPr>
    </w:p>
    <w:p>
      <w:pPr>
        <w:pStyle w:val="BodyText"/>
        <w:spacing w:line="249" w:lineRule="auto"/>
        <w:ind w:left="119" w:right="108"/>
      </w:pPr>
      <w:r>
        <w:rPr/>
        <w:t>After audit and approval of the request by the State Controller's Office, Audits Division, the Controller's Accounting  Division will issue a State Controller's Journal Entry or Transfer. (The State Controller's Office will settle the request by (a) a Controller's Journal Entry reducing the advance, if there is an advance, or (b) a Controller's Transfer, transferring the funds if the advance has been returned or if no advance has been made.) One copy of the State Controller's Journal Entry or State Controller's Transfer will be sent to the Office of State Printing and one copy will be sent to the</w:t>
      </w:r>
      <w:r>
        <w:rPr>
          <w:spacing w:val="-34"/>
        </w:rPr>
        <w:t> </w:t>
      </w:r>
      <w:r>
        <w:rPr/>
        <w:t>agency.</w:t>
      </w:r>
    </w:p>
    <w:p>
      <w:pPr>
        <w:pStyle w:val="BodyText"/>
        <w:spacing w:before="11"/>
      </w:pPr>
    </w:p>
    <w:p>
      <w:pPr>
        <w:pStyle w:val="BodyText"/>
        <w:spacing w:line="249" w:lineRule="auto"/>
        <w:ind w:left="120" w:right="168"/>
      </w:pPr>
      <w:r>
        <w:rPr/>
        <w:t>Upon request from the agency, the State Controller's Office will reverse the amount of any journal entry previously made, or any part of such amount, if the agency believes the amount should not have been paid because of non-receipt of the services or supplies, excessive cost, or other valid reason after negotiation with the Office of State Printing.  Request for adjustment of previous journal entry will be forwarded by the agency to the State Controller's Audit Division and will refer to the particular State Controller's Journal Entry by date and number. The request also will refer to the item and amount and will include a statement as to why the journal entry should not have been made. After examination and approval by the Controller's Audits Division, the request for adjustment will be routed to the Controller's Accounting Division for preparation of the Journal Entry. One copy of the journal entry will be. sent to the Office of State Printing and one copy will be sent to the</w:t>
      </w:r>
      <w:r>
        <w:rPr>
          <w:spacing w:val="3"/>
        </w:rPr>
        <w:t> </w:t>
      </w:r>
      <w:r>
        <w:rPr/>
        <w:t>agency.</w:t>
      </w:r>
    </w:p>
    <w:p>
      <w:pPr>
        <w:pStyle w:val="BodyText"/>
        <w:spacing w:before="2"/>
      </w:pPr>
    </w:p>
    <w:p>
      <w:pPr>
        <w:pStyle w:val="Heading2"/>
        <w:tabs>
          <w:tab w:pos="8927" w:val="left" w:leader="none"/>
        </w:tabs>
        <w:spacing w:before="0"/>
        <w:ind w:left="120"/>
      </w:pPr>
      <w:r>
        <w:rPr/>
        <w:t>PROCESSING</w:t>
      </w:r>
      <w:r>
        <w:rPr>
          <w:spacing w:val="1"/>
        </w:rPr>
        <w:t> </w:t>
      </w:r>
      <w:r>
        <w:rPr/>
        <w:t>BY</w:t>
      </w:r>
      <w:r>
        <w:rPr>
          <w:spacing w:val="1"/>
        </w:rPr>
        <w:t> </w:t>
      </w:r>
      <w:r>
        <w:rPr/>
        <w:t>AGENCY</w:t>
        <w:tab/>
        <w:t>8472.4</w:t>
      </w:r>
    </w:p>
    <w:p>
      <w:pPr>
        <w:pStyle w:val="BodyText"/>
        <w:spacing w:before="7"/>
        <w:ind w:left="120"/>
      </w:pPr>
      <w:r>
        <w:rPr/>
        <w:t>(Revised and Renumbered 8/70)</w:t>
      </w:r>
    </w:p>
    <w:p>
      <w:pPr>
        <w:pStyle w:val="BodyText"/>
        <w:spacing w:before="8"/>
        <w:rPr>
          <w:sz w:val="21"/>
        </w:rPr>
      </w:pPr>
    </w:p>
    <w:p>
      <w:pPr>
        <w:pStyle w:val="BodyText"/>
        <w:spacing w:line="249" w:lineRule="auto"/>
        <w:ind w:left="120" w:right="199"/>
      </w:pPr>
      <w:r>
        <w:rPr/>
        <w:t>Agencies will review the Office of State Printing's journal entry request and supporting invoices in the same manner in which it reviews other invoices. However, agencies will not prepare claims for submission of these invoices to the State Controller's Office nor will they account these expenditures until the State Controller's Journal Entry is received.</w:t>
      </w:r>
    </w:p>
    <w:p>
      <w:pPr>
        <w:pStyle w:val="BodyText"/>
        <w:spacing w:before="10"/>
      </w:pPr>
    </w:p>
    <w:p>
      <w:pPr>
        <w:pStyle w:val="BodyText"/>
        <w:spacing w:line="249" w:lineRule="auto"/>
        <w:ind w:left="120" w:right="199"/>
      </w:pPr>
      <w:r>
        <w:rPr/>
        <w:t>If the agency finds any errors or believes any invoice should not have been paid because of non-receipt of services or supplies, excessive cost, or another valid reason, it will negotiate directly with the Office of State Printing for adjustment. Adjustments can be made by either of the following methods:</w:t>
      </w:r>
    </w:p>
    <w:p>
      <w:pPr>
        <w:pStyle w:val="BodyText"/>
        <w:spacing w:before="3"/>
      </w:pPr>
    </w:p>
    <w:p>
      <w:pPr>
        <w:pStyle w:val="ListParagraph"/>
        <w:numPr>
          <w:ilvl w:val="1"/>
          <w:numId w:val="9"/>
        </w:numPr>
        <w:tabs>
          <w:tab w:pos="839" w:val="left" w:leader="none"/>
          <w:tab w:pos="840" w:val="left" w:leader="none"/>
        </w:tabs>
        <w:spacing w:line="242" w:lineRule="auto" w:before="0" w:after="0"/>
        <w:ind w:left="840" w:right="123" w:hanging="360"/>
        <w:jc w:val="left"/>
        <w:rPr>
          <w:sz w:val="20"/>
        </w:rPr>
      </w:pPr>
      <w:r>
        <w:rPr>
          <w:sz w:val="20"/>
        </w:rPr>
        <w:t>The agency may let the journal entry stand and ask the Office of State Printing to make the adjustments agreed upon by issuing a credit memorandum in a subsequent request from the same</w:t>
      </w:r>
      <w:r>
        <w:rPr>
          <w:spacing w:val="-12"/>
          <w:sz w:val="20"/>
        </w:rPr>
        <w:t> </w:t>
      </w:r>
      <w:r>
        <w:rPr>
          <w:sz w:val="20"/>
        </w:rPr>
        <w:t>appropriation.</w:t>
      </w:r>
    </w:p>
    <w:p>
      <w:pPr>
        <w:pStyle w:val="BodyText"/>
        <w:spacing w:before="5"/>
        <w:rPr>
          <w:sz w:val="17"/>
        </w:rPr>
      </w:pPr>
    </w:p>
    <w:p>
      <w:pPr>
        <w:pStyle w:val="ListParagraph"/>
        <w:numPr>
          <w:ilvl w:val="1"/>
          <w:numId w:val="9"/>
        </w:numPr>
        <w:tabs>
          <w:tab w:pos="839" w:val="left" w:leader="none"/>
          <w:tab w:pos="840" w:val="left" w:leader="none"/>
        </w:tabs>
        <w:spacing w:line="244" w:lineRule="auto" w:before="0" w:after="0"/>
        <w:ind w:left="840" w:right="224" w:hanging="360"/>
        <w:jc w:val="left"/>
        <w:rPr>
          <w:sz w:val="20"/>
        </w:rPr>
      </w:pPr>
      <w:r>
        <w:rPr>
          <w:sz w:val="20"/>
        </w:rPr>
        <w:t>The agency may request the State Controller's Office to make a reversing entry in the amount under question pending its settlement of differences with the Office of State Printing. After agreement is reached as to the amount to be paid, a request for journal entry in such amount will be presented to the State Controller's Office in the usual manner by the Office of State</w:t>
      </w:r>
      <w:r>
        <w:rPr>
          <w:spacing w:val="-7"/>
          <w:sz w:val="20"/>
        </w:rPr>
        <w:t> </w:t>
      </w:r>
      <w:r>
        <w:rPr>
          <w:sz w:val="20"/>
        </w:rPr>
        <w:t>Printing.</w:t>
      </w:r>
    </w:p>
    <w:p>
      <w:pPr>
        <w:spacing w:after="0" w:line="244" w:lineRule="auto"/>
        <w:jc w:val="left"/>
        <w:rPr>
          <w:sz w:val="20"/>
        </w:rPr>
        <w:sectPr>
          <w:headerReference w:type="default" r:id="rId44"/>
          <w:pgSz w:w="12240" w:h="15840"/>
          <w:pgMar w:header="719" w:footer="742" w:top="940" w:bottom="940" w:left="1320" w:right="620"/>
        </w:sectPr>
      </w:pPr>
    </w:p>
    <w:p>
      <w:pPr>
        <w:pStyle w:val="BodyText"/>
        <w:spacing w:before="5"/>
        <w:rPr>
          <w:sz w:val="16"/>
        </w:rPr>
      </w:pPr>
    </w:p>
    <w:p>
      <w:pPr>
        <w:pStyle w:val="Heading2"/>
        <w:tabs>
          <w:tab w:pos="9479" w:val="right" w:leader="none"/>
        </w:tabs>
        <w:spacing w:before="92"/>
        <w:ind w:left="120"/>
      </w:pPr>
      <w:r>
        <w:rPr/>
        <w:t>RECORDATION IN AGENCY ACCOUNTS</w:t>
        <w:tab/>
        <w:t>8472.41</w:t>
      </w:r>
    </w:p>
    <w:p>
      <w:pPr>
        <w:pStyle w:val="BodyText"/>
        <w:spacing w:before="7"/>
        <w:ind w:left="120"/>
      </w:pPr>
      <w:r>
        <w:rPr/>
        <w:t>(Revised 5/87)</w:t>
      </w:r>
    </w:p>
    <w:p>
      <w:pPr>
        <w:pStyle w:val="BodyText"/>
        <w:spacing w:before="8"/>
        <w:rPr>
          <w:sz w:val="21"/>
        </w:rPr>
      </w:pPr>
    </w:p>
    <w:p>
      <w:pPr>
        <w:pStyle w:val="BodyText"/>
        <w:spacing w:line="249" w:lineRule="auto"/>
        <w:ind w:left="119" w:right="113"/>
      </w:pPr>
      <w:r>
        <w:rPr/>
        <w:t>Since the elapsed time from presentation of a journal entry request by the Office of State Printing to the issuance of the State Controller's journal entry normally will not exceed one week, the agency will not record the transaction in its accounts until receipt of the State Controller's Journal Entry. Agencies having a sufficient volume of such journal entries should record them in a Controller's Journal Entry Register under the Controller's document date and post them to the appropriate allotment-expenditure accounts. The following General Ledger entries are required to record the State Controller's Journal Entry.  (Also refer to SAM Section 10516.)</w:t>
      </w:r>
    </w:p>
    <w:p>
      <w:pPr>
        <w:pStyle w:val="BodyText"/>
        <w:spacing w:before="11"/>
      </w:pPr>
    </w:p>
    <w:p>
      <w:pPr>
        <w:pStyle w:val="BodyText"/>
        <w:tabs>
          <w:tab w:pos="839" w:val="left" w:leader="none"/>
        </w:tabs>
        <w:ind w:left="119"/>
      </w:pPr>
      <w:r>
        <w:rPr/>
        <w:t>Dr.</w:t>
        <w:tab/>
        <w:t>5350 Reserve for</w:t>
      </w:r>
      <w:r>
        <w:rPr>
          <w:spacing w:val="-1"/>
        </w:rPr>
        <w:t> </w:t>
      </w:r>
      <w:r>
        <w:rPr/>
        <w:t>Encumbrances</w:t>
      </w:r>
    </w:p>
    <w:p>
      <w:pPr>
        <w:pStyle w:val="BodyText"/>
        <w:spacing w:before="2"/>
        <w:rPr>
          <w:sz w:val="21"/>
        </w:rPr>
      </w:pPr>
    </w:p>
    <w:p>
      <w:pPr>
        <w:pStyle w:val="BodyText"/>
        <w:tabs>
          <w:tab w:pos="839" w:val="left" w:leader="none"/>
        </w:tabs>
        <w:spacing w:line="501" w:lineRule="auto"/>
        <w:ind w:left="119" w:right="3240"/>
      </w:pPr>
      <w:r>
        <w:rPr/>
        <w:t>Dr.</w:t>
        <w:tab/>
        <w:t>9000 Appropriation Expenditures (or other appropriate</w:t>
      </w:r>
      <w:r>
        <w:rPr>
          <w:spacing w:val="8"/>
        </w:rPr>
        <w:t> </w:t>
      </w:r>
      <w:r>
        <w:rPr/>
        <w:t>expenditure</w:t>
      </w:r>
      <w:r>
        <w:rPr>
          <w:spacing w:val="1"/>
        </w:rPr>
        <w:t> </w:t>
      </w:r>
      <w:r>
        <w:rPr/>
        <w:t>account)</w:t>
      </w:r>
      <w:r>
        <w:rPr>
          <w:w w:val="100"/>
        </w:rPr>
        <w:t> </w:t>
      </w:r>
      <w:r>
        <w:rPr/>
        <w:t>Cr.</w:t>
        <w:tab/>
        <w:t>1730 Prepayment to Other Funds or</w:t>
      </w:r>
      <w:r>
        <w:rPr>
          <w:spacing w:val="-4"/>
        </w:rPr>
        <w:t> </w:t>
      </w:r>
      <w:r>
        <w:rPr/>
        <w:t>Appropriations</w:t>
      </w:r>
    </w:p>
    <w:p>
      <w:pPr>
        <w:pStyle w:val="BodyText"/>
        <w:tabs>
          <w:tab w:pos="839" w:val="left" w:leader="none"/>
        </w:tabs>
        <w:spacing w:before="8"/>
        <w:ind w:left="119"/>
      </w:pPr>
      <w:r>
        <w:rPr/>
        <w:t>Cr.</w:t>
        <w:tab/>
        <w:t>6150 Encumbrances</w:t>
      </w:r>
    </w:p>
    <w:p>
      <w:pPr>
        <w:pStyle w:val="BodyText"/>
        <w:spacing w:before="8"/>
        <w:rPr>
          <w:sz w:val="21"/>
        </w:rPr>
      </w:pPr>
    </w:p>
    <w:p>
      <w:pPr>
        <w:pStyle w:val="BodyText"/>
        <w:ind w:left="119"/>
      </w:pPr>
      <w:r>
        <w:rPr/>
        <w:t>The entries would be reversed for State Controller's Journal Entries that reverse previous journal entries.</w:t>
      </w:r>
    </w:p>
    <w:p>
      <w:pPr>
        <w:pStyle w:val="BodyText"/>
        <w:spacing w:before="5"/>
        <w:rPr>
          <w:sz w:val="21"/>
        </w:rPr>
      </w:pPr>
    </w:p>
    <w:p>
      <w:pPr>
        <w:pStyle w:val="Heading2"/>
        <w:tabs>
          <w:tab w:pos="9077" w:val="left" w:leader="none"/>
        </w:tabs>
        <w:spacing w:before="0"/>
        <w:ind w:left="119"/>
      </w:pPr>
      <w:r>
        <w:rPr/>
        <w:t>INTEREST ON</w:t>
      </w:r>
      <w:r>
        <w:rPr>
          <w:spacing w:val="-2"/>
        </w:rPr>
        <w:t> </w:t>
      </w:r>
      <w:r>
        <w:rPr/>
        <w:t>LIQUIDATED</w:t>
      </w:r>
      <w:r>
        <w:rPr>
          <w:spacing w:val="-1"/>
        </w:rPr>
        <w:t> </w:t>
      </w:r>
      <w:r>
        <w:rPr/>
        <w:t>CLAIMS</w:t>
        <w:tab/>
        <w:t>8473</w:t>
      </w:r>
    </w:p>
    <w:p>
      <w:pPr>
        <w:pStyle w:val="BodyText"/>
        <w:spacing w:before="7"/>
        <w:ind w:left="119"/>
      </w:pPr>
      <w:r>
        <w:rPr/>
        <w:t>(Revised 3/91)</w:t>
      </w:r>
    </w:p>
    <w:p>
      <w:pPr>
        <w:pStyle w:val="BodyText"/>
        <w:spacing w:before="8"/>
        <w:rPr>
          <w:sz w:val="21"/>
        </w:rPr>
      </w:pPr>
    </w:p>
    <w:p>
      <w:pPr>
        <w:pStyle w:val="BodyText"/>
        <w:spacing w:line="249" w:lineRule="auto"/>
        <w:ind w:left="119"/>
      </w:pPr>
      <w:r>
        <w:rPr/>
        <w:t>In order to encourage governments to act rapidly on claims filed with them, Government Code Section 926.10 provides that claimants shall be paid interest on liquidated claims filed with public entities which have not been paid within 60 days.</w:t>
      </w:r>
    </w:p>
    <w:p>
      <w:pPr>
        <w:pStyle w:val="BodyText"/>
        <w:ind w:left="119"/>
      </w:pPr>
      <w:r>
        <w:rPr/>
        <w:t>Interest shall be at six percent per year.</w:t>
      </w:r>
    </w:p>
    <w:p>
      <w:pPr>
        <w:pStyle w:val="BodyText"/>
        <w:spacing w:before="9"/>
        <w:ind w:left="119"/>
      </w:pPr>
      <w:r>
        <w:rPr/>
        <w:t>The code section does not apply to claims filed as follows:</w:t>
      </w:r>
    </w:p>
    <w:p>
      <w:pPr>
        <w:pStyle w:val="ListParagraph"/>
        <w:numPr>
          <w:ilvl w:val="0"/>
          <w:numId w:val="11"/>
        </w:numPr>
        <w:tabs>
          <w:tab w:pos="839" w:val="left" w:leader="none"/>
          <w:tab w:pos="840" w:val="left" w:leader="none"/>
        </w:tabs>
        <w:spacing w:line="240" w:lineRule="auto" w:before="129" w:after="0"/>
        <w:ind w:left="839" w:right="0" w:hanging="719"/>
        <w:jc w:val="left"/>
        <w:rPr>
          <w:sz w:val="20"/>
        </w:rPr>
      </w:pPr>
      <w:r>
        <w:rPr>
          <w:sz w:val="20"/>
        </w:rPr>
        <w:t>Claims of a State agency or fund against another State agency or</w:t>
      </w:r>
      <w:r>
        <w:rPr>
          <w:spacing w:val="-5"/>
          <w:sz w:val="20"/>
        </w:rPr>
        <w:t> </w:t>
      </w:r>
      <w:r>
        <w:rPr>
          <w:sz w:val="20"/>
        </w:rPr>
        <w:t>fund.</w:t>
      </w:r>
    </w:p>
    <w:p>
      <w:pPr>
        <w:pStyle w:val="ListParagraph"/>
        <w:numPr>
          <w:ilvl w:val="0"/>
          <w:numId w:val="11"/>
        </w:numPr>
        <w:tabs>
          <w:tab w:pos="839" w:val="left" w:leader="none"/>
          <w:tab w:pos="840" w:val="left" w:leader="none"/>
        </w:tabs>
        <w:spacing w:line="240" w:lineRule="auto" w:before="9" w:after="0"/>
        <w:ind w:left="839" w:right="0" w:hanging="719"/>
        <w:jc w:val="left"/>
        <w:rPr>
          <w:sz w:val="20"/>
        </w:rPr>
      </w:pPr>
      <w:r>
        <w:rPr>
          <w:sz w:val="20"/>
        </w:rPr>
        <w:t>Claims of the Federal</w:t>
      </w:r>
      <w:r>
        <w:rPr>
          <w:spacing w:val="-7"/>
          <w:sz w:val="20"/>
        </w:rPr>
        <w:t> </w:t>
      </w:r>
      <w:r>
        <w:rPr>
          <w:sz w:val="20"/>
        </w:rPr>
        <w:t>Government.</w:t>
      </w:r>
    </w:p>
    <w:p>
      <w:pPr>
        <w:pStyle w:val="ListParagraph"/>
        <w:numPr>
          <w:ilvl w:val="0"/>
          <w:numId w:val="11"/>
        </w:numPr>
        <w:tabs>
          <w:tab w:pos="839" w:val="left" w:leader="none"/>
          <w:tab w:pos="840" w:val="left" w:leader="none"/>
        </w:tabs>
        <w:spacing w:line="240" w:lineRule="auto" w:before="3" w:after="0"/>
        <w:ind w:left="839" w:right="0" w:hanging="719"/>
        <w:jc w:val="left"/>
        <w:rPr>
          <w:sz w:val="20"/>
        </w:rPr>
      </w:pPr>
      <w:r>
        <w:rPr>
          <w:sz w:val="20"/>
        </w:rPr>
        <w:t>Claims filed pursuant to construction contracts. (Please refer to SAM Section</w:t>
      </w:r>
      <w:r>
        <w:rPr>
          <w:spacing w:val="-6"/>
          <w:sz w:val="20"/>
        </w:rPr>
        <w:t> </w:t>
      </w:r>
      <w:r>
        <w:rPr>
          <w:sz w:val="20"/>
        </w:rPr>
        <w:t>8473.1)</w:t>
      </w:r>
    </w:p>
    <w:p>
      <w:pPr>
        <w:pStyle w:val="BodyText"/>
        <w:spacing w:line="249" w:lineRule="auto" w:before="129"/>
        <w:ind w:left="119" w:right="200"/>
        <w:jc w:val="both"/>
      </w:pPr>
      <w:r>
        <w:rPr/>
        <w:t>A liquidated claim is a claim which can be determined with exactness from the parties agreement or by arithmetical process or application of definite rules of law. For Government Code Section 926.10 to apply, there must be no disagreement over the validity of the claim and the claim must be due and payable.</w:t>
      </w:r>
    </w:p>
    <w:p>
      <w:pPr>
        <w:pStyle w:val="BodyText"/>
        <w:spacing w:before="4"/>
      </w:pPr>
    </w:p>
    <w:p>
      <w:pPr>
        <w:pStyle w:val="BodyText"/>
        <w:ind w:left="119"/>
      </w:pPr>
      <w:r>
        <w:rPr/>
        <w:t>(Continued)</w:t>
      </w:r>
    </w:p>
    <w:p>
      <w:pPr>
        <w:spacing w:after="0"/>
        <w:sectPr>
          <w:pgSz w:w="12240" w:h="15840"/>
          <w:pgMar w:header="719" w:footer="742" w:top="940" w:bottom="940" w:left="1320" w:right="680"/>
        </w:sectPr>
      </w:pPr>
    </w:p>
    <w:p>
      <w:pPr>
        <w:pStyle w:val="BodyText"/>
        <w:spacing w:before="1"/>
        <w:rPr>
          <w:sz w:val="16"/>
        </w:rPr>
      </w:pPr>
    </w:p>
    <w:p>
      <w:pPr>
        <w:pStyle w:val="BodyText"/>
        <w:spacing w:before="92"/>
        <w:ind w:left="120"/>
      </w:pPr>
      <w:r>
        <w:rPr/>
        <w:t>(Continued)</w:t>
      </w:r>
    </w:p>
    <w:p>
      <w:pPr>
        <w:pStyle w:val="Heading2"/>
        <w:tabs>
          <w:tab w:pos="8266" w:val="left" w:leader="none"/>
        </w:tabs>
        <w:spacing w:before="7"/>
        <w:ind w:left="120"/>
      </w:pPr>
      <w:r>
        <w:rPr/>
        <w:t>INTEREST ON</w:t>
      </w:r>
      <w:r>
        <w:rPr>
          <w:spacing w:val="-2"/>
        </w:rPr>
        <w:t> </w:t>
      </w:r>
      <w:r>
        <w:rPr/>
        <w:t>LIQUIDATED</w:t>
      </w:r>
      <w:r>
        <w:rPr>
          <w:spacing w:val="-1"/>
        </w:rPr>
        <w:t> </w:t>
      </w:r>
      <w:r>
        <w:rPr/>
        <w:t>CLAIMS</w:t>
        <w:tab/>
        <w:t>8473 (Cont.</w:t>
      </w:r>
      <w:r>
        <w:rPr>
          <w:spacing w:val="2"/>
        </w:rPr>
        <w:t> </w:t>
      </w:r>
      <w:r>
        <w:rPr/>
        <w:t>1)</w:t>
      </w:r>
    </w:p>
    <w:p>
      <w:pPr>
        <w:pStyle w:val="BodyText"/>
        <w:spacing w:before="7"/>
        <w:ind w:left="120"/>
      </w:pPr>
      <w:r>
        <w:rPr/>
        <w:t>(Revised 3/91)</w:t>
      </w:r>
    </w:p>
    <w:p>
      <w:pPr>
        <w:pStyle w:val="BodyText"/>
        <w:spacing w:before="2"/>
        <w:rPr>
          <w:sz w:val="21"/>
        </w:rPr>
      </w:pPr>
    </w:p>
    <w:p>
      <w:pPr>
        <w:pStyle w:val="BodyText"/>
        <w:ind w:left="120"/>
      </w:pPr>
      <w:r>
        <w:rPr/>
        <w:t>Agencies will add interest to claims 60 days after one of the following dates, whichever occurs later:</w:t>
      </w:r>
    </w:p>
    <w:p>
      <w:pPr>
        <w:pStyle w:val="ListParagraph"/>
        <w:numPr>
          <w:ilvl w:val="0"/>
          <w:numId w:val="12"/>
        </w:numPr>
        <w:tabs>
          <w:tab w:pos="479" w:val="left" w:leader="none"/>
          <w:tab w:pos="480" w:val="left" w:leader="none"/>
        </w:tabs>
        <w:spacing w:line="240" w:lineRule="auto" w:before="124" w:after="0"/>
        <w:ind w:left="480" w:right="0" w:hanging="360"/>
        <w:jc w:val="left"/>
        <w:rPr>
          <w:sz w:val="20"/>
        </w:rPr>
      </w:pPr>
      <w:r>
        <w:rPr>
          <w:sz w:val="20"/>
        </w:rPr>
        <w:t>The date goods or services are</w:t>
      </w:r>
      <w:r>
        <w:rPr>
          <w:spacing w:val="5"/>
          <w:sz w:val="20"/>
        </w:rPr>
        <w:t> </w:t>
      </w:r>
      <w:r>
        <w:rPr>
          <w:sz w:val="20"/>
        </w:rPr>
        <w:t>received.</w:t>
      </w:r>
    </w:p>
    <w:p>
      <w:pPr>
        <w:pStyle w:val="ListParagraph"/>
        <w:numPr>
          <w:ilvl w:val="0"/>
          <w:numId w:val="12"/>
        </w:numPr>
        <w:tabs>
          <w:tab w:pos="479" w:val="left" w:leader="none"/>
          <w:tab w:pos="480" w:val="left" w:leader="none"/>
        </w:tabs>
        <w:spacing w:line="240" w:lineRule="auto" w:before="124" w:after="0"/>
        <w:ind w:left="479" w:right="0" w:hanging="359"/>
        <w:jc w:val="left"/>
        <w:rPr>
          <w:sz w:val="20"/>
        </w:rPr>
      </w:pPr>
      <w:r>
        <w:rPr>
          <w:sz w:val="20"/>
        </w:rPr>
        <w:t>The date the claim is received by the</w:t>
      </w:r>
      <w:r>
        <w:rPr>
          <w:spacing w:val="4"/>
          <w:sz w:val="20"/>
        </w:rPr>
        <w:t> </w:t>
      </w:r>
      <w:r>
        <w:rPr>
          <w:sz w:val="20"/>
        </w:rPr>
        <w:t>agency.</w:t>
      </w:r>
    </w:p>
    <w:p>
      <w:pPr>
        <w:pStyle w:val="ListParagraph"/>
        <w:numPr>
          <w:ilvl w:val="0"/>
          <w:numId w:val="12"/>
        </w:numPr>
        <w:tabs>
          <w:tab w:pos="479" w:val="left" w:leader="none"/>
          <w:tab w:pos="480" w:val="left" w:leader="none"/>
        </w:tabs>
        <w:spacing w:line="244" w:lineRule="auto" w:before="124" w:after="0"/>
        <w:ind w:left="480" w:right="565" w:hanging="360"/>
        <w:jc w:val="left"/>
        <w:rPr>
          <w:sz w:val="20"/>
        </w:rPr>
      </w:pPr>
      <w:r>
        <w:rPr>
          <w:sz w:val="20"/>
        </w:rPr>
        <w:t>The date of completion of an engineering, legal, post audit, or other review, if required, to determine the validity of questionable claims.  A claim is not considered filed until all disputes are</w:t>
      </w:r>
      <w:r>
        <w:rPr>
          <w:spacing w:val="-33"/>
          <w:sz w:val="20"/>
        </w:rPr>
        <w:t> </w:t>
      </w:r>
      <w:r>
        <w:rPr>
          <w:sz w:val="20"/>
        </w:rPr>
        <w:t>settled.</w:t>
      </w:r>
    </w:p>
    <w:p>
      <w:pPr>
        <w:pStyle w:val="BodyText"/>
        <w:spacing w:line="244" w:lineRule="auto" w:before="119"/>
        <w:ind w:left="479" w:right="165" w:hanging="360"/>
      </w:pPr>
      <w:r>
        <w:rPr/>
        <w:t>Liquidated claims and their related interest charges generally will be paid through the claim schedule process. However, if the amount of the claim is $1,000 or more, agencies may pay the claim by use of a revolving fund check.  If the claim is</w:t>
      </w:r>
    </w:p>
    <w:p>
      <w:pPr>
        <w:pStyle w:val="BodyText"/>
        <w:spacing w:line="244" w:lineRule="auto"/>
        <w:ind w:left="479" w:right="199"/>
      </w:pPr>
      <w:r>
        <w:rPr/>
        <w:t>$10,000 or more and a revolving fund check is not prepared, an expedite claim schedule will be used. When preparing claim schedules, an additional five days of interest will be added for a regular claim schedule and two days of interest for an expedite claim schedule to compensate for the State Controller's processing time. Interest paid will be shown on the Remittance Advice as follows:</w:t>
      </w:r>
    </w:p>
    <w:p>
      <w:pPr>
        <w:pStyle w:val="BodyText"/>
        <w:tabs>
          <w:tab w:pos="8123" w:val="left" w:leader="none"/>
        </w:tabs>
        <w:spacing w:line="376" w:lineRule="auto" w:before="126"/>
        <w:ind w:left="120" w:right="2174" w:firstLine="1440"/>
      </w:pPr>
      <w:r>
        <w:rPr/>
        <w:t>"Interest pursuant to Government Code Section</w:t>
      </w:r>
      <w:r>
        <w:rPr>
          <w:spacing w:val="-2"/>
        </w:rPr>
        <w:t> </w:t>
      </w:r>
      <w:r>
        <w:rPr/>
        <w:t>926.10"</w:t>
      </w:r>
      <w:r>
        <w:rPr>
          <w:spacing w:val="-1"/>
        </w:rPr>
        <w:t> </w:t>
      </w:r>
      <w:r>
        <w:rPr/>
        <w:t>$</w:t>
      </w:r>
      <w:r>
        <w:rPr>
          <w:w w:val="100"/>
          <w:u w:val="single"/>
        </w:rPr>
        <w:t> </w:t>
      </w:r>
      <w:r>
        <w:rPr>
          <w:u w:val="single"/>
        </w:rPr>
        <w:tab/>
      </w:r>
      <w:r>
        <w:rPr/>
        <w:t> Interest is payable from the same appropriation from which the claim is</w:t>
      </w:r>
      <w:r>
        <w:rPr>
          <w:spacing w:val="-30"/>
        </w:rPr>
        <w:t> </w:t>
      </w:r>
      <w:r>
        <w:rPr/>
        <w:t>paid.</w:t>
      </w:r>
    </w:p>
    <w:p>
      <w:pPr>
        <w:pStyle w:val="BodyText"/>
        <w:spacing w:line="249" w:lineRule="auto" w:before="3"/>
        <w:ind w:left="119" w:right="199"/>
      </w:pPr>
      <w:r>
        <w:rPr/>
        <w:t>In determining the amount of interest due, the table on 8473 Illustration may be used. The figures shown in the table are the decimal equivalent of interest from the beginning of the year to the dates shown in the columns. For example, interest from the first of the year to July 24 would be the decimal equivalent of 3.370 percent or .03370.  Since all interest does not begin to run from the first of the year, interest from the beginning of the year the date interest begins must be subtracted from the date shown in the table. For example, if the date interest begins is March 4 and the date payment is made is June 12, the amount shown in the table for March 4 (.01036) must be subtracted from the amount shown at June 12 (.02679) to arrive at the proper interest factor of .01643 for the period. The amount of the claim is multiplied by this interest factor to determine the interest due.</w:t>
      </w:r>
    </w:p>
    <w:p>
      <w:pPr>
        <w:pStyle w:val="BodyText"/>
        <w:spacing w:line="249" w:lineRule="auto" w:before="121"/>
        <w:ind w:left="119" w:right="199"/>
      </w:pPr>
      <w:r>
        <w:rPr/>
        <w:t>If interest runs past December, the interest from the date interest begins to the end of the year is calculated. Then, interest from the beginning of the year to the date interest ceases is added to that.  In leap years, one additional day of interest must be calculated when interest periods span February 29. This may be accomplished by adding an additional day to the interest period.  See SAM Sections 8474.1 and 8474.4, if applicable.</w:t>
      </w:r>
    </w:p>
    <w:p>
      <w:pPr>
        <w:pStyle w:val="Heading2"/>
        <w:tabs>
          <w:tab w:pos="9479" w:val="right" w:leader="none"/>
        </w:tabs>
        <w:spacing w:before="238"/>
        <w:ind w:left="119"/>
      </w:pPr>
      <w:r>
        <w:rPr/>
        <w:t>PENALTY FOR LATE PAYMENT ON CONSTRUCTION</w:t>
      </w:r>
      <w:r>
        <w:rPr>
          <w:spacing w:val="2"/>
        </w:rPr>
        <w:t> </w:t>
      </w:r>
      <w:r>
        <w:rPr/>
        <w:t>CONTRACT</w:t>
      </w:r>
      <w:r>
        <w:rPr>
          <w:spacing w:val="-1"/>
        </w:rPr>
        <w:t> </w:t>
      </w:r>
      <w:r>
        <w:rPr/>
        <w:t>CLAIMS</w:t>
        <w:tab/>
        <w:t>8473.1</w:t>
      </w:r>
    </w:p>
    <w:p>
      <w:pPr>
        <w:pStyle w:val="BodyText"/>
        <w:spacing w:before="7"/>
        <w:ind w:left="119"/>
      </w:pPr>
      <w:r>
        <w:rPr/>
        <w:t>(New 3/91)</w:t>
      </w:r>
    </w:p>
    <w:p>
      <w:pPr>
        <w:pStyle w:val="BodyText"/>
        <w:spacing w:line="244" w:lineRule="auto" w:before="184"/>
        <w:ind w:left="119" w:right="115"/>
      </w:pPr>
      <w:r>
        <w:rPr/>
        <w:t>Section 10261.5 of the Public Contract Code provides for the payment of interest on construction contracts at an annual rate of 10% (i.e., the rate set forth in subdivision (a) of Section 685.010 of the Code of Civil Procedure) when a State agency fails to pay a contractor's properly submitted and undisputed payment request within 30 days of receipt of such request by the State</w:t>
      </w:r>
      <w:r>
        <w:rPr>
          <w:spacing w:val="-2"/>
        </w:rPr>
        <w:t> </w:t>
      </w:r>
      <w:r>
        <w:rPr/>
        <w:t>agency.</w:t>
      </w:r>
    </w:p>
    <w:p>
      <w:pPr>
        <w:pStyle w:val="BodyText"/>
        <w:spacing w:before="125"/>
        <w:ind w:left="119"/>
      </w:pPr>
      <w:r>
        <w:rPr/>
        <w:t>Section 10261.5 of the Public Contract Code also provides as follows:</w:t>
      </w:r>
    </w:p>
    <w:p>
      <w:pPr>
        <w:pStyle w:val="ListParagraph"/>
        <w:numPr>
          <w:ilvl w:val="0"/>
          <w:numId w:val="13"/>
        </w:numPr>
        <w:tabs>
          <w:tab w:pos="479" w:val="left" w:leader="none"/>
          <w:tab w:pos="480" w:val="left" w:leader="none"/>
        </w:tabs>
        <w:spacing w:line="244" w:lineRule="auto" w:before="123" w:after="0"/>
        <w:ind w:left="480" w:right="238" w:hanging="360"/>
        <w:jc w:val="left"/>
        <w:rPr>
          <w:sz w:val="20"/>
        </w:rPr>
      </w:pPr>
      <w:r>
        <w:rPr>
          <w:sz w:val="20"/>
        </w:rPr>
        <w:t>Any State agency which independently calculates the amount due on a progress payment and fails to make the progress payment within 30 days of the first submittal of the estimate by the contractor shall pay interest to the contractor at the rate specified above.</w:t>
      </w:r>
    </w:p>
    <w:p>
      <w:pPr>
        <w:pStyle w:val="ListParagraph"/>
        <w:numPr>
          <w:ilvl w:val="0"/>
          <w:numId w:val="13"/>
        </w:numPr>
        <w:tabs>
          <w:tab w:pos="479" w:val="left" w:leader="none"/>
          <w:tab w:pos="480" w:val="left" w:leader="none"/>
        </w:tabs>
        <w:spacing w:line="244" w:lineRule="auto" w:before="119" w:after="0"/>
        <w:ind w:left="480" w:right="379" w:hanging="360"/>
        <w:jc w:val="left"/>
        <w:rPr>
          <w:sz w:val="20"/>
        </w:rPr>
      </w:pPr>
      <w:r>
        <w:rPr>
          <w:sz w:val="20"/>
        </w:rPr>
        <w:t>A State agency shall pay interest to the contractor at the rate specified above when the payment is not made within 30 days of receipt of a properly submitted and undisputed request for payment and the State Controller processes the payment within 14 days of receipt of the payment claim filed by the contracting State</w:t>
      </w:r>
      <w:r>
        <w:rPr>
          <w:spacing w:val="-9"/>
          <w:sz w:val="20"/>
        </w:rPr>
        <w:t> </w:t>
      </w:r>
      <w:r>
        <w:rPr>
          <w:sz w:val="20"/>
        </w:rPr>
        <w:t>agency.</w:t>
      </w:r>
    </w:p>
    <w:p>
      <w:pPr>
        <w:pStyle w:val="ListParagraph"/>
        <w:numPr>
          <w:ilvl w:val="0"/>
          <w:numId w:val="13"/>
        </w:numPr>
        <w:tabs>
          <w:tab w:pos="479" w:val="left" w:leader="none"/>
          <w:tab w:pos="480" w:val="left" w:leader="none"/>
        </w:tabs>
        <w:spacing w:line="244" w:lineRule="auto" w:before="119" w:after="0"/>
        <w:ind w:left="480" w:right="208" w:hanging="360"/>
        <w:jc w:val="left"/>
        <w:rPr>
          <w:sz w:val="20"/>
        </w:rPr>
      </w:pPr>
      <w:r>
        <w:rPr>
          <w:sz w:val="20"/>
        </w:rPr>
        <w:t>The State Controller shall pay interest to the contractor at the rate specified above when the payment is not made within 30 days of a properly submitted and undisputed request for payment and the contracting State agency has filed and the State Controller has accepted the payment claim within 16 days after receipt of the contractor's request for payment by the State</w:t>
      </w:r>
      <w:r>
        <w:rPr>
          <w:spacing w:val="-2"/>
          <w:sz w:val="20"/>
        </w:rPr>
        <w:t> </w:t>
      </w:r>
      <w:r>
        <w:rPr>
          <w:sz w:val="20"/>
        </w:rPr>
        <w:t>agency.</w:t>
      </w:r>
    </w:p>
    <w:p>
      <w:pPr>
        <w:spacing w:after="0" w:line="244" w:lineRule="auto"/>
        <w:jc w:val="left"/>
        <w:rPr>
          <w:sz w:val="20"/>
        </w:rPr>
        <w:sectPr>
          <w:pgSz w:w="12240" w:h="15840"/>
          <w:pgMar w:header="719" w:footer="742" w:top="940" w:bottom="940" w:left="1320" w:right="6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3"/>
        </w:rPr>
      </w:pPr>
    </w:p>
    <w:p>
      <w:pPr>
        <w:pStyle w:val="BodyText"/>
        <w:ind w:left="3403"/>
      </w:pPr>
      <w:r>
        <w:rPr/>
        <w:t>This page left blank intentionally.</w:t>
      </w:r>
    </w:p>
    <w:p>
      <w:pPr>
        <w:spacing w:after="0"/>
        <w:sectPr>
          <w:headerReference w:type="default" r:id="rId45"/>
          <w:footerReference w:type="default" r:id="rId46"/>
          <w:pgSz w:w="12240" w:h="15840"/>
          <w:pgMar w:header="0" w:footer="0" w:top="1500" w:bottom="280" w:left="1720" w:right="1720"/>
        </w:sectPr>
      </w:pPr>
    </w:p>
    <w:p>
      <w:pPr>
        <w:tabs>
          <w:tab w:pos="9569" w:val="right" w:leader="none"/>
        </w:tabs>
        <w:spacing w:line="201" w:lineRule="exact" w:before="169"/>
        <w:ind w:left="120" w:right="0" w:firstLine="0"/>
        <w:jc w:val="both"/>
        <w:rPr>
          <w:b/>
          <w:sz w:val="20"/>
        </w:rPr>
      </w:pPr>
      <w:bookmarkStart w:name="8580.4-8596(6)" w:id="8"/>
      <w:bookmarkEnd w:id="8"/>
      <w:r>
        <w:rPr/>
      </w:r>
      <w:r>
        <w:rPr>
          <w:b/>
          <w:sz w:val="20"/>
        </w:rPr>
        <w:t>EMPLOYEE</w:t>
      </w:r>
      <w:r>
        <w:rPr>
          <w:b/>
          <w:spacing w:val="-3"/>
          <w:sz w:val="20"/>
        </w:rPr>
        <w:t> </w:t>
      </w:r>
      <w:r>
        <w:rPr>
          <w:b/>
          <w:sz w:val="20"/>
        </w:rPr>
        <w:t>SEPARATIONS</w:t>
        <w:tab/>
        <w:t>8580.4</w:t>
      </w:r>
    </w:p>
    <w:p>
      <w:pPr>
        <w:pStyle w:val="BodyText"/>
        <w:spacing w:line="201" w:lineRule="exact"/>
        <w:ind w:left="120"/>
        <w:jc w:val="both"/>
      </w:pPr>
      <w:r>
        <w:rPr/>
        <w:t>(Revised 06/05)</w:t>
      </w:r>
    </w:p>
    <w:p>
      <w:pPr>
        <w:pStyle w:val="BodyText"/>
        <w:spacing w:before="125"/>
        <w:ind w:left="120" w:right="625"/>
        <w:jc w:val="both"/>
      </w:pPr>
      <w:r>
        <w:rPr/>
        <w:t>Departments are responsible to ensure that payments to separating employees are in accordance with Labor Code Sections 201 and 202.</w:t>
      </w:r>
    </w:p>
    <w:p>
      <w:pPr>
        <w:pStyle w:val="BodyText"/>
        <w:spacing w:before="10"/>
        <w:rPr>
          <w:sz w:val="19"/>
        </w:rPr>
      </w:pPr>
    </w:p>
    <w:p>
      <w:pPr>
        <w:pStyle w:val="BodyText"/>
        <w:ind w:left="120" w:right="625"/>
        <w:jc w:val="both"/>
      </w:pPr>
      <w:r>
        <w:rPr/>
        <w:t>Salary warrants will not be distributed to separating employees until the department has verified that all travel and salary advances have been paid (cleared).  The verification must be provided by office revolving fund staff.  See  SAM Section</w:t>
      </w:r>
      <w:r>
        <w:rPr>
          <w:spacing w:val="-10"/>
        </w:rPr>
        <w:t> </w:t>
      </w:r>
      <w:r>
        <w:rPr/>
        <w:t>8595.</w:t>
      </w:r>
    </w:p>
    <w:p>
      <w:pPr>
        <w:pStyle w:val="BodyText"/>
      </w:pPr>
    </w:p>
    <w:p>
      <w:pPr>
        <w:pStyle w:val="BodyText"/>
        <w:ind w:left="119" w:right="626"/>
        <w:jc w:val="both"/>
      </w:pPr>
      <w:r>
        <w:rPr/>
        <w:t>It is recommended that a check-out list acknowledging the return of state-owned items such as credit cards, keys,  state records, and equipment be completed for separating employees prior to the release of the final warrant. The check-out list may also include the verification from the office revolving fund staff that there are no outstanding advances.</w:t>
      </w:r>
    </w:p>
    <w:p>
      <w:pPr>
        <w:pStyle w:val="BodyText"/>
      </w:pPr>
    </w:p>
    <w:p>
      <w:pPr>
        <w:pStyle w:val="BodyText"/>
        <w:ind w:left="119" w:right="626"/>
        <w:jc w:val="both"/>
      </w:pPr>
      <w:r>
        <w:rPr/>
        <w:t>Government Code Section 19838 authorizes the state to withhold amounts owed for outstanding travel and salary advances from an employee’s final separation pay, provided the employee receives an amount sufficient to satisfy the state’s minimum wage requirement. Departments should direct all questions regarding the state’s minimum wage requirements to their departmental legal staff.</w:t>
      </w:r>
    </w:p>
    <w:p>
      <w:pPr>
        <w:pStyle w:val="BodyText"/>
        <w:spacing w:before="10"/>
        <w:rPr>
          <w:sz w:val="19"/>
        </w:rPr>
      </w:pPr>
    </w:p>
    <w:p>
      <w:pPr>
        <w:pStyle w:val="BodyText"/>
        <w:ind w:left="119" w:right="625"/>
        <w:jc w:val="both"/>
      </w:pPr>
      <w:r>
        <w:rPr/>
        <w:t>Amounts owed by the employee, other than salary and travel advances will not be deducted from an employee’s final separation pay. If, after the check-out, the separating employee leaves owing the department money, it is the responsibility of the department to pursue collections as described in SAM Section 8776.6.</w:t>
      </w:r>
    </w:p>
    <w:p>
      <w:pPr>
        <w:pStyle w:val="BodyText"/>
        <w:spacing w:before="2"/>
      </w:pPr>
    </w:p>
    <w:p>
      <w:pPr>
        <w:pStyle w:val="Heading2"/>
        <w:tabs>
          <w:tab w:pos="9020" w:val="left" w:leader="none"/>
        </w:tabs>
        <w:spacing w:line="201" w:lineRule="exact" w:before="0"/>
        <w:ind w:left="119"/>
        <w:jc w:val="both"/>
      </w:pPr>
      <w:r>
        <w:rPr/>
        <w:t>UNDELIVERED</w:t>
      </w:r>
      <w:r>
        <w:rPr>
          <w:spacing w:val="-2"/>
        </w:rPr>
        <w:t> </w:t>
      </w:r>
      <w:r>
        <w:rPr/>
        <w:t>SALARY</w:t>
      </w:r>
      <w:r>
        <w:rPr>
          <w:spacing w:val="-3"/>
        </w:rPr>
        <w:t> </w:t>
      </w:r>
      <w:r>
        <w:rPr/>
        <w:t>WARRANTS</w:t>
        <w:tab/>
        <w:t>8580.5</w:t>
      </w:r>
    </w:p>
    <w:p>
      <w:pPr>
        <w:pStyle w:val="BodyText"/>
        <w:spacing w:line="201" w:lineRule="exact"/>
        <w:ind w:left="119"/>
        <w:jc w:val="both"/>
      </w:pPr>
      <w:r>
        <w:rPr/>
        <w:t>(Revised 2/99)</w:t>
      </w:r>
    </w:p>
    <w:p>
      <w:pPr>
        <w:pStyle w:val="BodyText"/>
        <w:spacing w:before="125"/>
        <w:ind w:left="119" w:right="628"/>
        <w:jc w:val="both"/>
      </w:pPr>
      <w:r>
        <w:rPr/>
        <w:t>Salary warrants not delivered within five days of pickup shall be returned to the office which distributes salary warrants. A written record of all undelivered warrants will be maintained and a copy given to the payroll office.</w:t>
      </w:r>
    </w:p>
    <w:p>
      <w:pPr>
        <w:pStyle w:val="BodyText"/>
        <w:spacing w:before="119"/>
        <w:ind w:left="119" w:right="624"/>
        <w:jc w:val="both"/>
      </w:pPr>
      <w:r>
        <w:rPr/>
        <w:t>Warrants not delivered within 90 calendar days of receipt must be deposited and remitted to an escheat revenue account in the original fund that provided the resources to the State Payroll Revolving Fund.</w:t>
      </w:r>
    </w:p>
    <w:p>
      <w:pPr>
        <w:pStyle w:val="BodyText"/>
        <w:spacing w:before="59"/>
        <w:ind w:left="119" w:right="626"/>
        <w:jc w:val="both"/>
      </w:pPr>
      <w:r>
        <w:rPr/>
        <w:t>Agencies will maintain a subsidiary ledger of all amounts credited to and disbursed from the escheat revenue accounts. Subsequent claims made by payees within 2 years of the date the warrant was credited to the escheat revenue account will be processed by filing a claim schedule against an escheat revenue account. For those amounts credited in the current fiscal year, the claim schedule shall be filed against the current year escheat revenue account. For those amounts credited in a prior fiscal year, the claim schedule will be filed against the prior year escheat revenue account. The State Controller's Office will process the claims regardless of the balances in the escheat revenue</w:t>
      </w:r>
      <w:r>
        <w:rPr>
          <w:spacing w:val="-5"/>
        </w:rPr>
        <w:t> </w:t>
      </w:r>
      <w:r>
        <w:rPr/>
        <w:t>accounts.</w:t>
      </w:r>
    </w:p>
    <w:p>
      <w:pPr>
        <w:pStyle w:val="Heading2"/>
        <w:tabs>
          <w:tab w:pos="9169" w:val="left" w:leader="none"/>
        </w:tabs>
        <w:spacing w:line="225" w:lineRule="exact" w:before="161"/>
        <w:ind w:left="119"/>
        <w:jc w:val="both"/>
      </w:pPr>
      <w:r>
        <w:rPr/>
        <w:t>PAYROLL</w:t>
      </w:r>
      <w:r>
        <w:rPr>
          <w:spacing w:val="-5"/>
        </w:rPr>
        <w:t> </w:t>
      </w:r>
      <w:r>
        <w:rPr/>
        <w:t>EXPENDITURE</w:t>
      </w:r>
      <w:r>
        <w:rPr>
          <w:spacing w:val="-4"/>
        </w:rPr>
        <w:t> </w:t>
      </w:r>
      <w:r>
        <w:rPr/>
        <w:t>ACCOUNTING</w:t>
        <w:tab/>
        <w:t>8590</w:t>
      </w:r>
    </w:p>
    <w:p>
      <w:pPr>
        <w:pStyle w:val="BodyText"/>
        <w:spacing w:line="225" w:lineRule="exact"/>
        <w:ind w:left="119"/>
        <w:jc w:val="both"/>
      </w:pPr>
      <w:r>
        <w:rPr>
          <w:u w:val="single"/>
        </w:rPr>
        <w:t>(Revised 09/13)</w:t>
      </w:r>
    </w:p>
    <w:p>
      <w:pPr>
        <w:pStyle w:val="BodyText"/>
        <w:spacing w:before="118"/>
        <w:ind w:left="120" w:right="626"/>
        <w:jc w:val="both"/>
      </w:pPr>
      <w:r>
        <w:rPr/>
        <w:pict>
          <v:shape style="position:absolute;margin-left:550.200012pt;margin-top:6.056331pt;width:.1pt;height:80.5pt;mso-position-horizontal-relative:page;mso-position-vertical-relative:paragraph;z-index:2416" coordorigin="11004,121" coordsize="0,1610" path="m11004,121l11004,350m11004,350l11004,581m11004,581l11004,811m11004,811l11004,1040m11004,1040l11004,1271m11004,1271l11004,1501m11004,1501l11004,1730e" filled="false" stroked="true" strokeweight=".47998pt" strokecolor="#000000">
            <v:path arrowok="t"/>
            <v:stroke dashstyle="solid"/>
            <w10:wrap type="none"/>
          </v:shape>
        </w:pict>
      </w:r>
      <w:r>
        <w:rPr>
          <w:u w:val="single"/>
        </w:rPr>
        <w:t>The State Controller’s Office (SCO), Uniform State Payroll System (USPS), will process each state department’s payroll transactions entered by their human resources office and generate the following documents:</w:t>
      </w:r>
    </w:p>
    <w:p>
      <w:pPr>
        <w:pStyle w:val="BodyText"/>
        <w:rPr>
          <w:sz w:val="12"/>
        </w:rPr>
      </w:pPr>
    </w:p>
    <w:p>
      <w:pPr>
        <w:pStyle w:val="ListParagraph"/>
        <w:numPr>
          <w:ilvl w:val="0"/>
          <w:numId w:val="14"/>
        </w:numPr>
        <w:tabs>
          <w:tab w:pos="839" w:val="left" w:leader="none"/>
          <w:tab w:pos="840" w:val="left" w:leader="none"/>
        </w:tabs>
        <w:spacing w:line="230" w:lineRule="exact" w:before="92" w:after="0"/>
        <w:ind w:left="839" w:right="0" w:hanging="719"/>
        <w:jc w:val="left"/>
        <w:rPr>
          <w:sz w:val="20"/>
        </w:rPr>
      </w:pPr>
      <w:r>
        <w:rPr>
          <w:sz w:val="20"/>
          <w:u w:val="single"/>
        </w:rPr>
        <w:t>A Payment History File - available to the department</w:t>
      </w:r>
      <w:r>
        <w:rPr>
          <w:spacing w:val="-24"/>
          <w:sz w:val="20"/>
          <w:u w:val="single"/>
        </w:rPr>
        <w:t> </w:t>
      </w:r>
      <w:r>
        <w:rPr>
          <w:sz w:val="20"/>
          <w:u w:val="single"/>
        </w:rPr>
        <w:t>monthly</w:t>
      </w:r>
    </w:p>
    <w:p>
      <w:pPr>
        <w:pStyle w:val="ListParagraph"/>
        <w:numPr>
          <w:ilvl w:val="0"/>
          <w:numId w:val="14"/>
        </w:numPr>
        <w:tabs>
          <w:tab w:pos="840" w:val="left" w:leader="none"/>
          <w:tab w:pos="841" w:val="left" w:leader="none"/>
        </w:tabs>
        <w:spacing w:line="230" w:lineRule="exact" w:before="0" w:after="0"/>
        <w:ind w:left="840" w:right="0" w:hanging="720"/>
        <w:jc w:val="left"/>
        <w:rPr>
          <w:sz w:val="20"/>
        </w:rPr>
      </w:pPr>
      <w:r>
        <w:rPr/>
        <w:pict>
          <v:line style="position:absolute;mso-position-horizontal-relative:page;mso-position-vertical-relative:paragraph;z-index:-66304" from="72pt,10.636525pt" to="540.060pt,10.636525pt" stroked="true" strokeweight=".48pt" strokecolor="#000000">
            <v:stroke dashstyle="solid"/>
            <w10:wrap type="none"/>
          </v:line>
        </w:pict>
      </w:r>
      <w:r>
        <w:rPr>
          <w:sz w:val="20"/>
        </w:rPr>
        <w:t>Payroll</w:t>
      </w:r>
      <w:r>
        <w:rPr>
          <w:spacing w:val="-4"/>
          <w:sz w:val="20"/>
        </w:rPr>
        <w:t> </w:t>
      </w:r>
      <w:r>
        <w:rPr>
          <w:sz w:val="20"/>
        </w:rPr>
        <w:t>expenditures</w:t>
      </w:r>
      <w:r>
        <w:rPr>
          <w:spacing w:val="-4"/>
          <w:sz w:val="20"/>
        </w:rPr>
        <w:t> </w:t>
      </w:r>
      <w:r>
        <w:rPr>
          <w:sz w:val="20"/>
        </w:rPr>
        <w:t>and</w:t>
      </w:r>
      <w:r>
        <w:rPr>
          <w:spacing w:val="-4"/>
          <w:sz w:val="20"/>
        </w:rPr>
        <w:t> </w:t>
      </w:r>
      <w:r>
        <w:rPr>
          <w:sz w:val="20"/>
        </w:rPr>
        <w:t>recoveries</w:t>
      </w:r>
      <w:r>
        <w:rPr>
          <w:spacing w:val="-5"/>
          <w:sz w:val="20"/>
        </w:rPr>
        <w:t> </w:t>
      </w:r>
      <w:r>
        <w:rPr>
          <w:sz w:val="20"/>
        </w:rPr>
        <w:t>-</w:t>
      </w:r>
      <w:r>
        <w:rPr>
          <w:spacing w:val="-5"/>
          <w:sz w:val="20"/>
        </w:rPr>
        <w:t> </w:t>
      </w:r>
      <w:r>
        <w:rPr>
          <w:sz w:val="20"/>
        </w:rPr>
        <w:t>posted</w:t>
      </w:r>
      <w:r>
        <w:rPr>
          <w:spacing w:val="-5"/>
          <w:sz w:val="20"/>
        </w:rPr>
        <w:t> </w:t>
      </w:r>
      <w:r>
        <w:rPr>
          <w:sz w:val="20"/>
        </w:rPr>
        <w:t>to</w:t>
      </w:r>
      <w:r>
        <w:rPr>
          <w:spacing w:val="-4"/>
          <w:sz w:val="20"/>
        </w:rPr>
        <w:t> </w:t>
      </w:r>
      <w:r>
        <w:rPr>
          <w:sz w:val="20"/>
        </w:rPr>
        <w:t>each</w:t>
      </w:r>
      <w:r>
        <w:rPr>
          <w:spacing w:val="-4"/>
          <w:sz w:val="20"/>
        </w:rPr>
        <w:t> </w:t>
      </w:r>
      <w:r>
        <w:rPr>
          <w:sz w:val="20"/>
        </w:rPr>
        <w:t>department’s</w:t>
      </w:r>
      <w:r>
        <w:rPr>
          <w:spacing w:val="-4"/>
          <w:sz w:val="20"/>
        </w:rPr>
        <w:t> </w:t>
      </w:r>
      <w:r>
        <w:rPr>
          <w:sz w:val="20"/>
        </w:rPr>
        <w:t>appropriation</w:t>
      </w:r>
      <w:r>
        <w:rPr>
          <w:spacing w:val="-4"/>
          <w:sz w:val="20"/>
        </w:rPr>
        <w:t> </w:t>
      </w:r>
      <w:r>
        <w:rPr>
          <w:sz w:val="20"/>
        </w:rPr>
        <w:t>in</w:t>
      </w:r>
      <w:r>
        <w:rPr>
          <w:spacing w:val="-4"/>
          <w:sz w:val="20"/>
        </w:rPr>
        <w:t> </w:t>
      </w:r>
      <w:r>
        <w:rPr>
          <w:sz w:val="20"/>
        </w:rPr>
        <w:t>the</w:t>
      </w:r>
      <w:r>
        <w:rPr>
          <w:spacing w:val="-5"/>
          <w:sz w:val="20"/>
        </w:rPr>
        <w:t> </w:t>
      </w:r>
      <w:r>
        <w:rPr>
          <w:sz w:val="20"/>
        </w:rPr>
        <w:t>SCO’s</w:t>
      </w:r>
      <w:r>
        <w:rPr>
          <w:spacing w:val="-5"/>
          <w:sz w:val="20"/>
        </w:rPr>
        <w:t> </w:t>
      </w:r>
      <w:r>
        <w:rPr>
          <w:sz w:val="20"/>
        </w:rPr>
        <w:t>Fiscal</w:t>
      </w:r>
      <w:r>
        <w:rPr>
          <w:spacing w:val="-4"/>
          <w:sz w:val="20"/>
        </w:rPr>
        <w:t> </w:t>
      </w:r>
      <w:r>
        <w:rPr>
          <w:sz w:val="20"/>
        </w:rPr>
        <w:t>System</w:t>
      </w:r>
    </w:p>
    <w:p>
      <w:pPr>
        <w:pStyle w:val="ListParagraph"/>
        <w:numPr>
          <w:ilvl w:val="0"/>
          <w:numId w:val="14"/>
        </w:numPr>
        <w:tabs>
          <w:tab w:pos="839" w:val="left" w:leader="none"/>
          <w:tab w:pos="840" w:val="left" w:leader="none"/>
        </w:tabs>
        <w:spacing w:line="240" w:lineRule="auto" w:before="0" w:after="0"/>
        <w:ind w:left="839" w:right="0" w:hanging="719"/>
        <w:jc w:val="left"/>
        <w:rPr>
          <w:sz w:val="20"/>
        </w:rPr>
      </w:pPr>
      <w:r>
        <w:rPr>
          <w:sz w:val="20"/>
          <w:u w:val="single"/>
        </w:rPr>
        <w:t>Payroll warrants and direct deposits - printed and</w:t>
      </w:r>
      <w:r>
        <w:rPr>
          <w:spacing w:val="-24"/>
          <w:sz w:val="20"/>
          <w:u w:val="single"/>
        </w:rPr>
        <w:t> </w:t>
      </w:r>
      <w:r>
        <w:rPr>
          <w:sz w:val="20"/>
          <w:u w:val="single"/>
        </w:rPr>
        <w:t>distributed</w:t>
      </w:r>
    </w:p>
    <w:p>
      <w:pPr>
        <w:pStyle w:val="ListParagraph"/>
        <w:numPr>
          <w:ilvl w:val="0"/>
          <w:numId w:val="14"/>
        </w:numPr>
        <w:tabs>
          <w:tab w:pos="839" w:val="left" w:leader="none"/>
          <w:tab w:pos="840" w:val="left" w:leader="none"/>
        </w:tabs>
        <w:spacing w:line="240" w:lineRule="auto" w:before="0" w:after="0"/>
        <w:ind w:left="839" w:right="0" w:hanging="719"/>
        <w:jc w:val="left"/>
        <w:rPr>
          <w:sz w:val="20"/>
        </w:rPr>
      </w:pPr>
      <w:r>
        <w:rPr/>
        <w:pict>
          <v:line style="position:absolute;mso-position-horizontal-relative:page;mso-position-vertical-relative:paragraph;z-index:-66280" from="72pt,10.656035pt" to="489.12pt,10.656035pt" stroked="true" strokeweight=".48001pt" strokecolor="#000000">
            <v:stroke dashstyle="solid"/>
            <w10:wrap type="none"/>
          </v:line>
        </w:pict>
      </w:r>
      <w:r>
        <w:rPr>
          <w:sz w:val="20"/>
        </w:rPr>
        <w:t>Notice of State Payroll Revolving Fund Transfer, Form SM62 (SM62) - printed and</w:t>
      </w:r>
      <w:r>
        <w:rPr>
          <w:spacing w:val="-35"/>
          <w:sz w:val="20"/>
        </w:rPr>
        <w:t> </w:t>
      </w:r>
      <w:r>
        <w:rPr>
          <w:sz w:val="20"/>
        </w:rPr>
        <w:t>distributed</w:t>
      </w:r>
    </w:p>
    <w:p>
      <w:pPr>
        <w:pStyle w:val="BodyText"/>
        <w:spacing w:before="11"/>
        <w:rPr>
          <w:sz w:val="11"/>
        </w:rPr>
      </w:pPr>
    </w:p>
    <w:p>
      <w:pPr>
        <w:pStyle w:val="BodyText"/>
        <w:spacing w:before="92"/>
        <w:ind w:left="120"/>
      </w:pPr>
      <w:r>
        <w:rPr>
          <w:u w:val="single"/>
        </w:rPr>
        <w:t>(Continued)</w:t>
      </w:r>
    </w:p>
    <w:p>
      <w:pPr>
        <w:spacing w:after="0"/>
        <w:sectPr>
          <w:headerReference w:type="default" r:id="rId47"/>
          <w:footerReference w:type="default" r:id="rId48"/>
          <w:pgSz w:w="12240" w:h="15840"/>
          <w:pgMar w:header="727" w:footer="1103" w:top="940" w:bottom="1300" w:left="1320" w:right="720"/>
        </w:sectPr>
      </w:pPr>
    </w:p>
    <w:p>
      <w:pPr>
        <w:pStyle w:val="BodyText"/>
        <w:spacing w:before="167"/>
        <w:ind w:left="120"/>
      </w:pPr>
      <w:r>
        <w:rPr>
          <w:u w:val="single"/>
        </w:rPr>
        <w:t>(Continued)</w:t>
      </w:r>
    </w:p>
    <w:p>
      <w:pPr>
        <w:pStyle w:val="Heading2"/>
        <w:tabs>
          <w:tab w:pos="8397" w:val="left" w:leader="none"/>
        </w:tabs>
        <w:spacing w:before="0"/>
        <w:ind w:left="120"/>
        <w:rPr>
          <w:b w:val="0"/>
        </w:rPr>
      </w:pPr>
      <w:r>
        <w:rPr/>
        <w:pict>
          <v:shape style="position:absolute;margin-left:550.200012pt;margin-top:11.675945pt;width:.1pt;height:476.5pt;mso-position-horizontal-relative:page;mso-position-vertical-relative:paragraph;z-index:2488" coordorigin="11004,234" coordsize="0,9530" path="m11004,234l11004,463m11004,463l11004,693m11004,693l11004,924m11004,924l11004,1153m11004,1153l11004,1398m11004,1398l11004,1641m11004,1641l11004,1886m11004,1886l11004,2131m11004,2131l11004,2374m11004,2374l11004,2619m11004,2619l11004,2864m11004,2864l11004,3093m11004,3093l11004,3324m11004,3324l11004,3553m11004,3553l11004,3783m11004,3783l11004,4014m11004,4014l11004,4243m11004,4243l11004,4473m11004,4473l11004,4704m11004,4704l11004,4933m11004,4933l11004,5163m11004,5163l11004,5394m11004,5394l11004,5623m11004,5623l11004,5853m11004,5853l11004,6084m11004,6084l11004,6313m11004,6313l11004,6543m11004,6543l11004,6774m11004,6774l11004,7003m11004,7003l11004,7233m11004,7233l11004,7464m11004,7464l11004,7693m11004,7693l11004,7923m11004,7923l11004,8152m11004,8152l11004,8383m11004,8383l11004,8613m11004,8613l11004,8842m11004,8842l11004,9073m11004,9073l11004,9303m11004,9303l11004,9532m11004,9532l11004,9763e" filled="false" stroked="true" strokeweight=".47998pt" strokecolor="#000000">
            <v:path arrowok="t"/>
            <v:stroke dashstyle="solid"/>
            <w10:wrap type="none"/>
          </v:shape>
        </w:pict>
      </w:r>
      <w:r>
        <w:rPr/>
        <w:t>PAYROLL</w:t>
      </w:r>
      <w:r>
        <w:rPr>
          <w:spacing w:val="-4"/>
        </w:rPr>
        <w:t> </w:t>
      </w:r>
      <w:r>
        <w:rPr/>
        <w:t>EXPENDITURE</w:t>
      </w:r>
      <w:r>
        <w:rPr>
          <w:spacing w:val="-2"/>
        </w:rPr>
        <w:t> </w:t>
      </w:r>
      <w:r>
        <w:rPr/>
        <w:t>ACCOUNTING</w:t>
        <w:tab/>
        <w:t>8590 </w:t>
      </w:r>
      <w:r>
        <w:rPr>
          <w:b w:val="0"/>
        </w:rPr>
        <w:t>(Cont.</w:t>
      </w:r>
      <w:r>
        <w:rPr>
          <w:b w:val="0"/>
          <w:spacing w:val="-2"/>
        </w:rPr>
        <w:t> </w:t>
      </w:r>
      <w:r>
        <w:rPr>
          <w:b w:val="0"/>
        </w:rPr>
        <w:t>1)</w:t>
      </w:r>
    </w:p>
    <w:p>
      <w:pPr>
        <w:pStyle w:val="BodyText"/>
        <w:spacing w:before="11"/>
        <w:rPr>
          <w:sz w:val="11"/>
        </w:rPr>
      </w:pPr>
    </w:p>
    <w:p>
      <w:pPr>
        <w:pStyle w:val="BodyText"/>
        <w:spacing w:before="92"/>
        <w:ind w:left="120" w:right="655"/>
      </w:pPr>
      <w:r>
        <w:rPr>
          <w:u w:val="single"/>
        </w:rPr>
        <w:t>Payroll expenditures listed on the SM62 consist of gross salary plus the state contributions. The state’s contributions include:</w:t>
      </w:r>
    </w:p>
    <w:p>
      <w:pPr>
        <w:pStyle w:val="BodyText"/>
        <w:spacing w:before="11"/>
        <w:rPr>
          <w:sz w:val="19"/>
        </w:rPr>
      </w:pPr>
    </w:p>
    <w:p>
      <w:pPr>
        <w:pStyle w:val="ListParagraph"/>
        <w:numPr>
          <w:ilvl w:val="0"/>
          <w:numId w:val="15"/>
        </w:numPr>
        <w:tabs>
          <w:tab w:pos="839" w:val="left" w:leader="none"/>
          <w:tab w:pos="840" w:val="left" w:leader="none"/>
        </w:tabs>
        <w:spacing w:line="245" w:lineRule="exact" w:before="0" w:after="0"/>
        <w:ind w:left="840" w:right="0" w:hanging="720"/>
        <w:jc w:val="left"/>
        <w:rPr>
          <w:sz w:val="20"/>
        </w:rPr>
      </w:pPr>
      <w:r>
        <w:rPr>
          <w:sz w:val="20"/>
          <w:u w:val="single"/>
        </w:rPr>
        <w:t>Retirement</w:t>
      </w:r>
    </w:p>
    <w:p>
      <w:pPr>
        <w:pStyle w:val="ListParagraph"/>
        <w:numPr>
          <w:ilvl w:val="0"/>
          <w:numId w:val="15"/>
        </w:numPr>
        <w:tabs>
          <w:tab w:pos="839" w:val="left" w:leader="none"/>
          <w:tab w:pos="840" w:val="left" w:leader="none"/>
        </w:tabs>
        <w:spacing w:line="244" w:lineRule="exact" w:before="0" w:after="0"/>
        <w:ind w:left="840" w:right="0" w:hanging="720"/>
        <w:jc w:val="left"/>
        <w:rPr>
          <w:sz w:val="20"/>
        </w:rPr>
      </w:pPr>
      <w:r>
        <w:rPr>
          <w:sz w:val="20"/>
          <w:u w:val="single"/>
        </w:rPr>
        <w:t>Old-Age, Survivors, and Disability Insurance</w:t>
      </w:r>
      <w:r>
        <w:rPr>
          <w:spacing w:val="-31"/>
          <w:sz w:val="20"/>
          <w:u w:val="single"/>
        </w:rPr>
        <w:t> </w:t>
      </w:r>
      <w:r>
        <w:rPr>
          <w:sz w:val="20"/>
          <w:u w:val="single"/>
        </w:rPr>
        <w:t>(OASDI)</w:t>
      </w:r>
    </w:p>
    <w:p>
      <w:pPr>
        <w:pStyle w:val="ListParagraph"/>
        <w:numPr>
          <w:ilvl w:val="0"/>
          <w:numId w:val="15"/>
        </w:numPr>
        <w:tabs>
          <w:tab w:pos="839" w:val="left" w:leader="none"/>
          <w:tab w:pos="840" w:val="left" w:leader="none"/>
        </w:tabs>
        <w:spacing w:line="244" w:lineRule="exact" w:before="0" w:after="0"/>
        <w:ind w:left="840" w:right="0" w:hanging="720"/>
        <w:jc w:val="left"/>
        <w:rPr>
          <w:sz w:val="20"/>
        </w:rPr>
      </w:pPr>
      <w:r>
        <w:rPr>
          <w:sz w:val="20"/>
          <w:u w:val="single"/>
        </w:rPr>
        <w:t>Miscellaneous</w:t>
      </w:r>
      <w:r>
        <w:rPr>
          <w:spacing w:val="-8"/>
          <w:sz w:val="20"/>
          <w:u w:val="single"/>
        </w:rPr>
        <w:t> </w:t>
      </w:r>
      <w:r>
        <w:rPr>
          <w:sz w:val="20"/>
          <w:u w:val="single"/>
        </w:rPr>
        <w:t>Benefits</w:t>
      </w:r>
    </w:p>
    <w:p>
      <w:pPr>
        <w:pStyle w:val="ListParagraph"/>
        <w:numPr>
          <w:ilvl w:val="0"/>
          <w:numId w:val="15"/>
        </w:numPr>
        <w:tabs>
          <w:tab w:pos="839" w:val="left" w:leader="none"/>
          <w:tab w:pos="840" w:val="left" w:leader="none"/>
        </w:tabs>
        <w:spacing w:line="245" w:lineRule="exact" w:before="0" w:after="0"/>
        <w:ind w:left="840" w:right="0" w:hanging="720"/>
        <w:jc w:val="left"/>
        <w:rPr>
          <w:sz w:val="20"/>
        </w:rPr>
      </w:pPr>
      <w:r>
        <w:rPr>
          <w:sz w:val="20"/>
          <w:u w:val="single"/>
        </w:rPr>
        <w:t>Premium</w:t>
      </w:r>
    </w:p>
    <w:p>
      <w:pPr>
        <w:pStyle w:val="ListParagraph"/>
        <w:numPr>
          <w:ilvl w:val="0"/>
          <w:numId w:val="15"/>
        </w:numPr>
        <w:tabs>
          <w:tab w:pos="839" w:val="left" w:leader="none"/>
          <w:tab w:pos="840" w:val="left" w:leader="none"/>
        </w:tabs>
        <w:spacing w:line="244" w:lineRule="exact" w:before="0" w:after="0"/>
        <w:ind w:left="840" w:right="0" w:hanging="720"/>
        <w:jc w:val="left"/>
        <w:rPr>
          <w:sz w:val="20"/>
        </w:rPr>
      </w:pPr>
      <w:r>
        <w:rPr>
          <w:sz w:val="20"/>
          <w:u w:val="single"/>
        </w:rPr>
        <w:t>Dental and</w:t>
      </w:r>
      <w:r>
        <w:rPr>
          <w:spacing w:val="-9"/>
          <w:sz w:val="20"/>
          <w:u w:val="single"/>
        </w:rPr>
        <w:t> </w:t>
      </w:r>
      <w:r>
        <w:rPr>
          <w:sz w:val="20"/>
          <w:u w:val="single"/>
        </w:rPr>
        <w:t>health</w:t>
      </w:r>
    </w:p>
    <w:p>
      <w:pPr>
        <w:pStyle w:val="ListParagraph"/>
        <w:numPr>
          <w:ilvl w:val="0"/>
          <w:numId w:val="15"/>
        </w:numPr>
        <w:tabs>
          <w:tab w:pos="839" w:val="left" w:leader="none"/>
          <w:tab w:pos="840" w:val="left" w:leader="none"/>
        </w:tabs>
        <w:spacing w:line="244" w:lineRule="exact" w:before="0" w:after="0"/>
        <w:ind w:left="840" w:right="0" w:hanging="720"/>
        <w:jc w:val="left"/>
        <w:rPr>
          <w:sz w:val="20"/>
        </w:rPr>
      </w:pPr>
      <w:r>
        <w:rPr>
          <w:sz w:val="20"/>
          <w:u w:val="single"/>
        </w:rPr>
        <w:t>Administration</w:t>
      </w:r>
    </w:p>
    <w:p>
      <w:pPr>
        <w:pStyle w:val="ListParagraph"/>
        <w:numPr>
          <w:ilvl w:val="0"/>
          <w:numId w:val="15"/>
        </w:numPr>
        <w:tabs>
          <w:tab w:pos="839" w:val="left" w:leader="none"/>
          <w:tab w:pos="840" w:val="left" w:leader="none"/>
        </w:tabs>
        <w:spacing w:line="240" w:lineRule="auto" w:before="0" w:after="0"/>
        <w:ind w:left="840" w:right="0" w:hanging="720"/>
        <w:jc w:val="left"/>
        <w:rPr>
          <w:sz w:val="20"/>
        </w:rPr>
      </w:pPr>
      <w:r>
        <w:rPr>
          <w:sz w:val="20"/>
          <w:u w:val="single"/>
        </w:rPr>
        <w:t>Fees</w:t>
      </w:r>
    </w:p>
    <w:p>
      <w:pPr>
        <w:pStyle w:val="BodyText"/>
        <w:spacing w:before="10"/>
        <w:rPr>
          <w:sz w:val="11"/>
        </w:rPr>
      </w:pPr>
    </w:p>
    <w:p>
      <w:pPr>
        <w:pStyle w:val="BodyText"/>
        <w:spacing w:before="92"/>
        <w:ind w:left="120"/>
      </w:pPr>
      <w:r>
        <w:rPr>
          <w:u w:val="single"/>
        </w:rPr>
        <w:t>Recoveries to payroll occur when warrants are voided or re-deposited or when overpayments are collected.</w:t>
      </w:r>
    </w:p>
    <w:p>
      <w:pPr>
        <w:pStyle w:val="BodyText"/>
        <w:spacing w:before="11"/>
        <w:rPr>
          <w:sz w:val="11"/>
        </w:rPr>
      </w:pPr>
    </w:p>
    <w:p>
      <w:pPr>
        <w:pStyle w:val="BodyText"/>
        <w:spacing w:before="92"/>
        <w:ind w:left="120" w:right="626"/>
        <w:jc w:val="both"/>
      </w:pPr>
      <w:r>
        <w:rPr>
          <w:u w:val="single"/>
        </w:rPr>
        <w:t>The SM62 reports payroll transactions for the departments which will be recorded using a Payroll Expenditure Register (see SAM section 10504).  The SM62 reflects Clearance Type (CT) codes indicating transfers in or out of  the State Payroll Revolving Fund (SPRF) as</w:t>
      </w:r>
      <w:r>
        <w:rPr>
          <w:spacing w:val="-31"/>
          <w:u w:val="single"/>
        </w:rPr>
        <w:t> </w:t>
      </w:r>
      <w:r>
        <w:rPr>
          <w:u w:val="single"/>
        </w:rPr>
        <w:t>follows:</w:t>
      </w:r>
    </w:p>
    <w:p>
      <w:pPr>
        <w:pStyle w:val="BodyText"/>
        <w:spacing w:before="11"/>
        <w:rPr>
          <w:sz w:val="11"/>
        </w:rPr>
      </w:pPr>
    </w:p>
    <w:p>
      <w:pPr>
        <w:pStyle w:val="BodyText"/>
        <w:spacing w:before="92"/>
        <w:ind w:left="120" w:right="655"/>
      </w:pPr>
      <w:r>
        <w:rPr>
          <w:u w:val="single"/>
        </w:rPr>
        <w:t>Transfers in the SPRF that increase departmental expenditures (entered as plus entries if a manual Payroll  Expenditure Register is</w:t>
      </w:r>
      <w:r>
        <w:rPr>
          <w:spacing w:val="-22"/>
          <w:u w:val="single"/>
        </w:rPr>
        <w:t> </w:t>
      </w:r>
      <w:r>
        <w:rPr>
          <w:u w:val="single"/>
        </w:rPr>
        <w:t>maintained):</w:t>
      </w:r>
    </w:p>
    <w:p>
      <w:pPr>
        <w:pStyle w:val="BodyText"/>
        <w:spacing w:before="11"/>
        <w:rPr>
          <w:sz w:val="11"/>
        </w:rPr>
      </w:pPr>
    </w:p>
    <w:p>
      <w:pPr>
        <w:pStyle w:val="ListParagraph"/>
        <w:numPr>
          <w:ilvl w:val="0"/>
          <w:numId w:val="14"/>
        </w:numPr>
        <w:tabs>
          <w:tab w:pos="839" w:val="left" w:leader="none"/>
          <w:tab w:pos="840" w:val="left" w:leader="none"/>
        </w:tabs>
        <w:spacing w:line="240" w:lineRule="auto" w:before="92" w:after="0"/>
        <w:ind w:left="839" w:right="0" w:hanging="719"/>
        <w:jc w:val="left"/>
        <w:rPr>
          <w:sz w:val="20"/>
        </w:rPr>
      </w:pPr>
      <w:r>
        <w:rPr>
          <w:sz w:val="20"/>
          <w:u w:val="single"/>
        </w:rPr>
        <w:t>CT 1: Issue Payment - Registers of warrants</w:t>
      </w:r>
      <w:r>
        <w:rPr>
          <w:spacing w:val="-20"/>
          <w:sz w:val="20"/>
          <w:u w:val="single"/>
        </w:rPr>
        <w:t> </w:t>
      </w:r>
      <w:r>
        <w:rPr>
          <w:sz w:val="20"/>
          <w:u w:val="single"/>
        </w:rPr>
        <w:t>issued</w:t>
      </w:r>
    </w:p>
    <w:p>
      <w:pPr>
        <w:pStyle w:val="ListParagraph"/>
        <w:numPr>
          <w:ilvl w:val="0"/>
          <w:numId w:val="14"/>
        </w:numPr>
        <w:tabs>
          <w:tab w:pos="839" w:val="left" w:leader="none"/>
          <w:tab w:pos="840" w:val="left" w:leader="none"/>
        </w:tabs>
        <w:spacing w:line="230" w:lineRule="exact" w:before="0" w:after="0"/>
        <w:ind w:left="839" w:right="0" w:hanging="719"/>
        <w:jc w:val="left"/>
        <w:rPr>
          <w:sz w:val="20"/>
        </w:rPr>
      </w:pPr>
      <w:r>
        <w:rPr>
          <w:sz w:val="20"/>
          <w:u w:val="single"/>
        </w:rPr>
        <w:t>CT 7: Transfer of Funds - Registers of payroll</w:t>
      </w:r>
      <w:r>
        <w:rPr>
          <w:spacing w:val="-25"/>
          <w:sz w:val="20"/>
          <w:u w:val="single"/>
        </w:rPr>
        <w:t> </w:t>
      </w:r>
      <w:r>
        <w:rPr>
          <w:sz w:val="20"/>
          <w:u w:val="single"/>
        </w:rPr>
        <w:t>adjustments</w:t>
      </w:r>
    </w:p>
    <w:p>
      <w:pPr>
        <w:pStyle w:val="ListParagraph"/>
        <w:numPr>
          <w:ilvl w:val="0"/>
          <w:numId w:val="14"/>
        </w:numPr>
        <w:tabs>
          <w:tab w:pos="839" w:val="left" w:leader="none"/>
          <w:tab w:pos="841" w:val="left" w:leader="none"/>
        </w:tabs>
        <w:spacing w:line="230" w:lineRule="exact" w:before="0" w:after="0"/>
        <w:ind w:left="840" w:right="0" w:hanging="720"/>
        <w:jc w:val="left"/>
        <w:rPr>
          <w:sz w:val="20"/>
        </w:rPr>
      </w:pPr>
      <w:r>
        <w:rPr>
          <w:sz w:val="20"/>
          <w:u w:val="single"/>
        </w:rPr>
        <w:t>CT 8: Non-USPS Transaction - Corrections of previous</w:t>
      </w:r>
      <w:r>
        <w:rPr>
          <w:spacing w:val="-30"/>
          <w:sz w:val="20"/>
          <w:u w:val="single"/>
        </w:rPr>
        <w:t> </w:t>
      </w:r>
      <w:r>
        <w:rPr>
          <w:sz w:val="20"/>
          <w:u w:val="single"/>
        </w:rPr>
        <w:t>transfers</w:t>
      </w:r>
    </w:p>
    <w:p>
      <w:pPr>
        <w:pStyle w:val="ListParagraph"/>
        <w:numPr>
          <w:ilvl w:val="0"/>
          <w:numId w:val="14"/>
        </w:numPr>
        <w:tabs>
          <w:tab w:pos="840" w:val="left" w:leader="none"/>
          <w:tab w:pos="841" w:val="left" w:leader="none"/>
        </w:tabs>
        <w:spacing w:line="240" w:lineRule="auto" w:before="1" w:after="0"/>
        <w:ind w:left="840" w:right="0" w:hanging="720"/>
        <w:jc w:val="left"/>
        <w:rPr>
          <w:sz w:val="20"/>
        </w:rPr>
      </w:pPr>
      <w:r>
        <w:rPr/>
        <w:pict>
          <v:line style="position:absolute;mso-position-horizontal-relative:page;mso-position-vertical-relative:paragraph;z-index:-66232" from="72pt,10.705955pt" to="392.58pt,10.705955pt" stroked="true" strokeweight=".47998pt" strokecolor="#000000">
            <v:stroke dashstyle="solid"/>
            <w10:wrap type="none"/>
          </v:line>
        </w:pict>
      </w:r>
      <w:r>
        <w:rPr>
          <w:sz w:val="20"/>
        </w:rPr>
        <w:t>CT</w:t>
      </w:r>
      <w:r>
        <w:rPr>
          <w:spacing w:val="-4"/>
          <w:sz w:val="20"/>
        </w:rPr>
        <w:t> </w:t>
      </w:r>
      <w:r>
        <w:rPr>
          <w:sz w:val="20"/>
        </w:rPr>
        <w:t>9:</w:t>
      </w:r>
      <w:r>
        <w:rPr>
          <w:spacing w:val="-4"/>
          <w:sz w:val="20"/>
        </w:rPr>
        <w:t> </w:t>
      </w:r>
      <w:r>
        <w:rPr>
          <w:sz w:val="20"/>
        </w:rPr>
        <w:t>Reverse</w:t>
      </w:r>
      <w:r>
        <w:rPr>
          <w:spacing w:val="-7"/>
          <w:sz w:val="20"/>
        </w:rPr>
        <w:t> </w:t>
      </w:r>
      <w:r>
        <w:rPr>
          <w:sz w:val="20"/>
        </w:rPr>
        <w:t>Accounts</w:t>
      </w:r>
      <w:r>
        <w:rPr>
          <w:spacing w:val="-4"/>
          <w:sz w:val="20"/>
        </w:rPr>
        <w:t> </w:t>
      </w:r>
      <w:r>
        <w:rPr>
          <w:sz w:val="20"/>
        </w:rPr>
        <w:t>Receivable</w:t>
      </w:r>
      <w:r>
        <w:rPr>
          <w:spacing w:val="-5"/>
          <w:sz w:val="20"/>
        </w:rPr>
        <w:t> </w:t>
      </w:r>
      <w:r>
        <w:rPr>
          <w:sz w:val="20"/>
        </w:rPr>
        <w:t>-</w:t>
      </w:r>
      <w:r>
        <w:rPr>
          <w:spacing w:val="-4"/>
          <w:sz w:val="20"/>
        </w:rPr>
        <w:t> </w:t>
      </w:r>
      <w:r>
        <w:rPr>
          <w:sz w:val="20"/>
        </w:rPr>
        <w:t>Corrections</w:t>
      </w:r>
      <w:r>
        <w:rPr>
          <w:spacing w:val="-5"/>
          <w:sz w:val="20"/>
        </w:rPr>
        <w:t> </w:t>
      </w:r>
      <w:r>
        <w:rPr>
          <w:sz w:val="20"/>
        </w:rPr>
        <w:t>of</w:t>
      </w:r>
      <w:r>
        <w:rPr>
          <w:spacing w:val="-5"/>
          <w:sz w:val="20"/>
        </w:rPr>
        <w:t> </w:t>
      </w:r>
      <w:r>
        <w:rPr>
          <w:sz w:val="20"/>
        </w:rPr>
        <w:t>previous</w:t>
      </w:r>
      <w:r>
        <w:rPr>
          <w:spacing w:val="-4"/>
          <w:sz w:val="20"/>
        </w:rPr>
        <w:t> </w:t>
      </w:r>
      <w:r>
        <w:rPr>
          <w:sz w:val="20"/>
        </w:rPr>
        <w:t>transfers</w:t>
      </w:r>
    </w:p>
    <w:p>
      <w:pPr>
        <w:pStyle w:val="BodyText"/>
        <w:spacing w:before="11"/>
        <w:rPr>
          <w:sz w:val="11"/>
        </w:rPr>
      </w:pPr>
    </w:p>
    <w:p>
      <w:pPr>
        <w:pStyle w:val="BodyText"/>
        <w:spacing w:before="92"/>
        <w:ind w:left="120" w:right="655"/>
      </w:pPr>
      <w:r>
        <w:rPr>
          <w:u w:val="single"/>
        </w:rPr>
        <w:t>Transfers out of the SPRF that decrease expenditures (entered as minus entries if a manual Payroll Expenditure Register is maintained):</w:t>
      </w:r>
    </w:p>
    <w:p>
      <w:pPr>
        <w:pStyle w:val="BodyText"/>
        <w:spacing w:before="11"/>
        <w:rPr>
          <w:sz w:val="11"/>
        </w:rPr>
      </w:pPr>
    </w:p>
    <w:p>
      <w:pPr>
        <w:pStyle w:val="ListParagraph"/>
        <w:numPr>
          <w:ilvl w:val="0"/>
          <w:numId w:val="14"/>
        </w:numPr>
        <w:tabs>
          <w:tab w:pos="839" w:val="left" w:leader="none"/>
          <w:tab w:pos="840" w:val="left" w:leader="none"/>
        </w:tabs>
        <w:spacing w:line="240" w:lineRule="auto" w:before="92" w:after="0"/>
        <w:ind w:left="839" w:right="0" w:hanging="719"/>
        <w:jc w:val="left"/>
        <w:rPr>
          <w:sz w:val="20"/>
        </w:rPr>
      </w:pPr>
      <w:r>
        <w:rPr>
          <w:sz w:val="20"/>
          <w:u w:val="single"/>
        </w:rPr>
        <w:t>CT 4: Redeposit - Register of warrants</w:t>
      </w:r>
      <w:r>
        <w:rPr>
          <w:spacing w:val="-21"/>
          <w:sz w:val="20"/>
          <w:u w:val="single"/>
        </w:rPr>
        <w:t> </w:t>
      </w:r>
      <w:r>
        <w:rPr>
          <w:sz w:val="20"/>
          <w:u w:val="single"/>
        </w:rPr>
        <w:t>re-deposited</w:t>
      </w:r>
    </w:p>
    <w:p>
      <w:pPr>
        <w:pStyle w:val="ListParagraph"/>
        <w:numPr>
          <w:ilvl w:val="0"/>
          <w:numId w:val="14"/>
        </w:numPr>
        <w:tabs>
          <w:tab w:pos="840" w:val="left" w:leader="none"/>
          <w:tab w:pos="841" w:val="left" w:leader="none"/>
        </w:tabs>
        <w:spacing w:line="240" w:lineRule="auto" w:before="0" w:after="0"/>
        <w:ind w:left="840" w:right="0" w:hanging="720"/>
        <w:jc w:val="left"/>
        <w:rPr>
          <w:sz w:val="20"/>
        </w:rPr>
      </w:pPr>
      <w:r>
        <w:rPr/>
        <w:pict>
          <v:line style="position:absolute;mso-position-horizontal-relative:page;mso-position-vertical-relative:paragraph;z-index:-66208" from="72pt,10.655954pt" to="423.78pt,10.655954pt" stroked="true" strokeweight=".47998pt" strokecolor="#000000">
            <v:stroke dashstyle="solid"/>
            <w10:wrap type="none"/>
          </v:line>
        </w:pict>
      </w:r>
      <w:r>
        <w:rPr>
          <w:sz w:val="20"/>
        </w:rPr>
        <w:t>CT 5: Accounts Receivable  - Transfers of amounts collected on</w:t>
      </w:r>
      <w:r>
        <w:rPr>
          <w:spacing w:val="-31"/>
          <w:sz w:val="20"/>
        </w:rPr>
        <w:t> </w:t>
      </w:r>
      <w:r>
        <w:rPr>
          <w:sz w:val="20"/>
        </w:rPr>
        <w:t>overpayments</w:t>
      </w:r>
    </w:p>
    <w:p>
      <w:pPr>
        <w:pStyle w:val="ListParagraph"/>
        <w:numPr>
          <w:ilvl w:val="0"/>
          <w:numId w:val="14"/>
        </w:numPr>
        <w:tabs>
          <w:tab w:pos="839" w:val="left" w:leader="none"/>
          <w:tab w:pos="840" w:val="left" w:leader="none"/>
        </w:tabs>
        <w:spacing w:line="230" w:lineRule="exact" w:before="0" w:after="0"/>
        <w:ind w:left="839" w:right="0" w:hanging="719"/>
        <w:jc w:val="left"/>
        <w:rPr>
          <w:sz w:val="20"/>
        </w:rPr>
      </w:pPr>
      <w:r>
        <w:rPr>
          <w:sz w:val="20"/>
          <w:u w:val="single"/>
        </w:rPr>
        <w:t>CT 6: Transfer of Funds - Registers of payroll</w:t>
      </w:r>
      <w:r>
        <w:rPr>
          <w:spacing w:val="-25"/>
          <w:sz w:val="20"/>
          <w:u w:val="single"/>
        </w:rPr>
        <w:t> </w:t>
      </w:r>
      <w:r>
        <w:rPr>
          <w:sz w:val="20"/>
          <w:u w:val="single"/>
        </w:rPr>
        <w:t>adjustments</w:t>
      </w:r>
    </w:p>
    <w:p>
      <w:pPr>
        <w:pStyle w:val="ListParagraph"/>
        <w:numPr>
          <w:ilvl w:val="0"/>
          <w:numId w:val="14"/>
        </w:numPr>
        <w:tabs>
          <w:tab w:pos="839" w:val="left" w:leader="none"/>
          <w:tab w:pos="841" w:val="left" w:leader="none"/>
        </w:tabs>
        <w:spacing w:line="230" w:lineRule="exact" w:before="0" w:after="0"/>
        <w:ind w:left="840" w:right="0" w:hanging="720"/>
        <w:jc w:val="left"/>
        <w:rPr>
          <w:sz w:val="20"/>
        </w:rPr>
      </w:pPr>
      <w:r>
        <w:rPr>
          <w:sz w:val="20"/>
          <w:u w:val="single"/>
        </w:rPr>
        <w:t>CT 8: Non-USPS Transaction  - Corrections of previous</w:t>
      </w:r>
      <w:r>
        <w:rPr>
          <w:spacing w:val="-28"/>
          <w:sz w:val="20"/>
          <w:u w:val="single"/>
        </w:rPr>
        <w:t> </w:t>
      </w:r>
      <w:r>
        <w:rPr>
          <w:sz w:val="20"/>
          <w:u w:val="single"/>
        </w:rPr>
        <w:t>transfers</w:t>
      </w:r>
    </w:p>
    <w:p>
      <w:pPr>
        <w:pStyle w:val="BodyText"/>
        <w:spacing w:before="11"/>
        <w:rPr>
          <w:sz w:val="11"/>
        </w:rPr>
      </w:pPr>
    </w:p>
    <w:p>
      <w:pPr>
        <w:pStyle w:val="BodyText"/>
        <w:spacing w:before="92"/>
        <w:ind w:left="120" w:right="625"/>
        <w:jc w:val="both"/>
      </w:pPr>
      <w:r>
        <w:rPr>
          <w:u w:val="single"/>
        </w:rPr>
        <w:t>Payroll transfers will be distributed to the applicable expenditure accounts and, if applicable, entered in the Payroll Expenditure Register where used in a manual system. The month during which the expenditures were incurred will generally be indicated by the date on the Controller’s Transfer. An exception to this procedure occurs when the  month indicated by the transfer date is different from the month the expenses were incurred. Then post the payroll transfer to the matching month.  If the payroll period and the transfer date are in different fiscal years, the transfer  date takes precedence. Note: In automated systems i.e. CALSTARS, the Payroll Expenditure Register is  automatically</w:t>
      </w:r>
      <w:r>
        <w:rPr>
          <w:spacing w:val="-2"/>
          <w:u w:val="single"/>
        </w:rPr>
        <w:t> </w:t>
      </w:r>
      <w:r>
        <w:rPr>
          <w:u w:val="single"/>
        </w:rPr>
        <w:t>produced</w:t>
      </w:r>
      <w:r>
        <w:rPr>
          <w:spacing w:val="-2"/>
          <w:u w:val="single"/>
        </w:rPr>
        <w:t> </w:t>
      </w:r>
      <w:r>
        <w:rPr>
          <w:u w:val="single"/>
        </w:rPr>
        <w:t>as</w:t>
      </w:r>
      <w:r>
        <w:rPr>
          <w:spacing w:val="-4"/>
          <w:u w:val="single"/>
        </w:rPr>
        <w:t> </w:t>
      </w:r>
      <w:r>
        <w:rPr>
          <w:u w:val="single"/>
        </w:rPr>
        <w:t>a</w:t>
      </w:r>
      <w:r>
        <w:rPr>
          <w:spacing w:val="-4"/>
          <w:u w:val="single"/>
        </w:rPr>
        <w:t> </w:t>
      </w:r>
      <w:r>
        <w:rPr>
          <w:u w:val="single"/>
        </w:rPr>
        <w:t>by-product</w:t>
      </w:r>
      <w:r>
        <w:rPr>
          <w:spacing w:val="-5"/>
          <w:u w:val="single"/>
        </w:rPr>
        <w:t> </w:t>
      </w:r>
      <w:r>
        <w:rPr>
          <w:u w:val="single"/>
        </w:rPr>
        <w:t>of</w:t>
      </w:r>
      <w:r>
        <w:rPr>
          <w:spacing w:val="-4"/>
          <w:u w:val="single"/>
        </w:rPr>
        <w:t> </w:t>
      </w:r>
      <w:r>
        <w:rPr>
          <w:u w:val="single"/>
        </w:rPr>
        <w:t>labor</w:t>
      </w:r>
      <w:r>
        <w:rPr>
          <w:spacing w:val="-4"/>
          <w:u w:val="single"/>
        </w:rPr>
        <w:t> </w:t>
      </w:r>
      <w:r>
        <w:rPr>
          <w:u w:val="single"/>
        </w:rPr>
        <w:t>distribution</w:t>
      </w:r>
      <w:r>
        <w:rPr>
          <w:spacing w:val="-3"/>
          <w:u w:val="single"/>
        </w:rPr>
        <w:t> </w:t>
      </w:r>
      <w:r>
        <w:rPr>
          <w:u w:val="single"/>
        </w:rPr>
        <w:t>system</w:t>
      </w:r>
      <w:r>
        <w:rPr>
          <w:spacing w:val="-5"/>
          <w:u w:val="single"/>
        </w:rPr>
        <w:t> </w:t>
      </w:r>
      <w:r>
        <w:rPr>
          <w:u w:val="single"/>
        </w:rPr>
        <w:t>and</w:t>
      </w:r>
      <w:r>
        <w:rPr>
          <w:spacing w:val="-3"/>
          <w:u w:val="single"/>
        </w:rPr>
        <w:t> </w:t>
      </w:r>
      <w:r>
        <w:rPr>
          <w:u w:val="single"/>
        </w:rPr>
        <w:t>these</w:t>
      </w:r>
      <w:r>
        <w:rPr>
          <w:spacing w:val="-3"/>
          <w:u w:val="single"/>
        </w:rPr>
        <w:t> </w:t>
      </w:r>
      <w:r>
        <w:rPr>
          <w:u w:val="single"/>
        </w:rPr>
        <w:t>entries</w:t>
      </w:r>
      <w:r>
        <w:rPr>
          <w:spacing w:val="-3"/>
          <w:u w:val="single"/>
        </w:rPr>
        <w:t> </w:t>
      </w:r>
      <w:r>
        <w:rPr>
          <w:u w:val="single"/>
        </w:rPr>
        <w:t>are</w:t>
      </w:r>
      <w:r>
        <w:rPr>
          <w:spacing w:val="-3"/>
          <w:u w:val="single"/>
        </w:rPr>
        <w:t> </w:t>
      </w:r>
      <w:r>
        <w:rPr>
          <w:u w:val="single"/>
        </w:rPr>
        <w:t>not</w:t>
      </w:r>
      <w:r>
        <w:rPr>
          <w:spacing w:val="-3"/>
          <w:u w:val="single"/>
        </w:rPr>
        <w:t> </w:t>
      </w:r>
      <w:r>
        <w:rPr>
          <w:u w:val="single"/>
        </w:rPr>
        <w:t>applicable.</w:t>
      </w:r>
    </w:p>
    <w:p>
      <w:pPr>
        <w:pStyle w:val="BodyText"/>
      </w:pPr>
    </w:p>
    <w:p>
      <w:pPr>
        <w:pStyle w:val="BodyText"/>
        <w:spacing w:before="2"/>
      </w:pPr>
    </w:p>
    <w:p>
      <w:pPr>
        <w:pStyle w:val="Heading2"/>
        <w:tabs>
          <w:tab w:pos="9170" w:val="left" w:leader="none"/>
        </w:tabs>
        <w:spacing w:line="229" w:lineRule="exact" w:before="0"/>
        <w:ind w:left="120"/>
        <w:jc w:val="both"/>
      </w:pPr>
      <w:r>
        <w:rPr/>
        <w:t>OVERPAYMENTS</w:t>
        <w:tab/>
        <w:t>8593</w:t>
      </w:r>
    </w:p>
    <w:p>
      <w:pPr>
        <w:pStyle w:val="BodyText"/>
        <w:spacing w:line="229" w:lineRule="exact"/>
        <w:ind w:left="120"/>
        <w:jc w:val="both"/>
      </w:pPr>
      <w:r>
        <w:rPr/>
        <w:t>(Revised 09/13)</w:t>
      </w:r>
    </w:p>
    <w:p>
      <w:pPr>
        <w:pStyle w:val="BodyText"/>
      </w:pPr>
    </w:p>
    <w:p>
      <w:pPr>
        <w:pStyle w:val="BodyText"/>
        <w:ind w:left="120" w:right="625"/>
        <w:jc w:val="both"/>
      </w:pPr>
      <w:r>
        <w:rPr/>
        <w:pict>
          <v:shape style="position:absolute;margin-left:550.200012pt;margin-top:.156304pt;width:.1pt;height:80.55pt;mso-position-horizontal-relative:page;mso-position-vertical-relative:paragraph;z-index:2560" coordorigin="11004,3" coordsize="0,1611" path="m11004,3l11004,234m11004,234l11004,464m11004,464l11004,693m11004,693l11004,924m11004,924l11004,1154m11004,1154l11004,1383m11004,1383l11004,1614e" filled="false" stroked="true" strokeweight=".47998pt" strokecolor="#000000">
            <v:path arrowok="t"/>
            <v:stroke dashstyle="solid"/>
            <w10:wrap type="none"/>
          </v:shape>
        </w:pict>
      </w:r>
      <w:r>
        <w:rPr>
          <w:u w:val="single"/>
        </w:rPr>
        <w:t>When Adjustment Notices, reporting amounts overpaid to employees, are processed by the State Controller's Office (SCO), they will send a Notice of Payroll Accounts Receivable (AR) to the department. The AR shows the total and gross amount of the salary overpayment, the payment type, the amount of overpayment of the employer’s share of contributions for employees’ retirement, OASDI, and other benefits. In addition, the AR shows the employee deductions that will be recovered by the SCO and the amount of the overpayment to be recovered from the employee by either a payroll deduction or an agency collection.</w:t>
      </w:r>
    </w:p>
    <w:p>
      <w:pPr>
        <w:pStyle w:val="BodyText"/>
        <w:spacing w:before="11"/>
        <w:rPr>
          <w:sz w:val="11"/>
        </w:rPr>
      </w:pPr>
    </w:p>
    <w:p>
      <w:pPr>
        <w:pStyle w:val="BodyText"/>
        <w:spacing w:before="92"/>
        <w:ind w:left="120"/>
      </w:pPr>
      <w:r>
        <w:rPr>
          <w:u w:val="single"/>
        </w:rPr>
        <w:t>(Continued)</w:t>
      </w:r>
    </w:p>
    <w:p>
      <w:pPr>
        <w:spacing w:after="0"/>
        <w:sectPr>
          <w:pgSz w:w="12240" w:h="15840"/>
          <w:pgMar w:header="727" w:footer="1103" w:top="940" w:bottom="1300" w:left="1320" w:right="720"/>
        </w:sectPr>
      </w:pPr>
    </w:p>
    <w:p>
      <w:pPr>
        <w:pStyle w:val="Heading2"/>
        <w:tabs>
          <w:tab w:pos="8039" w:val="left" w:leader="none"/>
        </w:tabs>
        <w:spacing w:before="2"/>
        <w:ind w:left="120"/>
      </w:pPr>
      <w:r>
        <w:rPr/>
        <w:pict>
          <v:shape style="position:absolute;margin-left:550.200012pt;margin-top:11.65595pt;width:.1pt;height:57.5pt;mso-position-horizontal-relative:page;mso-position-vertical-relative:paragraph;z-index:2584" coordorigin="11004,233" coordsize="0,1150" path="m11004,233l11004,462m11004,462l11004,693m11004,693l11004,923m11004,923l11004,1152m11004,1152l11004,1383e" filled="false" stroked="true" strokeweight=".47998pt" strokecolor="#000000">
            <v:path arrowok="t"/>
            <v:stroke dashstyle="solid"/>
            <w10:wrap type="none"/>
          </v:shape>
        </w:pict>
      </w:r>
      <w:r>
        <w:rPr/>
        <w:t>OVERPAYMENTS</w:t>
        <w:tab/>
        <w:t>8593 (Cont.</w:t>
      </w:r>
      <w:r>
        <w:rPr>
          <w:spacing w:val="-5"/>
        </w:rPr>
        <w:t> </w:t>
      </w:r>
      <w:r>
        <w:rPr/>
        <w:t>1)</w:t>
      </w:r>
    </w:p>
    <w:p>
      <w:pPr>
        <w:pStyle w:val="BodyText"/>
        <w:spacing w:before="8"/>
        <w:rPr>
          <w:b/>
          <w:sz w:val="11"/>
        </w:rPr>
      </w:pPr>
    </w:p>
    <w:p>
      <w:pPr>
        <w:pStyle w:val="BodyText"/>
        <w:spacing w:before="92"/>
        <w:ind w:left="120" w:right="625"/>
        <w:jc w:val="both"/>
      </w:pPr>
      <w:r>
        <w:rPr>
          <w:u w:val="single"/>
        </w:rPr>
        <w:t>The gross amount and state share amounts of benefits of the AR will be entered as a credit to the expenditure accounts and a debit to Accounts Receivable-Abatements. See SAM section 10504 Entry No. 4 (Payrolls Are Paid). The AR is established in an open file pending full recovery of the overpayment and transfer of the amount recovered to the department appropriation and/or</w:t>
      </w:r>
      <w:r>
        <w:rPr>
          <w:spacing w:val="-21"/>
          <w:u w:val="single"/>
        </w:rPr>
        <w:t> </w:t>
      </w:r>
      <w:r>
        <w:rPr>
          <w:u w:val="single"/>
        </w:rPr>
        <w:t>fund.</w:t>
      </w:r>
    </w:p>
    <w:p>
      <w:pPr>
        <w:pStyle w:val="BodyText"/>
        <w:rPr>
          <w:sz w:val="12"/>
        </w:rPr>
      </w:pPr>
    </w:p>
    <w:p>
      <w:pPr>
        <w:pStyle w:val="BodyText"/>
        <w:spacing w:before="93"/>
        <w:ind w:left="120" w:right="655"/>
      </w:pPr>
      <w:r>
        <w:rPr/>
        <w:pict>
          <v:shape style="position:absolute;margin-left:550.200012pt;margin-top:4.806047pt;width:.1pt;height:275.95pt;mso-position-horizontal-relative:page;mso-position-vertical-relative:paragraph;z-index:2608" coordorigin="11004,96" coordsize="0,5519" path="m11004,96l11004,325m11004,325l11004,556m11004,556l11004,785m11004,785l11004,1015m11004,1015l11004,1246m11004,1246l11004,1475m11004,1475l11004,1705m11004,1705l11004,1936m11004,1936l11004,2165m11004,2165l11004,2395m11004,2395l11004,2626m11004,2626l11004,2855m11004,2855l11004,3085m11004,3085l11004,3316m11004,3316l11004,3545m11004,3545l11004,3775m11004,3775l11004,4006m11004,4006l11004,4235m11004,4235l11004,4465m11004,4465l11004,4696m11004,4696l11004,4925m11004,4925l11004,5155m11004,5155l11004,5385m11004,5385l11004,5615e" filled="false" stroked="true" strokeweight=".47998pt" strokecolor="#000000">
            <v:path arrowok="t"/>
            <v:stroke dashstyle="solid"/>
            <w10:wrap type="none"/>
          </v:shape>
        </w:pict>
      </w:r>
      <w:r>
        <w:rPr>
          <w:u w:val="single"/>
        </w:rPr>
        <w:t>The AR file is the subsidiary to that portion of Account No. 1311, Accounts Receivable-Abatements representing salary overpayments and will show the amounts to be collected from employees.</w:t>
      </w:r>
    </w:p>
    <w:p>
      <w:pPr>
        <w:pStyle w:val="BodyText"/>
        <w:spacing w:before="11"/>
        <w:rPr>
          <w:sz w:val="11"/>
        </w:rPr>
      </w:pPr>
    </w:p>
    <w:p>
      <w:pPr>
        <w:pStyle w:val="BodyText"/>
        <w:spacing w:before="92"/>
        <w:ind w:left="120"/>
      </w:pPr>
      <w:r>
        <w:rPr>
          <w:u w:val="single"/>
        </w:rPr>
        <w:t>The AR will be removed from the open file upon full recovery of payroll deductions or agency collections.</w:t>
      </w:r>
    </w:p>
    <w:p>
      <w:pPr>
        <w:pStyle w:val="BodyText"/>
        <w:rPr>
          <w:sz w:val="12"/>
        </w:rPr>
      </w:pPr>
    </w:p>
    <w:p>
      <w:pPr>
        <w:pStyle w:val="BodyText"/>
        <w:spacing w:before="92"/>
        <w:ind w:left="120" w:right="627"/>
        <w:jc w:val="both"/>
      </w:pPr>
      <w:r>
        <w:rPr>
          <w:u w:val="single"/>
        </w:rPr>
        <w:t>If the overpayment is collected through payroll deduction, the SCO transfers funds from the State Payroll Revolving Fund to the appropriation that incurred the payroll expenditure. The department receives an SCO Journal Entry (JE), Notice of Transfer (TC-38), for the amount of the transaction. The JE document typically begins with an AR or AP.</w:t>
      </w:r>
    </w:p>
    <w:p>
      <w:pPr>
        <w:pStyle w:val="BodyText"/>
        <w:spacing w:before="10"/>
        <w:rPr>
          <w:sz w:val="11"/>
        </w:rPr>
      </w:pPr>
    </w:p>
    <w:p>
      <w:pPr>
        <w:pStyle w:val="BodyText"/>
        <w:spacing w:before="92"/>
        <w:ind w:left="120" w:right="655"/>
      </w:pPr>
      <w:r>
        <w:rPr>
          <w:u w:val="single"/>
        </w:rPr>
        <w:t>The ARO Notice of Transfer (TC-38) generated by the SCO is the total state share and employee deduction on the  AR Notice. The ARO posts to SCO Fiscal System (Fiscal) and can be printed from</w:t>
      </w:r>
      <w:r>
        <w:rPr>
          <w:spacing w:val="15"/>
          <w:u w:val="single"/>
        </w:rPr>
        <w:t> </w:t>
      </w:r>
      <w:r>
        <w:rPr>
          <w:u w:val="single"/>
        </w:rPr>
        <w:t>ViewDirect.</w:t>
      </w:r>
    </w:p>
    <w:p>
      <w:pPr>
        <w:pStyle w:val="BodyText"/>
        <w:spacing w:before="10"/>
        <w:rPr>
          <w:sz w:val="11"/>
        </w:rPr>
      </w:pPr>
    </w:p>
    <w:p>
      <w:pPr>
        <w:spacing w:before="92"/>
        <w:ind w:left="840" w:right="655" w:firstLine="0"/>
        <w:jc w:val="left"/>
        <w:rPr>
          <w:i/>
          <w:sz w:val="20"/>
        </w:rPr>
      </w:pPr>
      <w:r>
        <w:rPr>
          <w:i/>
          <w:sz w:val="20"/>
          <w:u w:val="single"/>
        </w:rPr>
        <w:t>Note: A reversal to an overpayment is also identified as an ARO (TC-38) and is titled as Notice of Payroll </w:t>
      </w:r>
      <w:r>
        <w:rPr>
          <w:i/>
          <w:sz w:val="20"/>
          <w:u w:val="single"/>
        </w:rPr>
        <w:t>Accounts Receivable Reversal on the AR Notice.</w:t>
      </w:r>
    </w:p>
    <w:p>
      <w:pPr>
        <w:pStyle w:val="BodyText"/>
        <w:spacing w:before="10"/>
        <w:rPr>
          <w:i/>
          <w:sz w:val="11"/>
        </w:rPr>
      </w:pPr>
    </w:p>
    <w:p>
      <w:pPr>
        <w:pStyle w:val="BodyText"/>
        <w:spacing w:before="92"/>
        <w:ind w:left="120" w:right="655"/>
      </w:pPr>
      <w:r>
        <w:rPr>
          <w:u w:val="single"/>
        </w:rPr>
        <w:t>The APO Notice of Transfer (TC-38) generated by the SCO is the amount of the employee payroll deduction. The APO posts to Fiscal and can be printed from SCO, ViewDirect.</w:t>
      </w:r>
    </w:p>
    <w:p>
      <w:pPr>
        <w:pStyle w:val="BodyText"/>
        <w:spacing w:before="10"/>
        <w:rPr>
          <w:sz w:val="11"/>
        </w:rPr>
      </w:pPr>
    </w:p>
    <w:p>
      <w:pPr>
        <w:spacing w:before="92"/>
        <w:ind w:left="840" w:right="625" w:firstLine="0"/>
        <w:jc w:val="both"/>
        <w:rPr>
          <w:i/>
          <w:sz w:val="20"/>
        </w:rPr>
      </w:pPr>
      <w:r>
        <w:rPr>
          <w:i/>
          <w:sz w:val="20"/>
          <w:u w:val="single"/>
        </w:rPr>
        <w:t>Note: Agency collections are processed through the Electronic Fiscal Input Transaction System (eFITS) and </w:t>
      </w:r>
      <w:r>
        <w:rPr>
          <w:i/>
          <w:sz w:val="20"/>
          <w:u w:val="single"/>
        </w:rPr>
        <w:t>shown on the SCO generated “CRE” Notice of Transfer of Fund (TC-47). The CRE posts to Fiscal and can be printed from SCO, ViewDirect.</w:t>
      </w:r>
    </w:p>
    <w:p>
      <w:pPr>
        <w:pStyle w:val="BodyText"/>
        <w:spacing w:before="10"/>
        <w:rPr>
          <w:i/>
          <w:sz w:val="11"/>
        </w:rPr>
      </w:pPr>
    </w:p>
    <w:p>
      <w:pPr>
        <w:pStyle w:val="BodyText"/>
        <w:spacing w:before="92"/>
        <w:ind w:left="120" w:right="740"/>
      </w:pPr>
      <w:r>
        <w:rPr>
          <w:u w:val="single"/>
        </w:rPr>
        <w:t>The APC Notice of Transfer (TC-38) is a manual correction to the APO. The APC posts to Fiscal and can be printed from SCO, ViewDirect.</w:t>
      </w:r>
    </w:p>
    <w:p>
      <w:pPr>
        <w:pStyle w:val="BodyText"/>
        <w:spacing w:before="2"/>
        <w:rPr>
          <w:sz w:val="12"/>
        </w:rPr>
      </w:pPr>
    </w:p>
    <w:p>
      <w:pPr>
        <w:pStyle w:val="Heading2"/>
        <w:tabs>
          <w:tab w:pos="9569" w:val="right" w:leader="none"/>
        </w:tabs>
        <w:spacing w:line="228" w:lineRule="exact" w:before="92"/>
        <w:ind w:left="120"/>
        <w:jc w:val="both"/>
      </w:pPr>
      <w:r>
        <w:rPr/>
        <w:t>RECOVERY BY</w:t>
      </w:r>
      <w:r>
        <w:rPr>
          <w:spacing w:val="-3"/>
        </w:rPr>
        <w:t> </w:t>
      </w:r>
      <w:r>
        <w:rPr/>
        <w:t>CASH</w:t>
      </w:r>
      <w:r>
        <w:rPr>
          <w:spacing w:val="-3"/>
        </w:rPr>
        <w:t> </w:t>
      </w:r>
      <w:r>
        <w:rPr/>
        <w:t>COLLECTION</w:t>
        <w:tab/>
        <w:t>8593.1</w:t>
      </w:r>
    </w:p>
    <w:p>
      <w:pPr>
        <w:pStyle w:val="BodyText"/>
        <w:spacing w:line="228" w:lineRule="exact"/>
        <w:ind w:left="120"/>
        <w:jc w:val="both"/>
      </w:pPr>
      <w:r>
        <w:rPr/>
        <w:t>(Revised and Renumbered From 8593.2 10/88)</w:t>
      </w:r>
    </w:p>
    <w:p>
      <w:pPr>
        <w:pStyle w:val="BodyText"/>
        <w:spacing w:before="1"/>
      </w:pPr>
    </w:p>
    <w:p>
      <w:pPr>
        <w:pStyle w:val="BodyText"/>
        <w:ind w:left="120" w:right="625"/>
        <w:jc w:val="both"/>
      </w:pPr>
      <w:r>
        <w:rPr/>
        <w:t>When cash collection is made from the employee of the net amount he/she was overpaid, the amount collected will be debited to Account No. 1110, General Cash, and credited to Account No. 3730, Uncleared Collections.</w:t>
      </w:r>
    </w:p>
    <w:p>
      <w:pPr>
        <w:pStyle w:val="BodyText"/>
      </w:pPr>
    </w:p>
    <w:p>
      <w:pPr>
        <w:pStyle w:val="BodyText"/>
        <w:ind w:left="119" w:right="627"/>
        <w:jc w:val="both"/>
      </w:pPr>
      <w:r>
        <w:rPr/>
        <w:t>The amount collected from the employee will be remitted to the State Treasury to the credit of the State Payroll Revolving Fund. Upon remittance to the State Treasury the amount will be debited to Account No. 1150, Cash in Transit to State Treasury, and credited to Account No. 1110, General Cash. When the Controller's Receipt is received ordering the collection into the State Payroll Revolving Fund, the amount will be debited to Account No. 3730.</w:t>
      </w:r>
    </w:p>
    <w:p>
      <w:pPr>
        <w:pStyle w:val="BodyText"/>
        <w:spacing w:before="10"/>
        <w:rPr>
          <w:sz w:val="19"/>
        </w:rPr>
      </w:pPr>
    </w:p>
    <w:p>
      <w:pPr>
        <w:pStyle w:val="BodyText"/>
        <w:ind w:left="119" w:right="626"/>
        <w:jc w:val="both"/>
      </w:pPr>
      <w:r>
        <w:rPr/>
        <w:t>The gross amount of the overpayment recovered will be transferred by the State Controller's Office to the agency appropriation and/or fund. The transfer will be entered as a debit to Account No. 1140, Cash in State Treasury. Account No. 1311 will be credited. If the agency is using a manual Payroll Expenditure Register, a minus entry in the transfer column and a credit to Accounts Receivable–Abatements will be made.</w:t>
      </w:r>
    </w:p>
    <w:p>
      <w:pPr>
        <w:spacing w:after="0"/>
        <w:jc w:val="both"/>
        <w:sectPr>
          <w:headerReference w:type="default" r:id="rId49"/>
          <w:pgSz w:w="12240" w:h="15840"/>
          <w:pgMar w:header="727" w:footer="1103" w:top="1340" w:bottom="1300" w:left="1320" w:right="720"/>
        </w:sectPr>
      </w:pPr>
    </w:p>
    <w:p>
      <w:pPr>
        <w:tabs>
          <w:tab w:pos="9570" w:val="right" w:leader="none"/>
        </w:tabs>
        <w:spacing w:line="229" w:lineRule="exact" w:before="169"/>
        <w:ind w:left="120" w:right="0" w:firstLine="0"/>
        <w:jc w:val="both"/>
        <w:rPr>
          <w:b/>
          <w:sz w:val="20"/>
        </w:rPr>
      </w:pPr>
      <w:r>
        <w:rPr>
          <w:b/>
          <w:sz w:val="20"/>
        </w:rPr>
        <w:t>RECOVERY BY</w:t>
      </w:r>
      <w:r>
        <w:rPr>
          <w:b/>
          <w:spacing w:val="-3"/>
          <w:sz w:val="20"/>
        </w:rPr>
        <w:t> </w:t>
      </w:r>
      <w:r>
        <w:rPr>
          <w:b/>
          <w:sz w:val="20"/>
        </w:rPr>
        <w:t>PAYROLL</w:t>
      </w:r>
      <w:r>
        <w:rPr>
          <w:b/>
          <w:spacing w:val="-1"/>
          <w:sz w:val="20"/>
        </w:rPr>
        <w:t> </w:t>
      </w:r>
      <w:r>
        <w:rPr>
          <w:b/>
          <w:sz w:val="20"/>
        </w:rPr>
        <w:t>DEDUCTION</w:t>
        <w:tab/>
        <w:t>8593.2</w:t>
      </w:r>
    </w:p>
    <w:p>
      <w:pPr>
        <w:pStyle w:val="BodyText"/>
        <w:spacing w:line="229" w:lineRule="exact"/>
        <w:ind w:left="120"/>
        <w:jc w:val="both"/>
      </w:pPr>
      <w:r>
        <w:rPr/>
        <w:t>(Renumbered From 8593.3 10/88)</w:t>
      </w:r>
    </w:p>
    <w:p>
      <w:pPr>
        <w:pStyle w:val="BodyText"/>
      </w:pPr>
    </w:p>
    <w:p>
      <w:pPr>
        <w:pStyle w:val="BodyText"/>
        <w:ind w:left="120" w:right="625"/>
        <w:jc w:val="both"/>
      </w:pPr>
      <w:r>
        <w:rPr/>
        <w:t>When overpayments are deducted from subsequent payrolls, the State Controller's Office will deposit the amount deducted in the State Payroll Revolving Fund and notify the agency by a listing of accounts receivable deductions. The transaction should be noted on the Controller's Accounts Receivable Register, clearing the portion of the overpayment due from the employee and increasing the amount due from the State Payroll Revolving Fund.</w:t>
      </w:r>
    </w:p>
    <w:p>
      <w:pPr>
        <w:pStyle w:val="BodyText"/>
      </w:pPr>
    </w:p>
    <w:p>
      <w:pPr>
        <w:pStyle w:val="BodyText"/>
        <w:ind w:left="120" w:right="627"/>
        <w:jc w:val="both"/>
      </w:pPr>
      <w:r>
        <w:rPr/>
        <w:t>The total amount of the overpayment so recovered will be transferred by the State Controller's Office to the agency appropriation and/or fund. The transfer will be entered as a debit to Account No. 1140, Cash in State Treasury account. Account No. 1311 will be credited. If the agency is using a manual Payroll Expenditure Register, a minus entry in the transfer column and a credit to Accounts Receivable–Abatements will be made.</w:t>
      </w:r>
    </w:p>
    <w:p>
      <w:pPr>
        <w:pStyle w:val="BodyText"/>
        <w:spacing w:before="2"/>
      </w:pPr>
    </w:p>
    <w:p>
      <w:pPr>
        <w:pStyle w:val="Heading2"/>
        <w:tabs>
          <w:tab w:pos="9020" w:val="left" w:leader="none"/>
        </w:tabs>
        <w:spacing w:line="228" w:lineRule="exact" w:before="0"/>
        <w:ind w:left="120"/>
        <w:jc w:val="both"/>
      </w:pPr>
      <w:r>
        <w:rPr/>
        <w:t>RECOVERY FROM</w:t>
      </w:r>
      <w:r>
        <w:rPr>
          <w:spacing w:val="-5"/>
        </w:rPr>
        <w:t> </w:t>
      </w:r>
      <w:r>
        <w:rPr/>
        <w:t>SEPARATED</w:t>
      </w:r>
      <w:r>
        <w:rPr>
          <w:spacing w:val="-1"/>
        </w:rPr>
        <w:t> </w:t>
      </w:r>
      <w:r>
        <w:rPr/>
        <w:t>EMPLOYEES</w:t>
        <w:tab/>
        <w:t>8593.3</w:t>
      </w:r>
    </w:p>
    <w:p>
      <w:pPr>
        <w:pStyle w:val="BodyText"/>
        <w:spacing w:line="228" w:lineRule="exact"/>
        <w:ind w:left="120"/>
        <w:jc w:val="both"/>
      </w:pPr>
      <w:r>
        <w:rPr/>
        <w:t>(Revised 03/02)</w:t>
      </w:r>
    </w:p>
    <w:p>
      <w:pPr>
        <w:pStyle w:val="BodyText"/>
        <w:spacing w:before="1"/>
      </w:pPr>
    </w:p>
    <w:p>
      <w:pPr>
        <w:pStyle w:val="BodyText"/>
        <w:ind w:left="120" w:right="631"/>
        <w:jc w:val="both"/>
      </w:pPr>
      <w:r>
        <w:rPr/>
        <w:t>State agencies will request the State Controller's Office (SCO), Division of Personnel/Payroll Services (PPSD) to flag its records to notify the agency if a separated employee returns to State service if:</w:t>
      </w:r>
    </w:p>
    <w:p>
      <w:pPr>
        <w:pStyle w:val="BodyText"/>
      </w:pPr>
    </w:p>
    <w:p>
      <w:pPr>
        <w:pStyle w:val="BodyText"/>
        <w:ind w:left="480" w:right="655"/>
      </w:pPr>
      <w:r>
        <w:rPr/>
        <w:t>after three months from date of separation, the agency is unable to collect the amount owed and the employee is not precluded reentry to State service.</w:t>
      </w:r>
    </w:p>
    <w:p>
      <w:pPr>
        <w:pStyle w:val="BodyText"/>
      </w:pPr>
    </w:p>
    <w:p>
      <w:pPr>
        <w:pStyle w:val="BodyText"/>
        <w:ind w:left="120" w:right="630"/>
        <w:jc w:val="both"/>
      </w:pPr>
      <w:r>
        <w:rPr/>
        <w:t>Requests will be made by submitting a Personnel Action Request form, STD 680-A, prepared in accordance with instructions contained in the Payroll Procedures Manual, maintained by the SCO, PPSD.</w:t>
      </w:r>
    </w:p>
    <w:p>
      <w:pPr>
        <w:pStyle w:val="BodyText"/>
        <w:spacing w:before="120"/>
        <w:ind w:left="120" w:right="745"/>
      </w:pPr>
      <w:r>
        <w:rPr/>
        <w:t>The SCO, PPSD, will notify the agency of the date the employee returns to State service, the name of the employing agency, and the location of employment. Upon receipt of this information the agency will take necessary action to recover amounts owed it.</w:t>
      </w:r>
    </w:p>
    <w:p>
      <w:pPr>
        <w:pStyle w:val="BodyText"/>
        <w:spacing w:before="3"/>
      </w:pPr>
    </w:p>
    <w:p>
      <w:pPr>
        <w:pStyle w:val="Heading2"/>
        <w:tabs>
          <w:tab w:pos="9079" w:val="left" w:leader="none"/>
        </w:tabs>
        <w:spacing w:line="228" w:lineRule="exact" w:before="0"/>
        <w:ind w:left="120"/>
        <w:jc w:val="both"/>
      </w:pPr>
      <w:r>
        <w:rPr/>
        <w:t>ABSENCE FOR</w:t>
      </w:r>
      <w:r>
        <w:rPr>
          <w:spacing w:val="-5"/>
        </w:rPr>
        <w:t> </w:t>
      </w:r>
      <w:r>
        <w:rPr/>
        <w:t>JURY</w:t>
      </w:r>
      <w:r>
        <w:rPr>
          <w:spacing w:val="-3"/>
        </w:rPr>
        <w:t> </w:t>
      </w:r>
      <w:r>
        <w:rPr/>
        <w:t>DUTY</w:t>
        <w:tab/>
        <w:t>8594</w:t>
      </w:r>
    </w:p>
    <w:p>
      <w:pPr>
        <w:pStyle w:val="BodyText"/>
        <w:spacing w:line="228" w:lineRule="exact"/>
        <w:ind w:left="120"/>
        <w:jc w:val="both"/>
      </w:pPr>
      <w:r>
        <w:rPr/>
        <w:t>(Revised 9/07)</w:t>
      </w:r>
    </w:p>
    <w:p>
      <w:pPr>
        <w:pStyle w:val="BodyText"/>
        <w:spacing w:before="11"/>
        <w:rPr>
          <w:sz w:val="19"/>
        </w:rPr>
      </w:pPr>
    </w:p>
    <w:p>
      <w:pPr>
        <w:pStyle w:val="BodyText"/>
        <w:ind w:left="120"/>
        <w:jc w:val="both"/>
      </w:pPr>
      <w:r>
        <w:rPr/>
        <w:t>State employees may be required to serve as a juror for the following:</w:t>
      </w:r>
    </w:p>
    <w:p>
      <w:pPr>
        <w:pStyle w:val="BodyText"/>
      </w:pPr>
    </w:p>
    <w:p>
      <w:pPr>
        <w:pStyle w:val="ListParagraph"/>
        <w:numPr>
          <w:ilvl w:val="1"/>
          <w:numId w:val="14"/>
        </w:numPr>
        <w:tabs>
          <w:tab w:pos="839" w:val="left" w:leader="none"/>
          <w:tab w:pos="840" w:val="left" w:leader="none"/>
        </w:tabs>
        <w:spacing w:line="244" w:lineRule="exact" w:before="0" w:after="0"/>
        <w:ind w:left="840" w:right="0" w:hanging="360"/>
        <w:jc w:val="left"/>
        <w:rPr>
          <w:sz w:val="20"/>
        </w:rPr>
      </w:pPr>
      <w:r>
        <w:rPr>
          <w:sz w:val="20"/>
        </w:rPr>
        <w:t>Civil or criminal</w:t>
      </w:r>
      <w:r>
        <w:rPr>
          <w:spacing w:val="-12"/>
          <w:sz w:val="20"/>
        </w:rPr>
        <w:t> </w:t>
      </w:r>
      <w:r>
        <w:rPr>
          <w:sz w:val="20"/>
        </w:rPr>
        <w:t>trial</w:t>
      </w:r>
    </w:p>
    <w:p>
      <w:pPr>
        <w:pStyle w:val="ListParagraph"/>
        <w:numPr>
          <w:ilvl w:val="1"/>
          <w:numId w:val="14"/>
        </w:numPr>
        <w:tabs>
          <w:tab w:pos="839" w:val="left" w:leader="none"/>
          <w:tab w:pos="840" w:val="left" w:leader="none"/>
        </w:tabs>
        <w:spacing w:line="244" w:lineRule="exact" w:before="0" w:after="0"/>
        <w:ind w:left="840" w:right="0" w:hanging="360"/>
        <w:jc w:val="left"/>
        <w:rPr>
          <w:sz w:val="20"/>
        </w:rPr>
      </w:pPr>
      <w:r>
        <w:rPr>
          <w:sz w:val="20"/>
        </w:rPr>
        <w:t>Grand</w:t>
      </w:r>
      <w:r>
        <w:rPr>
          <w:spacing w:val="-4"/>
          <w:sz w:val="20"/>
        </w:rPr>
        <w:t> </w:t>
      </w:r>
      <w:r>
        <w:rPr>
          <w:sz w:val="20"/>
        </w:rPr>
        <w:t>jury</w:t>
      </w:r>
    </w:p>
    <w:p>
      <w:pPr>
        <w:pStyle w:val="ListParagraph"/>
        <w:numPr>
          <w:ilvl w:val="1"/>
          <w:numId w:val="14"/>
        </w:numPr>
        <w:tabs>
          <w:tab w:pos="839" w:val="left" w:leader="none"/>
          <w:tab w:pos="840" w:val="left" w:leader="none"/>
        </w:tabs>
        <w:spacing w:line="240" w:lineRule="auto" w:before="0" w:after="0"/>
        <w:ind w:left="840" w:right="0" w:hanging="360"/>
        <w:jc w:val="left"/>
        <w:rPr>
          <w:sz w:val="20"/>
        </w:rPr>
      </w:pPr>
      <w:r>
        <w:rPr>
          <w:sz w:val="20"/>
        </w:rPr>
        <w:t>Jury of</w:t>
      </w:r>
      <w:r>
        <w:rPr>
          <w:spacing w:val="-8"/>
          <w:sz w:val="20"/>
        </w:rPr>
        <w:t> </w:t>
      </w:r>
      <w:r>
        <w:rPr>
          <w:sz w:val="20"/>
        </w:rPr>
        <w:t>inquest</w:t>
      </w:r>
    </w:p>
    <w:p>
      <w:pPr>
        <w:pStyle w:val="BodyText"/>
        <w:spacing w:before="10"/>
        <w:rPr>
          <w:sz w:val="19"/>
        </w:rPr>
      </w:pPr>
    </w:p>
    <w:p>
      <w:pPr>
        <w:pStyle w:val="BodyText"/>
        <w:ind w:left="120" w:right="628"/>
        <w:jc w:val="both"/>
      </w:pPr>
      <w:r>
        <w:rPr/>
        <w:t>Employees who receive regular compensation while serving as a trial juror on a civil or criminal case will not be paid an attendance fee, pursuant to Section 215 of the Code of Civil Procedure.</w:t>
      </w:r>
    </w:p>
    <w:p>
      <w:pPr>
        <w:pStyle w:val="BodyText"/>
        <w:spacing w:before="11"/>
        <w:rPr>
          <w:sz w:val="19"/>
        </w:rPr>
      </w:pPr>
    </w:p>
    <w:p>
      <w:pPr>
        <w:pStyle w:val="BodyText"/>
        <w:ind w:left="119" w:right="626"/>
        <w:jc w:val="both"/>
      </w:pPr>
      <w:r>
        <w:rPr/>
        <w:t>Jurors serving on a grand jury or jury of inquest may receive an attendance fee. If employees elect to retain these attendance fees, such jury duty time off is not compensable. The employee must charge absence without pay, or if a sufficient balance exists, vacation, annual leave, or CTO on the Absence and Additional Time Worked Report form, STD. 634. If employees do not elect to retain the attendance fees, such jury duty time off is compensable and employees must remit the attendance fees to the state. This will be reported on the STD. 634 form. The human resources office will submit a copy of the STD. 634 form to the accounting office. The form will serve as a source document for recording an accounts receivable – abatement.</w:t>
      </w:r>
    </w:p>
    <w:p>
      <w:pPr>
        <w:pStyle w:val="BodyText"/>
        <w:spacing w:before="11"/>
        <w:rPr>
          <w:sz w:val="19"/>
        </w:rPr>
      </w:pPr>
    </w:p>
    <w:p>
      <w:pPr>
        <w:pStyle w:val="BodyText"/>
        <w:ind w:left="119" w:right="630"/>
        <w:jc w:val="both"/>
      </w:pPr>
      <w:r>
        <w:rPr/>
        <w:t>When serving as any type of juror, employees may be reimbursed for mileage by the governing body, e.g. court, city, or county. Any mileage reimbursement shall be retained by the employee.</w:t>
      </w:r>
    </w:p>
    <w:p>
      <w:pPr>
        <w:spacing w:after="0"/>
        <w:jc w:val="both"/>
        <w:sectPr>
          <w:headerReference w:type="default" r:id="rId50"/>
          <w:pgSz w:w="12240" w:h="15840"/>
          <w:pgMar w:header="727" w:footer="1103" w:top="940" w:bottom="1300" w:left="1320" w:right="720"/>
        </w:sectPr>
      </w:pPr>
    </w:p>
    <w:p>
      <w:pPr>
        <w:pStyle w:val="Heading2"/>
        <w:tabs>
          <w:tab w:pos="9458" w:val="right" w:leader="none"/>
        </w:tabs>
        <w:spacing w:line="229" w:lineRule="exact" w:before="169"/>
        <w:ind w:left="100"/>
        <w:jc w:val="both"/>
      </w:pPr>
      <w:r>
        <w:rPr/>
        <w:t>ABSENCE AS A COURT</w:t>
      </w:r>
      <w:r>
        <w:rPr>
          <w:spacing w:val="-7"/>
        </w:rPr>
        <w:t> </w:t>
      </w:r>
      <w:r>
        <w:rPr/>
        <w:t>SUBPOENED</w:t>
      </w:r>
      <w:r>
        <w:rPr>
          <w:spacing w:val="-2"/>
        </w:rPr>
        <w:t> </w:t>
      </w:r>
      <w:r>
        <w:rPr/>
        <w:t>WITNESS</w:t>
        <w:tab/>
        <w:t>8594.1</w:t>
      </w:r>
    </w:p>
    <w:p>
      <w:pPr>
        <w:pStyle w:val="BodyText"/>
        <w:spacing w:line="229" w:lineRule="exact"/>
        <w:ind w:left="100"/>
        <w:jc w:val="both"/>
      </w:pPr>
      <w:r>
        <w:rPr/>
        <w:t>(Revised 06/13)</w:t>
      </w:r>
    </w:p>
    <w:p>
      <w:pPr>
        <w:pStyle w:val="BodyText"/>
      </w:pPr>
    </w:p>
    <w:p>
      <w:pPr>
        <w:pStyle w:val="BodyText"/>
        <w:ind w:left="100" w:right="625"/>
        <w:jc w:val="both"/>
      </w:pPr>
      <w:r>
        <w:rPr/>
        <w:t>If an employee is requested to appear as a witness, the employee will confer with the court or attorney to determine if certified copies of appropriate documents would be suitable to eliminate the need for a court appearance. If a court appearance waiver is not approved, the employee will request a subpoena and whatever fees and travel allowances that may be allowed by law from the party requesting the employee's appearance. Government Code (GC) section 1230.1 requires a compensable absence be granted to subpoenaed employees, unless he/she is an expert witness (SAM section 8594.2) or is a party to the suit. GC sections 68093-68097.10 govern witness fees for a civil trial; Penal Code sections 1329-29.1 govern witness fees for a criminal</w:t>
      </w:r>
      <w:r>
        <w:rPr>
          <w:spacing w:val="-30"/>
        </w:rPr>
        <w:t> </w:t>
      </w:r>
      <w:r>
        <w:rPr/>
        <w:t>trial.</w:t>
      </w:r>
    </w:p>
    <w:p>
      <w:pPr>
        <w:pStyle w:val="BodyText"/>
        <w:spacing w:before="10"/>
        <w:rPr>
          <w:sz w:val="19"/>
        </w:rPr>
      </w:pPr>
    </w:p>
    <w:p>
      <w:pPr>
        <w:pStyle w:val="BodyText"/>
        <w:spacing w:before="1"/>
        <w:ind w:left="100" w:right="626"/>
        <w:jc w:val="both"/>
      </w:pPr>
      <w:r>
        <w:rPr/>
        <w:t>The treatment of attendance fees and travel expenses of an employee serving as a subpoenaed witness depends on whether the appearance is in the interest of the state. The following are payment and leave instructions when an employee is subpoenaed:</w:t>
      </w:r>
    </w:p>
    <w:p>
      <w:pPr>
        <w:pStyle w:val="BodyText"/>
        <w:spacing w:before="11"/>
        <w:rPr>
          <w:sz w:val="19"/>
        </w:rPr>
      </w:pPr>
    </w:p>
    <w:p>
      <w:pPr>
        <w:pStyle w:val="BodyText"/>
        <w:ind w:left="820"/>
        <w:jc w:val="both"/>
      </w:pPr>
      <w:r>
        <w:rPr/>
        <w:t>Interest of the State</w:t>
      </w:r>
    </w:p>
    <w:p>
      <w:pPr>
        <w:pStyle w:val="BodyText"/>
        <w:spacing w:before="120"/>
        <w:ind w:left="820" w:right="625"/>
        <w:jc w:val="both"/>
      </w:pPr>
      <w:r>
        <w:rPr/>
        <w:t>The employing department will pay the employee his/her regular salary in addition to any actual necessary and reasonable traveling expenses incurred by the employee in complying with the subpoena. The employee must remit to the state all fees received for court attendance and travel. The employee's absence as a court witness is authorized time off with pay. Vacation, annual leave, or compensating time off (CTO) will not be charged.</w:t>
      </w:r>
    </w:p>
    <w:p>
      <w:pPr>
        <w:pStyle w:val="BodyText"/>
      </w:pPr>
    </w:p>
    <w:p>
      <w:pPr>
        <w:pStyle w:val="BodyText"/>
        <w:spacing w:line="230" w:lineRule="exact"/>
        <w:ind w:left="820"/>
        <w:jc w:val="both"/>
      </w:pPr>
      <w:r>
        <w:rPr/>
        <w:t>For civil actions, the party at whose request the subpoena is issued shall provide, together with the subpoena,</w:t>
      </w:r>
    </w:p>
    <w:p>
      <w:pPr>
        <w:pStyle w:val="BodyText"/>
        <w:ind w:left="820" w:right="626"/>
        <w:jc w:val="both"/>
      </w:pPr>
      <w:r>
        <w:rPr/>
        <w:t>$275 for each day the employee's attendance is required, in accordance with GC section 68097.2 (b). This amount must be tendered to the person accepting the subpoena: the subpoenaed party, his/her immediate supervisor, or an agent designated by the supervisor. After the employee's appearance, the department will calculate the employee's personal services costs in accordance with the SAM section 8740. If the total costs, e.g., personal services, travel, and indirect (SAM sections 8752-8752.1), are less then the amount remitted, the difference shall be refunded. If the total costs are greater then the amount remitted, the difference shall  be paid by the party whose request the subpoena was</w:t>
      </w:r>
      <w:r>
        <w:rPr>
          <w:spacing w:val="-22"/>
        </w:rPr>
        <w:t> </w:t>
      </w:r>
      <w:r>
        <w:rPr/>
        <w:t>issued.</w:t>
      </w:r>
    </w:p>
    <w:p>
      <w:pPr>
        <w:pStyle w:val="BodyText"/>
      </w:pPr>
    </w:p>
    <w:p>
      <w:pPr>
        <w:pStyle w:val="BodyText"/>
        <w:ind w:left="819"/>
        <w:jc w:val="both"/>
      </w:pPr>
      <w:r>
        <w:rPr/>
        <w:t>Not in the Interest of the State</w:t>
      </w:r>
    </w:p>
    <w:p>
      <w:pPr>
        <w:pStyle w:val="BodyText"/>
        <w:spacing w:before="119"/>
        <w:ind w:left="819" w:right="627"/>
        <w:jc w:val="both"/>
      </w:pPr>
      <w:r>
        <w:rPr/>
        <w:t>When an employee is subpoenaed as a witness in a matter not in the interest of the state and in which the employee is not a party to the suit, the employing department will pay regular salaries to the employee for the period of absence, providing the employee remits to the state all attendance fees received. Any court travel</w:t>
      </w:r>
      <w:r>
        <w:rPr>
          <w:spacing w:val="-3"/>
        </w:rPr>
        <w:t> </w:t>
      </w:r>
      <w:r>
        <w:rPr/>
        <w:t>allowance</w:t>
      </w:r>
      <w:r>
        <w:rPr>
          <w:spacing w:val="-3"/>
        </w:rPr>
        <w:t> </w:t>
      </w:r>
      <w:r>
        <w:rPr/>
        <w:t>may</w:t>
      </w:r>
      <w:r>
        <w:rPr>
          <w:spacing w:val="-3"/>
        </w:rPr>
        <w:t> </w:t>
      </w:r>
      <w:r>
        <w:rPr/>
        <w:t>be</w:t>
      </w:r>
      <w:r>
        <w:rPr>
          <w:spacing w:val="-3"/>
        </w:rPr>
        <w:t> </w:t>
      </w:r>
      <w:r>
        <w:rPr/>
        <w:t>retained</w:t>
      </w:r>
      <w:r>
        <w:rPr>
          <w:spacing w:val="-4"/>
        </w:rPr>
        <w:t> </w:t>
      </w:r>
      <w:r>
        <w:rPr/>
        <w:t>by</w:t>
      </w:r>
      <w:r>
        <w:rPr>
          <w:spacing w:val="-4"/>
        </w:rPr>
        <w:t> </w:t>
      </w:r>
      <w:r>
        <w:rPr/>
        <w:t>the</w:t>
      </w:r>
      <w:r>
        <w:rPr>
          <w:spacing w:val="-3"/>
        </w:rPr>
        <w:t> </w:t>
      </w:r>
      <w:r>
        <w:rPr/>
        <w:t>employee.</w:t>
      </w:r>
      <w:r>
        <w:rPr>
          <w:spacing w:val="-3"/>
        </w:rPr>
        <w:t> </w:t>
      </w:r>
      <w:r>
        <w:rPr/>
        <w:t>Travel</w:t>
      </w:r>
      <w:r>
        <w:rPr>
          <w:spacing w:val="-6"/>
        </w:rPr>
        <w:t> </w:t>
      </w:r>
      <w:r>
        <w:rPr/>
        <w:t>expenses,</w:t>
      </w:r>
      <w:r>
        <w:rPr>
          <w:spacing w:val="-3"/>
        </w:rPr>
        <w:t> </w:t>
      </w:r>
      <w:r>
        <w:rPr/>
        <w:t>if</w:t>
      </w:r>
      <w:r>
        <w:rPr>
          <w:spacing w:val="-3"/>
        </w:rPr>
        <w:t> </w:t>
      </w:r>
      <w:r>
        <w:rPr/>
        <w:t>any,</w:t>
      </w:r>
      <w:r>
        <w:rPr>
          <w:spacing w:val="-3"/>
        </w:rPr>
        <w:t> </w:t>
      </w:r>
      <w:r>
        <w:rPr/>
        <w:t>will</w:t>
      </w:r>
      <w:r>
        <w:rPr>
          <w:spacing w:val="-3"/>
        </w:rPr>
        <w:t> </w:t>
      </w:r>
      <w:r>
        <w:rPr/>
        <w:t>not</w:t>
      </w:r>
      <w:r>
        <w:rPr>
          <w:spacing w:val="-5"/>
        </w:rPr>
        <w:t> </w:t>
      </w:r>
      <w:r>
        <w:rPr/>
        <w:t>be</w:t>
      </w:r>
      <w:r>
        <w:rPr>
          <w:spacing w:val="-4"/>
        </w:rPr>
        <w:t> </w:t>
      </w:r>
      <w:r>
        <w:rPr/>
        <w:t>paid</w:t>
      </w:r>
      <w:r>
        <w:rPr>
          <w:spacing w:val="-2"/>
        </w:rPr>
        <w:t> </w:t>
      </w:r>
      <w:r>
        <w:rPr/>
        <w:t>by</w:t>
      </w:r>
      <w:r>
        <w:rPr>
          <w:spacing w:val="-4"/>
        </w:rPr>
        <w:t> </w:t>
      </w:r>
      <w:r>
        <w:rPr/>
        <w:t>the</w:t>
      </w:r>
      <w:r>
        <w:rPr>
          <w:spacing w:val="-3"/>
        </w:rPr>
        <w:t> </w:t>
      </w:r>
      <w:r>
        <w:rPr/>
        <w:t>state.</w:t>
      </w:r>
    </w:p>
    <w:p>
      <w:pPr>
        <w:pStyle w:val="BodyText"/>
        <w:spacing w:before="10"/>
        <w:rPr>
          <w:sz w:val="19"/>
        </w:rPr>
      </w:pPr>
    </w:p>
    <w:p>
      <w:pPr>
        <w:pStyle w:val="BodyText"/>
        <w:ind w:left="819" w:right="626"/>
        <w:jc w:val="both"/>
      </w:pPr>
      <w:r>
        <w:rPr/>
        <w:t>If the employee elects to retain the attendance fees, the subpoenaed witness time off is not compensable. The employee may charge absence without pay or, if a sufficient balance exists, vacation, annual leave, or CTO.</w:t>
      </w:r>
    </w:p>
    <w:p>
      <w:pPr>
        <w:pStyle w:val="BodyText"/>
        <w:spacing w:before="10"/>
        <w:rPr>
          <w:sz w:val="19"/>
        </w:rPr>
      </w:pPr>
    </w:p>
    <w:p>
      <w:pPr>
        <w:pStyle w:val="BodyText"/>
        <w:ind w:left="819" w:right="626"/>
        <w:jc w:val="both"/>
      </w:pPr>
      <w:r>
        <w:rPr/>
        <w:t>When an employee is subpoenaed as a witness and is a party to the suit, the employee must use vacation, annual leave, CTO, or be charged dock time for the period of absence. Attendance fees  and  travel allowances may be kept by the employee; travel expenses will not be paid by the state.</w:t>
      </w:r>
    </w:p>
    <w:p>
      <w:pPr>
        <w:spacing w:line="204" w:lineRule="exact" w:before="0"/>
        <w:ind w:left="820" w:right="0" w:firstLine="0"/>
        <w:jc w:val="both"/>
        <w:rPr>
          <w:sz w:val="18"/>
        </w:rPr>
      </w:pPr>
      <w:r>
        <w:rPr>
          <w:sz w:val="18"/>
        </w:rPr>
        <w:t>.</w:t>
      </w:r>
    </w:p>
    <w:p>
      <w:pPr>
        <w:spacing w:after="0" w:line="204" w:lineRule="exact"/>
        <w:jc w:val="both"/>
        <w:rPr>
          <w:sz w:val="18"/>
        </w:rPr>
        <w:sectPr>
          <w:pgSz w:w="12240" w:h="15840"/>
          <w:pgMar w:header="727" w:footer="1103" w:top="940" w:bottom="1300" w:left="1340" w:right="720"/>
        </w:sectPr>
      </w:pPr>
    </w:p>
    <w:p>
      <w:pPr>
        <w:pStyle w:val="Heading2"/>
        <w:tabs>
          <w:tab w:pos="9459" w:val="right" w:leader="none"/>
        </w:tabs>
        <w:spacing w:line="229" w:lineRule="exact" w:before="169"/>
        <w:ind w:left="100"/>
        <w:jc w:val="both"/>
      </w:pPr>
      <w:r>
        <w:rPr/>
        <w:t>ABSENCE AS AN</w:t>
      </w:r>
      <w:r>
        <w:rPr>
          <w:spacing w:val="-4"/>
        </w:rPr>
        <w:t> </w:t>
      </w:r>
      <w:r>
        <w:rPr/>
        <w:t>EXPERT</w:t>
      </w:r>
      <w:r>
        <w:rPr>
          <w:spacing w:val="-2"/>
        </w:rPr>
        <w:t> </w:t>
      </w:r>
      <w:r>
        <w:rPr/>
        <w:t>WITNESS</w:t>
        <w:tab/>
        <w:t>8594.2</w:t>
      </w:r>
    </w:p>
    <w:p>
      <w:pPr>
        <w:pStyle w:val="BodyText"/>
        <w:spacing w:line="229" w:lineRule="exact"/>
        <w:ind w:left="100"/>
        <w:jc w:val="both"/>
      </w:pPr>
      <w:r>
        <w:rPr/>
        <w:t>(Revised 03/02)</w:t>
      </w:r>
    </w:p>
    <w:p>
      <w:pPr>
        <w:pStyle w:val="BodyText"/>
      </w:pPr>
    </w:p>
    <w:p>
      <w:pPr>
        <w:pStyle w:val="BodyText"/>
        <w:ind w:left="100" w:right="624"/>
        <w:jc w:val="both"/>
      </w:pPr>
      <w:r>
        <w:rPr/>
        <w:t>Generally, an expert witness testifies upon opinions formed from specialized knowledge or courses of study. An employee, when called as an expert witness, is not bound by any court limitation on fees but is free to negotiate any reasonable amount agreeable to the employee (or the State) and the party requesting the testimony (Government Code Section 68092.5). Normally, an expert witness gives testimony by arrangement or negotiation and is not subpoenaed.</w:t>
      </w:r>
    </w:p>
    <w:p>
      <w:pPr>
        <w:pStyle w:val="BodyText"/>
      </w:pPr>
    </w:p>
    <w:p>
      <w:pPr>
        <w:pStyle w:val="BodyText"/>
        <w:ind w:left="100" w:right="626"/>
        <w:jc w:val="both"/>
      </w:pPr>
      <w:r>
        <w:rPr/>
        <w:t>The treatment of fees and travel expenses of an employee serving as an expert witness depends upon whether the employee testifies on behalf of the State or not on behalf of the State. Following are payment and leave instructions to be used by the employing department when an employee serves as an expert witness:</w:t>
      </w:r>
    </w:p>
    <w:p>
      <w:pPr>
        <w:pStyle w:val="BodyText"/>
        <w:spacing w:before="10"/>
        <w:rPr>
          <w:sz w:val="19"/>
        </w:rPr>
      </w:pPr>
    </w:p>
    <w:p>
      <w:pPr>
        <w:pStyle w:val="BodyText"/>
        <w:ind w:left="820"/>
        <w:jc w:val="both"/>
      </w:pPr>
      <w:r>
        <w:rPr/>
        <w:t>Testimony on Behalf of the State</w:t>
      </w:r>
    </w:p>
    <w:p>
      <w:pPr>
        <w:pStyle w:val="BodyText"/>
        <w:spacing w:before="10"/>
        <w:rPr>
          <w:sz w:val="19"/>
        </w:rPr>
      </w:pPr>
    </w:p>
    <w:p>
      <w:pPr>
        <w:pStyle w:val="BodyText"/>
        <w:ind w:left="820" w:right="625"/>
        <w:jc w:val="both"/>
      </w:pPr>
      <w:r>
        <w:rPr/>
        <w:t>The employing department will bill the party or court requesting the appearance for all costs in accordance with SAM Sections 8752 – 52.1 (e.g. preparation, travel, appearance, and indirect). The hourly rate of the employee’s salary will be calculated in accordance with SAM Section 8740. The employee’s absence as an expert witness is authorized time off with pay; vacation, annual leave, or CTO will not be charged. The employee will submit a Travel Expense Claim form, STD. 262, for travel expenses. The employee must remit to the State all court fees.</w:t>
      </w:r>
    </w:p>
    <w:p>
      <w:pPr>
        <w:pStyle w:val="BodyText"/>
        <w:spacing w:before="10"/>
        <w:rPr>
          <w:sz w:val="19"/>
        </w:rPr>
      </w:pPr>
    </w:p>
    <w:p>
      <w:pPr>
        <w:pStyle w:val="BodyText"/>
        <w:ind w:left="820"/>
        <w:jc w:val="both"/>
      </w:pPr>
      <w:r>
        <w:rPr/>
        <w:t>Testimony Not on Behalf of the State</w:t>
      </w:r>
    </w:p>
    <w:p>
      <w:pPr>
        <w:pStyle w:val="BodyText"/>
        <w:spacing w:before="120"/>
        <w:ind w:left="820" w:right="626"/>
        <w:jc w:val="both"/>
      </w:pPr>
      <w:r>
        <w:rPr/>
        <w:t>When an employee appears as an expert witness not on behalf of the State, the employee must use vacation, annual leave, CTO, or be charged dock time for the period of absence. The employee will not submit a Travel Expense Claim for travel expenses. The employee will retain all negotiated attendance and travel fees.</w:t>
      </w:r>
    </w:p>
    <w:p>
      <w:pPr>
        <w:pStyle w:val="BodyText"/>
        <w:spacing w:before="11"/>
        <w:rPr>
          <w:sz w:val="19"/>
        </w:rPr>
      </w:pPr>
    </w:p>
    <w:p>
      <w:pPr>
        <w:pStyle w:val="BodyText"/>
        <w:ind w:left="820" w:right="627" w:hanging="1"/>
        <w:jc w:val="both"/>
      </w:pPr>
      <w:r>
        <w:rPr/>
        <w:t>If the employee's expertise has been gained from State employment, the employee should check with the department's human resources office to determine whether a conflict of interest exists regarding the retention of fees.</w:t>
      </w:r>
    </w:p>
    <w:p>
      <w:pPr>
        <w:pStyle w:val="BodyText"/>
        <w:spacing w:before="1"/>
      </w:pPr>
    </w:p>
    <w:p>
      <w:pPr>
        <w:pStyle w:val="Heading2"/>
        <w:tabs>
          <w:tab w:pos="8997" w:val="left" w:leader="none"/>
        </w:tabs>
        <w:spacing w:line="229" w:lineRule="exact" w:before="1"/>
        <w:ind w:left="100"/>
        <w:jc w:val="both"/>
      </w:pPr>
      <w:r>
        <w:rPr/>
        <w:t>ABSENCE REPORTING</w:t>
      </w:r>
      <w:r>
        <w:rPr>
          <w:spacing w:val="-9"/>
        </w:rPr>
        <w:t> </w:t>
      </w:r>
      <w:r>
        <w:rPr/>
        <w:t>FOR</w:t>
      </w:r>
      <w:r>
        <w:rPr>
          <w:spacing w:val="-4"/>
        </w:rPr>
        <w:t> </w:t>
      </w:r>
      <w:r>
        <w:rPr/>
        <w:t>WITNESSES</w:t>
        <w:tab/>
        <w:t>8594.3</w:t>
      </w:r>
    </w:p>
    <w:p>
      <w:pPr>
        <w:pStyle w:val="BodyText"/>
        <w:spacing w:line="229" w:lineRule="exact"/>
        <w:ind w:left="100"/>
        <w:jc w:val="both"/>
      </w:pPr>
      <w:r>
        <w:rPr/>
        <w:t>(Revised 03/02)</w:t>
      </w:r>
    </w:p>
    <w:p>
      <w:pPr>
        <w:pStyle w:val="BodyText"/>
        <w:spacing w:before="11"/>
        <w:rPr>
          <w:sz w:val="19"/>
        </w:rPr>
      </w:pPr>
    </w:p>
    <w:p>
      <w:pPr>
        <w:pStyle w:val="BodyText"/>
        <w:ind w:left="100" w:right="626"/>
        <w:jc w:val="both"/>
      </w:pPr>
      <w:r>
        <w:rPr/>
        <w:t>An Absence and Additional Time Worked Report form, STD. 634, will be used to report compensable absences as a subpoenaed witness or an expert witness. One copy of the STD. 634 will be prepared for the accounting office to serve as a source document for recording an accounts receivable-abatements if the absence is compensable and fees are due the State from the employee or others. Accounts receivable will be established in an amount as provided for  in</w:t>
      </w:r>
      <w:r>
        <w:rPr>
          <w:spacing w:val="-4"/>
        </w:rPr>
        <w:t> </w:t>
      </w:r>
      <w:r>
        <w:rPr/>
        <w:t>law.</w:t>
      </w:r>
    </w:p>
    <w:p>
      <w:pPr>
        <w:pStyle w:val="BodyText"/>
        <w:spacing w:before="11"/>
        <w:rPr>
          <w:sz w:val="19"/>
        </w:rPr>
      </w:pPr>
    </w:p>
    <w:p>
      <w:pPr>
        <w:pStyle w:val="BodyText"/>
        <w:ind w:left="100" w:right="762"/>
      </w:pPr>
      <w:r>
        <w:rPr/>
        <w:t>STD. 634 is required to support time off reported for witness appearances on the Time and Attendance Report form, STD. 672.</w:t>
      </w:r>
    </w:p>
    <w:p>
      <w:pPr>
        <w:pStyle w:val="BodyText"/>
        <w:spacing w:before="1"/>
      </w:pPr>
    </w:p>
    <w:p>
      <w:pPr>
        <w:pStyle w:val="Heading2"/>
        <w:tabs>
          <w:tab w:pos="8999" w:val="left" w:leader="none"/>
        </w:tabs>
        <w:spacing w:line="229" w:lineRule="exact" w:before="1"/>
        <w:ind w:left="100"/>
        <w:jc w:val="both"/>
      </w:pPr>
      <w:r>
        <w:rPr/>
        <w:t>ABSENCE FOR COLLECTIVE</w:t>
      </w:r>
      <w:r>
        <w:rPr>
          <w:spacing w:val="-4"/>
        </w:rPr>
        <w:t> </w:t>
      </w:r>
      <w:r>
        <w:rPr/>
        <w:t>BARGAINING</w:t>
      </w:r>
      <w:r>
        <w:rPr>
          <w:spacing w:val="-2"/>
        </w:rPr>
        <w:t> </w:t>
      </w:r>
      <w:r>
        <w:rPr/>
        <w:t>ACTIVITIES</w:t>
        <w:tab/>
        <w:t>8594.4</w:t>
      </w:r>
    </w:p>
    <w:p>
      <w:pPr>
        <w:pStyle w:val="BodyText"/>
        <w:spacing w:line="229" w:lineRule="exact"/>
        <w:ind w:left="100"/>
        <w:jc w:val="both"/>
      </w:pPr>
      <w:r>
        <w:rPr/>
        <w:t>(Revised 9/91)</w:t>
      </w:r>
    </w:p>
    <w:p>
      <w:pPr>
        <w:pStyle w:val="BodyText"/>
        <w:spacing w:before="11"/>
        <w:rPr>
          <w:sz w:val="19"/>
        </w:rPr>
      </w:pPr>
    </w:p>
    <w:p>
      <w:pPr>
        <w:pStyle w:val="BodyText"/>
        <w:ind w:left="100" w:right="627"/>
        <w:jc w:val="both"/>
      </w:pPr>
      <w:r>
        <w:rPr/>
        <w:t>Certain designated employees are allowed to take paid leaves of absence to participate in employer/employee collective bargaining activities. Employee organizations will repay the State for the paid leave of absence time employees spend away from work on collective bargaining issues.</w:t>
      </w:r>
    </w:p>
    <w:p>
      <w:pPr>
        <w:pStyle w:val="BodyText"/>
        <w:spacing w:before="11"/>
        <w:rPr>
          <w:sz w:val="19"/>
        </w:rPr>
      </w:pPr>
    </w:p>
    <w:p>
      <w:pPr>
        <w:pStyle w:val="BodyText"/>
        <w:ind w:left="100" w:right="627"/>
        <w:jc w:val="both"/>
      </w:pPr>
      <w:r>
        <w:rPr/>
        <w:t>The department Labor Relations Officer (LRD) will notify the accounting office of all approved leaves of absences for collective bargaining activities. A copy of each approved leave of absence will be sent to the accounting</w:t>
      </w:r>
      <w:r>
        <w:rPr>
          <w:spacing w:val="-7"/>
        </w:rPr>
        <w:t> </w:t>
      </w:r>
      <w:r>
        <w:rPr/>
        <w:t>office.</w:t>
      </w:r>
    </w:p>
    <w:p>
      <w:pPr>
        <w:pStyle w:val="BodyText"/>
        <w:spacing w:before="11"/>
        <w:rPr>
          <w:sz w:val="19"/>
        </w:rPr>
      </w:pPr>
    </w:p>
    <w:p>
      <w:pPr>
        <w:pStyle w:val="BodyText"/>
        <w:ind w:left="100"/>
        <w:jc w:val="both"/>
      </w:pPr>
      <w:r>
        <w:rPr/>
        <w:t>(Continued)</w:t>
      </w:r>
    </w:p>
    <w:p>
      <w:pPr>
        <w:spacing w:after="0"/>
        <w:jc w:val="both"/>
        <w:sectPr>
          <w:pgSz w:w="12240" w:h="15840"/>
          <w:pgMar w:header="727" w:footer="1103" w:top="940" w:bottom="1300" w:left="1340" w:right="720"/>
        </w:sectPr>
      </w:pPr>
    </w:p>
    <w:p>
      <w:pPr>
        <w:pStyle w:val="BodyText"/>
        <w:spacing w:before="167"/>
        <w:ind w:left="100"/>
        <w:jc w:val="both"/>
      </w:pPr>
      <w:r>
        <w:rPr/>
        <w:t>(Continued)</w:t>
      </w:r>
    </w:p>
    <w:p>
      <w:pPr>
        <w:pStyle w:val="Heading2"/>
        <w:tabs>
          <w:tab w:pos="9289" w:val="right" w:leader="none"/>
        </w:tabs>
        <w:spacing w:before="2"/>
        <w:ind w:left="100"/>
        <w:jc w:val="both"/>
      </w:pPr>
      <w:r>
        <w:rPr/>
        <w:t>ABSENCE FOR COLLECTIVE</w:t>
      </w:r>
      <w:r>
        <w:rPr>
          <w:spacing w:val="-2"/>
        </w:rPr>
        <w:t> </w:t>
      </w:r>
      <w:r>
        <w:rPr/>
        <w:t>BARGAINING</w:t>
      </w:r>
      <w:r>
        <w:rPr>
          <w:spacing w:val="-2"/>
        </w:rPr>
        <w:t> </w:t>
      </w:r>
      <w:r>
        <w:rPr/>
        <w:t>ACTIVITIES</w:t>
        <w:tab/>
        <w:t>8594.4</w:t>
      </w:r>
    </w:p>
    <w:p>
      <w:pPr>
        <w:pStyle w:val="BodyText"/>
        <w:spacing w:before="8"/>
        <w:rPr>
          <w:b/>
          <w:sz w:val="19"/>
        </w:rPr>
      </w:pPr>
    </w:p>
    <w:p>
      <w:pPr>
        <w:pStyle w:val="BodyText"/>
        <w:ind w:left="100" w:right="626"/>
        <w:jc w:val="both"/>
      </w:pPr>
      <w:r>
        <w:rPr/>
        <w:t>Employee time spent on collective bargaining issues will be kept by the employee's collective bargaining organization. Paid collective bargaining leave time will be accounted in whole day increments. Employee organizations will notify the department LRO of the number(s) of days spent by each employee on collective bargaining issues during each calendar month. The notification will be made by the fifth working day of the  following month.  The LRO will compare the names of employees listed by the employee organization with the file  of employees who have approved collective bargaining leaves of absences. The LRO will also  reconcile  the employee time spent on collective bargaining issues kept by the employee organization against the time kept by the department. After the reconciliations are complete, the LRO will notify the accounting office of the number of paid collective bargaining leave days for each</w:t>
      </w:r>
      <w:r>
        <w:rPr>
          <w:spacing w:val="-28"/>
        </w:rPr>
        <w:t> </w:t>
      </w:r>
      <w:r>
        <w:rPr/>
        <w:t>employee.</w:t>
      </w:r>
    </w:p>
    <w:p>
      <w:pPr>
        <w:pStyle w:val="BodyText"/>
      </w:pPr>
    </w:p>
    <w:p>
      <w:pPr>
        <w:pStyle w:val="BodyText"/>
        <w:ind w:left="100" w:right="627"/>
        <w:jc w:val="both"/>
      </w:pPr>
      <w:r>
        <w:rPr/>
        <w:t>The accounting office will compute billings in accordance with SAM Section 8740 unless the Memorandum of Understanding (MOU) specifies otherwise. If there is a conflict between SAM and the MOU, the MOU shall have precedence. These billings will be invoiced monthly.  Amounts billed shall be accounted as abatements.</w:t>
      </w:r>
    </w:p>
    <w:p>
      <w:pPr>
        <w:pStyle w:val="BodyText"/>
        <w:spacing w:before="1"/>
      </w:pPr>
    </w:p>
    <w:p>
      <w:pPr>
        <w:pStyle w:val="Heading2"/>
        <w:tabs>
          <w:tab w:pos="9150" w:val="left" w:leader="none"/>
        </w:tabs>
        <w:spacing w:line="229" w:lineRule="exact" w:before="0"/>
        <w:ind w:left="100"/>
        <w:jc w:val="both"/>
      </w:pPr>
      <w:r>
        <w:rPr/>
        <w:t>REVOLVING</w:t>
      </w:r>
      <w:r>
        <w:rPr>
          <w:spacing w:val="-2"/>
        </w:rPr>
        <w:t> </w:t>
      </w:r>
      <w:r>
        <w:rPr/>
        <w:t>FUND</w:t>
      </w:r>
      <w:r>
        <w:rPr>
          <w:spacing w:val="-3"/>
        </w:rPr>
        <w:t> </w:t>
      </w:r>
      <w:r>
        <w:rPr/>
        <w:t>ADVANCES</w:t>
        <w:tab/>
        <w:t>8595</w:t>
      </w:r>
    </w:p>
    <w:p>
      <w:pPr>
        <w:pStyle w:val="BodyText"/>
        <w:spacing w:line="229" w:lineRule="exact"/>
        <w:ind w:left="100"/>
        <w:jc w:val="both"/>
      </w:pPr>
      <w:r>
        <w:rPr/>
        <w:t>(Revised 12/11)</w:t>
      </w:r>
    </w:p>
    <w:p>
      <w:pPr>
        <w:pStyle w:val="BodyText"/>
        <w:spacing w:before="11"/>
        <w:rPr>
          <w:sz w:val="19"/>
        </w:rPr>
      </w:pPr>
    </w:p>
    <w:p>
      <w:pPr>
        <w:pStyle w:val="BodyText"/>
        <w:ind w:left="100" w:right="624"/>
        <w:jc w:val="both"/>
      </w:pPr>
      <w:r>
        <w:rPr/>
        <w:t>Normally, departments will only issue office revolving fund checks to employees for salary earned when (1) there have been errors or delays in submitting or processing documents making it impossible for the State Controller's Office (SCO) to prepare and deliver proper salary warrants within a reasonable time, or (2) separating employees are in immediate need of their final salary payments. However, departments at their discretion may make payments of salaries earned when this is necessary to alleviate serious, unforeseeable hardship. Departments will prepare criteria for advances including the procedures that must be followed before advances are given. The specific reason for the advance must be written on the request.</w:t>
      </w:r>
    </w:p>
    <w:p>
      <w:pPr>
        <w:pStyle w:val="BodyText"/>
      </w:pPr>
    </w:p>
    <w:p>
      <w:pPr>
        <w:pStyle w:val="BodyText"/>
        <w:ind w:left="100" w:right="626"/>
        <w:jc w:val="both"/>
      </w:pPr>
      <w:r>
        <w:rPr/>
        <w:t>Salary advances shall be issued for amounts as close as possible to the actual net pay. Upon receipt of the SCO warrant for the full salary payment, departments shall pay the difference between the employee's warrant and the salary advance. (Refer to SAM section 8160 for endorsement of SCO warrants).</w:t>
      </w:r>
    </w:p>
    <w:p>
      <w:pPr>
        <w:pStyle w:val="BodyText"/>
        <w:spacing w:before="10"/>
        <w:rPr>
          <w:sz w:val="19"/>
        </w:rPr>
      </w:pPr>
    </w:p>
    <w:p>
      <w:pPr>
        <w:pStyle w:val="BodyText"/>
        <w:ind w:left="100" w:right="624"/>
        <w:jc w:val="both"/>
      </w:pPr>
      <w:r>
        <w:rPr/>
        <w:t>If the SCO warrant is not received by the department within 30 calendar days following the issuance of the revolving fund advance, the department must report the amount of the advance, compute withholdings on the advance, and  remit to the SCO.  (See SCO Payroll Procedures</w:t>
      </w:r>
      <w:r>
        <w:rPr>
          <w:spacing w:val="-28"/>
        </w:rPr>
        <w:t> </w:t>
      </w:r>
      <w:r>
        <w:rPr/>
        <w:t>Manual.)</w:t>
      </w:r>
    </w:p>
    <w:p>
      <w:pPr>
        <w:pStyle w:val="BodyText"/>
        <w:rPr>
          <w:sz w:val="22"/>
        </w:rPr>
      </w:pPr>
    </w:p>
    <w:p>
      <w:pPr>
        <w:pStyle w:val="BodyText"/>
        <w:spacing w:before="1"/>
        <w:rPr>
          <w:sz w:val="18"/>
        </w:rPr>
      </w:pPr>
    </w:p>
    <w:p>
      <w:pPr>
        <w:pStyle w:val="Heading2"/>
        <w:tabs>
          <w:tab w:pos="9150" w:val="left" w:leader="none"/>
        </w:tabs>
        <w:spacing w:line="229" w:lineRule="exact" w:before="0"/>
        <w:ind w:left="100"/>
        <w:jc w:val="both"/>
      </w:pPr>
      <w:r>
        <w:rPr/>
        <w:t>RECOVERY OF LUMP</w:t>
      </w:r>
      <w:r>
        <w:rPr>
          <w:spacing w:val="-7"/>
        </w:rPr>
        <w:t> </w:t>
      </w:r>
      <w:r>
        <w:rPr/>
        <w:t>SUM</w:t>
      </w:r>
      <w:r>
        <w:rPr>
          <w:spacing w:val="-2"/>
        </w:rPr>
        <w:t> </w:t>
      </w:r>
      <w:r>
        <w:rPr/>
        <w:t>PAYMENTS</w:t>
        <w:tab/>
        <w:t>8596</w:t>
      </w:r>
    </w:p>
    <w:p>
      <w:pPr>
        <w:pStyle w:val="BodyText"/>
        <w:spacing w:line="229" w:lineRule="exact"/>
        <w:ind w:left="100"/>
        <w:jc w:val="both"/>
      </w:pPr>
      <w:r>
        <w:rPr/>
        <w:t>(Revised and Renumbered from 8599 10/88)</w:t>
      </w:r>
    </w:p>
    <w:p>
      <w:pPr>
        <w:pStyle w:val="BodyText"/>
      </w:pPr>
    </w:p>
    <w:p>
      <w:pPr>
        <w:pStyle w:val="BodyText"/>
        <w:ind w:left="100" w:right="626"/>
        <w:jc w:val="both"/>
      </w:pPr>
      <w:r>
        <w:rPr/>
        <w:t>Upon separation from State Service, with no fault on the part of the employee, a person may be entitled to a lump  sum payment for annual vacation and compensating time off, (reference Government Code Section 19839). If a person receives a lump sum separation payment and subsequently returns to State service, the person may repurchase the vacation and/or compensating time off for which payment has been received covering the period that exceeds the person's break in service. The employee will then have the balance of vacation and/or leave credit restored to what they would have been if the employee had remained in State Service and taken time</w:t>
      </w:r>
      <w:r>
        <w:rPr>
          <w:spacing w:val="-32"/>
        </w:rPr>
        <w:t> </w:t>
      </w:r>
      <w:r>
        <w:rPr/>
        <w:t>off.</w:t>
      </w:r>
    </w:p>
    <w:p>
      <w:pPr>
        <w:pStyle w:val="BodyText"/>
        <w:spacing w:before="10"/>
        <w:rPr>
          <w:sz w:val="19"/>
        </w:rPr>
      </w:pPr>
    </w:p>
    <w:p>
      <w:pPr>
        <w:pStyle w:val="BodyText"/>
        <w:ind w:left="100" w:right="626"/>
        <w:jc w:val="both"/>
      </w:pPr>
      <w:r>
        <w:rPr/>
        <w:t>Repayments will be recovered directly from the employee. (See SAM Section 8593.1.) The amount of such repayments received by agencies will be remitted to the State Treasury to the credit of the State Payroll Revolving Fund. Subsequently, it will be transferred by the State Controller's Office to the fund and the appropriation from which the lump sum payment was made and will be accounted as an abatement.</w:t>
      </w:r>
    </w:p>
    <w:p>
      <w:pPr>
        <w:spacing w:after="0"/>
        <w:jc w:val="both"/>
        <w:sectPr>
          <w:pgSz w:w="12240" w:h="15840"/>
          <w:pgMar w:header="727" w:footer="1103" w:top="940" w:bottom="1300" w:left="1340" w:right="720"/>
        </w:sectPr>
      </w:pPr>
    </w:p>
    <w:p>
      <w:pPr>
        <w:pStyle w:val="BodyText"/>
      </w:pPr>
    </w:p>
    <w:p>
      <w:pPr>
        <w:pStyle w:val="BodyText"/>
        <w:spacing w:before="6"/>
        <w:rPr>
          <w:sz w:val="22"/>
        </w:rPr>
      </w:pPr>
    </w:p>
    <w:p>
      <w:pPr>
        <w:tabs>
          <w:tab w:pos="8979" w:val="left" w:leader="none"/>
        </w:tabs>
        <w:spacing w:line="229" w:lineRule="exact" w:before="1"/>
        <w:ind w:left="119" w:right="0" w:firstLine="0"/>
        <w:jc w:val="left"/>
        <w:rPr>
          <w:b/>
          <w:sz w:val="20"/>
        </w:rPr>
      </w:pPr>
      <w:bookmarkStart w:name="10503(cont1)-10505(7)" w:id="9"/>
      <w:bookmarkEnd w:id="9"/>
      <w:r>
        <w:rPr/>
      </w:r>
      <w:r>
        <w:rPr>
          <w:b/>
          <w:sz w:val="20"/>
        </w:rPr>
        <w:t>ENTRY</w:t>
      </w:r>
      <w:r>
        <w:rPr>
          <w:b/>
          <w:spacing w:val="-3"/>
          <w:sz w:val="20"/>
        </w:rPr>
        <w:t> </w:t>
      </w:r>
      <w:r>
        <w:rPr>
          <w:b/>
          <w:sz w:val="20"/>
        </w:rPr>
        <w:t>NO.</w:t>
      </w:r>
      <w:r>
        <w:rPr>
          <w:b/>
          <w:spacing w:val="-2"/>
          <w:sz w:val="20"/>
        </w:rPr>
        <w:t> </w:t>
      </w:r>
      <w:r>
        <w:rPr>
          <w:b/>
          <w:sz w:val="20"/>
        </w:rPr>
        <w:t>3</w:t>
        <w:tab/>
        <w:t>10503</w:t>
      </w:r>
    </w:p>
    <w:p>
      <w:pPr>
        <w:pStyle w:val="BodyText"/>
        <w:spacing w:line="229" w:lineRule="exact"/>
        <w:ind w:left="119"/>
      </w:pPr>
      <w:r>
        <w:rPr/>
        <w:t>(Revised 5/87</w:t>
      </w:r>
    </w:p>
    <w:p>
      <w:pPr>
        <w:pStyle w:val="BodyText"/>
        <w:spacing w:before="11"/>
        <w:rPr>
          <w:sz w:val="19"/>
        </w:rPr>
      </w:pPr>
    </w:p>
    <w:p>
      <w:pPr>
        <w:pStyle w:val="BodyText"/>
        <w:ind w:left="119"/>
      </w:pPr>
      <w:r>
        <w:rPr>
          <w:u w:val="single"/>
        </w:rPr>
        <w:t>Nature of Transaction</w:t>
      </w:r>
      <w:r>
        <w:rPr/>
        <w:t>:</w:t>
      </w:r>
    </w:p>
    <w:p>
      <w:pPr>
        <w:pStyle w:val="BodyText"/>
        <w:spacing w:before="120"/>
        <w:ind w:left="120"/>
      </w:pPr>
      <w:r>
        <w:rPr/>
        <w:t>Claims are filed with the State Controller's Office for payment.</w:t>
      </w:r>
    </w:p>
    <w:p>
      <w:pPr>
        <w:pStyle w:val="BodyText"/>
        <w:spacing w:before="10"/>
        <w:rPr>
          <w:sz w:val="19"/>
        </w:rPr>
      </w:pPr>
    </w:p>
    <w:p>
      <w:pPr>
        <w:pStyle w:val="BodyText"/>
        <w:spacing w:line="364" w:lineRule="auto" w:before="1" w:after="12"/>
        <w:ind w:left="480" w:right="5933" w:hanging="360"/>
      </w:pPr>
      <w:r>
        <w:rPr>
          <w:u w:val="single"/>
        </w:rPr>
        <w:t>Journal Entry for General Ledger Accounts</w:t>
      </w:r>
      <w:r>
        <w:rPr/>
        <w:t>: </w:t>
      </w:r>
      <w:r>
        <w:rPr>
          <w:u w:val="single"/>
        </w:rPr>
        <w:t>Debit</w:t>
      </w:r>
      <w:r>
        <w:rPr/>
        <w:t>:</w:t>
      </w:r>
    </w:p>
    <w:tbl>
      <w:tblPr>
        <w:tblW w:w="0" w:type="auto"/>
        <w:jc w:val="left"/>
        <w:tblInd w:w="4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0"/>
        <w:gridCol w:w="4839"/>
        <w:gridCol w:w="157"/>
      </w:tblGrid>
      <w:tr>
        <w:trPr>
          <w:trHeight w:val="341" w:hRule="exact"/>
        </w:trPr>
        <w:tc>
          <w:tcPr>
            <w:tcW w:w="610" w:type="dxa"/>
          </w:tcPr>
          <w:p>
            <w:pPr>
              <w:pStyle w:val="TableParagraph"/>
              <w:spacing w:line="222" w:lineRule="exact"/>
              <w:ind w:left="50"/>
              <w:rPr>
                <w:rFonts w:ascii="Times New Roman"/>
                <w:sz w:val="20"/>
              </w:rPr>
            </w:pPr>
            <w:r>
              <w:rPr>
                <w:rFonts w:ascii="Times New Roman"/>
                <w:sz w:val="20"/>
              </w:rPr>
              <w:t>3410</w:t>
            </w:r>
          </w:p>
        </w:tc>
        <w:tc>
          <w:tcPr>
            <w:tcW w:w="4839" w:type="dxa"/>
          </w:tcPr>
          <w:p>
            <w:pPr>
              <w:pStyle w:val="TableParagraph"/>
              <w:spacing w:line="222" w:lineRule="exact"/>
              <w:ind w:left="160"/>
              <w:rPr>
                <w:rFonts w:ascii="Times New Roman"/>
                <w:sz w:val="20"/>
              </w:rPr>
            </w:pPr>
            <w:r>
              <w:rPr>
                <w:rFonts w:ascii="Times New Roman"/>
                <w:sz w:val="20"/>
              </w:rPr>
              <w:t>Revenue Collected in Advance</w:t>
            </w:r>
          </w:p>
        </w:tc>
        <w:tc>
          <w:tcPr>
            <w:tcW w:w="157" w:type="dxa"/>
          </w:tcPr>
          <w:p>
            <w:pPr>
              <w:pStyle w:val="TableParagraph"/>
              <w:spacing w:line="222" w:lineRule="exact"/>
              <w:ind w:right="8"/>
              <w:jc w:val="center"/>
              <w:rPr>
                <w:rFonts w:ascii="Times New Roman"/>
                <w:sz w:val="20"/>
              </w:rPr>
            </w:pPr>
            <w:r>
              <w:rPr>
                <w:rFonts w:ascii="Times New Roman"/>
                <w:sz w:val="20"/>
                <w:u w:val="single"/>
              </w:rPr>
              <w:t>a</w:t>
            </w:r>
            <w:r>
              <w:rPr>
                <w:rFonts w:ascii="Times New Roman"/>
                <w:sz w:val="20"/>
              </w:rPr>
              <w:t>/</w:t>
            </w:r>
          </w:p>
        </w:tc>
      </w:tr>
      <w:tr>
        <w:trPr>
          <w:trHeight w:val="460" w:hRule="exact"/>
        </w:trPr>
        <w:tc>
          <w:tcPr>
            <w:tcW w:w="610" w:type="dxa"/>
          </w:tcPr>
          <w:p>
            <w:pPr>
              <w:pStyle w:val="TableParagraph"/>
              <w:spacing w:before="111"/>
              <w:ind w:left="50"/>
              <w:rPr>
                <w:rFonts w:ascii="Times New Roman"/>
                <w:sz w:val="20"/>
              </w:rPr>
            </w:pPr>
            <w:r>
              <w:rPr>
                <w:rFonts w:ascii="Times New Roman"/>
                <w:sz w:val="20"/>
              </w:rPr>
              <w:t>5350</w:t>
            </w:r>
          </w:p>
        </w:tc>
        <w:tc>
          <w:tcPr>
            <w:tcW w:w="4839" w:type="dxa"/>
          </w:tcPr>
          <w:p>
            <w:pPr>
              <w:pStyle w:val="TableParagraph"/>
              <w:spacing w:before="111"/>
              <w:ind w:left="160"/>
              <w:rPr>
                <w:rFonts w:ascii="Times New Roman"/>
                <w:sz w:val="20"/>
              </w:rPr>
            </w:pPr>
            <w:r>
              <w:rPr>
                <w:rFonts w:ascii="Times New Roman"/>
                <w:sz w:val="20"/>
              </w:rPr>
              <w:t>Reserve for Encumbrances</w:t>
            </w:r>
          </w:p>
        </w:tc>
        <w:tc>
          <w:tcPr>
            <w:tcW w:w="157" w:type="dxa"/>
          </w:tcPr>
          <w:p>
            <w:pPr>
              <w:pStyle w:val="TableParagraph"/>
              <w:spacing w:before="111"/>
              <w:jc w:val="center"/>
              <w:rPr>
                <w:rFonts w:ascii="Times New Roman"/>
                <w:sz w:val="20"/>
              </w:rPr>
            </w:pPr>
            <w:r>
              <w:rPr>
                <w:rFonts w:ascii="Times New Roman"/>
                <w:sz w:val="20"/>
                <w:u w:val="single"/>
              </w:rPr>
              <w:t>b</w:t>
            </w:r>
            <w:r>
              <w:rPr>
                <w:rFonts w:ascii="Times New Roman"/>
                <w:sz w:val="20"/>
              </w:rPr>
              <w:t>/</w:t>
            </w:r>
          </w:p>
        </w:tc>
      </w:tr>
      <w:tr>
        <w:trPr>
          <w:trHeight w:val="460" w:hRule="exact"/>
        </w:trPr>
        <w:tc>
          <w:tcPr>
            <w:tcW w:w="610" w:type="dxa"/>
          </w:tcPr>
          <w:p>
            <w:pPr>
              <w:pStyle w:val="TableParagraph"/>
              <w:spacing w:before="110"/>
              <w:ind w:left="50"/>
              <w:rPr>
                <w:rFonts w:ascii="Times New Roman"/>
                <w:sz w:val="20"/>
              </w:rPr>
            </w:pPr>
            <w:r>
              <w:rPr>
                <w:rFonts w:ascii="Times New Roman"/>
                <w:sz w:val="20"/>
              </w:rPr>
              <w:t>8000</w:t>
            </w:r>
          </w:p>
        </w:tc>
        <w:tc>
          <w:tcPr>
            <w:tcW w:w="4839" w:type="dxa"/>
          </w:tcPr>
          <w:p>
            <w:pPr>
              <w:pStyle w:val="TableParagraph"/>
              <w:spacing w:before="110"/>
              <w:ind w:left="159"/>
              <w:rPr>
                <w:rFonts w:ascii="Times New Roman"/>
                <w:sz w:val="20"/>
              </w:rPr>
            </w:pPr>
            <w:r>
              <w:rPr>
                <w:rFonts w:ascii="Times New Roman"/>
                <w:sz w:val="20"/>
              </w:rPr>
              <w:t>Revenue</w:t>
            </w:r>
          </w:p>
        </w:tc>
        <w:tc>
          <w:tcPr>
            <w:tcW w:w="157" w:type="dxa"/>
          </w:tcPr>
          <w:p>
            <w:pPr>
              <w:pStyle w:val="TableParagraph"/>
              <w:spacing w:before="110"/>
              <w:ind w:right="10"/>
              <w:jc w:val="center"/>
              <w:rPr>
                <w:rFonts w:ascii="Times New Roman"/>
                <w:sz w:val="20"/>
              </w:rPr>
            </w:pPr>
            <w:r>
              <w:rPr>
                <w:rFonts w:ascii="Times New Roman"/>
                <w:sz w:val="20"/>
                <w:u w:val="single"/>
              </w:rPr>
              <w:t>c</w:t>
            </w:r>
            <w:r>
              <w:rPr>
                <w:rFonts w:ascii="Times New Roman"/>
                <w:sz w:val="20"/>
              </w:rPr>
              <w:t>/</w:t>
            </w:r>
          </w:p>
        </w:tc>
      </w:tr>
      <w:tr>
        <w:trPr>
          <w:trHeight w:val="520" w:hRule="exact"/>
        </w:trPr>
        <w:tc>
          <w:tcPr>
            <w:tcW w:w="610" w:type="dxa"/>
          </w:tcPr>
          <w:p>
            <w:pPr>
              <w:pStyle w:val="TableParagraph"/>
              <w:spacing w:before="110"/>
              <w:ind w:left="50"/>
              <w:rPr>
                <w:rFonts w:ascii="Times New Roman"/>
                <w:sz w:val="20"/>
              </w:rPr>
            </w:pPr>
            <w:r>
              <w:rPr>
                <w:rFonts w:ascii="Times New Roman"/>
                <w:sz w:val="20"/>
              </w:rPr>
              <w:t>9000</w:t>
            </w:r>
          </w:p>
        </w:tc>
        <w:tc>
          <w:tcPr>
            <w:tcW w:w="4839" w:type="dxa"/>
          </w:tcPr>
          <w:p>
            <w:pPr>
              <w:pStyle w:val="TableParagraph"/>
              <w:spacing w:before="110"/>
              <w:ind w:left="159"/>
              <w:rPr>
                <w:rFonts w:ascii="Times New Roman"/>
                <w:sz w:val="20"/>
              </w:rPr>
            </w:pPr>
            <w:r>
              <w:rPr>
                <w:rFonts w:ascii="Times New Roman"/>
                <w:sz w:val="20"/>
              </w:rPr>
              <w:t>Appropriation Expenditures</w:t>
            </w:r>
          </w:p>
        </w:tc>
        <w:tc>
          <w:tcPr>
            <w:tcW w:w="157" w:type="dxa"/>
          </w:tcPr>
          <w:p>
            <w:pPr>
              <w:pStyle w:val="TableParagraph"/>
              <w:spacing w:before="110"/>
              <w:jc w:val="center"/>
              <w:rPr>
                <w:rFonts w:ascii="Times New Roman"/>
                <w:sz w:val="20"/>
              </w:rPr>
            </w:pPr>
            <w:r>
              <w:rPr>
                <w:rFonts w:ascii="Times New Roman"/>
                <w:sz w:val="20"/>
                <w:u w:val="single"/>
              </w:rPr>
              <w:t>d</w:t>
            </w:r>
            <w:r>
              <w:rPr>
                <w:rFonts w:ascii="Times New Roman"/>
                <w:sz w:val="20"/>
              </w:rPr>
              <w:t>/</w:t>
            </w:r>
          </w:p>
        </w:tc>
      </w:tr>
      <w:tr>
        <w:trPr>
          <w:trHeight w:val="580" w:hRule="exact"/>
        </w:trPr>
        <w:tc>
          <w:tcPr>
            <w:tcW w:w="610" w:type="dxa"/>
          </w:tcPr>
          <w:p>
            <w:pPr>
              <w:pStyle w:val="TableParagraph"/>
              <w:spacing w:before="170"/>
              <w:ind w:left="50"/>
              <w:rPr>
                <w:rFonts w:ascii="Times New Roman"/>
                <w:sz w:val="20"/>
              </w:rPr>
            </w:pPr>
            <w:r>
              <w:rPr>
                <w:rFonts w:ascii="Times New Roman"/>
                <w:sz w:val="20"/>
              </w:rPr>
              <w:t>9893</w:t>
            </w:r>
          </w:p>
        </w:tc>
        <w:tc>
          <w:tcPr>
            <w:tcW w:w="4839" w:type="dxa"/>
          </w:tcPr>
          <w:p>
            <w:pPr>
              <w:pStyle w:val="TableParagraph"/>
              <w:spacing w:before="170"/>
              <w:ind w:left="160"/>
              <w:rPr>
                <w:rFonts w:ascii="Times New Roman"/>
                <w:sz w:val="20"/>
              </w:rPr>
            </w:pPr>
            <w:r>
              <w:rPr>
                <w:rFonts w:ascii="Times New Roman"/>
                <w:sz w:val="20"/>
              </w:rPr>
              <w:t>Prior-Year Appropriation Adjustments</w:t>
            </w:r>
          </w:p>
        </w:tc>
        <w:tc>
          <w:tcPr>
            <w:tcW w:w="157" w:type="dxa"/>
          </w:tcPr>
          <w:p>
            <w:pPr>
              <w:pStyle w:val="TableParagraph"/>
              <w:spacing w:before="170"/>
              <w:ind w:right="8"/>
              <w:jc w:val="center"/>
              <w:rPr>
                <w:rFonts w:ascii="Times New Roman"/>
                <w:sz w:val="20"/>
              </w:rPr>
            </w:pPr>
            <w:r>
              <w:rPr>
                <w:rFonts w:ascii="Times New Roman"/>
                <w:sz w:val="20"/>
                <w:u w:val="single"/>
              </w:rPr>
              <w:t>e</w:t>
            </w:r>
            <w:r>
              <w:rPr>
                <w:rFonts w:ascii="Times New Roman"/>
                <w:sz w:val="20"/>
              </w:rPr>
              <w:t>/</w:t>
            </w:r>
          </w:p>
        </w:tc>
      </w:tr>
      <w:tr>
        <w:trPr>
          <w:trHeight w:val="751" w:hRule="exact"/>
        </w:trPr>
        <w:tc>
          <w:tcPr>
            <w:tcW w:w="610" w:type="dxa"/>
          </w:tcPr>
          <w:p>
            <w:pPr/>
          </w:p>
        </w:tc>
        <w:tc>
          <w:tcPr>
            <w:tcW w:w="4839" w:type="dxa"/>
          </w:tcPr>
          <w:p>
            <w:pPr>
              <w:pStyle w:val="TableParagraph"/>
              <w:spacing w:before="171"/>
              <w:ind w:left="159"/>
              <w:rPr>
                <w:rFonts w:ascii="Times New Roman"/>
                <w:sz w:val="20"/>
              </w:rPr>
            </w:pPr>
            <w:r>
              <w:rPr>
                <w:rFonts w:ascii="Times New Roman"/>
                <w:sz w:val="20"/>
                <w:u w:val="single"/>
              </w:rPr>
              <w:t>Credit</w:t>
            </w:r>
            <w:r>
              <w:rPr>
                <w:rFonts w:ascii="Times New Roman"/>
                <w:sz w:val="20"/>
              </w:rPr>
              <w:t>:</w:t>
            </w:r>
          </w:p>
          <w:p>
            <w:pPr>
              <w:pStyle w:val="TableParagraph"/>
              <w:tabs>
                <w:tab w:pos="880" w:val="left" w:leader="none"/>
              </w:tabs>
              <w:spacing w:before="119"/>
              <w:ind w:left="159"/>
              <w:rPr>
                <w:rFonts w:ascii="Times New Roman"/>
                <w:sz w:val="20"/>
              </w:rPr>
            </w:pPr>
            <w:r>
              <w:rPr>
                <w:rFonts w:ascii="Times New Roman"/>
                <w:sz w:val="20"/>
              </w:rPr>
              <w:t>3020</w:t>
              <w:tab/>
              <w:t>Claims</w:t>
            </w:r>
            <w:r>
              <w:rPr>
                <w:rFonts w:ascii="Times New Roman"/>
                <w:spacing w:val="-10"/>
                <w:sz w:val="20"/>
              </w:rPr>
              <w:t> </w:t>
            </w:r>
            <w:r>
              <w:rPr>
                <w:rFonts w:ascii="Times New Roman"/>
                <w:sz w:val="20"/>
              </w:rPr>
              <w:t>Filed</w:t>
            </w:r>
          </w:p>
        </w:tc>
        <w:tc>
          <w:tcPr>
            <w:tcW w:w="157" w:type="dxa"/>
          </w:tcPr>
          <w:p>
            <w:pPr>
              <w:pStyle w:val="TableParagraph"/>
              <w:rPr>
                <w:rFonts w:ascii="Times New Roman"/>
                <w:sz w:val="22"/>
              </w:rPr>
            </w:pPr>
          </w:p>
          <w:p>
            <w:pPr>
              <w:pStyle w:val="TableParagraph"/>
              <w:spacing w:before="3"/>
              <w:rPr>
                <w:rFonts w:ascii="Times New Roman"/>
                <w:sz w:val="23"/>
              </w:rPr>
            </w:pPr>
          </w:p>
          <w:p>
            <w:pPr>
              <w:pStyle w:val="TableParagraph"/>
              <w:ind w:right="29"/>
              <w:jc w:val="center"/>
              <w:rPr>
                <w:rFonts w:ascii="Times New Roman"/>
                <w:sz w:val="20"/>
              </w:rPr>
            </w:pPr>
            <w:r>
              <w:rPr>
                <w:rFonts w:ascii="Times New Roman"/>
                <w:sz w:val="20"/>
              </w:rPr>
              <w:t>f/</w:t>
            </w:r>
          </w:p>
        </w:tc>
      </w:tr>
      <w:tr>
        <w:trPr>
          <w:trHeight w:val="230" w:hRule="exact"/>
        </w:trPr>
        <w:tc>
          <w:tcPr>
            <w:tcW w:w="610" w:type="dxa"/>
          </w:tcPr>
          <w:p>
            <w:pPr/>
          </w:p>
        </w:tc>
        <w:tc>
          <w:tcPr>
            <w:tcW w:w="4839" w:type="dxa"/>
          </w:tcPr>
          <w:p>
            <w:pPr>
              <w:pStyle w:val="TableParagraph"/>
              <w:tabs>
                <w:tab w:pos="879" w:val="left" w:leader="none"/>
              </w:tabs>
              <w:ind w:left="159"/>
              <w:rPr>
                <w:rFonts w:ascii="Times New Roman"/>
                <w:sz w:val="20"/>
              </w:rPr>
            </w:pPr>
            <w:r>
              <w:rPr>
                <w:rFonts w:ascii="Times New Roman"/>
                <w:sz w:val="20"/>
              </w:rPr>
              <w:t>6150</w:t>
              <w:tab/>
              <w:t>Encumbrances</w:t>
            </w:r>
          </w:p>
        </w:tc>
        <w:tc>
          <w:tcPr>
            <w:tcW w:w="157" w:type="dxa"/>
          </w:tcPr>
          <w:p>
            <w:pPr>
              <w:pStyle w:val="TableParagraph"/>
              <w:spacing w:before="17"/>
              <w:jc w:val="center"/>
              <w:rPr>
                <w:rFonts w:ascii="Times New Roman"/>
                <w:sz w:val="20"/>
              </w:rPr>
            </w:pPr>
            <w:r>
              <w:rPr>
                <w:rFonts w:ascii="Times New Roman"/>
                <w:sz w:val="20"/>
                <w:u w:val="single"/>
              </w:rPr>
              <w:t>b</w:t>
            </w:r>
            <w:r>
              <w:rPr>
                <w:rFonts w:ascii="Times New Roman"/>
                <w:sz w:val="20"/>
              </w:rPr>
              <w:t>/</w:t>
            </w:r>
          </w:p>
        </w:tc>
      </w:tr>
    </w:tbl>
    <w:p>
      <w:pPr>
        <w:pStyle w:val="BodyText"/>
        <w:spacing w:before="11"/>
        <w:rPr>
          <w:sz w:val="19"/>
        </w:rPr>
      </w:pPr>
    </w:p>
    <w:p>
      <w:pPr>
        <w:pStyle w:val="BodyText"/>
        <w:tabs>
          <w:tab w:pos="839" w:val="left" w:leader="none"/>
        </w:tabs>
        <w:spacing w:line="364" w:lineRule="auto"/>
        <w:ind w:left="480" w:right="3386"/>
      </w:pPr>
      <w:r>
        <w:rPr>
          <w:u w:val="single"/>
        </w:rPr>
        <w:t>a</w:t>
      </w:r>
      <w:r>
        <w:rPr/>
        <w:t>/</w:t>
        <w:tab/>
        <w:t>amount of claims filed for refunds of revenue collected</w:t>
      </w:r>
      <w:r>
        <w:rPr>
          <w:spacing w:val="-24"/>
        </w:rPr>
        <w:t> </w:t>
      </w:r>
      <w:r>
        <w:rPr/>
        <w:t>in</w:t>
      </w:r>
      <w:r>
        <w:rPr>
          <w:spacing w:val="-2"/>
        </w:rPr>
        <w:t> </w:t>
      </w:r>
      <w:r>
        <w:rPr/>
        <w:t>advance.</w:t>
      </w:r>
      <w:r>
        <w:rPr>
          <w:w w:val="100"/>
        </w:rPr>
        <w:t> </w:t>
      </w:r>
      <w:r>
        <w:rPr>
          <w:u w:val="single"/>
        </w:rPr>
        <w:t>b</w:t>
      </w:r>
      <w:r>
        <w:rPr/>
        <w:t>/</w:t>
        <w:tab/>
        <w:t>amount of encumbrances liquidated by claims</w:t>
      </w:r>
      <w:r>
        <w:rPr>
          <w:spacing w:val="-22"/>
        </w:rPr>
        <w:t> </w:t>
      </w:r>
      <w:r>
        <w:rPr/>
        <w:t>filed.</w:t>
      </w:r>
    </w:p>
    <w:p>
      <w:pPr>
        <w:pStyle w:val="BodyText"/>
        <w:tabs>
          <w:tab w:pos="840" w:val="left" w:leader="none"/>
        </w:tabs>
        <w:spacing w:before="5"/>
        <w:ind w:left="480"/>
      </w:pPr>
      <w:r>
        <w:rPr>
          <w:u w:val="single"/>
        </w:rPr>
        <w:t>c</w:t>
      </w:r>
      <w:r>
        <w:rPr/>
        <w:t>/</w:t>
        <w:tab/>
        <w:t>amount of claims filed for refunds of</w:t>
      </w:r>
      <w:r>
        <w:rPr>
          <w:spacing w:val="-22"/>
        </w:rPr>
        <w:t> </w:t>
      </w:r>
      <w:r>
        <w:rPr/>
        <w:t>revenue.</w:t>
      </w:r>
    </w:p>
    <w:p>
      <w:pPr>
        <w:pStyle w:val="BodyText"/>
        <w:tabs>
          <w:tab w:pos="839" w:val="left" w:leader="none"/>
        </w:tabs>
        <w:spacing w:before="119"/>
        <w:ind w:left="480"/>
      </w:pPr>
      <w:r>
        <w:rPr>
          <w:u w:val="single"/>
        </w:rPr>
        <w:t>d</w:t>
      </w:r>
      <w:r>
        <w:rPr/>
        <w:t>/</w:t>
        <w:tab/>
        <w:t>amount of claims filed against appropriations currently available for</w:t>
      </w:r>
      <w:r>
        <w:rPr>
          <w:spacing w:val="-34"/>
        </w:rPr>
        <w:t> </w:t>
      </w:r>
      <w:r>
        <w:rPr/>
        <w:t>encumbrance.</w:t>
      </w:r>
    </w:p>
    <w:p>
      <w:pPr>
        <w:pStyle w:val="BodyText"/>
        <w:tabs>
          <w:tab w:pos="839" w:val="left" w:leader="none"/>
        </w:tabs>
        <w:spacing w:line="364" w:lineRule="auto" w:before="120"/>
        <w:ind w:left="480" w:right="602"/>
      </w:pPr>
      <w:r>
        <w:rPr/>
        <w:pict>
          <v:line style="position:absolute;mso-position-horizontal-relative:page;mso-position-vertical-relative:paragraph;z-index:-66112" from="90pt,34.17593pt" to="93.36pt,34.17593pt" stroked="true" strokeweight=".48001pt" strokecolor="#000000">
            <v:stroke dashstyle="solid"/>
            <w10:wrap type="none"/>
          </v:line>
        </w:pict>
      </w:r>
      <w:r>
        <w:rPr>
          <w:u w:val="single"/>
        </w:rPr>
        <w:t>e</w:t>
      </w:r>
      <w:r>
        <w:rPr/>
        <w:t>/</w:t>
        <w:tab/>
        <w:t>amount</w:t>
      </w:r>
      <w:r>
        <w:rPr>
          <w:spacing w:val="-35"/>
        </w:rPr>
        <w:t> </w:t>
      </w:r>
      <w:r>
        <w:rPr/>
        <w:t>of claims filed against prior-year appropriations that are no longer available for</w:t>
      </w:r>
      <w:r>
        <w:rPr>
          <w:spacing w:val="-5"/>
        </w:rPr>
        <w:t> </w:t>
      </w:r>
      <w:r>
        <w:rPr/>
        <w:t>encumbrance.</w:t>
      </w:r>
      <w:r>
        <w:rPr>
          <w:w w:val="100"/>
        </w:rPr>
        <w:t> </w:t>
      </w:r>
      <w:r>
        <w:rPr/>
        <w:t>f/</w:t>
        <w:tab/>
        <w:t>total</w:t>
      </w:r>
      <w:r>
        <w:rPr>
          <w:spacing w:val="-4"/>
        </w:rPr>
        <w:t> </w:t>
      </w:r>
      <w:r>
        <w:rPr/>
        <w:t>amount</w:t>
      </w:r>
      <w:r>
        <w:rPr>
          <w:spacing w:val="-4"/>
        </w:rPr>
        <w:t> </w:t>
      </w:r>
      <w:r>
        <w:rPr/>
        <w:t>of</w:t>
      </w:r>
      <w:r>
        <w:rPr>
          <w:spacing w:val="-4"/>
        </w:rPr>
        <w:t> </w:t>
      </w:r>
      <w:r>
        <w:rPr/>
        <w:t>claims</w:t>
      </w:r>
      <w:r>
        <w:rPr>
          <w:spacing w:val="-3"/>
        </w:rPr>
        <w:t> </w:t>
      </w:r>
      <w:r>
        <w:rPr/>
        <w:t>filed</w:t>
      </w:r>
      <w:r>
        <w:rPr>
          <w:spacing w:val="-3"/>
        </w:rPr>
        <w:t> </w:t>
      </w:r>
      <w:r>
        <w:rPr/>
        <w:t>less</w:t>
      </w:r>
      <w:r>
        <w:rPr>
          <w:spacing w:val="-3"/>
        </w:rPr>
        <w:t> </w:t>
      </w:r>
      <w:r>
        <w:rPr/>
        <w:t>claim</w:t>
      </w:r>
      <w:r>
        <w:rPr>
          <w:spacing w:val="-4"/>
        </w:rPr>
        <w:t> </w:t>
      </w:r>
      <w:r>
        <w:rPr/>
        <w:t>corrections</w:t>
      </w:r>
      <w:r>
        <w:rPr>
          <w:spacing w:val="-3"/>
        </w:rPr>
        <w:t> </w:t>
      </w:r>
      <w:r>
        <w:rPr/>
        <w:t>as</w:t>
      </w:r>
      <w:r>
        <w:rPr>
          <w:spacing w:val="-4"/>
        </w:rPr>
        <w:t> </w:t>
      </w:r>
      <w:r>
        <w:rPr/>
        <w:t>recorded</w:t>
      </w:r>
      <w:r>
        <w:rPr>
          <w:spacing w:val="-3"/>
        </w:rPr>
        <w:t> </w:t>
      </w:r>
      <w:r>
        <w:rPr/>
        <w:t>in</w:t>
      </w:r>
      <w:r>
        <w:rPr>
          <w:spacing w:val="-4"/>
        </w:rPr>
        <w:t> </w:t>
      </w:r>
      <w:r>
        <w:rPr/>
        <w:t>the</w:t>
      </w:r>
      <w:r>
        <w:rPr>
          <w:spacing w:val="-3"/>
        </w:rPr>
        <w:t> </w:t>
      </w:r>
      <w:r>
        <w:rPr/>
        <w:t>Claims</w:t>
      </w:r>
      <w:r>
        <w:rPr>
          <w:spacing w:val="-3"/>
        </w:rPr>
        <w:t> </w:t>
      </w:r>
      <w:r>
        <w:rPr/>
        <w:t>Filed</w:t>
      </w:r>
      <w:r>
        <w:rPr>
          <w:spacing w:val="-3"/>
        </w:rPr>
        <w:t> </w:t>
      </w:r>
      <w:r>
        <w:rPr/>
        <w:t>Register.</w:t>
      </w:r>
    </w:p>
    <w:p>
      <w:pPr>
        <w:pStyle w:val="BodyText"/>
        <w:spacing w:before="4"/>
        <w:rPr>
          <w:sz w:val="12"/>
        </w:rPr>
      </w:pPr>
    </w:p>
    <w:p>
      <w:pPr>
        <w:pStyle w:val="BodyText"/>
        <w:spacing w:before="92"/>
        <w:ind w:left="120"/>
      </w:pPr>
      <w:r>
        <w:rPr>
          <w:u w:val="single"/>
        </w:rPr>
        <w:t>Source</w:t>
      </w:r>
      <w:r>
        <w:rPr/>
        <w:t>:</w:t>
      </w:r>
    </w:p>
    <w:p>
      <w:pPr>
        <w:pStyle w:val="BodyText"/>
        <w:spacing w:before="120"/>
        <w:ind w:left="480"/>
        <w:jc w:val="both"/>
      </w:pPr>
      <w:r>
        <w:rPr>
          <w:u w:val="single"/>
        </w:rPr>
        <w:t>Documents</w:t>
      </w:r>
      <w:r>
        <w:rPr/>
        <w:t>:</w:t>
      </w:r>
    </w:p>
    <w:p>
      <w:pPr>
        <w:pStyle w:val="BodyText"/>
        <w:spacing w:before="119"/>
        <w:ind w:left="840" w:right="6468"/>
      </w:pPr>
      <w:r>
        <w:rPr/>
        <w:t>Schedule of Bills Filed Notice of Claim Corrections</w:t>
      </w:r>
    </w:p>
    <w:p>
      <w:pPr>
        <w:pStyle w:val="BodyText"/>
        <w:spacing w:before="119"/>
        <w:ind w:left="480"/>
        <w:jc w:val="both"/>
      </w:pPr>
      <w:r>
        <w:rPr>
          <w:u w:val="single"/>
        </w:rPr>
        <w:t>Register</w:t>
      </w:r>
      <w:r>
        <w:rPr/>
        <w:t>:</w:t>
      </w:r>
    </w:p>
    <w:p>
      <w:pPr>
        <w:pStyle w:val="BodyText"/>
        <w:spacing w:before="120"/>
        <w:ind w:left="840"/>
      </w:pPr>
      <w:r>
        <w:rPr/>
        <w:t>Claims Filed Register</w:t>
      </w:r>
    </w:p>
    <w:p>
      <w:pPr>
        <w:pStyle w:val="BodyText"/>
        <w:spacing w:before="10"/>
      </w:pPr>
    </w:p>
    <w:p>
      <w:pPr>
        <w:pStyle w:val="BodyText"/>
        <w:ind w:left="120"/>
      </w:pPr>
      <w:r>
        <w:rPr>
          <w:u w:val="single"/>
        </w:rPr>
        <w:t>Explanation</w:t>
      </w:r>
      <w:r>
        <w:rPr/>
        <w:t>:</w:t>
      </w:r>
    </w:p>
    <w:p>
      <w:pPr>
        <w:pStyle w:val="BodyText"/>
        <w:spacing w:before="119"/>
        <w:ind w:left="479" w:right="117"/>
        <w:jc w:val="both"/>
      </w:pPr>
      <w:r>
        <w:rPr/>
        <w:t>The amount of claims filed less claim corrections received is summarized in this entry. From this summary (1) expenditures and refunds of revenue with the accompanying liability for claims filed are recorded and (2) currently outstanding encumbrances are liquidated.</w:t>
      </w:r>
    </w:p>
    <w:p>
      <w:pPr>
        <w:pStyle w:val="BodyText"/>
        <w:spacing w:before="11"/>
        <w:rPr>
          <w:sz w:val="19"/>
        </w:rPr>
      </w:pPr>
    </w:p>
    <w:p>
      <w:pPr>
        <w:pStyle w:val="BodyText"/>
        <w:ind w:left="120"/>
      </w:pPr>
      <w:r>
        <w:rPr/>
        <w:t>(Continued)</w:t>
      </w:r>
    </w:p>
    <w:p>
      <w:pPr>
        <w:spacing w:after="0"/>
        <w:sectPr>
          <w:headerReference w:type="default" r:id="rId51"/>
          <w:footerReference w:type="default" r:id="rId52"/>
          <w:pgSz w:w="12240" w:h="15840"/>
          <w:pgMar w:header="727" w:footer="743" w:top="940" w:bottom="940" w:left="1320" w:right="1320"/>
        </w:sectPr>
      </w:pPr>
    </w:p>
    <w:p>
      <w:pPr>
        <w:pStyle w:val="BodyText"/>
      </w:pPr>
    </w:p>
    <w:p>
      <w:pPr>
        <w:pStyle w:val="BodyText"/>
        <w:spacing w:before="4"/>
        <w:rPr>
          <w:sz w:val="22"/>
        </w:rPr>
      </w:pPr>
    </w:p>
    <w:p>
      <w:pPr>
        <w:pStyle w:val="BodyText"/>
        <w:ind w:left="120"/>
      </w:pPr>
      <w:r>
        <w:rPr/>
        <w:t>(Continued)</w:t>
      </w:r>
    </w:p>
    <w:p>
      <w:pPr>
        <w:pStyle w:val="Heading2"/>
        <w:tabs>
          <w:tab w:pos="8174" w:val="left" w:leader="none"/>
        </w:tabs>
        <w:spacing w:line="228" w:lineRule="exact" w:before="2"/>
        <w:ind w:left="120"/>
      </w:pPr>
      <w:r>
        <w:rPr/>
        <w:t>ENTRY</w:t>
      </w:r>
      <w:r>
        <w:rPr>
          <w:spacing w:val="-1"/>
        </w:rPr>
        <w:t> </w:t>
      </w:r>
      <w:r>
        <w:rPr/>
        <w:t>NO.</w:t>
      </w:r>
      <w:r>
        <w:rPr>
          <w:spacing w:val="-1"/>
        </w:rPr>
        <w:t> </w:t>
      </w:r>
      <w:r>
        <w:rPr/>
        <w:t>3</w:t>
        <w:tab/>
        <w:t>10503 (Cont.</w:t>
      </w:r>
      <w:r>
        <w:rPr>
          <w:spacing w:val="-8"/>
        </w:rPr>
        <w:t> </w:t>
      </w:r>
      <w:r>
        <w:rPr/>
        <w:t>1)</w:t>
      </w:r>
    </w:p>
    <w:p>
      <w:pPr>
        <w:pStyle w:val="BodyText"/>
        <w:spacing w:line="228" w:lineRule="exact"/>
        <w:ind w:left="120"/>
      </w:pPr>
      <w:r>
        <w:rPr/>
        <w:t>(Revised 5/87)</w:t>
      </w:r>
    </w:p>
    <w:p>
      <w:pPr>
        <w:pStyle w:val="BodyText"/>
        <w:spacing w:before="2"/>
        <w:rPr>
          <w:sz w:val="16"/>
        </w:rPr>
      </w:pPr>
      <w:r>
        <w:rPr/>
        <w:drawing>
          <wp:anchor distT="0" distB="0" distL="0" distR="0" allowOverlap="1" layoutInCell="1" locked="0" behindDoc="0" simplePos="0" relativeHeight="2656">
            <wp:simplePos x="0" y="0"/>
            <wp:positionH relativeFrom="page">
              <wp:posOffset>909066</wp:posOffset>
            </wp:positionH>
            <wp:positionV relativeFrom="paragraph">
              <wp:posOffset>143349</wp:posOffset>
            </wp:positionV>
            <wp:extent cx="5648907" cy="5755005"/>
            <wp:effectExtent l="0" t="0" r="0" b="0"/>
            <wp:wrapTopAndBottom/>
            <wp:docPr id="37" name="image18.png" descr=""/>
            <wp:cNvGraphicFramePr>
              <a:graphicFrameLocks noChangeAspect="1"/>
            </wp:cNvGraphicFramePr>
            <a:graphic>
              <a:graphicData uri="http://schemas.openxmlformats.org/drawingml/2006/picture">
                <pic:pic>
                  <pic:nvPicPr>
                    <pic:cNvPr id="38" name="image18.png"/>
                    <pic:cNvPicPr/>
                  </pic:nvPicPr>
                  <pic:blipFill>
                    <a:blip r:embed="rId53" cstate="print"/>
                    <a:stretch>
                      <a:fillRect/>
                    </a:stretch>
                  </pic:blipFill>
                  <pic:spPr>
                    <a:xfrm>
                      <a:off x="0" y="0"/>
                      <a:ext cx="5648907" cy="5755005"/>
                    </a:xfrm>
                    <a:prstGeom prst="rect">
                      <a:avLst/>
                    </a:prstGeom>
                  </pic:spPr>
                </pic:pic>
              </a:graphicData>
            </a:graphic>
          </wp:anchor>
        </w:drawing>
      </w:r>
    </w:p>
    <w:p>
      <w:pPr>
        <w:spacing w:after="0"/>
        <w:rPr>
          <w:sz w:val="16"/>
        </w:rPr>
        <w:sectPr>
          <w:pgSz w:w="12240" w:h="15840"/>
          <w:pgMar w:header="727" w:footer="743" w:top="940" w:bottom="940" w:left="1320" w:right="1340"/>
        </w:sectPr>
      </w:pPr>
    </w:p>
    <w:p>
      <w:pPr>
        <w:pStyle w:val="BodyText"/>
      </w:pPr>
    </w:p>
    <w:p>
      <w:pPr>
        <w:pStyle w:val="BodyText"/>
        <w:spacing w:before="6"/>
        <w:rPr>
          <w:sz w:val="22"/>
        </w:rPr>
      </w:pPr>
    </w:p>
    <w:p>
      <w:pPr>
        <w:tabs>
          <w:tab w:pos="8980" w:val="left" w:leader="none"/>
        </w:tabs>
        <w:spacing w:line="229" w:lineRule="exact" w:before="1"/>
        <w:ind w:left="119" w:right="0" w:firstLine="0"/>
        <w:jc w:val="left"/>
        <w:rPr>
          <w:b/>
          <w:sz w:val="20"/>
        </w:rPr>
      </w:pPr>
      <w:r>
        <w:rPr/>
        <w:pict>
          <v:shape style="position:absolute;margin-left:545.700012pt;margin-top:.086072pt;width:.1pt;height:419.6pt;mso-position-horizontal-relative:page;mso-position-vertical-relative:paragraph;z-index:2680" coordorigin="10914,2" coordsize="0,8392" path="m10914,2l10914,232m10914,232l10914,461m10914,461l10914,692m10914,692l10914,1106m10914,1106l10914,1312m10914,1312l10914,1726m10914,1726l10914,1934m10914,1934l10914,2140m10914,2140l10914,2627m10914,2627l10914,3115m10914,3115l10914,3321m10914,3321l10914,3529m10914,3529l10914,4377m10914,4377l10914,4665m10914,4665l10914,5233m10914,5233l10914,5521m10914,5521l10914,5809m10914,5809l10914,6097m10914,6097l10914,6385m10914,6385l10914,6673m10914,6673l10914,6961m10914,6961l10914,7249m10914,7249l10914,7537m10914,7537l10914,8104m10914,8104l10914,8393e" filled="false" stroked="true" strokeweight=".47998pt" strokecolor="#000000">
            <v:path arrowok="t"/>
            <v:stroke dashstyle="solid"/>
            <w10:wrap type="none"/>
          </v:shape>
        </w:pict>
      </w:r>
      <w:r>
        <w:rPr>
          <w:b/>
          <w:sz w:val="20"/>
        </w:rPr>
        <w:t>ENTRY NO. 4 [PAYROLLS</w:t>
      </w:r>
      <w:r>
        <w:rPr>
          <w:b/>
          <w:spacing w:val="-10"/>
          <w:sz w:val="20"/>
        </w:rPr>
        <w:t> </w:t>
      </w:r>
      <w:r>
        <w:rPr>
          <w:b/>
          <w:sz w:val="20"/>
        </w:rPr>
        <w:t>ARE</w:t>
      </w:r>
      <w:r>
        <w:rPr>
          <w:b/>
          <w:spacing w:val="-3"/>
          <w:sz w:val="20"/>
        </w:rPr>
        <w:t> </w:t>
      </w:r>
      <w:r>
        <w:rPr>
          <w:b/>
          <w:sz w:val="20"/>
        </w:rPr>
        <w:t>PAID]</w:t>
        <w:tab/>
        <w:t>10504</w:t>
      </w:r>
    </w:p>
    <w:p>
      <w:pPr>
        <w:pStyle w:val="BodyText"/>
        <w:spacing w:line="229" w:lineRule="exact"/>
        <w:ind w:left="120"/>
      </w:pPr>
      <w:r>
        <w:rPr>
          <w:u w:val="single"/>
        </w:rPr>
        <w:t>(Revised 09/13)</w:t>
      </w:r>
    </w:p>
    <w:p>
      <w:pPr>
        <w:pStyle w:val="BodyText"/>
        <w:spacing w:before="8"/>
        <w:rPr>
          <w:sz w:val="11"/>
        </w:rPr>
      </w:pPr>
    </w:p>
    <w:p>
      <w:pPr>
        <w:spacing w:before="95"/>
        <w:ind w:left="120" w:right="0" w:firstLine="0"/>
        <w:jc w:val="left"/>
        <w:rPr>
          <w:rFonts w:ascii="Arial"/>
          <w:b/>
          <w:sz w:val="18"/>
        </w:rPr>
      </w:pPr>
      <w:r>
        <w:rPr>
          <w:rFonts w:ascii="Arial"/>
          <w:b/>
          <w:sz w:val="18"/>
          <w:u w:val="single"/>
        </w:rPr>
        <w:t>Journal Entry for General Ledger Accounts:</w:t>
      </w:r>
    </w:p>
    <w:p>
      <w:pPr>
        <w:pStyle w:val="BodyText"/>
        <w:spacing w:before="9"/>
        <w:rPr>
          <w:rFonts w:ascii="Arial"/>
          <w:b/>
          <w:sz w:val="9"/>
        </w:rPr>
      </w:pPr>
    </w:p>
    <w:p>
      <w:pPr>
        <w:spacing w:line="207" w:lineRule="exact" w:before="94"/>
        <w:ind w:left="120" w:right="0" w:firstLine="0"/>
        <w:jc w:val="left"/>
        <w:rPr>
          <w:rFonts w:ascii="Arial"/>
          <w:b/>
          <w:sz w:val="18"/>
        </w:rPr>
      </w:pPr>
      <w:r>
        <w:rPr>
          <w:rFonts w:ascii="Arial"/>
          <w:b/>
          <w:sz w:val="18"/>
          <w:u w:val="single"/>
        </w:rPr>
        <w:t>Debit:</w:t>
      </w:r>
    </w:p>
    <w:p>
      <w:pPr>
        <w:spacing w:line="207" w:lineRule="exact" w:before="0"/>
        <w:ind w:left="120" w:right="0" w:firstLine="0"/>
        <w:jc w:val="left"/>
        <w:rPr>
          <w:rFonts w:ascii="Arial"/>
          <w:b/>
          <w:sz w:val="18"/>
        </w:rPr>
      </w:pPr>
      <w:r>
        <w:rPr>
          <w:rFonts w:ascii="Arial"/>
          <w:b/>
          <w:sz w:val="18"/>
          <w:u w:val="single"/>
        </w:rPr>
        <w:t>9000 Appropriation Expenditures</w:t>
      </w:r>
    </w:p>
    <w:p>
      <w:pPr>
        <w:pStyle w:val="BodyText"/>
        <w:spacing w:before="9"/>
        <w:rPr>
          <w:rFonts w:ascii="Arial"/>
          <w:b/>
          <w:sz w:val="9"/>
        </w:rPr>
      </w:pPr>
    </w:p>
    <w:p>
      <w:pPr>
        <w:spacing w:before="95"/>
        <w:ind w:left="120" w:right="0" w:firstLine="0"/>
        <w:jc w:val="left"/>
        <w:rPr>
          <w:rFonts w:ascii="Arial"/>
          <w:b/>
          <w:sz w:val="18"/>
        </w:rPr>
      </w:pPr>
      <w:r>
        <w:rPr>
          <w:rFonts w:ascii="Arial"/>
          <w:b/>
          <w:sz w:val="18"/>
          <w:u w:val="single"/>
        </w:rPr>
        <w:t>Credit:</w:t>
      </w:r>
    </w:p>
    <w:p>
      <w:pPr>
        <w:spacing w:before="0"/>
        <w:ind w:left="120" w:right="0" w:firstLine="0"/>
        <w:jc w:val="left"/>
        <w:rPr>
          <w:rFonts w:ascii="Arial"/>
          <w:b/>
          <w:sz w:val="18"/>
        </w:rPr>
      </w:pPr>
      <w:r>
        <w:rPr>
          <w:rFonts w:ascii="Arial"/>
          <w:b/>
          <w:sz w:val="18"/>
          <w:u w:val="single"/>
        </w:rPr>
        <w:t>1140 Cash in State Treasury</w:t>
      </w:r>
    </w:p>
    <w:p>
      <w:pPr>
        <w:pStyle w:val="BodyText"/>
        <w:rPr>
          <w:rFonts w:ascii="Arial"/>
          <w:b/>
          <w:sz w:val="16"/>
        </w:rPr>
      </w:pPr>
    </w:p>
    <w:p>
      <w:pPr>
        <w:spacing w:before="94"/>
        <w:ind w:left="120" w:right="0" w:firstLine="0"/>
        <w:jc w:val="left"/>
        <w:rPr>
          <w:rFonts w:ascii="Arial"/>
          <w:b/>
          <w:sz w:val="18"/>
        </w:rPr>
      </w:pPr>
      <w:r>
        <w:rPr>
          <w:rFonts w:ascii="Arial"/>
          <w:b/>
          <w:sz w:val="18"/>
          <w:u w:val="single"/>
        </w:rPr>
        <w:t>Source Documents:</w:t>
      </w:r>
    </w:p>
    <w:p>
      <w:pPr>
        <w:pStyle w:val="BodyText"/>
        <w:spacing w:before="2"/>
        <w:rPr>
          <w:rFonts w:ascii="Arial"/>
          <w:b/>
          <w:sz w:val="16"/>
        </w:rPr>
      </w:pPr>
    </w:p>
    <w:p>
      <w:pPr>
        <w:pStyle w:val="ListParagraph"/>
        <w:numPr>
          <w:ilvl w:val="0"/>
          <w:numId w:val="16"/>
        </w:numPr>
        <w:tabs>
          <w:tab w:pos="330" w:val="left" w:leader="none"/>
        </w:tabs>
        <w:spacing w:line="240" w:lineRule="auto" w:before="95" w:after="0"/>
        <w:ind w:left="120" w:right="299" w:firstLine="0"/>
        <w:jc w:val="left"/>
        <w:rPr>
          <w:rFonts w:ascii="Arial"/>
          <w:sz w:val="18"/>
        </w:rPr>
      </w:pPr>
      <w:r>
        <w:rPr>
          <w:rFonts w:ascii="Arial"/>
          <w:sz w:val="18"/>
          <w:u w:val="single"/>
        </w:rPr>
        <w:t>Payroll Revolving Fund Transfer Notice, Form SM62 - Clearance Type codes 1, 7, 8, and 9 are transfers in the State Payroll Revolving Fund (SPRF). Clearance Type codes 4, 5, 6, and 8 are transfers out of the SPRF. See SAM section 8590 for Clearance Type</w:t>
      </w:r>
      <w:r>
        <w:rPr>
          <w:rFonts w:ascii="Arial"/>
          <w:spacing w:val="-29"/>
          <w:sz w:val="18"/>
          <w:u w:val="single"/>
        </w:rPr>
        <w:t> </w:t>
      </w:r>
      <w:r>
        <w:rPr>
          <w:rFonts w:ascii="Arial"/>
          <w:sz w:val="18"/>
          <w:u w:val="single"/>
        </w:rPr>
        <w:t>definitions.</w:t>
      </w:r>
    </w:p>
    <w:p>
      <w:pPr>
        <w:pStyle w:val="BodyText"/>
        <w:spacing w:before="3"/>
        <w:rPr>
          <w:rFonts w:ascii="Arial"/>
          <w:sz w:val="23"/>
        </w:rPr>
      </w:pPr>
    </w:p>
    <w:p>
      <w:pPr>
        <w:pStyle w:val="ListParagraph"/>
        <w:numPr>
          <w:ilvl w:val="0"/>
          <w:numId w:val="16"/>
        </w:numPr>
        <w:tabs>
          <w:tab w:pos="331" w:val="left" w:leader="none"/>
        </w:tabs>
        <w:spacing w:line="240" w:lineRule="auto" w:before="94" w:after="0"/>
        <w:ind w:left="330" w:right="0" w:hanging="210"/>
        <w:jc w:val="left"/>
        <w:rPr>
          <w:rFonts w:ascii="Arial" w:hAnsi="Arial"/>
          <w:sz w:val="18"/>
        </w:rPr>
      </w:pPr>
      <w:r>
        <w:rPr>
          <w:rFonts w:ascii="Arial" w:hAnsi="Arial"/>
          <w:sz w:val="18"/>
          <w:u w:val="single"/>
        </w:rPr>
        <w:t>State</w:t>
      </w:r>
      <w:r>
        <w:rPr>
          <w:rFonts w:ascii="Arial" w:hAnsi="Arial"/>
          <w:spacing w:val="-5"/>
          <w:sz w:val="18"/>
          <w:u w:val="single"/>
        </w:rPr>
        <w:t> </w:t>
      </w:r>
      <w:r>
        <w:rPr>
          <w:rFonts w:ascii="Arial" w:hAnsi="Arial"/>
          <w:sz w:val="18"/>
          <w:u w:val="single"/>
        </w:rPr>
        <w:t>Controller’s</w:t>
      </w:r>
      <w:r>
        <w:rPr>
          <w:rFonts w:ascii="Arial" w:hAnsi="Arial"/>
          <w:spacing w:val="-5"/>
          <w:sz w:val="18"/>
          <w:u w:val="single"/>
        </w:rPr>
        <w:t> </w:t>
      </w:r>
      <w:r>
        <w:rPr>
          <w:rFonts w:ascii="Arial" w:hAnsi="Arial"/>
          <w:sz w:val="18"/>
          <w:u w:val="single"/>
        </w:rPr>
        <w:t>Office</w:t>
      </w:r>
      <w:r>
        <w:rPr>
          <w:rFonts w:ascii="Arial" w:hAnsi="Arial"/>
          <w:spacing w:val="-5"/>
          <w:sz w:val="18"/>
          <w:u w:val="single"/>
        </w:rPr>
        <w:t> </w:t>
      </w:r>
      <w:r>
        <w:rPr>
          <w:rFonts w:ascii="Arial" w:hAnsi="Arial"/>
          <w:sz w:val="18"/>
          <w:u w:val="single"/>
        </w:rPr>
        <w:t>(SCO)</w:t>
      </w:r>
      <w:r>
        <w:rPr>
          <w:rFonts w:ascii="Arial" w:hAnsi="Arial"/>
          <w:spacing w:val="-5"/>
          <w:sz w:val="18"/>
          <w:u w:val="single"/>
        </w:rPr>
        <w:t> </w:t>
      </w:r>
      <w:r>
        <w:rPr>
          <w:rFonts w:ascii="Arial" w:hAnsi="Arial"/>
          <w:sz w:val="18"/>
          <w:u w:val="single"/>
        </w:rPr>
        <w:t>Payroll</w:t>
      </w:r>
      <w:r>
        <w:rPr>
          <w:rFonts w:ascii="Arial" w:hAnsi="Arial"/>
          <w:spacing w:val="-5"/>
          <w:sz w:val="18"/>
          <w:u w:val="single"/>
        </w:rPr>
        <w:t> </w:t>
      </w:r>
      <w:r>
        <w:rPr>
          <w:rFonts w:ascii="Arial" w:hAnsi="Arial"/>
          <w:sz w:val="18"/>
          <w:u w:val="single"/>
        </w:rPr>
        <w:t>Warrant</w:t>
      </w:r>
      <w:r>
        <w:rPr>
          <w:rFonts w:ascii="Arial" w:hAnsi="Arial"/>
          <w:spacing w:val="-5"/>
          <w:sz w:val="18"/>
          <w:u w:val="single"/>
        </w:rPr>
        <w:t> </w:t>
      </w:r>
      <w:r>
        <w:rPr>
          <w:rFonts w:ascii="Arial" w:hAnsi="Arial"/>
          <w:sz w:val="18"/>
          <w:u w:val="single"/>
        </w:rPr>
        <w:t>Register,</w:t>
      </w:r>
      <w:r>
        <w:rPr>
          <w:rFonts w:ascii="Arial" w:hAnsi="Arial"/>
          <w:spacing w:val="-5"/>
          <w:sz w:val="18"/>
          <w:u w:val="single"/>
        </w:rPr>
        <w:t> </w:t>
      </w:r>
      <w:r>
        <w:rPr>
          <w:rFonts w:ascii="Arial" w:hAnsi="Arial"/>
          <w:sz w:val="18"/>
          <w:u w:val="single"/>
        </w:rPr>
        <w:t>Form</w:t>
      </w:r>
      <w:r>
        <w:rPr>
          <w:rFonts w:ascii="Arial" w:hAnsi="Arial"/>
          <w:spacing w:val="-5"/>
          <w:sz w:val="18"/>
          <w:u w:val="single"/>
        </w:rPr>
        <w:t> </w:t>
      </w:r>
      <w:r>
        <w:rPr>
          <w:rFonts w:ascii="Arial" w:hAnsi="Arial"/>
          <w:sz w:val="18"/>
          <w:u w:val="single"/>
        </w:rPr>
        <w:t>CD38</w:t>
      </w:r>
      <w:r>
        <w:rPr>
          <w:rFonts w:ascii="Arial" w:hAnsi="Arial"/>
          <w:spacing w:val="-5"/>
          <w:sz w:val="18"/>
          <w:u w:val="single"/>
        </w:rPr>
        <w:t> </w:t>
      </w:r>
      <w:r>
        <w:rPr>
          <w:rFonts w:ascii="Arial" w:hAnsi="Arial"/>
          <w:sz w:val="18"/>
          <w:u w:val="single"/>
        </w:rPr>
        <w:t>lists</w:t>
      </w:r>
      <w:r>
        <w:rPr>
          <w:rFonts w:ascii="Arial" w:hAnsi="Arial"/>
          <w:spacing w:val="-5"/>
          <w:sz w:val="18"/>
          <w:u w:val="single"/>
        </w:rPr>
        <w:t> </w:t>
      </w:r>
      <w:r>
        <w:rPr>
          <w:rFonts w:ascii="Arial" w:hAnsi="Arial"/>
          <w:sz w:val="18"/>
          <w:u w:val="single"/>
        </w:rPr>
        <w:t>the</w:t>
      </w:r>
      <w:r>
        <w:rPr>
          <w:rFonts w:ascii="Arial" w:hAnsi="Arial"/>
          <w:spacing w:val="-5"/>
          <w:sz w:val="18"/>
          <w:u w:val="single"/>
        </w:rPr>
        <w:t> </w:t>
      </w:r>
      <w:r>
        <w:rPr>
          <w:rFonts w:ascii="Arial" w:hAnsi="Arial"/>
          <w:sz w:val="18"/>
          <w:u w:val="single"/>
        </w:rPr>
        <w:t>details</w:t>
      </w:r>
      <w:r>
        <w:rPr>
          <w:rFonts w:ascii="Arial" w:hAnsi="Arial"/>
          <w:spacing w:val="-4"/>
          <w:sz w:val="18"/>
          <w:u w:val="single"/>
        </w:rPr>
        <w:t> </w:t>
      </w:r>
      <w:r>
        <w:rPr>
          <w:rFonts w:ascii="Arial" w:hAnsi="Arial"/>
          <w:sz w:val="18"/>
          <w:u w:val="single"/>
        </w:rPr>
        <w:t>of</w:t>
      </w:r>
      <w:r>
        <w:rPr>
          <w:rFonts w:ascii="Arial" w:hAnsi="Arial"/>
          <w:spacing w:val="-5"/>
          <w:sz w:val="18"/>
          <w:u w:val="single"/>
        </w:rPr>
        <w:t> </w:t>
      </w:r>
      <w:r>
        <w:rPr>
          <w:rFonts w:ascii="Arial" w:hAnsi="Arial"/>
          <w:sz w:val="18"/>
          <w:u w:val="single"/>
        </w:rPr>
        <w:t>the</w:t>
      </w:r>
      <w:r>
        <w:rPr>
          <w:rFonts w:ascii="Arial" w:hAnsi="Arial"/>
          <w:spacing w:val="-5"/>
          <w:sz w:val="18"/>
          <w:u w:val="single"/>
        </w:rPr>
        <w:t> </w:t>
      </w:r>
      <w:r>
        <w:rPr>
          <w:rFonts w:ascii="Arial" w:hAnsi="Arial"/>
          <w:sz w:val="18"/>
          <w:u w:val="single"/>
        </w:rPr>
        <w:t>individual</w:t>
      </w:r>
      <w:r>
        <w:rPr>
          <w:rFonts w:ascii="Arial" w:hAnsi="Arial"/>
          <w:spacing w:val="-4"/>
          <w:sz w:val="18"/>
          <w:u w:val="single"/>
        </w:rPr>
        <w:t> </w:t>
      </w:r>
      <w:r>
        <w:rPr>
          <w:rFonts w:ascii="Arial" w:hAnsi="Arial"/>
          <w:sz w:val="18"/>
          <w:u w:val="single"/>
        </w:rPr>
        <w:t>warrants.</w:t>
      </w:r>
    </w:p>
    <w:p>
      <w:pPr>
        <w:pStyle w:val="BodyText"/>
        <w:rPr>
          <w:rFonts w:ascii="Arial"/>
          <w:sz w:val="23"/>
        </w:rPr>
      </w:pPr>
    </w:p>
    <w:p>
      <w:pPr>
        <w:spacing w:before="94"/>
        <w:ind w:left="120" w:right="0" w:firstLine="0"/>
        <w:jc w:val="left"/>
        <w:rPr>
          <w:rFonts w:ascii="Arial"/>
          <w:b/>
          <w:sz w:val="18"/>
        </w:rPr>
      </w:pPr>
      <w:r>
        <w:rPr>
          <w:rFonts w:ascii="Arial"/>
          <w:b/>
          <w:sz w:val="18"/>
          <w:u w:val="single"/>
        </w:rPr>
        <w:t>Register:</w:t>
      </w:r>
    </w:p>
    <w:p>
      <w:pPr>
        <w:spacing w:before="83"/>
        <w:ind w:left="120" w:right="0" w:firstLine="0"/>
        <w:jc w:val="left"/>
        <w:rPr>
          <w:rFonts w:ascii="Arial"/>
          <w:sz w:val="18"/>
        </w:rPr>
      </w:pPr>
      <w:r>
        <w:rPr>
          <w:rFonts w:ascii="Arial"/>
          <w:sz w:val="18"/>
          <w:u w:val="single"/>
        </w:rPr>
        <w:t>Payroll Expenditure Register</w:t>
      </w:r>
    </w:p>
    <w:p>
      <w:pPr>
        <w:pStyle w:val="BodyText"/>
        <w:spacing w:before="11"/>
        <w:rPr>
          <w:rFonts w:ascii="Arial"/>
          <w:sz w:val="22"/>
        </w:rPr>
      </w:pPr>
    </w:p>
    <w:p>
      <w:pPr>
        <w:spacing w:before="94"/>
        <w:ind w:left="120" w:right="0" w:firstLine="0"/>
        <w:jc w:val="left"/>
        <w:rPr>
          <w:rFonts w:ascii="Arial"/>
          <w:b/>
          <w:sz w:val="18"/>
        </w:rPr>
      </w:pPr>
      <w:r>
        <w:rPr>
          <w:rFonts w:ascii="Arial"/>
          <w:b/>
          <w:sz w:val="18"/>
          <w:u w:val="single"/>
        </w:rPr>
        <w:t>Explanation:</w:t>
      </w:r>
    </w:p>
    <w:p>
      <w:pPr>
        <w:spacing w:line="333" w:lineRule="auto" w:before="82"/>
        <w:ind w:left="120" w:right="430" w:firstLine="0"/>
        <w:jc w:val="left"/>
        <w:rPr>
          <w:rFonts w:ascii="Arial"/>
          <w:sz w:val="18"/>
        </w:rPr>
      </w:pPr>
      <w:r>
        <w:rPr>
          <w:rFonts w:ascii="Arial"/>
          <w:sz w:val="18"/>
          <w:u w:val="single"/>
        </w:rPr>
        <w:t>Under the Uniform State Payroll System, department payrolls are prepared by the SCO and salary warrants are drawn on the SPRF. The SCO transfers from the department's appropriation and/or fund the gross amount of each such payroll plus the amount of related state contributions for employees' retirement, OASDI, health and denta</w:t>
      </w:r>
      <w:r>
        <w:rPr>
          <w:rFonts w:ascii="Arial"/>
          <w:sz w:val="18"/>
        </w:rPr>
        <w:t>l </w:t>
      </w:r>
      <w:r>
        <w:rPr>
          <w:rFonts w:ascii="Arial"/>
          <w:sz w:val="18"/>
          <w:u w:val="single"/>
        </w:rPr>
        <w:t>benefits, and returns by transfer to the department's appropriation and/or fund any amounts remaining in the SPRF as a result of warrants voided or re-deposited and overpayments recovered. These transfers, supported by payrol</w:t>
      </w:r>
      <w:r>
        <w:rPr>
          <w:rFonts w:ascii="Arial"/>
          <w:sz w:val="18"/>
        </w:rPr>
        <w:t>l </w:t>
      </w:r>
      <w:r>
        <w:rPr>
          <w:rFonts w:ascii="Arial"/>
          <w:sz w:val="18"/>
          <w:u w:val="single"/>
        </w:rPr>
        <w:t>warrant register forms, are recorded by the department in a Payroll Expenditure Register, the net total of which represent payroll expenditures to be recorded in the department accounts. See SAM sections 8590 and 8593 for additional information.</w:t>
      </w:r>
    </w:p>
    <w:p>
      <w:pPr>
        <w:pStyle w:val="BodyText"/>
        <w:spacing w:before="3"/>
        <w:rPr>
          <w:rFonts w:ascii="Arial"/>
          <w:sz w:val="16"/>
        </w:rPr>
      </w:pPr>
    </w:p>
    <w:p>
      <w:pPr>
        <w:spacing w:before="94"/>
        <w:ind w:left="120" w:right="0" w:firstLine="0"/>
        <w:jc w:val="left"/>
        <w:rPr>
          <w:rFonts w:ascii="Arial"/>
          <w:b/>
          <w:sz w:val="18"/>
        </w:rPr>
      </w:pPr>
      <w:r>
        <w:rPr>
          <w:rFonts w:ascii="Arial"/>
          <w:b/>
          <w:sz w:val="18"/>
          <w:u w:val="single"/>
        </w:rPr>
        <w:t>PAYROLL EXPENDITURE REGISTER</w:t>
      </w:r>
    </w:p>
    <w:p>
      <w:pPr>
        <w:pStyle w:val="BodyText"/>
        <w:spacing w:before="7"/>
        <w:rPr>
          <w:rFonts w:ascii="Arial"/>
          <w:b/>
          <w:sz w:val="24"/>
        </w:rPr>
      </w:pPr>
    </w:p>
    <w:tbl>
      <w:tblPr>
        <w:tblW w:w="0" w:type="auto"/>
        <w:jc w:val="left"/>
        <w:tblInd w:w="582" w:type="dxa"/>
        <w:tblBorders>
          <w:top w:val="single" w:sz="12" w:space="0" w:color="A0A0A0"/>
          <w:left w:val="single" w:sz="12" w:space="0" w:color="A0A0A0"/>
          <w:bottom w:val="single" w:sz="12" w:space="0" w:color="A0A0A0"/>
          <w:right w:val="single" w:sz="12" w:space="0" w:color="A0A0A0"/>
          <w:insideH w:val="single" w:sz="12" w:space="0" w:color="A0A0A0"/>
          <w:insideV w:val="single" w:sz="12" w:space="0" w:color="A0A0A0"/>
        </w:tblBorders>
        <w:tblLayout w:type="fixed"/>
        <w:tblCellMar>
          <w:top w:w="0" w:type="dxa"/>
          <w:left w:w="0" w:type="dxa"/>
          <w:bottom w:w="0" w:type="dxa"/>
          <w:right w:w="0" w:type="dxa"/>
        </w:tblCellMar>
        <w:tblLook w:val="01E0"/>
      </w:tblPr>
      <w:tblGrid>
        <w:gridCol w:w="800"/>
        <w:gridCol w:w="750"/>
        <w:gridCol w:w="666"/>
        <w:gridCol w:w="851"/>
        <w:gridCol w:w="841"/>
        <w:gridCol w:w="876"/>
        <w:gridCol w:w="719"/>
        <w:gridCol w:w="761"/>
        <w:gridCol w:w="1081"/>
        <w:gridCol w:w="1078"/>
      </w:tblGrid>
      <w:tr>
        <w:trPr>
          <w:trHeight w:val="651" w:hRule="exact"/>
        </w:trPr>
        <w:tc>
          <w:tcPr>
            <w:tcW w:w="800" w:type="dxa"/>
            <w:vMerge w:val="restart"/>
            <w:tcBorders>
              <w:left w:val="single" w:sz="6" w:space="0" w:color="EFEFEF"/>
            </w:tcBorders>
          </w:tcPr>
          <w:p>
            <w:pPr>
              <w:pStyle w:val="TableParagraph"/>
              <w:rPr>
                <w:b/>
                <w:sz w:val="20"/>
              </w:rPr>
            </w:pPr>
          </w:p>
          <w:p>
            <w:pPr>
              <w:pStyle w:val="TableParagraph"/>
              <w:spacing w:before="5"/>
              <w:rPr>
                <w:b/>
                <w:sz w:val="18"/>
              </w:rPr>
            </w:pPr>
          </w:p>
          <w:p>
            <w:pPr>
              <w:pStyle w:val="TableParagraph"/>
              <w:ind w:left="55" w:right="32" w:firstLine="34"/>
              <w:rPr>
                <w:sz w:val="18"/>
              </w:rPr>
            </w:pPr>
            <w:r>
              <w:rPr>
                <w:sz w:val="18"/>
              </w:rPr>
              <w:t>Type of Transfer</w:t>
            </w:r>
          </w:p>
        </w:tc>
        <w:tc>
          <w:tcPr>
            <w:tcW w:w="750" w:type="dxa"/>
            <w:vMerge w:val="restart"/>
          </w:tcPr>
          <w:p>
            <w:pPr>
              <w:pStyle w:val="TableParagraph"/>
              <w:rPr>
                <w:b/>
                <w:sz w:val="20"/>
              </w:rPr>
            </w:pPr>
          </w:p>
          <w:p>
            <w:pPr>
              <w:pStyle w:val="TableParagraph"/>
              <w:spacing w:before="5"/>
              <w:rPr>
                <w:b/>
                <w:sz w:val="18"/>
              </w:rPr>
            </w:pPr>
          </w:p>
          <w:p>
            <w:pPr>
              <w:pStyle w:val="TableParagraph"/>
              <w:ind w:left="169" w:right="6" w:hanging="146"/>
              <w:rPr>
                <w:sz w:val="18"/>
              </w:rPr>
            </w:pPr>
            <w:r>
              <w:rPr>
                <w:sz w:val="18"/>
              </w:rPr>
              <w:t>Transfer Date</w:t>
            </w:r>
          </w:p>
        </w:tc>
        <w:tc>
          <w:tcPr>
            <w:tcW w:w="666" w:type="dxa"/>
            <w:vMerge w:val="restart"/>
          </w:tcPr>
          <w:p>
            <w:pPr>
              <w:pStyle w:val="TableParagraph"/>
              <w:rPr>
                <w:b/>
                <w:sz w:val="20"/>
              </w:rPr>
            </w:pPr>
          </w:p>
          <w:p>
            <w:pPr>
              <w:pStyle w:val="TableParagraph"/>
              <w:spacing w:before="5"/>
              <w:rPr>
                <w:b/>
                <w:sz w:val="18"/>
              </w:rPr>
            </w:pPr>
          </w:p>
          <w:p>
            <w:pPr>
              <w:pStyle w:val="TableParagraph"/>
              <w:ind w:left="127" w:right="82" w:hanging="24"/>
              <w:rPr>
                <w:sz w:val="18"/>
              </w:rPr>
            </w:pPr>
            <w:r>
              <w:rPr>
                <w:sz w:val="18"/>
              </w:rPr>
              <w:t>Issue Date</w:t>
            </w:r>
          </w:p>
        </w:tc>
        <w:tc>
          <w:tcPr>
            <w:tcW w:w="851" w:type="dxa"/>
            <w:vMerge w:val="restart"/>
          </w:tcPr>
          <w:p>
            <w:pPr>
              <w:pStyle w:val="TableParagraph"/>
              <w:rPr>
                <w:b/>
                <w:sz w:val="20"/>
              </w:rPr>
            </w:pPr>
          </w:p>
          <w:p>
            <w:pPr>
              <w:pStyle w:val="TableParagraph"/>
              <w:spacing w:before="5"/>
              <w:rPr>
                <w:b/>
                <w:sz w:val="18"/>
              </w:rPr>
            </w:pPr>
          </w:p>
          <w:p>
            <w:pPr>
              <w:pStyle w:val="TableParagraph"/>
              <w:ind w:left="269" w:right="-19" w:hanging="270"/>
              <w:rPr>
                <w:sz w:val="18"/>
              </w:rPr>
            </w:pPr>
            <w:r>
              <w:rPr>
                <w:sz w:val="18"/>
              </w:rPr>
              <w:t>Clearance No.</w:t>
            </w:r>
          </w:p>
        </w:tc>
        <w:tc>
          <w:tcPr>
            <w:tcW w:w="841" w:type="dxa"/>
            <w:vMerge w:val="restart"/>
          </w:tcPr>
          <w:p>
            <w:pPr>
              <w:pStyle w:val="TableParagraph"/>
              <w:rPr>
                <w:b/>
                <w:sz w:val="20"/>
              </w:rPr>
            </w:pPr>
          </w:p>
          <w:p>
            <w:pPr>
              <w:pStyle w:val="TableParagraph"/>
              <w:spacing w:before="5"/>
              <w:rPr>
                <w:b/>
                <w:sz w:val="18"/>
              </w:rPr>
            </w:pPr>
          </w:p>
          <w:p>
            <w:pPr>
              <w:pStyle w:val="TableParagraph"/>
              <w:ind w:left="265" w:right="52" w:hanging="196"/>
              <w:rPr>
                <w:sz w:val="18"/>
              </w:rPr>
            </w:pPr>
            <w:r>
              <w:rPr>
                <w:sz w:val="18"/>
              </w:rPr>
              <w:t>Transfer No.</w:t>
            </w:r>
          </w:p>
        </w:tc>
        <w:tc>
          <w:tcPr>
            <w:tcW w:w="876" w:type="dxa"/>
            <w:vMerge w:val="restart"/>
          </w:tcPr>
          <w:p>
            <w:pPr>
              <w:pStyle w:val="TableParagraph"/>
              <w:rPr>
                <w:b/>
                <w:sz w:val="20"/>
              </w:rPr>
            </w:pPr>
          </w:p>
          <w:p>
            <w:pPr>
              <w:pStyle w:val="TableParagraph"/>
              <w:rPr>
                <w:b/>
                <w:sz w:val="20"/>
              </w:rPr>
            </w:pPr>
          </w:p>
          <w:p>
            <w:pPr>
              <w:pStyle w:val="TableParagraph"/>
              <w:spacing w:before="4"/>
              <w:rPr>
                <w:b/>
                <w:sz w:val="16"/>
              </w:rPr>
            </w:pPr>
          </w:p>
          <w:p>
            <w:pPr>
              <w:pStyle w:val="TableParagraph"/>
              <w:ind w:left="42"/>
              <w:rPr>
                <w:sz w:val="18"/>
              </w:rPr>
            </w:pPr>
            <w:r>
              <w:rPr>
                <w:sz w:val="18"/>
              </w:rPr>
              <w:t>Transfers</w:t>
            </w:r>
          </w:p>
        </w:tc>
        <w:tc>
          <w:tcPr>
            <w:tcW w:w="1480" w:type="dxa"/>
            <w:gridSpan w:val="2"/>
            <w:tcBorders>
              <w:bottom w:val="double" w:sz="4" w:space="0" w:color="A0A0A0"/>
            </w:tcBorders>
          </w:tcPr>
          <w:p>
            <w:pPr>
              <w:pStyle w:val="TableParagraph"/>
              <w:ind w:left="244" w:right="242"/>
              <w:jc w:val="center"/>
              <w:rPr>
                <w:sz w:val="18"/>
              </w:rPr>
            </w:pPr>
            <w:r>
              <w:rPr>
                <w:sz w:val="18"/>
              </w:rPr>
              <w:t>Accounts Receivable Abatements</w:t>
            </w:r>
          </w:p>
        </w:tc>
        <w:tc>
          <w:tcPr>
            <w:tcW w:w="1081" w:type="dxa"/>
            <w:vMerge w:val="restart"/>
          </w:tcPr>
          <w:p>
            <w:pPr>
              <w:pStyle w:val="TableParagraph"/>
              <w:rPr>
                <w:b/>
                <w:sz w:val="20"/>
              </w:rPr>
            </w:pPr>
          </w:p>
          <w:p>
            <w:pPr>
              <w:pStyle w:val="TableParagraph"/>
              <w:spacing w:before="5"/>
              <w:rPr>
                <w:b/>
                <w:sz w:val="18"/>
              </w:rPr>
            </w:pPr>
          </w:p>
          <w:p>
            <w:pPr>
              <w:pStyle w:val="TableParagraph"/>
              <w:ind w:left="10" w:right="-19" w:hanging="11"/>
              <w:rPr>
                <w:sz w:val="18"/>
              </w:rPr>
            </w:pPr>
            <w:r>
              <w:rPr>
                <w:sz w:val="18"/>
              </w:rPr>
              <w:t>Expenditures Current Year</w:t>
            </w:r>
          </w:p>
        </w:tc>
        <w:tc>
          <w:tcPr>
            <w:tcW w:w="1078" w:type="dxa"/>
            <w:vMerge w:val="restart"/>
            <w:tcBorders>
              <w:right w:val="single" w:sz="6" w:space="0" w:color="A0A0A0"/>
            </w:tcBorders>
          </w:tcPr>
          <w:p>
            <w:pPr>
              <w:pStyle w:val="TableParagraph"/>
              <w:rPr>
                <w:b/>
                <w:sz w:val="20"/>
              </w:rPr>
            </w:pPr>
          </w:p>
          <w:p>
            <w:pPr>
              <w:pStyle w:val="TableParagraph"/>
              <w:spacing w:before="5"/>
              <w:rPr>
                <w:b/>
                <w:sz w:val="18"/>
              </w:rPr>
            </w:pPr>
          </w:p>
          <w:p>
            <w:pPr>
              <w:pStyle w:val="TableParagraph"/>
              <w:ind w:left="121" w:right="-15" w:hanging="122"/>
              <w:rPr>
                <w:sz w:val="18"/>
              </w:rPr>
            </w:pPr>
            <w:r>
              <w:rPr>
                <w:sz w:val="18"/>
              </w:rPr>
              <w:t>Expenditures Prior Year</w:t>
            </w:r>
          </w:p>
        </w:tc>
      </w:tr>
      <w:tr>
        <w:trPr>
          <w:trHeight w:val="236" w:hRule="exact"/>
        </w:trPr>
        <w:tc>
          <w:tcPr>
            <w:tcW w:w="800" w:type="dxa"/>
            <w:vMerge/>
            <w:tcBorders>
              <w:left w:val="single" w:sz="6" w:space="0" w:color="EFEFEF"/>
              <w:bottom w:val="nil"/>
            </w:tcBorders>
          </w:tcPr>
          <w:p>
            <w:pPr/>
          </w:p>
        </w:tc>
        <w:tc>
          <w:tcPr>
            <w:tcW w:w="750" w:type="dxa"/>
            <w:vMerge/>
            <w:tcBorders>
              <w:bottom w:val="nil"/>
            </w:tcBorders>
          </w:tcPr>
          <w:p>
            <w:pPr/>
          </w:p>
        </w:tc>
        <w:tc>
          <w:tcPr>
            <w:tcW w:w="666" w:type="dxa"/>
            <w:vMerge/>
            <w:tcBorders>
              <w:bottom w:val="nil"/>
            </w:tcBorders>
          </w:tcPr>
          <w:p>
            <w:pPr/>
          </w:p>
        </w:tc>
        <w:tc>
          <w:tcPr>
            <w:tcW w:w="851" w:type="dxa"/>
            <w:vMerge/>
            <w:tcBorders>
              <w:bottom w:val="nil"/>
            </w:tcBorders>
          </w:tcPr>
          <w:p>
            <w:pPr/>
          </w:p>
        </w:tc>
        <w:tc>
          <w:tcPr>
            <w:tcW w:w="841" w:type="dxa"/>
            <w:vMerge/>
            <w:tcBorders>
              <w:bottom w:val="nil"/>
            </w:tcBorders>
          </w:tcPr>
          <w:p>
            <w:pPr/>
          </w:p>
        </w:tc>
        <w:tc>
          <w:tcPr>
            <w:tcW w:w="876" w:type="dxa"/>
            <w:vMerge/>
            <w:tcBorders>
              <w:bottom w:val="nil"/>
            </w:tcBorders>
          </w:tcPr>
          <w:p>
            <w:pPr/>
          </w:p>
        </w:tc>
        <w:tc>
          <w:tcPr>
            <w:tcW w:w="719" w:type="dxa"/>
            <w:tcBorders>
              <w:top w:val="double" w:sz="4" w:space="0" w:color="A0A0A0"/>
              <w:bottom w:val="nil"/>
            </w:tcBorders>
          </w:tcPr>
          <w:p>
            <w:pPr>
              <w:pStyle w:val="TableParagraph"/>
              <w:spacing w:line="204" w:lineRule="exact"/>
              <w:ind w:left="214"/>
              <w:rPr>
                <w:sz w:val="18"/>
              </w:rPr>
            </w:pPr>
            <w:r>
              <w:rPr>
                <w:sz w:val="18"/>
              </w:rPr>
              <w:t>DR</w:t>
            </w:r>
          </w:p>
        </w:tc>
        <w:tc>
          <w:tcPr>
            <w:tcW w:w="761" w:type="dxa"/>
            <w:tcBorders>
              <w:top w:val="double" w:sz="4" w:space="0" w:color="A0A0A0"/>
              <w:bottom w:val="nil"/>
            </w:tcBorders>
          </w:tcPr>
          <w:p>
            <w:pPr>
              <w:pStyle w:val="TableParagraph"/>
              <w:spacing w:line="204" w:lineRule="exact"/>
              <w:ind w:left="235"/>
              <w:rPr>
                <w:sz w:val="18"/>
              </w:rPr>
            </w:pPr>
            <w:r>
              <w:rPr>
                <w:sz w:val="18"/>
              </w:rPr>
              <w:t>CR</w:t>
            </w:r>
          </w:p>
        </w:tc>
        <w:tc>
          <w:tcPr>
            <w:tcW w:w="1081" w:type="dxa"/>
            <w:vMerge/>
            <w:tcBorders>
              <w:bottom w:val="nil"/>
            </w:tcBorders>
          </w:tcPr>
          <w:p>
            <w:pPr/>
          </w:p>
        </w:tc>
        <w:tc>
          <w:tcPr>
            <w:tcW w:w="1078" w:type="dxa"/>
            <w:vMerge/>
            <w:tcBorders>
              <w:bottom w:val="nil"/>
              <w:right w:val="single" w:sz="6" w:space="0" w:color="A0A0A0"/>
            </w:tcBorders>
          </w:tcPr>
          <w:p>
            <w:pPr/>
          </w:p>
        </w:tc>
      </w:tr>
      <w:tr>
        <w:trPr>
          <w:trHeight w:val="238" w:hRule="exact"/>
        </w:trPr>
        <w:tc>
          <w:tcPr>
            <w:tcW w:w="800" w:type="dxa"/>
            <w:tcBorders>
              <w:top w:val="nil"/>
              <w:left w:val="single" w:sz="6" w:space="0" w:color="EFEFEF"/>
              <w:bottom w:val="nil"/>
            </w:tcBorders>
          </w:tcPr>
          <w:p>
            <w:pPr>
              <w:pStyle w:val="TableParagraph"/>
              <w:spacing w:before="13"/>
              <w:ind w:left="3"/>
              <w:rPr>
                <w:sz w:val="18"/>
              </w:rPr>
            </w:pPr>
            <w:r>
              <w:rPr>
                <w:w w:val="99"/>
                <w:sz w:val="18"/>
              </w:rPr>
              <w:t>1</w:t>
            </w:r>
          </w:p>
        </w:tc>
        <w:tc>
          <w:tcPr>
            <w:tcW w:w="750" w:type="dxa"/>
            <w:tcBorders>
              <w:top w:val="nil"/>
              <w:bottom w:val="nil"/>
            </w:tcBorders>
          </w:tcPr>
          <w:p>
            <w:pPr>
              <w:pStyle w:val="TableParagraph"/>
              <w:spacing w:before="13"/>
              <w:rPr>
                <w:sz w:val="18"/>
              </w:rPr>
            </w:pPr>
            <w:r>
              <w:rPr>
                <w:sz w:val="18"/>
              </w:rPr>
              <w:t>8-3</w:t>
            </w:r>
          </w:p>
        </w:tc>
        <w:tc>
          <w:tcPr>
            <w:tcW w:w="666" w:type="dxa"/>
            <w:tcBorders>
              <w:top w:val="nil"/>
              <w:bottom w:val="nil"/>
            </w:tcBorders>
          </w:tcPr>
          <w:p>
            <w:pPr>
              <w:pStyle w:val="TableParagraph"/>
              <w:spacing w:before="13"/>
              <w:ind w:left="-1"/>
              <w:rPr>
                <w:sz w:val="18"/>
              </w:rPr>
            </w:pPr>
            <w:r>
              <w:rPr>
                <w:sz w:val="18"/>
              </w:rPr>
              <w:t>8-3</w:t>
            </w:r>
          </w:p>
        </w:tc>
        <w:tc>
          <w:tcPr>
            <w:tcW w:w="851" w:type="dxa"/>
            <w:tcBorders>
              <w:top w:val="nil"/>
              <w:bottom w:val="nil"/>
            </w:tcBorders>
          </w:tcPr>
          <w:p>
            <w:pPr>
              <w:pStyle w:val="TableParagraph"/>
              <w:spacing w:before="13"/>
              <w:ind w:left="-1"/>
              <w:rPr>
                <w:sz w:val="18"/>
              </w:rPr>
            </w:pPr>
            <w:r>
              <w:rPr>
                <w:sz w:val="18"/>
              </w:rPr>
              <w:t>892</w:t>
            </w:r>
          </w:p>
        </w:tc>
        <w:tc>
          <w:tcPr>
            <w:tcW w:w="841" w:type="dxa"/>
            <w:tcBorders>
              <w:top w:val="nil"/>
              <w:bottom w:val="nil"/>
            </w:tcBorders>
          </w:tcPr>
          <w:p>
            <w:pPr>
              <w:pStyle w:val="TableParagraph"/>
              <w:spacing w:before="13"/>
              <w:ind w:left="-1"/>
              <w:rPr>
                <w:sz w:val="18"/>
              </w:rPr>
            </w:pPr>
            <w:r>
              <w:rPr>
                <w:sz w:val="18"/>
              </w:rPr>
              <w:t>457</w:t>
            </w:r>
          </w:p>
        </w:tc>
        <w:tc>
          <w:tcPr>
            <w:tcW w:w="876" w:type="dxa"/>
            <w:tcBorders>
              <w:top w:val="nil"/>
              <w:bottom w:val="nil"/>
            </w:tcBorders>
          </w:tcPr>
          <w:p>
            <w:pPr>
              <w:pStyle w:val="TableParagraph"/>
              <w:spacing w:before="13"/>
              <w:rPr>
                <w:sz w:val="18"/>
              </w:rPr>
            </w:pPr>
            <w:r>
              <w:rPr>
                <w:sz w:val="18"/>
              </w:rPr>
              <w:t>10,000</w:t>
            </w:r>
          </w:p>
        </w:tc>
        <w:tc>
          <w:tcPr>
            <w:tcW w:w="719" w:type="dxa"/>
            <w:tcBorders>
              <w:top w:val="nil"/>
              <w:bottom w:val="nil"/>
            </w:tcBorders>
          </w:tcPr>
          <w:p>
            <w:pPr/>
          </w:p>
        </w:tc>
        <w:tc>
          <w:tcPr>
            <w:tcW w:w="761" w:type="dxa"/>
            <w:tcBorders>
              <w:top w:val="nil"/>
              <w:bottom w:val="nil"/>
            </w:tcBorders>
          </w:tcPr>
          <w:p>
            <w:pPr/>
          </w:p>
        </w:tc>
        <w:tc>
          <w:tcPr>
            <w:tcW w:w="1081" w:type="dxa"/>
            <w:tcBorders>
              <w:top w:val="nil"/>
              <w:bottom w:val="nil"/>
            </w:tcBorders>
          </w:tcPr>
          <w:p>
            <w:pPr>
              <w:pStyle w:val="TableParagraph"/>
              <w:spacing w:before="13"/>
              <w:ind w:left="-1"/>
              <w:rPr>
                <w:sz w:val="18"/>
              </w:rPr>
            </w:pPr>
            <w:r>
              <w:rPr>
                <w:sz w:val="18"/>
              </w:rPr>
              <w:t>10,000</w:t>
            </w:r>
          </w:p>
        </w:tc>
        <w:tc>
          <w:tcPr>
            <w:tcW w:w="1078" w:type="dxa"/>
            <w:tcBorders>
              <w:top w:val="nil"/>
              <w:bottom w:val="nil"/>
              <w:right w:val="single" w:sz="6" w:space="0" w:color="A0A0A0"/>
            </w:tcBorders>
          </w:tcPr>
          <w:p>
            <w:pPr/>
          </w:p>
        </w:tc>
      </w:tr>
      <w:tr>
        <w:trPr>
          <w:trHeight w:val="236" w:hRule="exact"/>
        </w:trPr>
        <w:tc>
          <w:tcPr>
            <w:tcW w:w="800" w:type="dxa"/>
            <w:tcBorders>
              <w:top w:val="nil"/>
              <w:left w:val="single" w:sz="6" w:space="0" w:color="EFEFEF"/>
              <w:bottom w:val="nil"/>
            </w:tcBorders>
          </w:tcPr>
          <w:p>
            <w:pPr>
              <w:pStyle w:val="TableParagraph"/>
              <w:spacing w:before="12"/>
              <w:ind w:left="3"/>
              <w:rPr>
                <w:sz w:val="18"/>
              </w:rPr>
            </w:pPr>
            <w:r>
              <w:rPr>
                <w:w w:val="99"/>
                <w:sz w:val="18"/>
              </w:rPr>
              <w:t>1</w:t>
            </w:r>
          </w:p>
        </w:tc>
        <w:tc>
          <w:tcPr>
            <w:tcW w:w="750" w:type="dxa"/>
            <w:tcBorders>
              <w:top w:val="nil"/>
              <w:bottom w:val="nil"/>
            </w:tcBorders>
          </w:tcPr>
          <w:p>
            <w:pPr>
              <w:pStyle w:val="TableParagraph"/>
              <w:spacing w:before="12"/>
              <w:rPr>
                <w:sz w:val="18"/>
              </w:rPr>
            </w:pPr>
            <w:r>
              <w:rPr>
                <w:sz w:val="18"/>
              </w:rPr>
              <w:t>8-4</w:t>
            </w:r>
          </w:p>
        </w:tc>
        <w:tc>
          <w:tcPr>
            <w:tcW w:w="666" w:type="dxa"/>
            <w:tcBorders>
              <w:top w:val="nil"/>
              <w:bottom w:val="nil"/>
            </w:tcBorders>
          </w:tcPr>
          <w:p>
            <w:pPr>
              <w:pStyle w:val="TableParagraph"/>
              <w:spacing w:before="12"/>
              <w:ind w:left="-1"/>
              <w:rPr>
                <w:sz w:val="18"/>
              </w:rPr>
            </w:pPr>
            <w:r>
              <w:rPr>
                <w:sz w:val="18"/>
              </w:rPr>
              <w:t>8-4</w:t>
            </w:r>
          </w:p>
        </w:tc>
        <w:tc>
          <w:tcPr>
            <w:tcW w:w="851" w:type="dxa"/>
            <w:tcBorders>
              <w:top w:val="nil"/>
              <w:bottom w:val="nil"/>
            </w:tcBorders>
          </w:tcPr>
          <w:p>
            <w:pPr>
              <w:pStyle w:val="TableParagraph"/>
              <w:spacing w:before="12"/>
              <w:ind w:left="-1"/>
              <w:rPr>
                <w:sz w:val="18"/>
              </w:rPr>
            </w:pPr>
            <w:r>
              <w:rPr>
                <w:sz w:val="18"/>
              </w:rPr>
              <w:t>901</w:t>
            </w:r>
          </w:p>
        </w:tc>
        <w:tc>
          <w:tcPr>
            <w:tcW w:w="841" w:type="dxa"/>
            <w:tcBorders>
              <w:top w:val="nil"/>
              <w:bottom w:val="nil"/>
            </w:tcBorders>
          </w:tcPr>
          <w:p>
            <w:pPr>
              <w:pStyle w:val="TableParagraph"/>
              <w:spacing w:before="12"/>
              <w:ind w:left="-1"/>
              <w:rPr>
                <w:sz w:val="18"/>
              </w:rPr>
            </w:pPr>
            <w:r>
              <w:rPr>
                <w:sz w:val="18"/>
              </w:rPr>
              <w:t>465</w:t>
            </w:r>
          </w:p>
        </w:tc>
        <w:tc>
          <w:tcPr>
            <w:tcW w:w="876" w:type="dxa"/>
            <w:tcBorders>
              <w:top w:val="nil"/>
              <w:bottom w:val="nil"/>
            </w:tcBorders>
          </w:tcPr>
          <w:p>
            <w:pPr>
              <w:pStyle w:val="TableParagraph"/>
              <w:spacing w:before="12"/>
              <w:rPr>
                <w:sz w:val="18"/>
              </w:rPr>
            </w:pPr>
            <w:r>
              <w:rPr>
                <w:sz w:val="18"/>
              </w:rPr>
              <w:t>1,000</w:t>
            </w:r>
          </w:p>
        </w:tc>
        <w:tc>
          <w:tcPr>
            <w:tcW w:w="719" w:type="dxa"/>
            <w:tcBorders>
              <w:top w:val="nil"/>
              <w:bottom w:val="nil"/>
            </w:tcBorders>
          </w:tcPr>
          <w:p>
            <w:pPr/>
          </w:p>
        </w:tc>
        <w:tc>
          <w:tcPr>
            <w:tcW w:w="761" w:type="dxa"/>
            <w:tcBorders>
              <w:top w:val="nil"/>
              <w:bottom w:val="nil"/>
            </w:tcBorders>
          </w:tcPr>
          <w:p>
            <w:pPr/>
          </w:p>
        </w:tc>
        <w:tc>
          <w:tcPr>
            <w:tcW w:w="1081" w:type="dxa"/>
            <w:tcBorders>
              <w:top w:val="nil"/>
              <w:bottom w:val="nil"/>
            </w:tcBorders>
          </w:tcPr>
          <w:p>
            <w:pPr/>
          </w:p>
        </w:tc>
        <w:tc>
          <w:tcPr>
            <w:tcW w:w="1078" w:type="dxa"/>
            <w:tcBorders>
              <w:top w:val="nil"/>
              <w:bottom w:val="nil"/>
              <w:right w:val="single" w:sz="6" w:space="0" w:color="A0A0A0"/>
            </w:tcBorders>
          </w:tcPr>
          <w:p>
            <w:pPr>
              <w:pStyle w:val="TableParagraph"/>
              <w:spacing w:before="12"/>
              <w:ind w:left="-1"/>
              <w:rPr>
                <w:sz w:val="18"/>
              </w:rPr>
            </w:pPr>
            <w:r>
              <w:rPr>
                <w:sz w:val="18"/>
              </w:rPr>
              <w:t>1,000</w:t>
            </w:r>
          </w:p>
        </w:tc>
      </w:tr>
      <w:tr>
        <w:trPr>
          <w:trHeight w:val="236" w:hRule="exact"/>
        </w:trPr>
        <w:tc>
          <w:tcPr>
            <w:tcW w:w="800" w:type="dxa"/>
            <w:tcBorders>
              <w:top w:val="nil"/>
              <w:left w:val="single" w:sz="6" w:space="0" w:color="EFEFEF"/>
              <w:bottom w:val="nil"/>
            </w:tcBorders>
          </w:tcPr>
          <w:p>
            <w:pPr>
              <w:pStyle w:val="TableParagraph"/>
              <w:spacing w:line="221" w:lineRule="exact"/>
              <w:ind w:left="3"/>
              <w:rPr>
                <w:sz w:val="12"/>
              </w:rPr>
            </w:pPr>
            <w:r>
              <w:rPr>
                <w:position w:val="-8"/>
                <w:sz w:val="18"/>
              </w:rPr>
              <w:t>AR </w:t>
            </w:r>
            <w:r>
              <w:rPr>
                <w:sz w:val="12"/>
              </w:rPr>
              <w:t>1/</w:t>
            </w:r>
          </w:p>
        </w:tc>
        <w:tc>
          <w:tcPr>
            <w:tcW w:w="750" w:type="dxa"/>
            <w:tcBorders>
              <w:top w:val="nil"/>
              <w:bottom w:val="nil"/>
            </w:tcBorders>
          </w:tcPr>
          <w:p>
            <w:pPr/>
          </w:p>
        </w:tc>
        <w:tc>
          <w:tcPr>
            <w:tcW w:w="666" w:type="dxa"/>
            <w:tcBorders>
              <w:top w:val="nil"/>
              <w:bottom w:val="nil"/>
            </w:tcBorders>
          </w:tcPr>
          <w:p>
            <w:pPr>
              <w:pStyle w:val="TableParagraph"/>
              <w:spacing w:before="13"/>
              <w:rPr>
                <w:sz w:val="18"/>
              </w:rPr>
            </w:pPr>
            <w:r>
              <w:rPr>
                <w:sz w:val="18"/>
              </w:rPr>
              <w:t>8-15</w:t>
            </w:r>
          </w:p>
        </w:tc>
        <w:tc>
          <w:tcPr>
            <w:tcW w:w="851" w:type="dxa"/>
            <w:tcBorders>
              <w:top w:val="nil"/>
              <w:bottom w:val="nil"/>
            </w:tcBorders>
          </w:tcPr>
          <w:p>
            <w:pPr>
              <w:pStyle w:val="TableParagraph"/>
              <w:spacing w:before="13"/>
              <w:ind w:left="-1"/>
              <w:rPr>
                <w:sz w:val="18"/>
              </w:rPr>
            </w:pPr>
            <w:r>
              <w:rPr>
                <w:sz w:val="18"/>
              </w:rPr>
              <w:t>943</w:t>
            </w:r>
          </w:p>
        </w:tc>
        <w:tc>
          <w:tcPr>
            <w:tcW w:w="841" w:type="dxa"/>
            <w:tcBorders>
              <w:top w:val="nil"/>
              <w:bottom w:val="nil"/>
            </w:tcBorders>
          </w:tcPr>
          <w:p>
            <w:pPr/>
          </w:p>
        </w:tc>
        <w:tc>
          <w:tcPr>
            <w:tcW w:w="876" w:type="dxa"/>
            <w:tcBorders>
              <w:top w:val="nil"/>
              <w:bottom w:val="nil"/>
            </w:tcBorders>
          </w:tcPr>
          <w:p>
            <w:pPr/>
          </w:p>
        </w:tc>
        <w:tc>
          <w:tcPr>
            <w:tcW w:w="719" w:type="dxa"/>
            <w:tcBorders>
              <w:top w:val="nil"/>
              <w:bottom w:val="nil"/>
            </w:tcBorders>
          </w:tcPr>
          <w:p>
            <w:pPr>
              <w:pStyle w:val="TableParagraph"/>
              <w:spacing w:before="13"/>
              <w:ind w:left="-1"/>
              <w:rPr>
                <w:sz w:val="18"/>
              </w:rPr>
            </w:pPr>
            <w:r>
              <w:rPr>
                <w:sz w:val="18"/>
              </w:rPr>
              <w:t>50</w:t>
            </w:r>
          </w:p>
        </w:tc>
        <w:tc>
          <w:tcPr>
            <w:tcW w:w="761" w:type="dxa"/>
            <w:tcBorders>
              <w:top w:val="nil"/>
              <w:bottom w:val="nil"/>
            </w:tcBorders>
          </w:tcPr>
          <w:p>
            <w:pPr/>
          </w:p>
        </w:tc>
        <w:tc>
          <w:tcPr>
            <w:tcW w:w="1081" w:type="dxa"/>
            <w:tcBorders>
              <w:top w:val="nil"/>
              <w:bottom w:val="nil"/>
            </w:tcBorders>
          </w:tcPr>
          <w:p>
            <w:pPr>
              <w:pStyle w:val="TableParagraph"/>
              <w:spacing w:before="13"/>
              <w:ind w:left="-1"/>
              <w:rPr>
                <w:sz w:val="18"/>
              </w:rPr>
            </w:pPr>
            <w:r>
              <w:rPr>
                <w:sz w:val="18"/>
              </w:rPr>
              <w:t>-50</w:t>
            </w:r>
          </w:p>
        </w:tc>
        <w:tc>
          <w:tcPr>
            <w:tcW w:w="1078" w:type="dxa"/>
            <w:tcBorders>
              <w:top w:val="nil"/>
              <w:bottom w:val="nil"/>
              <w:right w:val="single" w:sz="6" w:space="0" w:color="A0A0A0"/>
            </w:tcBorders>
          </w:tcPr>
          <w:p>
            <w:pPr/>
          </w:p>
        </w:tc>
      </w:tr>
      <w:tr>
        <w:trPr>
          <w:trHeight w:val="238" w:hRule="exact"/>
        </w:trPr>
        <w:tc>
          <w:tcPr>
            <w:tcW w:w="800" w:type="dxa"/>
            <w:tcBorders>
              <w:top w:val="nil"/>
              <w:left w:val="single" w:sz="6" w:space="0" w:color="EFEFEF"/>
              <w:bottom w:val="nil"/>
            </w:tcBorders>
          </w:tcPr>
          <w:p>
            <w:pPr>
              <w:pStyle w:val="TableParagraph"/>
              <w:spacing w:line="221" w:lineRule="exact"/>
              <w:ind w:left="3"/>
              <w:rPr>
                <w:sz w:val="12"/>
              </w:rPr>
            </w:pPr>
            <w:r>
              <w:rPr>
                <w:position w:val="-8"/>
                <w:sz w:val="18"/>
              </w:rPr>
              <w:t>5 </w:t>
            </w:r>
            <w:r>
              <w:rPr>
                <w:sz w:val="12"/>
              </w:rPr>
              <w:t>2/</w:t>
            </w:r>
          </w:p>
        </w:tc>
        <w:tc>
          <w:tcPr>
            <w:tcW w:w="750" w:type="dxa"/>
            <w:tcBorders>
              <w:top w:val="nil"/>
              <w:bottom w:val="nil"/>
            </w:tcBorders>
          </w:tcPr>
          <w:p>
            <w:pPr>
              <w:pStyle w:val="TableParagraph"/>
              <w:spacing w:before="13"/>
              <w:rPr>
                <w:sz w:val="18"/>
              </w:rPr>
            </w:pPr>
            <w:r>
              <w:rPr>
                <w:sz w:val="18"/>
              </w:rPr>
              <w:t>8-20</w:t>
            </w:r>
          </w:p>
        </w:tc>
        <w:tc>
          <w:tcPr>
            <w:tcW w:w="666" w:type="dxa"/>
            <w:tcBorders>
              <w:top w:val="nil"/>
              <w:bottom w:val="nil"/>
            </w:tcBorders>
          </w:tcPr>
          <w:p>
            <w:pPr>
              <w:pStyle w:val="TableParagraph"/>
              <w:spacing w:before="13"/>
              <w:ind w:left="-1"/>
              <w:rPr>
                <w:sz w:val="18"/>
              </w:rPr>
            </w:pPr>
            <w:r>
              <w:rPr>
                <w:sz w:val="18"/>
              </w:rPr>
              <w:t>6-8</w:t>
            </w:r>
          </w:p>
        </w:tc>
        <w:tc>
          <w:tcPr>
            <w:tcW w:w="851" w:type="dxa"/>
            <w:tcBorders>
              <w:top w:val="nil"/>
              <w:bottom w:val="nil"/>
            </w:tcBorders>
          </w:tcPr>
          <w:p>
            <w:pPr>
              <w:pStyle w:val="TableParagraph"/>
              <w:spacing w:before="13"/>
              <w:ind w:left="-1"/>
              <w:rPr>
                <w:sz w:val="18"/>
              </w:rPr>
            </w:pPr>
            <w:r>
              <w:rPr>
                <w:sz w:val="18"/>
              </w:rPr>
              <w:t>2146</w:t>
            </w:r>
          </w:p>
        </w:tc>
        <w:tc>
          <w:tcPr>
            <w:tcW w:w="841" w:type="dxa"/>
            <w:tcBorders>
              <w:top w:val="nil"/>
              <w:bottom w:val="nil"/>
            </w:tcBorders>
          </w:tcPr>
          <w:p>
            <w:pPr>
              <w:pStyle w:val="TableParagraph"/>
              <w:spacing w:before="13"/>
              <w:ind w:left="-1"/>
              <w:rPr>
                <w:sz w:val="18"/>
              </w:rPr>
            </w:pPr>
            <w:r>
              <w:rPr>
                <w:sz w:val="18"/>
              </w:rPr>
              <w:t>502</w:t>
            </w:r>
          </w:p>
        </w:tc>
        <w:tc>
          <w:tcPr>
            <w:tcW w:w="876" w:type="dxa"/>
            <w:tcBorders>
              <w:top w:val="nil"/>
              <w:bottom w:val="nil"/>
            </w:tcBorders>
          </w:tcPr>
          <w:p>
            <w:pPr>
              <w:pStyle w:val="TableParagraph"/>
              <w:spacing w:before="13"/>
              <w:ind w:left="-1"/>
              <w:rPr>
                <w:sz w:val="18"/>
              </w:rPr>
            </w:pPr>
            <w:r>
              <w:rPr>
                <w:sz w:val="18"/>
              </w:rPr>
              <w:t>-50</w:t>
            </w:r>
          </w:p>
        </w:tc>
        <w:tc>
          <w:tcPr>
            <w:tcW w:w="719" w:type="dxa"/>
            <w:tcBorders>
              <w:top w:val="nil"/>
              <w:bottom w:val="nil"/>
            </w:tcBorders>
          </w:tcPr>
          <w:p>
            <w:pPr/>
          </w:p>
        </w:tc>
        <w:tc>
          <w:tcPr>
            <w:tcW w:w="761" w:type="dxa"/>
            <w:tcBorders>
              <w:top w:val="nil"/>
              <w:bottom w:val="nil"/>
            </w:tcBorders>
          </w:tcPr>
          <w:p>
            <w:pPr>
              <w:pStyle w:val="TableParagraph"/>
              <w:spacing w:before="13"/>
              <w:ind w:left="-1"/>
              <w:rPr>
                <w:sz w:val="18"/>
              </w:rPr>
            </w:pPr>
            <w:r>
              <w:rPr>
                <w:sz w:val="18"/>
              </w:rPr>
              <w:t>50</w:t>
            </w:r>
          </w:p>
        </w:tc>
        <w:tc>
          <w:tcPr>
            <w:tcW w:w="1081" w:type="dxa"/>
            <w:tcBorders>
              <w:top w:val="nil"/>
              <w:bottom w:val="nil"/>
            </w:tcBorders>
          </w:tcPr>
          <w:p>
            <w:pPr/>
          </w:p>
        </w:tc>
        <w:tc>
          <w:tcPr>
            <w:tcW w:w="1078" w:type="dxa"/>
            <w:tcBorders>
              <w:top w:val="nil"/>
              <w:bottom w:val="nil"/>
              <w:right w:val="single" w:sz="6" w:space="0" w:color="A0A0A0"/>
            </w:tcBorders>
          </w:tcPr>
          <w:p>
            <w:pPr/>
          </w:p>
        </w:tc>
      </w:tr>
      <w:tr>
        <w:trPr>
          <w:trHeight w:val="236" w:hRule="exact"/>
        </w:trPr>
        <w:tc>
          <w:tcPr>
            <w:tcW w:w="800" w:type="dxa"/>
            <w:tcBorders>
              <w:top w:val="nil"/>
              <w:left w:val="single" w:sz="6" w:space="0" w:color="EFEFEF"/>
              <w:bottom w:val="nil"/>
            </w:tcBorders>
          </w:tcPr>
          <w:p>
            <w:pPr>
              <w:pStyle w:val="TableParagraph"/>
              <w:spacing w:line="219" w:lineRule="exact"/>
              <w:ind w:left="3"/>
              <w:rPr>
                <w:sz w:val="12"/>
              </w:rPr>
            </w:pPr>
            <w:r>
              <w:rPr>
                <w:position w:val="-8"/>
                <w:sz w:val="18"/>
              </w:rPr>
              <w:t>1 </w:t>
            </w:r>
            <w:r>
              <w:rPr>
                <w:sz w:val="12"/>
              </w:rPr>
              <w:t>3/</w:t>
            </w:r>
          </w:p>
        </w:tc>
        <w:tc>
          <w:tcPr>
            <w:tcW w:w="750" w:type="dxa"/>
            <w:tcBorders>
              <w:top w:val="nil"/>
              <w:bottom w:val="nil"/>
            </w:tcBorders>
          </w:tcPr>
          <w:p>
            <w:pPr>
              <w:pStyle w:val="TableParagraph"/>
              <w:spacing w:before="12"/>
              <w:rPr>
                <w:sz w:val="18"/>
              </w:rPr>
            </w:pPr>
            <w:r>
              <w:rPr>
                <w:sz w:val="18"/>
              </w:rPr>
              <w:t>8-28</w:t>
            </w:r>
          </w:p>
        </w:tc>
        <w:tc>
          <w:tcPr>
            <w:tcW w:w="666" w:type="dxa"/>
            <w:tcBorders>
              <w:top w:val="nil"/>
              <w:bottom w:val="nil"/>
            </w:tcBorders>
          </w:tcPr>
          <w:p>
            <w:pPr>
              <w:pStyle w:val="TableParagraph"/>
              <w:spacing w:before="12"/>
              <w:ind w:left="-1"/>
              <w:rPr>
                <w:sz w:val="18"/>
              </w:rPr>
            </w:pPr>
            <w:r>
              <w:rPr>
                <w:sz w:val="18"/>
              </w:rPr>
              <w:t>9-1</w:t>
            </w:r>
          </w:p>
        </w:tc>
        <w:tc>
          <w:tcPr>
            <w:tcW w:w="851" w:type="dxa"/>
            <w:tcBorders>
              <w:top w:val="nil"/>
              <w:bottom w:val="nil"/>
            </w:tcBorders>
          </w:tcPr>
          <w:p>
            <w:pPr>
              <w:pStyle w:val="TableParagraph"/>
              <w:spacing w:before="12"/>
              <w:ind w:left="-1"/>
              <w:rPr>
                <w:sz w:val="18"/>
              </w:rPr>
            </w:pPr>
            <w:r>
              <w:rPr>
                <w:sz w:val="18"/>
              </w:rPr>
              <w:t>961</w:t>
            </w:r>
          </w:p>
        </w:tc>
        <w:tc>
          <w:tcPr>
            <w:tcW w:w="841" w:type="dxa"/>
            <w:tcBorders>
              <w:top w:val="nil"/>
              <w:bottom w:val="nil"/>
            </w:tcBorders>
          </w:tcPr>
          <w:p>
            <w:pPr>
              <w:pStyle w:val="TableParagraph"/>
              <w:spacing w:before="12"/>
              <w:ind w:left="-1"/>
              <w:rPr>
                <w:sz w:val="18"/>
              </w:rPr>
            </w:pPr>
            <w:r>
              <w:rPr>
                <w:sz w:val="18"/>
              </w:rPr>
              <w:t>524</w:t>
            </w:r>
          </w:p>
        </w:tc>
        <w:tc>
          <w:tcPr>
            <w:tcW w:w="876" w:type="dxa"/>
            <w:tcBorders>
              <w:top w:val="nil"/>
              <w:bottom w:val="nil"/>
            </w:tcBorders>
          </w:tcPr>
          <w:p>
            <w:pPr>
              <w:pStyle w:val="TableParagraph"/>
              <w:spacing w:before="12"/>
              <w:rPr>
                <w:sz w:val="18"/>
              </w:rPr>
            </w:pPr>
            <w:r>
              <w:rPr>
                <w:sz w:val="18"/>
              </w:rPr>
              <w:t>100,000</w:t>
            </w:r>
          </w:p>
        </w:tc>
        <w:tc>
          <w:tcPr>
            <w:tcW w:w="719" w:type="dxa"/>
            <w:tcBorders>
              <w:top w:val="nil"/>
              <w:bottom w:val="nil"/>
            </w:tcBorders>
          </w:tcPr>
          <w:p>
            <w:pPr/>
          </w:p>
        </w:tc>
        <w:tc>
          <w:tcPr>
            <w:tcW w:w="761" w:type="dxa"/>
            <w:tcBorders>
              <w:top w:val="nil"/>
              <w:bottom w:val="nil"/>
            </w:tcBorders>
          </w:tcPr>
          <w:p>
            <w:pPr/>
          </w:p>
        </w:tc>
        <w:tc>
          <w:tcPr>
            <w:tcW w:w="1081" w:type="dxa"/>
            <w:tcBorders>
              <w:top w:val="nil"/>
              <w:bottom w:val="nil"/>
            </w:tcBorders>
          </w:tcPr>
          <w:p>
            <w:pPr>
              <w:pStyle w:val="TableParagraph"/>
              <w:spacing w:before="12"/>
              <w:ind w:left="-1"/>
              <w:rPr>
                <w:sz w:val="18"/>
              </w:rPr>
            </w:pPr>
            <w:r>
              <w:rPr>
                <w:sz w:val="18"/>
              </w:rPr>
              <w:t>100,000</w:t>
            </w:r>
          </w:p>
        </w:tc>
        <w:tc>
          <w:tcPr>
            <w:tcW w:w="1078" w:type="dxa"/>
            <w:tcBorders>
              <w:top w:val="nil"/>
              <w:bottom w:val="nil"/>
              <w:right w:val="single" w:sz="6" w:space="0" w:color="A0A0A0"/>
            </w:tcBorders>
          </w:tcPr>
          <w:p>
            <w:pPr/>
          </w:p>
        </w:tc>
      </w:tr>
      <w:tr>
        <w:trPr>
          <w:trHeight w:val="261" w:hRule="exact"/>
        </w:trPr>
        <w:tc>
          <w:tcPr>
            <w:tcW w:w="800" w:type="dxa"/>
            <w:tcBorders>
              <w:top w:val="nil"/>
              <w:left w:val="single" w:sz="6" w:space="0" w:color="EFEFEF"/>
              <w:bottom w:val="triple" w:sz="6" w:space="0" w:color="A0A0A0"/>
            </w:tcBorders>
          </w:tcPr>
          <w:p>
            <w:pPr/>
          </w:p>
        </w:tc>
        <w:tc>
          <w:tcPr>
            <w:tcW w:w="750" w:type="dxa"/>
            <w:tcBorders>
              <w:top w:val="nil"/>
              <w:bottom w:val="triple" w:sz="6" w:space="0" w:color="A0A0A0"/>
            </w:tcBorders>
          </w:tcPr>
          <w:p>
            <w:pPr/>
          </w:p>
        </w:tc>
        <w:tc>
          <w:tcPr>
            <w:tcW w:w="666" w:type="dxa"/>
            <w:tcBorders>
              <w:top w:val="nil"/>
              <w:bottom w:val="triple" w:sz="6" w:space="0" w:color="A0A0A0"/>
            </w:tcBorders>
          </w:tcPr>
          <w:p>
            <w:pPr/>
          </w:p>
        </w:tc>
        <w:tc>
          <w:tcPr>
            <w:tcW w:w="851" w:type="dxa"/>
            <w:tcBorders>
              <w:top w:val="nil"/>
              <w:bottom w:val="triple" w:sz="6" w:space="0" w:color="A0A0A0"/>
            </w:tcBorders>
          </w:tcPr>
          <w:p>
            <w:pPr/>
          </w:p>
        </w:tc>
        <w:tc>
          <w:tcPr>
            <w:tcW w:w="841" w:type="dxa"/>
            <w:tcBorders>
              <w:top w:val="nil"/>
              <w:bottom w:val="triple" w:sz="6" w:space="0" w:color="A0A0A0"/>
            </w:tcBorders>
          </w:tcPr>
          <w:p>
            <w:pPr/>
          </w:p>
        </w:tc>
        <w:tc>
          <w:tcPr>
            <w:tcW w:w="876" w:type="dxa"/>
            <w:tcBorders>
              <w:top w:val="nil"/>
              <w:bottom w:val="triple" w:sz="6" w:space="0" w:color="A0A0A0"/>
            </w:tcBorders>
          </w:tcPr>
          <w:p>
            <w:pPr>
              <w:pStyle w:val="TableParagraph"/>
              <w:spacing w:before="13"/>
              <w:rPr>
                <w:sz w:val="18"/>
              </w:rPr>
            </w:pPr>
            <w:r>
              <w:rPr>
                <w:sz w:val="18"/>
              </w:rPr>
              <w:t>110,950</w:t>
            </w:r>
          </w:p>
        </w:tc>
        <w:tc>
          <w:tcPr>
            <w:tcW w:w="719" w:type="dxa"/>
            <w:tcBorders>
              <w:top w:val="nil"/>
              <w:bottom w:val="triple" w:sz="6" w:space="0" w:color="A0A0A0"/>
            </w:tcBorders>
          </w:tcPr>
          <w:p>
            <w:pPr>
              <w:pStyle w:val="TableParagraph"/>
              <w:spacing w:before="13"/>
              <w:ind w:left="-1"/>
              <w:rPr>
                <w:sz w:val="18"/>
              </w:rPr>
            </w:pPr>
            <w:r>
              <w:rPr>
                <w:sz w:val="18"/>
              </w:rPr>
              <w:t>50</w:t>
            </w:r>
          </w:p>
        </w:tc>
        <w:tc>
          <w:tcPr>
            <w:tcW w:w="761" w:type="dxa"/>
            <w:tcBorders>
              <w:top w:val="nil"/>
              <w:bottom w:val="triple" w:sz="6" w:space="0" w:color="A0A0A0"/>
            </w:tcBorders>
          </w:tcPr>
          <w:p>
            <w:pPr>
              <w:pStyle w:val="TableParagraph"/>
              <w:spacing w:before="13"/>
              <w:ind w:left="-1"/>
              <w:rPr>
                <w:sz w:val="18"/>
              </w:rPr>
            </w:pPr>
            <w:r>
              <w:rPr>
                <w:sz w:val="18"/>
              </w:rPr>
              <w:t>50</w:t>
            </w:r>
          </w:p>
        </w:tc>
        <w:tc>
          <w:tcPr>
            <w:tcW w:w="1081" w:type="dxa"/>
            <w:tcBorders>
              <w:top w:val="nil"/>
              <w:bottom w:val="triple" w:sz="6" w:space="0" w:color="A0A0A0"/>
            </w:tcBorders>
          </w:tcPr>
          <w:p>
            <w:pPr>
              <w:pStyle w:val="TableParagraph"/>
              <w:spacing w:before="13"/>
              <w:ind w:left="-1"/>
              <w:rPr>
                <w:sz w:val="18"/>
              </w:rPr>
            </w:pPr>
            <w:r>
              <w:rPr>
                <w:sz w:val="18"/>
              </w:rPr>
              <w:t>109,950</w:t>
            </w:r>
          </w:p>
        </w:tc>
        <w:tc>
          <w:tcPr>
            <w:tcW w:w="1078" w:type="dxa"/>
            <w:tcBorders>
              <w:top w:val="nil"/>
              <w:bottom w:val="triple" w:sz="6" w:space="0" w:color="A0A0A0"/>
              <w:right w:val="single" w:sz="6" w:space="0" w:color="A0A0A0"/>
            </w:tcBorders>
          </w:tcPr>
          <w:p>
            <w:pPr>
              <w:pStyle w:val="TableParagraph"/>
              <w:spacing w:before="13"/>
              <w:ind w:left="-1"/>
              <w:rPr>
                <w:sz w:val="18"/>
              </w:rPr>
            </w:pPr>
            <w:r>
              <w:rPr>
                <w:sz w:val="18"/>
              </w:rPr>
              <w:t>1,000</w:t>
            </w:r>
          </w:p>
        </w:tc>
      </w:tr>
      <w:tr>
        <w:trPr>
          <w:trHeight w:val="450" w:hRule="exact"/>
        </w:trPr>
        <w:tc>
          <w:tcPr>
            <w:tcW w:w="800" w:type="dxa"/>
            <w:tcBorders>
              <w:top w:val="triple" w:sz="6" w:space="0" w:color="A0A0A0"/>
              <w:left w:val="single" w:sz="6" w:space="0" w:color="EFEFEF"/>
              <w:bottom w:val="nil"/>
            </w:tcBorders>
          </w:tcPr>
          <w:p>
            <w:pPr/>
          </w:p>
        </w:tc>
        <w:tc>
          <w:tcPr>
            <w:tcW w:w="750" w:type="dxa"/>
            <w:tcBorders>
              <w:top w:val="triple" w:sz="6" w:space="0" w:color="A0A0A0"/>
              <w:bottom w:val="nil"/>
            </w:tcBorders>
          </w:tcPr>
          <w:p>
            <w:pPr/>
          </w:p>
        </w:tc>
        <w:tc>
          <w:tcPr>
            <w:tcW w:w="666" w:type="dxa"/>
            <w:tcBorders>
              <w:top w:val="triple" w:sz="6" w:space="0" w:color="A0A0A0"/>
              <w:bottom w:val="nil"/>
            </w:tcBorders>
          </w:tcPr>
          <w:p>
            <w:pPr/>
          </w:p>
        </w:tc>
        <w:tc>
          <w:tcPr>
            <w:tcW w:w="851" w:type="dxa"/>
            <w:tcBorders>
              <w:top w:val="triple" w:sz="6" w:space="0" w:color="A0A0A0"/>
              <w:bottom w:val="nil"/>
            </w:tcBorders>
          </w:tcPr>
          <w:p>
            <w:pPr/>
          </w:p>
        </w:tc>
        <w:tc>
          <w:tcPr>
            <w:tcW w:w="841" w:type="dxa"/>
            <w:tcBorders>
              <w:top w:val="triple" w:sz="6" w:space="0" w:color="A0A0A0"/>
              <w:bottom w:val="nil"/>
            </w:tcBorders>
          </w:tcPr>
          <w:p>
            <w:pPr/>
          </w:p>
        </w:tc>
        <w:tc>
          <w:tcPr>
            <w:tcW w:w="876" w:type="dxa"/>
            <w:tcBorders>
              <w:top w:val="triple" w:sz="6" w:space="0" w:color="A0A0A0"/>
              <w:bottom w:val="nil"/>
            </w:tcBorders>
          </w:tcPr>
          <w:p>
            <w:pPr>
              <w:pStyle w:val="TableParagraph"/>
              <w:spacing w:before="116"/>
              <w:ind w:left="50"/>
              <w:rPr>
                <w:sz w:val="18"/>
              </w:rPr>
            </w:pPr>
            <w:r>
              <w:rPr>
                <w:sz w:val="18"/>
              </w:rPr>
              <w:t>CR 1140</w:t>
            </w:r>
          </w:p>
        </w:tc>
        <w:tc>
          <w:tcPr>
            <w:tcW w:w="719" w:type="dxa"/>
            <w:tcBorders>
              <w:top w:val="triple" w:sz="6" w:space="0" w:color="A0A0A0"/>
              <w:bottom w:val="nil"/>
            </w:tcBorders>
          </w:tcPr>
          <w:p>
            <w:pPr>
              <w:pStyle w:val="TableParagraph"/>
              <w:spacing w:before="11"/>
              <w:ind w:right="268"/>
              <w:rPr>
                <w:sz w:val="18"/>
              </w:rPr>
            </w:pPr>
            <w:r>
              <w:rPr>
                <w:sz w:val="18"/>
              </w:rPr>
              <w:t>DR 1311</w:t>
            </w:r>
          </w:p>
        </w:tc>
        <w:tc>
          <w:tcPr>
            <w:tcW w:w="761" w:type="dxa"/>
            <w:tcBorders>
              <w:top w:val="triple" w:sz="6" w:space="0" w:color="A0A0A0"/>
              <w:bottom w:val="nil"/>
            </w:tcBorders>
          </w:tcPr>
          <w:p>
            <w:pPr>
              <w:pStyle w:val="TableParagraph"/>
              <w:spacing w:before="11"/>
              <w:ind w:left="-1" w:right="311" w:firstLine="50"/>
              <w:rPr>
                <w:sz w:val="18"/>
              </w:rPr>
            </w:pPr>
            <w:r>
              <w:rPr>
                <w:sz w:val="18"/>
              </w:rPr>
              <w:t>CR 1311</w:t>
            </w:r>
          </w:p>
        </w:tc>
        <w:tc>
          <w:tcPr>
            <w:tcW w:w="1081" w:type="dxa"/>
            <w:tcBorders>
              <w:top w:val="triple" w:sz="6" w:space="0" w:color="A0A0A0"/>
              <w:bottom w:val="nil"/>
            </w:tcBorders>
          </w:tcPr>
          <w:p>
            <w:pPr>
              <w:pStyle w:val="TableParagraph"/>
              <w:spacing w:before="116"/>
              <w:ind w:left="50"/>
              <w:rPr>
                <w:sz w:val="18"/>
              </w:rPr>
            </w:pPr>
            <w:r>
              <w:rPr>
                <w:sz w:val="18"/>
              </w:rPr>
              <w:t>DR 9000</w:t>
            </w:r>
          </w:p>
        </w:tc>
        <w:tc>
          <w:tcPr>
            <w:tcW w:w="1078" w:type="dxa"/>
            <w:tcBorders>
              <w:top w:val="triple" w:sz="6" w:space="0" w:color="A0A0A0"/>
              <w:bottom w:val="nil"/>
              <w:right w:val="single" w:sz="6" w:space="0" w:color="A0A0A0"/>
            </w:tcBorders>
          </w:tcPr>
          <w:p>
            <w:pPr>
              <w:pStyle w:val="TableParagraph"/>
              <w:spacing w:before="116"/>
              <w:rPr>
                <w:sz w:val="18"/>
              </w:rPr>
            </w:pPr>
            <w:r>
              <w:rPr>
                <w:sz w:val="18"/>
              </w:rPr>
              <w:t>DR 9893</w:t>
            </w:r>
          </w:p>
        </w:tc>
      </w:tr>
    </w:tbl>
    <w:p>
      <w:pPr>
        <w:pStyle w:val="BodyText"/>
        <w:rPr>
          <w:rFonts w:ascii="Arial"/>
          <w:b/>
        </w:rPr>
      </w:pPr>
    </w:p>
    <w:p>
      <w:pPr>
        <w:pStyle w:val="BodyText"/>
        <w:rPr>
          <w:rFonts w:ascii="Arial"/>
          <w:b/>
        </w:rPr>
      </w:pPr>
    </w:p>
    <w:p>
      <w:pPr>
        <w:pStyle w:val="BodyText"/>
        <w:rPr>
          <w:rFonts w:ascii="Arial"/>
          <w:b/>
        </w:rPr>
      </w:pPr>
    </w:p>
    <w:p>
      <w:pPr>
        <w:pStyle w:val="BodyText"/>
        <w:spacing w:before="3"/>
        <w:rPr>
          <w:rFonts w:ascii="Arial"/>
          <w:b/>
          <w:sz w:val="19"/>
        </w:rPr>
      </w:pPr>
    </w:p>
    <w:p>
      <w:pPr>
        <w:pStyle w:val="BodyText"/>
        <w:ind w:left="120"/>
      </w:pPr>
      <w:r>
        <w:rPr/>
        <w:pict>
          <v:line style="position:absolute;mso-position-horizontal-relative:page;mso-position-vertical-relative:paragraph;z-index:2704" from="545.700012pt,-2.78406pt" to="545.700012pt,11.61594pt" stroked="true" strokeweight=".47998pt" strokecolor="#000000">
            <v:stroke dashstyle="solid"/>
            <w10:wrap type="none"/>
          </v:line>
        </w:pict>
      </w:r>
      <w:r>
        <w:rPr/>
        <w:t>(Continued)</w:t>
      </w:r>
    </w:p>
    <w:p>
      <w:pPr>
        <w:spacing w:after="0"/>
        <w:sectPr>
          <w:footerReference w:type="default" r:id="rId54"/>
          <w:pgSz w:w="12240" w:h="15840"/>
          <w:pgMar w:footer="743" w:header="727" w:top="940" w:bottom="940" w:left="1320" w:right="1220"/>
        </w:sectPr>
      </w:pPr>
    </w:p>
    <w:p>
      <w:pPr>
        <w:pStyle w:val="BodyText"/>
      </w:pPr>
    </w:p>
    <w:p>
      <w:pPr>
        <w:pStyle w:val="BodyText"/>
        <w:spacing w:before="6"/>
        <w:rPr>
          <w:sz w:val="19"/>
        </w:rPr>
      </w:pPr>
    </w:p>
    <w:p>
      <w:pPr>
        <w:pStyle w:val="BodyText"/>
        <w:spacing w:before="92"/>
        <w:ind w:left="120"/>
      </w:pPr>
      <w:r>
        <w:rPr/>
        <w:pict>
          <v:shape style="position:absolute;margin-left:545.700012pt;margin-top:1.815942pt;width:.1pt;height:215.85pt;mso-position-horizontal-relative:page;mso-position-vertical-relative:paragraph;z-index:2728" coordorigin="10914,36" coordsize="0,4317" path="m10914,36l10914,604m10914,604l10914,1074m10914,1074l10914,1281m10914,1281l10914,1768m10914,1768l10914,2056m10914,2056l10914,2344m10914,2344l10914,2632m10914,2632l10914,3201m10914,3201l10914,3489m10914,3489l10914,3777m10914,3777l10914,4065m10914,4065l10914,4353e" filled="false" stroked="true" strokeweight=".47998pt" strokecolor="#000000">
            <v:path arrowok="t"/>
            <v:stroke dashstyle="solid"/>
            <w10:wrap type="none"/>
          </v:shape>
        </w:pict>
      </w:r>
      <w:r>
        <w:rPr/>
        <w:t>(Continued)</w:t>
      </w:r>
    </w:p>
    <w:p>
      <w:pPr>
        <w:pStyle w:val="BodyText"/>
        <w:spacing w:before="3"/>
        <w:rPr>
          <w:sz w:val="16"/>
        </w:rPr>
      </w:pPr>
    </w:p>
    <w:p>
      <w:pPr>
        <w:pStyle w:val="Heading2"/>
        <w:tabs>
          <w:tab w:pos="8208" w:val="left" w:leader="none"/>
        </w:tabs>
        <w:spacing w:before="92"/>
        <w:ind w:left="120"/>
        <w:rPr>
          <w:b w:val="0"/>
        </w:rPr>
      </w:pPr>
      <w:r>
        <w:rPr/>
        <w:t>ENTRY NO. 4 [PAYROLLS</w:t>
      </w:r>
      <w:r>
        <w:rPr>
          <w:spacing w:val="-10"/>
        </w:rPr>
        <w:t> </w:t>
      </w:r>
      <w:r>
        <w:rPr/>
        <w:t>ARE</w:t>
      </w:r>
      <w:r>
        <w:rPr>
          <w:spacing w:val="-3"/>
        </w:rPr>
        <w:t> </w:t>
      </w:r>
      <w:r>
        <w:rPr/>
        <w:t>PAID]</w:t>
        <w:tab/>
        <w:t>10504 </w:t>
      </w:r>
      <w:r>
        <w:rPr>
          <w:b w:val="0"/>
        </w:rPr>
        <w:t>(Cont.</w:t>
      </w:r>
      <w:r>
        <w:rPr>
          <w:b w:val="0"/>
          <w:spacing w:val="-6"/>
        </w:rPr>
        <w:t> </w:t>
      </w:r>
      <w:r>
        <w:rPr>
          <w:b w:val="0"/>
        </w:rPr>
        <w:t>1)</w:t>
      </w:r>
    </w:p>
    <w:p>
      <w:pPr>
        <w:pStyle w:val="BodyText"/>
        <w:rPr>
          <w:sz w:val="18"/>
        </w:rPr>
      </w:pPr>
    </w:p>
    <w:p>
      <w:pPr>
        <w:spacing w:before="1"/>
        <w:ind w:left="120" w:right="320" w:firstLine="50"/>
        <w:jc w:val="left"/>
        <w:rPr>
          <w:rFonts w:ascii="Arial"/>
          <w:sz w:val="18"/>
        </w:rPr>
      </w:pPr>
      <w:r>
        <w:rPr/>
        <w:pict>
          <v:line style="position:absolute;mso-position-horizontal-relative:page;mso-position-vertical-relative:paragraph;z-index:-65992" from="72pt,11.467924pt" to="533.940pt,11.467924pt" stroked="true" strokeweight=".66003pt" strokecolor="#000000">
            <v:stroke dashstyle="solid"/>
            <w10:wrap type="none"/>
          </v:line>
        </w:pict>
      </w:r>
      <w:r>
        <w:rPr>
          <w:rFonts w:ascii="Arial"/>
          <w:position w:val="9"/>
          <w:sz w:val="12"/>
        </w:rPr>
        <w:t>1/</w:t>
      </w:r>
      <w:r>
        <w:rPr>
          <w:rFonts w:ascii="Arial"/>
          <w:sz w:val="18"/>
        </w:rPr>
        <w:t>The debit to Account No. 1311 in this register is the gross amount of the overpayment as recorded from the SCO's </w:t>
      </w:r>
      <w:r>
        <w:rPr>
          <w:rFonts w:ascii="Arial"/>
          <w:sz w:val="18"/>
          <w:u w:val="single"/>
        </w:rPr>
        <w:t>accounts receivable warrant register.</w:t>
      </w:r>
    </w:p>
    <w:p>
      <w:pPr>
        <w:pStyle w:val="BodyText"/>
        <w:spacing w:before="1"/>
        <w:rPr>
          <w:rFonts w:ascii="Arial"/>
        </w:rPr>
      </w:pPr>
    </w:p>
    <w:p>
      <w:pPr>
        <w:spacing w:line="333" w:lineRule="auto" w:before="96"/>
        <w:ind w:left="120" w:right="274" w:firstLine="50"/>
        <w:jc w:val="left"/>
        <w:rPr>
          <w:rFonts w:ascii="Arial"/>
          <w:sz w:val="18"/>
        </w:rPr>
      </w:pPr>
      <w:r>
        <w:rPr/>
        <w:pict>
          <v:line style="position:absolute;mso-position-horizontal-relative:page;mso-position-vertical-relative:paragraph;z-index:-65968" from="72pt,16.218035pt" to="533.16pt,16.218035pt" stroked="true" strokeweight=".66003pt" strokecolor="#000000">
            <v:stroke dashstyle="solid"/>
            <w10:wrap type="none"/>
          </v:line>
        </w:pict>
      </w:r>
      <w:r>
        <w:rPr>
          <w:rFonts w:ascii="Arial"/>
          <w:position w:val="9"/>
          <w:sz w:val="12"/>
        </w:rPr>
        <w:t>2/</w:t>
      </w:r>
      <w:r>
        <w:rPr>
          <w:rFonts w:ascii="Arial"/>
          <w:sz w:val="18"/>
        </w:rPr>
        <w:t>The credit to Account No. 1311 is the gross amount of the overpayment recovered and returned to the department </w:t>
      </w:r>
      <w:r>
        <w:rPr>
          <w:rFonts w:ascii="Arial"/>
          <w:sz w:val="18"/>
          <w:u w:val="single"/>
        </w:rPr>
        <w:t>appropriation by transfer. The debit to Account No. 1311 for the same overpayment would have been recorded in the Payroll Expenditure Register for the month in which the SCO prepared an accounts receivable warrant register covering the overpayment.</w:t>
      </w:r>
    </w:p>
    <w:p>
      <w:pPr>
        <w:pStyle w:val="BodyText"/>
        <w:spacing w:before="2"/>
        <w:rPr>
          <w:rFonts w:ascii="Arial"/>
          <w:sz w:val="13"/>
        </w:rPr>
      </w:pPr>
    </w:p>
    <w:p>
      <w:pPr>
        <w:spacing w:line="333" w:lineRule="auto" w:before="97"/>
        <w:ind w:left="120" w:right="265" w:firstLine="50"/>
        <w:jc w:val="left"/>
        <w:rPr>
          <w:rFonts w:ascii="Arial"/>
          <w:sz w:val="18"/>
        </w:rPr>
      </w:pPr>
      <w:r>
        <w:rPr/>
        <w:pict>
          <v:line style="position:absolute;mso-position-horizontal-relative:page;mso-position-vertical-relative:paragraph;z-index:-65944" from="72pt,16.267927pt" to="536.580pt,16.267927pt" stroked="true" strokeweight=".65997pt" strokecolor="#000000">
            <v:stroke dashstyle="solid"/>
            <w10:wrap type="none"/>
          </v:line>
        </w:pict>
      </w:r>
      <w:r>
        <w:rPr>
          <w:rFonts w:ascii="Arial"/>
          <w:position w:val="9"/>
          <w:sz w:val="12"/>
        </w:rPr>
        <w:t>3/</w:t>
      </w:r>
      <w:r>
        <w:rPr>
          <w:rFonts w:ascii="Arial"/>
          <w:sz w:val="18"/>
        </w:rPr>
        <w:t>Except at the close of the fiscal year, the transfer covering the main regular monthly payroll for a given monthly pay </w:t>
      </w:r>
      <w:r>
        <w:rPr>
          <w:rFonts w:ascii="Arial"/>
          <w:sz w:val="18"/>
          <w:u w:val="single"/>
        </w:rPr>
        <w:t>period is recorded in the Payroll Expenditure Register for that month even though the transfer may be dated in the following month. Payroll transfers dated in July covering payrolls for services rendered in June must be recorded in the Payroll Expenditure Register for July.</w:t>
      </w:r>
    </w:p>
    <w:p>
      <w:pPr>
        <w:pStyle w:val="BodyText"/>
        <w:spacing w:before="4"/>
        <w:rPr>
          <w:rFonts w:ascii="Arial"/>
          <w:sz w:val="9"/>
        </w:rPr>
      </w:pPr>
    </w:p>
    <w:p>
      <w:pPr>
        <w:pStyle w:val="BodyText"/>
        <w:spacing w:line="364" w:lineRule="auto" w:before="92"/>
        <w:ind w:left="120" w:right="8593"/>
      </w:pPr>
      <w:r>
        <w:rPr>
          <w:u w:val="single"/>
        </w:rPr>
        <w:t>Source</w:t>
      </w:r>
      <w:r>
        <w:rPr/>
        <w:t>: </w:t>
      </w:r>
      <w:r>
        <w:rPr>
          <w:u w:val="single"/>
        </w:rPr>
        <w:t>Documents</w:t>
      </w:r>
      <w:r>
        <w:rPr/>
        <w:t>:</w:t>
      </w:r>
    </w:p>
    <w:p>
      <w:pPr>
        <w:pStyle w:val="BodyText"/>
        <w:spacing w:before="4"/>
        <w:ind w:left="480" w:right="216"/>
        <w:jc w:val="both"/>
      </w:pPr>
      <w:r>
        <w:rPr/>
        <w:t>Notice of State Payroll Revolving Fund Transfer, Form CD–62. (Transfers coded type 1, 7, and 9 are transfers </w:t>
      </w:r>
      <w:r>
        <w:rPr>
          <w:u w:val="single"/>
        </w:rPr>
        <w:t>to </w:t>
      </w:r>
      <w:r>
        <w:rPr/>
        <w:t>the State Payroll Revolving Fund. Transfers coded type 3, 4, 5, 6, and 8 are transfers </w:t>
      </w:r>
      <w:r>
        <w:rPr>
          <w:u w:val="single"/>
        </w:rPr>
        <w:t>from </w:t>
      </w:r>
      <w:r>
        <w:rPr/>
        <w:t>the State Payroll Revolving Fund. See Section 8590 for additional</w:t>
      </w:r>
      <w:r>
        <w:rPr>
          <w:spacing w:val="-22"/>
        </w:rPr>
        <w:t> </w:t>
      </w:r>
      <w:r>
        <w:rPr/>
        <w:t>explanation.)</w:t>
      </w:r>
    </w:p>
    <w:p>
      <w:pPr>
        <w:pStyle w:val="BodyText"/>
        <w:spacing w:before="119"/>
        <w:ind w:left="480" w:right="217"/>
        <w:jc w:val="both"/>
      </w:pPr>
      <w:r>
        <w:rPr/>
        <w:t>Controller's Register of Accounts Receivable. (These Controller's registers list overpayments reported to or by the State Controller's Office and will be covered by transfers type 5 when the overpayments are recovered.)</w:t>
      </w:r>
    </w:p>
    <w:p>
      <w:pPr>
        <w:pStyle w:val="BodyText"/>
        <w:spacing w:before="119"/>
        <w:ind w:left="480"/>
        <w:jc w:val="both"/>
      </w:pPr>
      <w:r>
        <w:rPr>
          <w:u w:val="single"/>
        </w:rPr>
        <w:t>Register</w:t>
      </w:r>
      <w:r>
        <w:rPr/>
        <w:t>:</w:t>
      </w:r>
    </w:p>
    <w:p>
      <w:pPr>
        <w:pStyle w:val="BodyText"/>
        <w:spacing w:line="364" w:lineRule="auto" w:before="120"/>
        <w:ind w:left="480" w:right="6878"/>
      </w:pPr>
      <w:r>
        <w:rPr/>
        <w:t>Payroll Expenditure Register (Continued)</w:t>
      </w:r>
    </w:p>
    <w:p>
      <w:pPr>
        <w:spacing w:after="0" w:line="364" w:lineRule="auto"/>
        <w:sectPr>
          <w:pgSz w:w="12240" w:h="15840"/>
          <w:pgMar w:header="727" w:footer="743" w:top="940" w:bottom="940" w:left="1320" w:right="1220"/>
        </w:sectPr>
      </w:pPr>
    </w:p>
    <w:p>
      <w:pPr>
        <w:pStyle w:val="BodyText"/>
      </w:pPr>
    </w:p>
    <w:p>
      <w:pPr>
        <w:pStyle w:val="BodyText"/>
        <w:spacing w:before="4"/>
        <w:rPr>
          <w:sz w:val="22"/>
        </w:rPr>
      </w:pPr>
    </w:p>
    <w:p>
      <w:pPr>
        <w:pStyle w:val="BodyText"/>
        <w:ind w:left="239"/>
      </w:pPr>
      <w:r>
        <w:rPr/>
        <w:t>(Continued)</w:t>
      </w:r>
    </w:p>
    <w:p>
      <w:pPr>
        <w:pStyle w:val="BodyText"/>
        <w:spacing w:before="6"/>
        <w:rPr>
          <w:sz w:val="30"/>
        </w:rPr>
      </w:pPr>
    </w:p>
    <w:p>
      <w:pPr>
        <w:pStyle w:val="Heading2"/>
        <w:tabs>
          <w:tab w:pos="8294" w:val="left" w:leader="none"/>
        </w:tabs>
        <w:spacing w:line="229" w:lineRule="exact" w:before="0"/>
        <w:ind w:left="239"/>
      </w:pPr>
      <w:r>
        <w:rPr/>
        <w:t>ENTRY</w:t>
      </w:r>
      <w:r>
        <w:rPr>
          <w:spacing w:val="-3"/>
        </w:rPr>
        <w:t> </w:t>
      </w:r>
      <w:r>
        <w:rPr/>
        <w:t>NO.</w:t>
      </w:r>
      <w:r>
        <w:rPr>
          <w:spacing w:val="-2"/>
        </w:rPr>
        <w:t> </w:t>
      </w:r>
      <w:r>
        <w:rPr/>
        <w:t>4</w:t>
        <w:tab/>
        <w:t>10504 (Cont.</w:t>
      </w:r>
      <w:r>
        <w:rPr>
          <w:spacing w:val="-7"/>
        </w:rPr>
        <w:t> </w:t>
      </w:r>
      <w:r>
        <w:rPr/>
        <w:t>2)</w:t>
      </w:r>
    </w:p>
    <w:p>
      <w:pPr>
        <w:pStyle w:val="BodyText"/>
        <w:spacing w:line="229" w:lineRule="exact"/>
        <w:ind w:left="239"/>
      </w:pPr>
      <w:r>
        <w:rPr/>
        <w:t>(Revised 5/87)</w:t>
      </w:r>
    </w:p>
    <w:p>
      <w:pPr>
        <w:pStyle w:val="BodyText"/>
      </w:pPr>
    </w:p>
    <w:p>
      <w:pPr>
        <w:pStyle w:val="BodyText"/>
        <w:ind w:left="239"/>
      </w:pPr>
      <w:r>
        <w:rPr>
          <w:u w:val="single"/>
        </w:rPr>
        <w:t>Explanation</w:t>
      </w:r>
      <w:r>
        <w:rPr/>
        <w:t>:</w:t>
      </w:r>
    </w:p>
    <w:p>
      <w:pPr>
        <w:pStyle w:val="BodyText"/>
        <w:spacing w:before="120"/>
        <w:ind w:left="600" w:right="112" w:hanging="1"/>
        <w:jc w:val="both"/>
      </w:pPr>
      <w:r>
        <w:rPr/>
        <w:t>Under the uniform state payroll system, agency payrolls are prepared by the State Controller's Office and salary warrants are drawn on the State Payroll Revolving Fund. The State Controller's Office transfers from the agency's appropriation and/or fund the gross amount of each such payroll plus the amount of related state contributions for employees' retirement, OASDI, health and dental benefits, and returns by transfer to the agency's appropriation and/or fund any amounts remaining in the State Payroll Revolving Fund as a result of warrants voided or redeposited and overpayments recovered. These transfers, supported by payroll warrant register forms, are recorded by the agency in a Payroll Expenditure Register, the net total of which represent payroll expenditures to be recorded in the agency accounts. See Sections 8590 and 8593 for additional explanation.</w:t>
      </w:r>
    </w:p>
    <w:p>
      <w:pPr>
        <w:pStyle w:val="BodyText"/>
        <w:spacing w:before="10"/>
        <w:rPr>
          <w:sz w:val="19"/>
        </w:rPr>
      </w:pPr>
    </w:p>
    <w:p>
      <w:pPr>
        <w:pStyle w:val="BodyText"/>
        <w:spacing w:before="1"/>
        <w:ind w:left="2843" w:right="2721"/>
        <w:jc w:val="center"/>
      </w:pPr>
      <w:r>
        <w:rPr/>
        <w:t>PAYROLL EXPENDITURE REGISTER</w:t>
      </w:r>
    </w:p>
    <w:p>
      <w:pPr>
        <w:pStyle w:val="BodyText"/>
        <w:spacing w:before="7"/>
        <w:rPr>
          <w:sz w:val="21"/>
        </w:rPr>
      </w:pPr>
    </w:p>
    <w:tbl>
      <w:tblPr>
        <w:tblW w:w="0" w:type="auto"/>
        <w:jc w:val="left"/>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65"/>
        <w:gridCol w:w="785"/>
        <w:gridCol w:w="792"/>
        <w:gridCol w:w="792"/>
        <w:gridCol w:w="936"/>
        <w:gridCol w:w="936"/>
        <w:gridCol w:w="792"/>
        <w:gridCol w:w="792"/>
        <w:gridCol w:w="864"/>
        <w:gridCol w:w="864"/>
        <w:gridCol w:w="1007"/>
      </w:tblGrid>
      <w:tr>
        <w:trPr>
          <w:trHeight w:val="941" w:hRule="exact"/>
        </w:trPr>
        <w:tc>
          <w:tcPr>
            <w:tcW w:w="865" w:type="dxa"/>
            <w:tcBorders>
              <w:bottom w:val="single" w:sz="6" w:space="0" w:color="000000"/>
              <w:right w:val="single" w:sz="6" w:space="0" w:color="000000"/>
            </w:tcBorders>
          </w:tcPr>
          <w:p>
            <w:pPr>
              <w:pStyle w:val="TableParagraph"/>
              <w:rPr>
                <w:rFonts w:ascii="Times New Roman"/>
                <w:sz w:val="18"/>
              </w:rPr>
            </w:pPr>
          </w:p>
          <w:p>
            <w:pPr>
              <w:pStyle w:val="TableParagraph"/>
              <w:spacing w:before="156"/>
              <w:ind w:left="253" w:right="259"/>
              <w:jc w:val="center"/>
              <w:rPr>
                <w:rFonts w:ascii="Times New Roman"/>
                <w:sz w:val="16"/>
              </w:rPr>
            </w:pPr>
            <w:r>
              <w:rPr>
                <w:rFonts w:ascii="Times New Roman"/>
                <w:sz w:val="16"/>
              </w:rPr>
              <w:t>Type of</w:t>
            </w:r>
          </w:p>
          <w:p>
            <w:pPr>
              <w:pStyle w:val="TableParagraph"/>
              <w:spacing w:line="184" w:lineRule="exact"/>
              <w:ind w:left="127" w:right="132"/>
              <w:jc w:val="center"/>
              <w:rPr>
                <w:rFonts w:ascii="Times New Roman"/>
                <w:sz w:val="16"/>
              </w:rPr>
            </w:pPr>
            <w:r>
              <w:rPr>
                <w:rFonts w:ascii="Times New Roman"/>
                <w:sz w:val="16"/>
              </w:rPr>
              <w:t>Transfer</w:t>
            </w:r>
          </w:p>
        </w:tc>
        <w:tc>
          <w:tcPr>
            <w:tcW w:w="785" w:type="dxa"/>
            <w:tcBorders>
              <w:left w:val="single" w:sz="6" w:space="0" w:color="000000"/>
              <w:bottom w:val="single" w:sz="6" w:space="0" w:color="000000"/>
              <w:right w:val="single" w:sz="6" w:space="0" w:color="000000"/>
            </w:tcBorders>
          </w:tcPr>
          <w:p>
            <w:pPr>
              <w:pStyle w:val="TableParagraph"/>
              <w:rPr>
                <w:rFonts w:ascii="Times New Roman"/>
                <w:sz w:val="18"/>
              </w:rPr>
            </w:pPr>
          </w:p>
          <w:p>
            <w:pPr>
              <w:pStyle w:val="TableParagraph"/>
              <w:spacing w:before="156"/>
              <w:ind w:left="176" w:right="174"/>
              <w:jc w:val="center"/>
              <w:rPr>
                <w:rFonts w:ascii="Times New Roman"/>
                <w:sz w:val="16"/>
              </w:rPr>
            </w:pPr>
            <w:r>
              <w:rPr>
                <w:rFonts w:ascii="Times New Roman"/>
                <w:sz w:val="16"/>
              </w:rPr>
              <w:t>Trans-</w:t>
            </w:r>
            <w:r>
              <w:rPr>
                <w:rFonts w:ascii="Times New Roman"/>
                <w:w w:val="99"/>
                <w:sz w:val="16"/>
              </w:rPr>
              <w:t> </w:t>
            </w:r>
            <w:r>
              <w:rPr>
                <w:rFonts w:ascii="Times New Roman"/>
                <w:sz w:val="16"/>
              </w:rPr>
              <w:t>fer Date</w:t>
            </w:r>
          </w:p>
        </w:tc>
        <w:tc>
          <w:tcPr>
            <w:tcW w:w="792" w:type="dxa"/>
            <w:tcBorders>
              <w:left w:val="single" w:sz="6" w:space="0" w:color="000000"/>
              <w:bottom w:val="single" w:sz="6" w:space="0" w:color="000000"/>
              <w:right w:val="single" w:sz="6" w:space="0" w:color="000000"/>
            </w:tcBorders>
          </w:tcPr>
          <w:p>
            <w:pPr>
              <w:pStyle w:val="TableParagraph"/>
              <w:rPr>
                <w:rFonts w:ascii="Times New Roman"/>
                <w:sz w:val="18"/>
              </w:rPr>
            </w:pPr>
          </w:p>
          <w:p>
            <w:pPr>
              <w:pStyle w:val="TableParagraph"/>
              <w:rPr>
                <w:rFonts w:ascii="Times New Roman"/>
                <w:sz w:val="18"/>
              </w:rPr>
            </w:pPr>
          </w:p>
          <w:p>
            <w:pPr>
              <w:pStyle w:val="TableParagraph"/>
              <w:spacing w:before="134"/>
              <w:ind w:left="237" w:right="205" w:hanging="14"/>
              <w:rPr>
                <w:rFonts w:ascii="Times New Roman"/>
                <w:sz w:val="16"/>
              </w:rPr>
            </w:pPr>
            <w:r>
              <w:rPr>
                <w:rFonts w:ascii="Times New Roman"/>
                <w:sz w:val="16"/>
              </w:rPr>
              <w:t>Issue Date</w:t>
            </w:r>
          </w:p>
        </w:tc>
        <w:tc>
          <w:tcPr>
            <w:tcW w:w="792" w:type="dxa"/>
            <w:tcBorders>
              <w:left w:val="single" w:sz="6" w:space="0" w:color="000000"/>
              <w:bottom w:val="single" w:sz="6" w:space="0" w:color="000000"/>
              <w:right w:val="single" w:sz="6" w:space="0" w:color="000000"/>
            </w:tcBorders>
          </w:tcPr>
          <w:p>
            <w:pPr>
              <w:pStyle w:val="TableParagraph"/>
              <w:rPr>
                <w:rFonts w:ascii="Times New Roman"/>
                <w:sz w:val="18"/>
              </w:rPr>
            </w:pPr>
          </w:p>
          <w:p>
            <w:pPr>
              <w:pStyle w:val="TableParagraph"/>
              <w:spacing w:before="156"/>
              <w:ind w:left="188" w:right="188"/>
              <w:jc w:val="center"/>
              <w:rPr>
                <w:rFonts w:ascii="Times New Roman"/>
                <w:sz w:val="16"/>
              </w:rPr>
            </w:pPr>
            <w:r>
              <w:rPr>
                <w:rFonts w:ascii="Times New Roman"/>
                <w:w w:val="95"/>
                <w:sz w:val="16"/>
              </w:rPr>
              <w:t>Clear- </w:t>
            </w:r>
            <w:r>
              <w:rPr>
                <w:rFonts w:ascii="Times New Roman"/>
                <w:sz w:val="16"/>
              </w:rPr>
              <w:t>ance No.</w:t>
            </w:r>
          </w:p>
        </w:tc>
        <w:tc>
          <w:tcPr>
            <w:tcW w:w="936" w:type="dxa"/>
            <w:tcBorders>
              <w:left w:val="single" w:sz="6" w:space="0" w:color="000000"/>
              <w:bottom w:val="single" w:sz="6" w:space="0" w:color="000000"/>
              <w:right w:val="single" w:sz="6" w:space="0" w:color="000000"/>
            </w:tcBorders>
          </w:tcPr>
          <w:p>
            <w:pPr>
              <w:pStyle w:val="TableParagraph"/>
              <w:rPr>
                <w:rFonts w:ascii="Times New Roman"/>
                <w:sz w:val="18"/>
              </w:rPr>
            </w:pPr>
          </w:p>
          <w:p>
            <w:pPr>
              <w:pStyle w:val="TableParagraph"/>
              <w:rPr>
                <w:rFonts w:ascii="Times New Roman"/>
                <w:sz w:val="18"/>
              </w:rPr>
            </w:pPr>
          </w:p>
          <w:p>
            <w:pPr>
              <w:pStyle w:val="TableParagraph"/>
              <w:spacing w:before="134"/>
              <w:ind w:left="343" w:right="170" w:hanging="154"/>
              <w:rPr>
                <w:rFonts w:ascii="Times New Roman"/>
                <w:sz w:val="16"/>
              </w:rPr>
            </w:pPr>
            <w:r>
              <w:rPr>
                <w:rFonts w:ascii="Times New Roman"/>
                <w:sz w:val="16"/>
              </w:rPr>
              <w:t>Transfer No.</w:t>
            </w:r>
          </w:p>
        </w:tc>
        <w:tc>
          <w:tcPr>
            <w:tcW w:w="936" w:type="dxa"/>
            <w:tcBorders>
              <w:left w:val="single" w:sz="6" w:space="0" w:color="000000"/>
              <w:bottom w:val="single" w:sz="6" w:space="0" w:color="000000"/>
              <w:right w:val="single" w:sz="6" w:space="0" w:color="000000"/>
            </w:tcBorders>
          </w:tcPr>
          <w:p>
            <w:pPr>
              <w:pStyle w:val="TableParagraph"/>
              <w:rPr>
                <w:rFonts w:ascii="Times New Roman"/>
                <w:sz w:val="18"/>
              </w:rPr>
            </w:pPr>
          </w:p>
          <w:p>
            <w:pPr>
              <w:pStyle w:val="TableParagraph"/>
              <w:rPr>
                <w:rFonts w:ascii="Times New Roman"/>
                <w:sz w:val="18"/>
              </w:rPr>
            </w:pPr>
          </w:p>
          <w:p>
            <w:pPr>
              <w:pStyle w:val="TableParagraph"/>
              <w:spacing w:before="134"/>
              <w:ind w:left="400" w:right="140" w:hanging="243"/>
              <w:rPr>
                <w:rFonts w:ascii="Times New Roman"/>
                <w:sz w:val="16"/>
              </w:rPr>
            </w:pPr>
            <w:r>
              <w:rPr>
                <w:rFonts w:ascii="Times New Roman"/>
                <w:sz w:val="16"/>
              </w:rPr>
              <w:t>Transfers 1.</w:t>
            </w:r>
          </w:p>
        </w:tc>
        <w:tc>
          <w:tcPr>
            <w:tcW w:w="1584" w:type="dxa"/>
            <w:gridSpan w:val="2"/>
            <w:tcBorders>
              <w:left w:val="single" w:sz="6" w:space="0" w:color="000000"/>
              <w:bottom w:val="single" w:sz="6" w:space="0" w:color="000000"/>
              <w:right w:val="single" w:sz="6" w:space="0" w:color="000000"/>
            </w:tcBorders>
          </w:tcPr>
          <w:p>
            <w:pPr>
              <w:pStyle w:val="TableParagraph"/>
              <w:ind w:left="375" w:right="375" w:firstLine="1"/>
              <w:jc w:val="center"/>
              <w:rPr>
                <w:rFonts w:ascii="Times New Roman"/>
                <w:sz w:val="16"/>
              </w:rPr>
            </w:pPr>
            <w:r>
              <w:rPr>
                <w:rFonts w:ascii="Times New Roman"/>
                <w:sz w:val="16"/>
              </w:rPr>
              <w:t>Accounts </w:t>
            </w:r>
            <w:r>
              <w:rPr>
                <w:rFonts w:ascii="Times New Roman"/>
                <w:w w:val="95"/>
                <w:sz w:val="16"/>
              </w:rPr>
              <w:t>Receivable-- </w:t>
            </w:r>
            <w:r>
              <w:rPr>
                <w:rFonts w:ascii="Times New Roman"/>
                <w:sz w:val="16"/>
                <w:u w:val="single"/>
              </w:rPr>
              <w:t>Abatements</w:t>
            </w:r>
          </w:p>
          <w:p>
            <w:pPr>
              <w:pStyle w:val="TableParagraph"/>
              <w:tabs>
                <w:tab w:pos="846" w:val="left" w:leader="none"/>
              </w:tabs>
              <w:spacing w:line="184" w:lineRule="exact" w:before="4"/>
              <w:ind w:right="1"/>
              <w:jc w:val="center"/>
              <w:rPr>
                <w:rFonts w:ascii="Times New Roman"/>
                <w:sz w:val="16"/>
              </w:rPr>
            </w:pPr>
            <w:r>
              <w:rPr>
                <w:rFonts w:ascii="Times New Roman"/>
                <w:sz w:val="16"/>
              </w:rPr>
              <w:t>Dr.</w:t>
              <w:tab/>
              <w:t>Cr.</w:t>
            </w:r>
          </w:p>
          <w:p>
            <w:pPr>
              <w:pStyle w:val="TableParagraph"/>
              <w:tabs>
                <w:tab w:pos="799" w:val="left" w:leader="none"/>
              </w:tabs>
              <w:jc w:val="center"/>
              <w:rPr>
                <w:rFonts w:ascii="Times New Roman"/>
                <w:sz w:val="16"/>
              </w:rPr>
            </w:pPr>
            <w:r>
              <w:rPr>
                <w:rFonts w:ascii="Times New Roman"/>
                <w:sz w:val="16"/>
              </w:rPr>
              <w:t>2.</w:t>
              <w:tab/>
              <w:t>3.</w:t>
            </w:r>
          </w:p>
        </w:tc>
        <w:tc>
          <w:tcPr>
            <w:tcW w:w="864" w:type="dxa"/>
            <w:tcBorders>
              <w:left w:val="single" w:sz="6" w:space="0" w:color="000000"/>
              <w:bottom w:val="single" w:sz="6" w:space="0" w:color="000000"/>
              <w:right w:val="single" w:sz="6" w:space="0" w:color="000000"/>
            </w:tcBorders>
          </w:tcPr>
          <w:p>
            <w:pPr>
              <w:pStyle w:val="TableParagraph"/>
              <w:ind w:left="130" w:right="129"/>
              <w:jc w:val="center"/>
              <w:rPr>
                <w:rFonts w:ascii="Times New Roman"/>
                <w:sz w:val="16"/>
              </w:rPr>
            </w:pPr>
            <w:r>
              <w:rPr>
                <w:rFonts w:ascii="Times New Roman"/>
                <w:w w:val="95"/>
                <w:sz w:val="16"/>
              </w:rPr>
              <w:t>Expendi- </w:t>
            </w:r>
            <w:r>
              <w:rPr>
                <w:rFonts w:ascii="Times New Roman"/>
                <w:sz w:val="16"/>
              </w:rPr>
              <w:t>tures-- Current Year</w:t>
            </w:r>
          </w:p>
          <w:p>
            <w:pPr>
              <w:pStyle w:val="TableParagraph"/>
              <w:spacing w:line="184" w:lineRule="exact" w:before="4"/>
              <w:ind w:left="129" w:right="129"/>
              <w:jc w:val="center"/>
              <w:rPr>
                <w:rFonts w:ascii="Times New Roman"/>
                <w:sz w:val="16"/>
              </w:rPr>
            </w:pPr>
            <w:r>
              <w:rPr>
                <w:rFonts w:ascii="Times New Roman"/>
                <w:sz w:val="16"/>
              </w:rPr>
              <w:t>4.</w:t>
            </w:r>
          </w:p>
        </w:tc>
        <w:tc>
          <w:tcPr>
            <w:tcW w:w="864" w:type="dxa"/>
            <w:tcBorders>
              <w:left w:val="single" w:sz="6" w:space="0" w:color="000000"/>
              <w:bottom w:val="single" w:sz="6" w:space="0" w:color="000000"/>
              <w:right w:val="single" w:sz="6" w:space="0" w:color="000000"/>
            </w:tcBorders>
          </w:tcPr>
          <w:p>
            <w:pPr>
              <w:pStyle w:val="TableParagraph"/>
              <w:ind w:left="130" w:right="129"/>
              <w:jc w:val="center"/>
              <w:rPr>
                <w:rFonts w:ascii="Times New Roman"/>
                <w:sz w:val="16"/>
              </w:rPr>
            </w:pPr>
            <w:r>
              <w:rPr>
                <w:rFonts w:ascii="Times New Roman"/>
                <w:w w:val="95"/>
                <w:sz w:val="16"/>
              </w:rPr>
              <w:t>Expendi- </w:t>
            </w:r>
            <w:r>
              <w:rPr>
                <w:rFonts w:ascii="Times New Roman"/>
                <w:sz w:val="16"/>
              </w:rPr>
              <w:t>tures- Prior Year</w:t>
            </w:r>
          </w:p>
          <w:p>
            <w:pPr>
              <w:pStyle w:val="TableParagraph"/>
              <w:spacing w:line="184" w:lineRule="exact" w:before="4"/>
              <w:ind w:left="129" w:right="129"/>
              <w:jc w:val="center"/>
              <w:rPr>
                <w:rFonts w:ascii="Times New Roman"/>
                <w:sz w:val="16"/>
              </w:rPr>
            </w:pPr>
            <w:r>
              <w:rPr>
                <w:rFonts w:ascii="Times New Roman"/>
                <w:sz w:val="16"/>
              </w:rPr>
              <w:t>5.</w:t>
            </w:r>
          </w:p>
        </w:tc>
        <w:tc>
          <w:tcPr>
            <w:tcW w:w="1007" w:type="dxa"/>
            <w:tcBorders>
              <w:left w:val="single" w:sz="6" w:space="0" w:color="000000"/>
              <w:bottom w:val="single" w:sz="6" w:space="0" w:color="000000"/>
            </w:tcBorders>
          </w:tcPr>
          <w:p>
            <w:pPr>
              <w:pStyle w:val="TableParagraph"/>
              <w:spacing w:before="7"/>
              <w:rPr>
                <w:rFonts w:ascii="Times New Roman"/>
                <w:sz w:val="15"/>
              </w:rPr>
            </w:pPr>
          </w:p>
          <w:p>
            <w:pPr>
              <w:pStyle w:val="TableParagraph"/>
              <w:ind w:left="149" w:right="139" w:hanging="2"/>
              <w:jc w:val="center"/>
              <w:rPr>
                <w:rFonts w:ascii="Times New Roman"/>
                <w:sz w:val="16"/>
              </w:rPr>
            </w:pPr>
            <w:r>
              <w:rPr>
                <w:rFonts w:ascii="Times New Roman"/>
                <w:sz w:val="16"/>
              </w:rPr>
              <w:t>Encum- brances </w:t>
            </w:r>
            <w:r>
              <w:rPr>
                <w:rFonts w:ascii="Times New Roman"/>
                <w:w w:val="95"/>
                <w:sz w:val="16"/>
              </w:rPr>
              <w:t>Liquidated </w:t>
            </w:r>
            <w:r>
              <w:rPr>
                <w:rFonts w:ascii="Times New Roman"/>
                <w:sz w:val="16"/>
              </w:rPr>
              <w:t>6.</w:t>
            </w:r>
          </w:p>
        </w:tc>
      </w:tr>
      <w:tr>
        <w:trPr>
          <w:trHeight w:val="283" w:hRule="exact"/>
        </w:trPr>
        <w:tc>
          <w:tcPr>
            <w:tcW w:w="865" w:type="dxa"/>
            <w:tcBorders>
              <w:top w:val="single" w:sz="6" w:space="0" w:color="000000"/>
              <w:bottom w:val="nil"/>
              <w:right w:val="single" w:sz="6" w:space="0" w:color="000000"/>
            </w:tcBorders>
          </w:tcPr>
          <w:p>
            <w:pPr>
              <w:pStyle w:val="TableParagraph"/>
              <w:spacing w:line="181" w:lineRule="exact"/>
              <w:ind w:right="8"/>
              <w:jc w:val="center"/>
              <w:rPr>
                <w:rFonts w:ascii="Times New Roman"/>
                <w:sz w:val="16"/>
              </w:rPr>
            </w:pPr>
            <w:r>
              <w:rPr>
                <w:rFonts w:ascii="Times New Roman"/>
                <w:w w:val="99"/>
                <w:sz w:val="16"/>
              </w:rPr>
              <w:t>1</w:t>
            </w:r>
          </w:p>
        </w:tc>
        <w:tc>
          <w:tcPr>
            <w:tcW w:w="785" w:type="dxa"/>
            <w:tcBorders>
              <w:top w:val="single" w:sz="6" w:space="0" w:color="000000"/>
              <w:left w:val="single" w:sz="6" w:space="0" w:color="000000"/>
              <w:bottom w:val="nil"/>
              <w:right w:val="single" w:sz="6" w:space="0" w:color="000000"/>
            </w:tcBorders>
          </w:tcPr>
          <w:p>
            <w:pPr>
              <w:pStyle w:val="TableParagraph"/>
              <w:spacing w:line="181" w:lineRule="exact"/>
              <w:ind w:right="99"/>
              <w:jc w:val="right"/>
              <w:rPr>
                <w:rFonts w:ascii="Times New Roman"/>
                <w:sz w:val="16"/>
              </w:rPr>
            </w:pPr>
            <w:r>
              <w:rPr>
                <w:rFonts w:ascii="Times New Roman"/>
                <w:sz w:val="16"/>
              </w:rPr>
              <w:t>8-3</w:t>
            </w:r>
          </w:p>
        </w:tc>
        <w:tc>
          <w:tcPr>
            <w:tcW w:w="792" w:type="dxa"/>
            <w:tcBorders>
              <w:top w:val="single" w:sz="6" w:space="0" w:color="000000"/>
              <w:left w:val="single" w:sz="6" w:space="0" w:color="000000"/>
              <w:bottom w:val="nil"/>
              <w:right w:val="single" w:sz="6" w:space="0" w:color="000000"/>
            </w:tcBorders>
          </w:tcPr>
          <w:p>
            <w:pPr>
              <w:pStyle w:val="TableParagraph"/>
              <w:spacing w:line="181" w:lineRule="exact"/>
              <w:ind w:right="99"/>
              <w:jc w:val="right"/>
              <w:rPr>
                <w:rFonts w:ascii="Times New Roman"/>
                <w:sz w:val="16"/>
              </w:rPr>
            </w:pPr>
            <w:r>
              <w:rPr>
                <w:rFonts w:ascii="Times New Roman"/>
                <w:sz w:val="16"/>
              </w:rPr>
              <w:t>8-3</w:t>
            </w:r>
          </w:p>
        </w:tc>
        <w:tc>
          <w:tcPr>
            <w:tcW w:w="792" w:type="dxa"/>
            <w:tcBorders>
              <w:top w:val="single" w:sz="6" w:space="0" w:color="000000"/>
              <w:left w:val="single" w:sz="6" w:space="0" w:color="000000"/>
              <w:bottom w:val="nil"/>
              <w:right w:val="single" w:sz="6" w:space="0" w:color="000000"/>
            </w:tcBorders>
          </w:tcPr>
          <w:p>
            <w:pPr>
              <w:pStyle w:val="TableParagraph"/>
              <w:spacing w:line="181" w:lineRule="exact"/>
              <w:ind w:right="97"/>
              <w:jc w:val="right"/>
              <w:rPr>
                <w:rFonts w:ascii="Times New Roman"/>
                <w:sz w:val="16"/>
              </w:rPr>
            </w:pPr>
            <w:r>
              <w:rPr>
                <w:rFonts w:ascii="Times New Roman"/>
                <w:w w:val="95"/>
                <w:sz w:val="16"/>
              </w:rPr>
              <w:t>892</w:t>
            </w:r>
          </w:p>
        </w:tc>
        <w:tc>
          <w:tcPr>
            <w:tcW w:w="936" w:type="dxa"/>
            <w:tcBorders>
              <w:top w:val="single" w:sz="6" w:space="0" w:color="000000"/>
              <w:left w:val="single" w:sz="6" w:space="0" w:color="000000"/>
              <w:bottom w:val="nil"/>
              <w:right w:val="single" w:sz="6" w:space="0" w:color="000000"/>
            </w:tcBorders>
          </w:tcPr>
          <w:p>
            <w:pPr>
              <w:pStyle w:val="TableParagraph"/>
              <w:spacing w:line="181" w:lineRule="exact"/>
              <w:ind w:right="97"/>
              <w:jc w:val="right"/>
              <w:rPr>
                <w:rFonts w:ascii="Times New Roman"/>
                <w:sz w:val="16"/>
              </w:rPr>
            </w:pPr>
            <w:r>
              <w:rPr>
                <w:rFonts w:ascii="Times New Roman"/>
                <w:w w:val="95"/>
                <w:sz w:val="16"/>
              </w:rPr>
              <w:t>457</w:t>
            </w:r>
          </w:p>
        </w:tc>
        <w:tc>
          <w:tcPr>
            <w:tcW w:w="936" w:type="dxa"/>
            <w:tcBorders>
              <w:top w:val="single" w:sz="6" w:space="0" w:color="000000"/>
              <w:left w:val="single" w:sz="6" w:space="0" w:color="000000"/>
              <w:bottom w:val="nil"/>
              <w:right w:val="single" w:sz="6" w:space="0" w:color="000000"/>
            </w:tcBorders>
          </w:tcPr>
          <w:p>
            <w:pPr>
              <w:pStyle w:val="TableParagraph"/>
              <w:spacing w:line="181" w:lineRule="exact"/>
              <w:ind w:right="97"/>
              <w:jc w:val="right"/>
              <w:rPr>
                <w:rFonts w:ascii="Times New Roman"/>
                <w:sz w:val="16"/>
              </w:rPr>
            </w:pPr>
            <w:r>
              <w:rPr>
                <w:rFonts w:ascii="Times New Roman"/>
                <w:sz w:val="16"/>
              </w:rPr>
              <w:t>10,000</w:t>
            </w:r>
          </w:p>
        </w:tc>
        <w:tc>
          <w:tcPr>
            <w:tcW w:w="792" w:type="dxa"/>
            <w:tcBorders>
              <w:top w:val="single" w:sz="6" w:space="0" w:color="000000"/>
              <w:left w:val="single" w:sz="6" w:space="0" w:color="000000"/>
              <w:bottom w:val="nil"/>
              <w:right w:val="single" w:sz="6" w:space="0" w:color="000000"/>
            </w:tcBorders>
          </w:tcPr>
          <w:p>
            <w:pPr/>
          </w:p>
        </w:tc>
        <w:tc>
          <w:tcPr>
            <w:tcW w:w="792" w:type="dxa"/>
            <w:tcBorders>
              <w:top w:val="single" w:sz="6" w:space="0" w:color="000000"/>
              <w:left w:val="single" w:sz="6" w:space="0" w:color="000000"/>
              <w:bottom w:val="nil"/>
              <w:right w:val="single" w:sz="6" w:space="0" w:color="000000"/>
            </w:tcBorders>
          </w:tcPr>
          <w:p>
            <w:pPr/>
          </w:p>
        </w:tc>
        <w:tc>
          <w:tcPr>
            <w:tcW w:w="864" w:type="dxa"/>
            <w:tcBorders>
              <w:top w:val="single" w:sz="6" w:space="0" w:color="000000"/>
              <w:left w:val="single" w:sz="6" w:space="0" w:color="000000"/>
              <w:bottom w:val="nil"/>
              <w:right w:val="single" w:sz="6" w:space="0" w:color="000000"/>
            </w:tcBorders>
          </w:tcPr>
          <w:p>
            <w:pPr>
              <w:pStyle w:val="TableParagraph"/>
              <w:spacing w:line="181" w:lineRule="exact"/>
              <w:ind w:right="97"/>
              <w:jc w:val="right"/>
              <w:rPr>
                <w:rFonts w:ascii="Times New Roman"/>
                <w:sz w:val="16"/>
              </w:rPr>
            </w:pPr>
            <w:r>
              <w:rPr>
                <w:rFonts w:ascii="Times New Roman"/>
                <w:sz w:val="16"/>
              </w:rPr>
              <w:t>10,000</w:t>
            </w:r>
          </w:p>
        </w:tc>
        <w:tc>
          <w:tcPr>
            <w:tcW w:w="864" w:type="dxa"/>
            <w:tcBorders>
              <w:top w:val="single" w:sz="6" w:space="0" w:color="000000"/>
              <w:left w:val="single" w:sz="6" w:space="0" w:color="000000"/>
              <w:bottom w:val="nil"/>
              <w:right w:val="single" w:sz="6" w:space="0" w:color="000000"/>
            </w:tcBorders>
          </w:tcPr>
          <w:p>
            <w:pPr/>
          </w:p>
        </w:tc>
        <w:tc>
          <w:tcPr>
            <w:tcW w:w="1007" w:type="dxa"/>
            <w:tcBorders>
              <w:top w:val="single" w:sz="6" w:space="0" w:color="000000"/>
              <w:left w:val="single" w:sz="6" w:space="0" w:color="000000"/>
              <w:bottom w:val="nil"/>
            </w:tcBorders>
          </w:tcPr>
          <w:p>
            <w:pPr>
              <w:pStyle w:val="TableParagraph"/>
              <w:spacing w:line="181" w:lineRule="exact"/>
              <w:ind w:right="89"/>
              <w:jc w:val="right"/>
              <w:rPr>
                <w:rFonts w:ascii="Times New Roman"/>
                <w:sz w:val="16"/>
              </w:rPr>
            </w:pPr>
            <w:r>
              <w:rPr>
                <w:rFonts w:ascii="Times New Roman"/>
                <w:sz w:val="16"/>
              </w:rPr>
              <w:t>9,000</w:t>
            </w:r>
          </w:p>
        </w:tc>
      </w:tr>
      <w:tr>
        <w:trPr>
          <w:trHeight w:val="368" w:hRule="exact"/>
        </w:trPr>
        <w:tc>
          <w:tcPr>
            <w:tcW w:w="865" w:type="dxa"/>
            <w:tcBorders>
              <w:top w:val="nil"/>
              <w:bottom w:val="nil"/>
              <w:right w:val="single" w:sz="6" w:space="0" w:color="000000"/>
            </w:tcBorders>
          </w:tcPr>
          <w:p>
            <w:pPr>
              <w:pStyle w:val="TableParagraph"/>
              <w:spacing w:before="88"/>
              <w:ind w:right="8"/>
              <w:jc w:val="center"/>
              <w:rPr>
                <w:rFonts w:ascii="Times New Roman"/>
                <w:sz w:val="16"/>
              </w:rPr>
            </w:pPr>
            <w:r>
              <w:rPr>
                <w:rFonts w:ascii="Times New Roman"/>
                <w:w w:val="99"/>
                <w:sz w:val="16"/>
              </w:rPr>
              <w:t>1</w:t>
            </w:r>
          </w:p>
        </w:tc>
        <w:tc>
          <w:tcPr>
            <w:tcW w:w="785" w:type="dxa"/>
            <w:tcBorders>
              <w:top w:val="nil"/>
              <w:left w:val="single" w:sz="6" w:space="0" w:color="000000"/>
              <w:bottom w:val="nil"/>
              <w:right w:val="single" w:sz="6" w:space="0" w:color="000000"/>
            </w:tcBorders>
          </w:tcPr>
          <w:p>
            <w:pPr>
              <w:pStyle w:val="TableParagraph"/>
              <w:spacing w:before="88"/>
              <w:ind w:right="99"/>
              <w:jc w:val="right"/>
              <w:rPr>
                <w:rFonts w:ascii="Times New Roman"/>
                <w:sz w:val="16"/>
              </w:rPr>
            </w:pPr>
            <w:r>
              <w:rPr>
                <w:rFonts w:ascii="Times New Roman"/>
                <w:sz w:val="16"/>
              </w:rPr>
              <w:t>8-4</w:t>
            </w:r>
          </w:p>
        </w:tc>
        <w:tc>
          <w:tcPr>
            <w:tcW w:w="792" w:type="dxa"/>
            <w:tcBorders>
              <w:top w:val="nil"/>
              <w:left w:val="single" w:sz="6" w:space="0" w:color="000000"/>
              <w:bottom w:val="nil"/>
              <w:right w:val="single" w:sz="6" w:space="0" w:color="000000"/>
            </w:tcBorders>
          </w:tcPr>
          <w:p>
            <w:pPr>
              <w:pStyle w:val="TableParagraph"/>
              <w:spacing w:before="88"/>
              <w:ind w:right="99"/>
              <w:jc w:val="right"/>
              <w:rPr>
                <w:rFonts w:ascii="Times New Roman"/>
                <w:sz w:val="16"/>
              </w:rPr>
            </w:pPr>
            <w:r>
              <w:rPr>
                <w:rFonts w:ascii="Times New Roman"/>
                <w:sz w:val="16"/>
              </w:rPr>
              <w:t>8-4</w:t>
            </w:r>
          </w:p>
        </w:tc>
        <w:tc>
          <w:tcPr>
            <w:tcW w:w="792"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w w:val="95"/>
                <w:sz w:val="16"/>
              </w:rPr>
              <w:t>901</w:t>
            </w:r>
          </w:p>
        </w:tc>
        <w:tc>
          <w:tcPr>
            <w:tcW w:w="936"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w w:val="95"/>
                <w:sz w:val="16"/>
              </w:rPr>
              <w:t>465</w:t>
            </w:r>
          </w:p>
        </w:tc>
        <w:tc>
          <w:tcPr>
            <w:tcW w:w="936"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sz w:val="16"/>
              </w:rPr>
              <w:t>1,000</w:t>
            </w:r>
          </w:p>
        </w:tc>
        <w:tc>
          <w:tcPr>
            <w:tcW w:w="792" w:type="dxa"/>
            <w:tcBorders>
              <w:top w:val="nil"/>
              <w:left w:val="single" w:sz="6" w:space="0" w:color="000000"/>
              <w:bottom w:val="nil"/>
              <w:right w:val="single" w:sz="6" w:space="0" w:color="000000"/>
            </w:tcBorders>
          </w:tcPr>
          <w:p>
            <w:pPr/>
          </w:p>
        </w:tc>
        <w:tc>
          <w:tcPr>
            <w:tcW w:w="792" w:type="dxa"/>
            <w:tcBorders>
              <w:top w:val="nil"/>
              <w:left w:val="single" w:sz="6" w:space="0" w:color="000000"/>
              <w:bottom w:val="nil"/>
              <w:right w:val="single" w:sz="6" w:space="0" w:color="000000"/>
            </w:tcBorders>
          </w:tcPr>
          <w:p>
            <w:pPr/>
          </w:p>
        </w:tc>
        <w:tc>
          <w:tcPr>
            <w:tcW w:w="864" w:type="dxa"/>
            <w:tcBorders>
              <w:top w:val="nil"/>
              <w:left w:val="single" w:sz="6" w:space="0" w:color="000000"/>
              <w:bottom w:val="nil"/>
              <w:right w:val="single" w:sz="6" w:space="0" w:color="000000"/>
            </w:tcBorders>
          </w:tcPr>
          <w:p>
            <w:pPr/>
          </w:p>
        </w:tc>
        <w:tc>
          <w:tcPr>
            <w:tcW w:w="864"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sz w:val="16"/>
              </w:rPr>
              <w:t>1,000</w:t>
            </w:r>
          </w:p>
        </w:tc>
        <w:tc>
          <w:tcPr>
            <w:tcW w:w="1007" w:type="dxa"/>
            <w:tcBorders>
              <w:top w:val="nil"/>
              <w:left w:val="single" w:sz="6" w:space="0" w:color="000000"/>
              <w:bottom w:val="nil"/>
            </w:tcBorders>
          </w:tcPr>
          <w:p>
            <w:pPr/>
          </w:p>
        </w:tc>
      </w:tr>
      <w:tr>
        <w:trPr>
          <w:trHeight w:val="368" w:hRule="exact"/>
        </w:trPr>
        <w:tc>
          <w:tcPr>
            <w:tcW w:w="865" w:type="dxa"/>
            <w:tcBorders>
              <w:top w:val="nil"/>
              <w:bottom w:val="nil"/>
              <w:right w:val="single" w:sz="6" w:space="0" w:color="000000"/>
            </w:tcBorders>
          </w:tcPr>
          <w:p>
            <w:pPr>
              <w:pStyle w:val="TableParagraph"/>
              <w:spacing w:before="88"/>
              <w:ind w:right="8"/>
              <w:jc w:val="center"/>
              <w:rPr>
                <w:rFonts w:ascii="Times New Roman"/>
                <w:sz w:val="16"/>
              </w:rPr>
            </w:pPr>
            <w:r>
              <w:rPr>
                <w:rFonts w:ascii="Times New Roman"/>
                <w:w w:val="99"/>
                <w:sz w:val="16"/>
              </w:rPr>
              <w:t>3</w:t>
            </w:r>
          </w:p>
        </w:tc>
        <w:tc>
          <w:tcPr>
            <w:tcW w:w="785"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sz w:val="16"/>
              </w:rPr>
              <w:t>8-11</w:t>
            </w:r>
          </w:p>
        </w:tc>
        <w:tc>
          <w:tcPr>
            <w:tcW w:w="792"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sz w:val="16"/>
              </w:rPr>
              <w:t>8-12</w:t>
            </w:r>
          </w:p>
        </w:tc>
        <w:tc>
          <w:tcPr>
            <w:tcW w:w="792"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w w:val="95"/>
                <w:sz w:val="16"/>
              </w:rPr>
              <w:t>922</w:t>
            </w:r>
          </w:p>
        </w:tc>
        <w:tc>
          <w:tcPr>
            <w:tcW w:w="936"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w w:val="95"/>
                <w:sz w:val="16"/>
              </w:rPr>
              <w:t>489</w:t>
            </w:r>
          </w:p>
        </w:tc>
        <w:tc>
          <w:tcPr>
            <w:tcW w:w="936"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sz w:val="16"/>
              </w:rPr>
              <w:t>-3,000</w:t>
            </w:r>
          </w:p>
        </w:tc>
        <w:tc>
          <w:tcPr>
            <w:tcW w:w="792" w:type="dxa"/>
            <w:tcBorders>
              <w:top w:val="nil"/>
              <w:left w:val="single" w:sz="6" w:space="0" w:color="000000"/>
              <w:bottom w:val="nil"/>
              <w:right w:val="single" w:sz="6" w:space="0" w:color="000000"/>
            </w:tcBorders>
          </w:tcPr>
          <w:p>
            <w:pPr/>
          </w:p>
        </w:tc>
        <w:tc>
          <w:tcPr>
            <w:tcW w:w="792" w:type="dxa"/>
            <w:tcBorders>
              <w:top w:val="nil"/>
              <w:left w:val="single" w:sz="6" w:space="0" w:color="000000"/>
              <w:bottom w:val="nil"/>
              <w:right w:val="single" w:sz="6" w:space="0" w:color="000000"/>
            </w:tcBorders>
          </w:tcPr>
          <w:p>
            <w:pPr/>
          </w:p>
        </w:tc>
        <w:tc>
          <w:tcPr>
            <w:tcW w:w="864"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sz w:val="16"/>
              </w:rPr>
              <w:t>-3,000</w:t>
            </w:r>
          </w:p>
        </w:tc>
        <w:tc>
          <w:tcPr>
            <w:tcW w:w="864" w:type="dxa"/>
            <w:tcBorders>
              <w:top w:val="nil"/>
              <w:left w:val="single" w:sz="6" w:space="0" w:color="000000"/>
              <w:bottom w:val="nil"/>
              <w:right w:val="single" w:sz="6" w:space="0" w:color="000000"/>
            </w:tcBorders>
          </w:tcPr>
          <w:p>
            <w:pPr/>
          </w:p>
        </w:tc>
        <w:tc>
          <w:tcPr>
            <w:tcW w:w="1007" w:type="dxa"/>
            <w:tcBorders>
              <w:top w:val="nil"/>
              <w:left w:val="single" w:sz="6" w:space="0" w:color="000000"/>
              <w:bottom w:val="nil"/>
            </w:tcBorders>
          </w:tcPr>
          <w:p>
            <w:pPr/>
          </w:p>
        </w:tc>
      </w:tr>
      <w:tr>
        <w:trPr>
          <w:trHeight w:val="368" w:hRule="exact"/>
        </w:trPr>
        <w:tc>
          <w:tcPr>
            <w:tcW w:w="865" w:type="dxa"/>
            <w:tcBorders>
              <w:top w:val="nil"/>
              <w:bottom w:val="nil"/>
              <w:right w:val="single" w:sz="6" w:space="0" w:color="000000"/>
            </w:tcBorders>
          </w:tcPr>
          <w:p>
            <w:pPr>
              <w:pStyle w:val="TableParagraph"/>
              <w:spacing w:before="88"/>
              <w:ind w:right="199"/>
              <w:jc w:val="right"/>
              <w:rPr>
                <w:rFonts w:ascii="Times New Roman"/>
                <w:sz w:val="16"/>
              </w:rPr>
            </w:pPr>
            <w:r>
              <w:rPr>
                <w:rFonts w:ascii="Times New Roman"/>
                <w:sz w:val="16"/>
              </w:rPr>
              <w:t>AR (1)</w:t>
            </w:r>
          </w:p>
        </w:tc>
        <w:tc>
          <w:tcPr>
            <w:tcW w:w="785" w:type="dxa"/>
            <w:tcBorders>
              <w:top w:val="nil"/>
              <w:left w:val="single" w:sz="6" w:space="0" w:color="000000"/>
              <w:bottom w:val="nil"/>
              <w:right w:val="single" w:sz="6" w:space="0" w:color="000000"/>
            </w:tcBorders>
          </w:tcPr>
          <w:p>
            <w:pPr/>
          </w:p>
        </w:tc>
        <w:tc>
          <w:tcPr>
            <w:tcW w:w="792"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sz w:val="16"/>
              </w:rPr>
              <w:t>8-15</w:t>
            </w:r>
          </w:p>
        </w:tc>
        <w:tc>
          <w:tcPr>
            <w:tcW w:w="792"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w w:val="95"/>
                <w:sz w:val="16"/>
              </w:rPr>
              <w:t>943</w:t>
            </w:r>
          </w:p>
        </w:tc>
        <w:tc>
          <w:tcPr>
            <w:tcW w:w="936" w:type="dxa"/>
            <w:tcBorders>
              <w:top w:val="nil"/>
              <w:left w:val="single" w:sz="6" w:space="0" w:color="000000"/>
              <w:bottom w:val="nil"/>
              <w:right w:val="single" w:sz="6" w:space="0" w:color="000000"/>
            </w:tcBorders>
          </w:tcPr>
          <w:p>
            <w:pPr/>
          </w:p>
        </w:tc>
        <w:tc>
          <w:tcPr>
            <w:tcW w:w="936" w:type="dxa"/>
            <w:tcBorders>
              <w:top w:val="nil"/>
              <w:left w:val="single" w:sz="6" w:space="0" w:color="000000"/>
              <w:bottom w:val="nil"/>
              <w:right w:val="single" w:sz="6" w:space="0" w:color="000000"/>
            </w:tcBorders>
          </w:tcPr>
          <w:p>
            <w:pPr/>
          </w:p>
        </w:tc>
        <w:tc>
          <w:tcPr>
            <w:tcW w:w="792"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w w:val="95"/>
                <w:sz w:val="16"/>
              </w:rPr>
              <w:t>50</w:t>
            </w:r>
          </w:p>
        </w:tc>
        <w:tc>
          <w:tcPr>
            <w:tcW w:w="792" w:type="dxa"/>
            <w:tcBorders>
              <w:top w:val="nil"/>
              <w:left w:val="single" w:sz="6" w:space="0" w:color="000000"/>
              <w:bottom w:val="nil"/>
              <w:right w:val="single" w:sz="6" w:space="0" w:color="000000"/>
            </w:tcBorders>
          </w:tcPr>
          <w:p>
            <w:pPr/>
          </w:p>
        </w:tc>
        <w:tc>
          <w:tcPr>
            <w:tcW w:w="864" w:type="dxa"/>
            <w:tcBorders>
              <w:top w:val="nil"/>
              <w:left w:val="single" w:sz="6" w:space="0" w:color="000000"/>
              <w:bottom w:val="nil"/>
              <w:right w:val="single" w:sz="6" w:space="0" w:color="000000"/>
            </w:tcBorders>
          </w:tcPr>
          <w:p>
            <w:pPr>
              <w:pStyle w:val="TableParagraph"/>
              <w:spacing w:before="89"/>
              <w:ind w:right="98"/>
              <w:jc w:val="right"/>
              <w:rPr>
                <w:rFonts w:ascii="Times New Roman"/>
                <w:sz w:val="16"/>
              </w:rPr>
            </w:pPr>
            <w:r>
              <w:rPr>
                <w:rFonts w:ascii="Times New Roman"/>
                <w:sz w:val="16"/>
              </w:rPr>
              <w:t>-50</w:t>
            </w:r>
          </w:p>
        </w:tc>
        <w:tc>
          <w:tcPr>
            <w:tcW w:w="864" w:type="dxa"/>
            <w:tcBorders>
              <w:top w:val="nil"/>
              <w:left w:val="single" w:sz="6" w:space="0" w:color="000000"/>
              <w:bottom w:val="nil"/>
              <w:right w:val="single" w:sz="6" w:space="0" w:color="000000"/>
            </w:tcBorders>
          </w:tcPr>
          <w:p>
            <w:pPr/>
          </w:p>
        </w:tc>
        <w:tc>
          <w:tcPr>
            <w:tcW w:w="1007" w:type="dxa"/>
            <w:tcBorders>
              <w:top w:val="nil"/>
              <w:left w:val="single" w:sz="6" w:space="0" w:color="000000"/>
              <w:bottom w:val="nil"/>
            </w:tcBorders>
          </w:tcPr>
          <w:p>
            <w:pPr/>
          </w:p>
        </w:tc>
      </w:tr>
      <w:tr>
        <w:trPr>
          <w:trHeight w:val="368" w:hRule="exact"/>
        </w:trPr>
        <w:tc>
          <w:tcPr>
            <w:tcW w:w="865" w:type="dxa"/>
            <w:tcBorders>
              <w:top w:val="nil"/>
              <w:bottom w:val="nil"/>
              <w:right w:val="single" w:sz="6" w:space="0" w:color="000000"/>
            </w:tcBorders>
          </w:tcPr>
          <w:p>
            <w:pPr>
              <w:pStyle w:val="TableParagraph"/>
              <w:spacing w:before="88"/>
              <w:ind w:right="246"/>
              <w:jc w:val="right"/>
              <w:rPr>
                <w:rFonts w:ascii="Times New Roman"/>
                <w:sz w:val="16"/>
              </w:rPr>
            </w:pPr>
            <w:r>
              <w:rPr>
                <w:rFonts w:ascii="Times New Roman"/>
                <w:sz w:val="16"/>
              </w:rPr>
              <w:t>S (2)</w:t>
            </w:r>
          </w:p>
        </w:tc>
        <w:tc>
          <w:tcPr>
            <w:tcW w:w="785"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sz w:val="16"/>
              </w:rPr>
              <w:t>8-20</w:t>
            </w:r>
          </w:p>
        </w:tc>
        <w:tc>
          <w:tcPr>
            <w:tcW w:w="792" w:type="dxa"/>
            <w:tcBorders>
              <w:top w:val="nil"/>
              <w:left w:val="single" w:sz="6" w:space="0" w:color="000000"/>
              <w:bottom w:val="nil"/>
              <w:right w:val="single" w:sz="6" w:space="0" w:color="000000"/>
            </w:tcBorders>
          </w:tcPr>
          <w:p>
            <w:pPr>
              <w:pStyle w:val="TableParagraph"/>
              <w:spacing w:before="88"/>
              <w:ind w:right="99"/>
              <w:jc w:val="right"/>
              <w:rPr>
                <w:rFonts w:ascii="Times New Roman"/>
                <w:sz w:val="16"/>
              </w:rPr>
            </w:pPr>
            <w:r>
              <w:rPr>
                <w:rFonts w:ascii="Times New Roman"/>
                <w:sz w:val="16"/>
              </w:rPr>
              <w:t>6-8</w:t>
            </w:r>
          </w:p>
        </w:tc>
        <w:tc>
          <w:tcPr>
            <w:tcW w:w="792"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w w:val="95"/>
                <w:sz w:val="16"/>
              </w:rPr>
              <w:t>2146</w:t>
            </w:r>
          </w:p>
        </w:tc>
        <w:tc>
          <w:tcPr>
            <w:tcW w:w="936"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w w:val="95"/>
                <w:sz w:val="16"/>
              </w:rPr>
              <w:t>502</w:t>
            </w:r>
          </w:p>
        </w:tc>
        <w:tc>
          <w:tcPr>
            <w:tcW w:w="936" w:type="dxa"/>
            <w:tcBorders>
              <w:top w:val="nil"/>
              <w:left w:val="single" w:sz="6" w:space="0" w:color="000000"/>
              <w:bottom w:val="nil"/>
              <w:right w:val="single" w:sz="6" w:space="0" w:color="000000"/>
            </w:tcBorders>
          </w:tcPr>
          <w:p>
            <w:pPr>
              <w:pStyle w:val="TableParagraph"/>
              <w:spacing w:before="88"/>
              <w:ind w:right="98"/>
              <w:jc w:val="right"/>
              <w:rPr>
                <w:rFonts w:ascii="Times New Roman"/>
                <w:sz w:val="16"/>
              </w:rPr>
            </w:pPr>
            <w:r>
              <w:rPr>
                <w:rFonts w:ascii="Times New Roman"/>
                <w:sz w:val="16"/>
              </w:rPr>
              <w:t>-40</w:t>
            </w:r>
          </w:p>
        </w:tc>
        <w:tc>
          <w:tcPr>
            <w:tcW w:w="792" w:type="dxa"/>
            <w:tcBorders>
              <w:top w:val="nil"/>
              <w:left w:val="single" w:sz="6" w:space="0" w:color="000000"/>
              <w:bottom w:val="nil"/>
              <w:right w:val="single" w:sz="6" w:space="0" w:color="000000"/>
            </w:tcBorders>
          </w:tcPr>
          <w:p>
            <w:pPr/>
          </w:p>
        </w:tc>
        <w:tc>
          <w:tcPr>
            <w:tcW w:w="792" w:type="dxa"/>
            <w:tcBorders>
              <w:top w:val="nil"/>
              <w:left w:val="single" w:sz="6" w:space="0" w:color="000000"/>
              <w:bottom w:val="nil"/>
              <w:right w:val="single" w:sz="6" w:space="0" w:color="000000"/>
            </w:tcBorders>
          </w:tcPr>
          <w:p>
            <w:pPr>
              <w:pStyle w:val="TableParagraph"/>
              <w:spacing w:before="88"/>
              <w:ind w:right="97"/>
              <w:jc w:val="right"/>
              <w:rPr>
                <w:rFonts w:ascii="Times New Roman"/>
                <w:sz w:val="16"/>
              </w:rPr>
            </w:pPr>
            <w:r>
              <w:rPr>
                <w:rFonts w:ascii="Times New Roman"/>
                <w:w w:val="95"/>
                <w:sz w:val="16"/>
              </w:rPr>
              <w:t>40</w:t>
            </w:r>
          </w:p>
        </w:tc>
        <w:tc>
          <w:tcPr>
            <w:tcW w:w="864" w:type="dxa"/>
            <w:tcBorders>
              <w:top w:val="nil"/>
              <w:left w:val="single" w:sz="6" w:space="0" w:color="000000"/>
              <w:bottom w:val="nil"/>
              <w:right w:val="single" w:sz="6" w:space="0" w:color="000000"/>
            </w:tcBorders>
          </w:tcPr>
          <w:p>
            <w:pPr/>
          </w:p>
        </w:tc>
        <w:tc>
          <w:tcPr>
            <w:tcW w:w="864" w:type="dxa"/>
            <w:tcBorders>
              <w:top w:val="nil"/>
              <w:left w:val="single" w:sz="6" w:space="0" w:color="000000"/>
              <w:bottom w:val="nil"/>
              <w:right w:val="single" w:sz="6" w:space="0" w:color="000000"/>
            </w:tcBorders>
          </w:tcPr>
          <w:p>
            <w:pPr/>
          </w:p>
        </w:tc>
        <w:tc>
          <w:tcPr>
            <w:tcW w:w="1007" w:type="dxa"/>
            <w:tcBorders>
              <w:top w:val="nil"/>
              <w:left w:val="single" w:sz="6" w:space="0" w:color="000000"/>
              <w:bottom w:val="nil"/>
            </w:tcBorders>
          </w:tcPr>
          <w:p>
            <w:pPr/>
          </w:p>
        </w:tc>
      </w:tr>
      <w:tr>
        <w:trPr>
          <w:trHeight w:val="652" w:hRule="exact"/>
        </w:trPr>
        <w:tc>
          <w:tcPr>
            <w:tcW w:w="865" w:type="dxa"/>
            <w:tcBorders>
              <w:top w:val="nil"/>
              <w:bottom w:val="single" w:sz="6" w:space="0" w:color="000000"/>
              <w:right w:val="single" w:sz="6" w:space="0" w:color="000000"/>
            </w:tcBorders>
          </w:tcPr>
          <w:p>
            <w:pPr>
              <w:pStyle w:val="TableParagraph"/>
              <w:spacing w:before="88"/>
              <w:ind w:right="270"/>
              <w:jc w:val="right"/>
              <w:rPr>
                <w:rFonts w:ascii="Times New Roman"/>
                <w:sz w:val="16"/>
              </w:rPr>
            </w:pPr>
            <w:r>
              <w:rPr>
                <w:rFonts w:ascii="Times New Roman"/>
                <w:sz w:val="16"/>
              </w:rPr>
              <w:t>1 (3)</w:t>
            </w:r>
          </w:p>
        </w:tc>
        <w:tc>
          <w:tcPr>
            <w:tcW w:w="785" w:type="dxa"/>
            <w:tcBorders>
              <w:top w:val="nil"/>
              <w:left w:val="single" w:sz="6" w:space="0" w:color="000000"/>
              <w:bottom w:val="single" w:sz="6" w:space="0" w:color="000000"/>
              <w:right w:val="single" w:sz="6" w:space="0" w:color="000000"/>
            </w:tcBorders>
          </w:tcPr>
          <w:p>
            <w:pPr>
              <w:pStyle w:val="TableParagraph"/>
              <w:spacing w:before="88"/>
              <w:ind w:right="97"/>
              <w:jc w:val="right"/>
              <w:rPr>
                <w:rFonts w:ascii="Times New Roman"/>
                <w:sz w:val="16"/>
              </w:rPr>
            </w:pPr>
            <w:r>
              <w:rPr>
                <w:rFonts w:ascii="Times New Roman"/>
                <w:sz w:val="16"/>
              </w:rPr>
              <w:t>8-28</w:t>
            </w:r>
          </w:p>
        </w:tc>
        <w:tc>
          <w:tcPr>
            <w:tcW w:w="792" w:type="dxa"/>
            <w:tcBorders>
              <w:top w:val="nil"/>
              <w:left w:val="single" w:sz="6" w:space="0" w:color="000000"/>
              <w:bottom w:val="single" w:sz="6" w:space="0" w:color="000000"/>
              <w:right w:val="single" w:sz="6" w:space="0" w:color="000000"/>
            </w:tcBorders>
          </w:tcPr>
          <w:p>
            <w:pPr>
              <w:pStyle w:val="TableParagraph"/>
              <w:spacing w:before="88"/>
              <w:ind w:right="99"/>
              <w:jc w:val="right"/>
              <w:rPr>
                <w:rFonts w:ascii="Times New Roman"/>
                <w:sz w:val="16"/>
              </w:rPr>
            </w:pPr>
            <w:r>
              <w:rPr>
                <w:rFonts w:ascii="Times New Roman"/>
                <w:sz w:val="16"/>
              </w:rPr>
              <w:t>9-1</w:t>
            </w:r>
          </w:p>
        </w:tc>
        <w:tc>
          <w:tcPr>
            <w:tcW w:w="792" w:type="dxa"/>
            <w:tcBorders>
              <w:top w:val="nil"/>
              <w:left w:val="single" w:sz="6" w:space="0" w:color="000000"/>
              <w:bottom w:val="single" w:sz="6" w:space="0" w:color="000000"/>
              <w:right w:val="single" w:sz="6" w:space="0" w:color="000000"/>
            </w:tcBorders>
          </w:tcPr>
          <w:p>
            <w:pPr>
              <w:pStyle w:val="TableParagraph"/>
              <w:spacing w:before="88"/>
              <w:ind w:right="97"/>
              <w:jc w:val="right"/>
              <w:rPr>
                <w:rFonts w:ascii="Times New Roman"/>
                <w:sz w:val="16"/>
              </w:rPr>
            </w:pPr>
            <w:r>
              <w:rPr>
                <w:rFonts w:ascii="Times New Roman"/>
                <w:w w:val="95"/>
                <w:sz w:val="16"/>
              </w:rPr>
              <w:t>961</w:t>
            </w:r>
          </w:p>
        </w:tc>
        <w:tc>
          <w:tcPr>
            <w:tcW w:w="936" w:type="dxa"/>
            <w:tcBorders>
              <w:top w:val="nil"/>
              <w:left w:val="single" w:sz="6" w:space="0" w:color="000000"/>
              <w:bottom w:val="single" w:sz="6" w:space="0" w:color="000000"/>
              <w:right w:val="single" w:sz="6" w:space="0" w:color="000000"/>
            </w:tcBorders>
          </w:tcPr>
          <w:p>
            <w:pPr>
              <w:pStyle w:val="TableParagraph"/>
              <w:spacing w:before="88"/>
              <w:ind w:right="97"/>
              <w:jc w:val="right"/>
              <w:rPr>
                <w:rFonts w:ascii="Times New Roman"/>
                <w:sz w:val="16"/>
              </w:rPr>
            </w:pPr>
            <w:r>
              <w:rPr>
                <w:rFonts w:ascii="Times New Roman"/>
                <w:w w:val="95"/>
                <w:sz w:val="16"/>
              </w:rPr>
              <w:t>524</w:t>
            </w:r>
          </w:p>
        </w:tc>
        <w:tc>
          <w:tcPr>
            <w:tcW w:w="936" w:type="dxa"/>
            <w:tcBorders>
              <w:top w:val="nil"/>
              <w:left w:val="single" w:sz="6" w:space="0" w:color="000000"/>
              <w:bottom w:val="single" w:sz="6" w:space="0" w:color="000000"/>
              <w:right w:val="single" w:sz="6" w:space="0" w:color="000000"/>
            </w:tcBorders>
          </w:tcPr>
          <w:p>
            <w:pPr>
              <w:pStyle w:val="TableParagraph"/>
              <w:spacing w:before="88"/>
              <w:ind w:right="98"/>
              <w:jc w:val="right"/>
              <w:rPr>
                <w:rFonts w:ascii="Times New Roman"/>
                <w:sz w:val="16"/>
              </w:rPr>
            </w:pPr>
            <w:r>
              <w:rPr>
                <w:rFonts w:ascii="Times New Roman"/>
                <w:sz w:val="16"/>
              </w:rPr>
              <w:t>100,000</w:t>
            </w:r>
          </w:p>
        </w:tc>
        <w:tc>
          <w:tcPr>
            <w:tcW w:w="792" w:type="dxa"/>
            <w:tcBorders>
              <w:top w:val="nil"/>
              <w:left w:val="single" w:sz="6" w:space="0" w:color="000000"/>
              <w:bottom w:val="single" w:sz="6" w:space="0" w:color="000000"/>
              <w:right w:val="single" w:sz="6" w:space="0" w:color="000000"/>
            </w:tcBorders>
          </w:tcPr>
          <w:p>
            <w:pPr/>
          </w:p>
        </w:tc>
        <w:tc>
          <w:tcPr>
            <w:tcW w:w="792" w:type="dxa"/>
            <w:tcBorders>
              <w:top w:val="nil"/>
              <w:left w:val="single" w:sz="6" w:space="0" w:color="000000"/>
              <w:bottom w:val="single" w:sz="6" w:space="0" w:color="000000"/>
              <w:right w:val="single" w:sz="6" w:space="0" w:color="000000"/>
            </w:tcBorders>
          </w:tcPr>
          <w:p>
            <w:pPr/>
          </w:p>
        </w:tc>
        <w:tc>
          <w:tcPr>
            <w:tcW w:w="864" w:type="dxa"/>
            <w:tcBorders>
              <w:top w:val="nil"/>
              <w:left w:val="single" w:sz="6" w:space="0" w:color="000000"/>
              <w:bottom w:val="single" w:sz="6" w:space="0" w:color="000000"/>
              <w:right w:val="single" w:sz="6" w:space="0" w:color="000000"/>
            </w:tcBorders>
          </w:tcPr>
          <w:p>
            <w:pPr>
              <w:pStyle w:val="TableParagraph"/>
              <w:spacing w:before="89"/>
              <w:ind w:right="98"/>
              <w:jc w:val="right"/>
              <w:rPr>
                <w:rFonts w:ascii="Times New Roman"/>
                <w:sz w:val="16"/>
              </w:rPr>
            </w:pPr>
            <w:r>
              <w:rPr>
                <w:rFonts w:ascii="Times New Roman"/>
                <w:sz w:val="16"/>
              </w:rPr>
              <w:t>100,000</w:t>
            </w:r>
          </w:p>
        </w:tc>
        <w:tc>
          <w:tcPr>
            <w:tcW w:w="864" w:type="dxa"/>
            <w:tcBorders>
              <w:top w:val="nil"/>
              <w:left w:val="single" w:sz="6" w:space="0" w:color="000000"/>
              <w:bottom w:val="single" w:sz="6" w:space="0" w:color="000000"/>
              <w:right w:val="single" w:sz="6" w:space="0" w:color="000000"/>
            </w:tcBorders>
          </w:tcPr>
          <w:p>
            <w:pPr/>
          </w:p>
        </w:tc>
        <w:tc>
          <w:tcPr>
            <w:tcW w:w="1007" w:type="dxa"/>
            <w:tcBorders>
              <w:top w:val="nil"/>
              <w:left w:val="single" w:sz="6" w:space="0" w:color="000000"/>
              <w:bottom w:val="single" w:sz="6" w:space="0" w:color="000000"/>
            </w:tcBorders>
          </w:tcPr>
          <w:p>
            <w:pPr>
              <w:pStyle w:val="TableParagraph"/>
              <w:spacing w:before="88"/>
              <w:ind w:right="89"/>
              <w:jc w:val="right"/>
              <w:rPr>
                <w:rFonts w:ascii="Times New Roman"/>
                <w:sz w:val="16"/>
              </w:rPr>
            </w:pPr>
            <w:r>
              <w:rPr>
                <w:rFonts w:ascii="Times New Roman"/>
                <w:sz w:val="16"/>
              </w:rPr>
              <w:t>91,000</w:t>
            </w:r>
          </w:p>
        </w:tc>
      </w:tr>
      <w:tr>
        <w:trPr>
          <w:trHeight w:val="207" w:hRule="exact"/>
        </w:trPr>
        <w:tc>
          <w:tcPr>
            <w:tcW w:w="865" w:type="dxa"/>
            <w:tcBorders>
              <w:top w:val="single" w:sz="6" w:space="0" w:color="000000"/>
              <w:right w:val="single" w:sz="6" w:space="0" w:color="000000"/>
            </w:tcBorders>
          </w:tcPr>
          <w:p>
            <w:pPr/>
          </w:p>
        </w:tc>
        <w:tc>
          <w:tcPr>
            <w:tcW w:w="785" w:type="dxa"/>
            <w:tcBorders>
              <w:top w:val="single" w:sz="6" w:space="0" w:color="000000"/>
              <w:left w:val="single" w:sz="6" w:space="0" w:color="000000"/>
              <w:right w:val="single" w:sz="6" w:space="0" w:color="000000"/>
            </w:tcBorders>
          </w:tcPr>
          <w:p>
            <w:pPr/>
          </w:p>
        </w:tc>
        <w:tc>
          <w:tcPr>
            <w:tcW w:w="792" w:type="dxa"/>
            <w:tcBorders>
              <w:top w:val="single" w:sz="6" w:space="0" w:color="000000"/>
              <w:left w:val="single" w:sz="6" w:space="0" w:color="000000"/>
              <w:right w:val="single" w:sz="6" w:space="0" w:color="000000"/>
            </w:tcBorders>
          </w:tcPr>
          <w:p>
            <w:pPr/>
          </w:p>
        </w:tc>
        <w:tc>
          <w:tcPr>
            <w:tcW w:w="792" w:type="dxa"/>
            <w:tcBorders>
              <w:top w:val="single" w:sz="6" w:space="0" w:color="000000"/>
              <w:left w:val="single" w:sz="6" w:space="0" w:color="000000"/>
              <w:right w:val="single" w:sz="6" w:space="0" w:color="000000"/>
            </w:tcBorders>
          </w:tcPr>
          <w:p>
            <w:pPr/>
          </w:p>
        </w:tc>
        <w:tc>
          <w:tcPr>
            <w:tcW w:w="936" w:type="dxa"/>
            <w:tcBorders>
              <w:top w:val="single" w:sz="6" w:space="0" w:color="000000"/>
              <w:left w:val="single" w:sz="6" w:space="0" w:color="000000"/>
              <w:right w:val="single" w:sz="6" w:space="0" w:color="000000"/>
            </w:tcBorders>
          </w:tcPr>
          <w:p>
            <w:pPr/>
          </w:p>
        </w:tc>
        <w:tc>
          <w:tcPr>
            <w:tcW w:w="936" w:type="dxa"/>
            <w:tcBorders>
              <w:top w:val="single" w:sz="6" w:space="0" w:color="000000"/>
              <w:left w:val="single" w:sz="6" w:space="0" w:color="000000"/>
              <w:right w:val="single" w:sz="6" w:space="0" w:color="000000"/>
            </w:tcBorders>
          </w:tcPr>
          <w:p>
            <w:pPr>
              <w:pStyle w:val="TableParagraph"/>
              <w:spacing w:line="180" w:lineRule="exact"/>
              <w:ind w:right="98"/>
              <w:jc w:val="right"/>
              <w:rPr>
                <w:rFonts w:ascii="Times New Roman"/>
                <w:sz w:val="16"/>
              </w:rPr>
            </w:pPr>
            <w:r>
              <w:rPr>
                <w:rFonts w:ascii="Times New Roman"/>
                <w:sz w:val="16"/>
              </w:rPr>
              <w:t>107,960</w:t>
            </w:r>
          </w:p>
        </w:tc>
        <w:tc>
          <w:tcPr>
            <w:tcW w:w="792" w:type="dxa"/>
            <w:tcBorders>
              <w:top w:val="single" w:sz="6" w:space="0" w:color="000000"/>
              <w:left w:val="single" w:sz="6" w:space="0" w:color="000000"/>
              <w:right w:val="single" w:sz="6" w:space="0" w:color="000000"/>
            </w:tcBorders>
          </w:tcPr>
          <w:p>
            <w:pPr>
              <w:pStyle w:val="TableParagraph"/>
              <w:spacing w:line="180" w:lineRule="exact"/>
              <w:ind w:right="97"/>
              <w:jc w:val="right"/>
              <w:rPr>
                <w:rFonts w:ascii="Times New Roman"/>
                <w:sz w:val="16"/>
              </w:rPr>
            </w:pPr>
            <w:r>
              <w:rPr>
                <w:rFonts w:ascii="Times New Roman"/>
                <w:w w:val="95"/>
                <w:sz w:val="16"/>
              </w:rPr>
              <w:t>50</w:t>
            </w:r>
          </w:p>
        </w:tc>
        <w:tc>
          <w:tcPr>
            <w:tcW w:w="792" w:type="dxa"/>
            <w:tcBorders>
              <w:top w:val="single" w:sz="6" w:space="0" w:color="000000"/>
              <w:left w:val="single" w:sz="6" w:space="0" w:color="000000"/>
              <w:right w:val="single" w:sz="6" w:space="0" w:color="000000"/>
            </w:tcBorders>
          </w:tcPr>
          <w:p>
            <w:pPr>
              <w:pStyle w:val="TableParagraph"/>
              <w:spacing w:line="180" w:lineRule="exact"/>
              <w:ind w:right="97"/>
              <w:jc w:val="right"/>
              <w:rPr>
                <w:rFonts w:ascii="Times New Roman"/>
                <w:sz w:val="16"/>
              </w:rPr>
            </w:pPr>
            <w:r>
              <w:rPr>
                <w:rFonts w:ascii="Times New Roman"/>
                <w:w w:val="95"/>
                <w:sz w:val="16"/>
              </w:rPr>
              <w:t>40</w:t>
            </w:r>
          </w:p>
        </w:tc>
        <w:tc>
          <w:tcPr>
            <w:tcW w:w="864" w:type="dxa"/>
            <w:tcBorders>
              <w:top w:val="single" w:sz="6" w:space="0" w:color="000000"/>
              <w:left w:val="single" w:sz="6" w:space="0" w:color="000000"/>
              <w:right w:val="single" w:sz="6" w:space="0" w:color="000000"/>
            </w:tcBorders>
          </w:tcPr>
          <w:p>
            <w:pPr>
              <w:pStyle w:val="TableParagraph"/>
              <w:spacing w:line="180" w:lineRule="exact"/>
              <w:ind w:right="98"/>
              <w:jc w:val="right"/>
              <w:rPr>
                <w:rFonts w:ascii="Times New Roman"/>
                <w:sz w:val="16"/>
              </w:rPr>
            </w:pPr>
            <w:r>
              <w:rPr>
                <w:rFonts w:ascii="Times New Roman"/>
                <w:sz w:val="16"/>
              </w:rPr>
              <w:t>106,950</w:t>
            </w:r>
          </w:p>
        </w:tc>
        <w:tc>
          <w:tcPr>
            <w:tcW w:w="864" w:type="dxa"/>
            <w:tcBorders>
              <w:top w:val="single" w:sz="6" w:space="0" w:color="000000"/>
              <w:left w:val="single" w:sz="6" w:space="0" w:color="000000"/>
              <w:right w:val="single" w:sz="6" w:space="0" w:color="000000"/>
            </w:tcBorders>
          </w:tcPr>
          <w:p>
            <w:pPr>
              <w:pStyle w:val="TableParagraph"/>
              <w:spacing w:line="180" w:lineRule="exact"/>
              <w:ind w:right="97"/>
              <w:jc w:val="right"/>
              <w:rPr>
                <w:rFonts w:ascii="Times New Roman"/>
                <w:sz w:val="16"/>
              </w:rPr>
            </w:pPr>
            <w:r>
              <w:rPr>
                <w:rFonts w:ascii="Times New Roman"/>
                <w:sz w:val="16"/>
              </w:rPr>
              <w:t>1,000</w:t>
            </w:r>
          </w:p>
        </w:tc>
        <w:tc>
          <w:tcPr>
            <w:tcW w:w="1007" w:type="dxa"/>
            <w:tcBorders>
              <w:top w:val="single" w:sz="6" w:space="0" w:color="000000"/>
              <w:left w:val="single" w:sz="6" w:space="0" w:color="000000"/>
            </w:tcBorders>
          </w:tcPr>
          <w:p>
            <w:pPr>
              <w:pStyle w:val="TableParagraph"/>
              <w:spacing w:line="180" w:lineRule="exact"/>
              <w:ind w:right="89"/>
              <w:jc w:val="right"/>
              <w:rPr>
                <w:rFonts w:ascii="Times New Roman"/>
                <w:sz w:val="16"/>
              </w:rPr>
            </w:pPr>
            <w:r>
              <w:rPr>
                <w:rFonts w:ascii="Times New Roman"/>
                <w:sz w:val="16"/>
              </w:rPr>
              <w:t>100,000</w:t>
            </w:r>
          </w:p>
        </w:tc>
      </w:tr>
      <w:tr>
        <w:trPr>
          <w:trHeight w:val="378" w:hRule="exact"/>
        </w:trPr>
        <w:tc>
          <w:tcPr>
            <w:tcW w:w="5105" w:type="dxa"/>
            <w:gridSpan w:val="6"/>
            <w:tcBorders>
              <w:left w:val="nil"/>
              <w:bottom w:val="nil"/>
              <w:right w:val="nil"/>
            </w:tcBorders>
          </w:tcPr>
          <w:p>
            <w:pPr>
              <w:pStyle w:val="TableParagraph"/>
              <w:spacing w:line="180" w:lineRule="exact"/>
              <w:ind w:right="474"/>
              <w:jc w:val="right"/>
              <w:rPr>
                <w:rFonts w:ascii="Times New Roman"/>
                <w:sz w:val="16"/>
              </w:rPr>
            </w:pPr>
            <w:r>
              <w:rPr>
                <w:rFonts w:ascii="Times New Roman"/>
                <w:sz w:val="16"/>
              </w:rPr>
              <w:t>Cr. 1140</w:t>
            </w:r>
          </w:p>
        </w:tc>
        <w:tc>
          <w:tcPr>
            <w:tcW w:w="792" w:type="dxa"/>
            <w:tcBorders>
              <w:left w:val="nil"/>
              <w:bottom w:val="nil"/>
              <w:right w:val="nil"/>
            </w:tcBorders>
          </w:tcPr>
          <w:p>
            <w:pPr>
              <w:pStyle w:val="TableParagraph"/>
              <w:ind w:left="161" w:right="291" w:hanging="1"/>
              <w:rPr>
                <w:rFonts w:ascii="Times New Roman"/>
                <w:sz w:val="16"/>
              </w:rPr>
            </w:pPr>
            <w:r>
              <w:rPr>
                <w:rFonts w:ascii="Times New Roman"/>
                <w:sz w:val="16"/>
              </w:rPr>
              <w:t>Dr. 1311</w:t>
            </w:r>
          </w:p>
        </w:tc>
        <w:tc>
          <w:tcPr>
            <w:tcW w:w="792" w:type="dxa"/>
            <w:tcBorders>
              <w:left w:val="nil"/>
              <w:bottom w:val="nil"/>
              <w:right w:val="nil"/>
            </w:tcBorders>
          </w:tcPr>
          <w:p>
            <w:pPr>
              <w:pStyle w:val="TableParagraph"/>
              <w:ind w:left="290" w:right="162" w:hanging="2"/>
              <w:rPr>
                <w:rFonts w:ascii="Times New Roman"/>
                <w:sz w:val="16"/>
              </w:rPr>
            </w:pPr>
            <w:r>
              <w:rPr>
                <w:rFonts w:ascii="Times New Roman"/>
                <w:sz w:val="16"/>
              </w:rPr>
              <w:t>Cr. 1311</w:t>
            </w:r>
          </w:p>
        </w:tc>
        <w:tc>
          <w:tcPr>
            <w:tcW w:w="864" w:type="dxa"/>
            <w:tcBorders>
              <w:left w:val="nil"/>
              <w:bottom w:val="nil"/>
              <w:right w:val="nil"/>
            </w:tcBorders>
          </w:tcPr>
          <w:p>
            <w:pPr>
              <w:pStyle w:val="TableParagraph"/>
              <w:ind w:left="97" w:right="427" w:firstLine="79"/>
              <w:rPr>
                <w:rFonts w:ascii="Times New Roman"/>
                <w:sz w:val="16"/>
              </w:rPr>
            </w:pPr>
            <w:r>
              <w:rPr>
                <w:rFonts w:ascii="Times New Roman"/>
                <w:sz w:val="16"/>
              </w:rPr>
              <w:t>Dr. 9000</w:t>
            </w:r>
          </w:p>
        </w:tc>
        <w:tc>
          <w:tcPr>
            <w:tcW w:w="864" w:type="dxa"/>
            <w:tcBorders>
              <w:left w:val="nil"/>
              <w:bottom w:val="nil"/>
              <w:right w:val="nil"/>
            </w:tcBorders>
          </w:tcPr>
          <w:p>
            <w:pPr>
              <w:pStyle w:val="TableParagraph"/>
              <w:ind w:left="474" w:right="50" w:hanging="1"/>
              <w:rPr>
                <w:rFonts w:ascii="Times New Roman"/>
                <w:sz w:val="16"/>
              </w:rPr>
            </w:pPr>
            <w:r>
              <w:rPr>
                <w:rFonts w:ascii="Times New Roman"/>
                <w:sz w:val="16"/>
              </w:rPr>
              <w:t>Dr. 9893</w:t>
            </w:r>
          </w:p>
        </w:tc>
        <w:tc>
          <w:tcPr>
            <w:tcW w:w="1007" w:type="dxa"/>
            <w:tcBorders>
              <w:left w:val="nil"/>
              <w:bottom w:val="nil"/>
              <w:right w:val="nil"/>
            </w:tcBorders>
          </w:tcPr>
          <w:p>
            <w:pPr>
              <w:pStyle w:val="TableParagraph"/>
              <w:spacing w:line="180" w:lineRule="exact"/>
              <w:ind w:left="330"/>
              <w:rPr>
                <w:rFonts w:ascii="Times New Roman"/>
                <w:sz w:val="16"/>
              </w:rPr>
            </w:pPr>
            <w:r>
              <w:rPr>
                <w:rFonts w:ascii="Times New Roman"/>
                <w:sz w:val="16"/>
              </w:rPr>
              <w:t>Dr. 5350</w:t>
            </w:r>
          </w:p>
          <w:p>
            <w:pPr>
              <w:pStyle w:val="TableParagraph"/>
              <w:ind w:left="330"/>
              <w:rPr>
                <w:rFonts w:ascii="Times New Roman"/>
                <w:sz w:val="16"/>
              </w:rPr>
            </w:pPr>
            <w:r>
              <w:rPr>
                <w:rFonts w:ascii="Times New Roman"/>
                <w:sz w:val="16"/>
              </w:rPr>
              <w:t>Cr. 6150</w:t>
            </w:r>
          </w:p>
        </w:tc>
      </w:tr>
    </w:tbl>
    <w:p>
      <w:pPr>
        <w:pStyle w:val="ListParagraph"/>
        <w:numPr>
          <w:ilvl w:val="1"/>
          <w:numId w:val="16"/>
        </w:numPr>
        <w:tabs>
          <w:tab w:pos="600" w:val="left" w:leader="none"/>
        </w:tabs>
        <w:spacing w:line="240" w:lineRule="auto" w:before="185" w:after="0"/>
        <w:ind w:left="600" w:right="117" w:hanging="360"/>
        <w:jc w:val="both"/>
        <w:rPr>
          <w:sz w:val="20"/>
        </w:rPr>
      </w:pPr>
      <w:r>
        <w:rPr>
          <w:sz w:val="20"/>
        </w:rPr>
        <w:t>The debt to Account No. 1311 in this register is the gross amount of the overpayment as recorded from the Controller's accounts receivable</w:t>
      </w:r>
      <w:r>
        <w:rPr>
          <w:spacing w:val="-27"/>
          <w:sz w:val="20"/>
        </w:rPr>
        <w:t> </w:t>
      </w:r>
      <w:r>
        <w:rPr>
          <w:sz w:val="20"/>
        </w:rPr>
        <w:t>register.</w:t>
      </w:r>
    </w:p>
    <w:p>
      <w:pPr>
        <w:pStyle w:val="BodyText"/>
        <w:rPr>
          <w:sz w:val="22"/>
        </w:rPr>
      </w:pPr>
    </w:p>
    <w:p>
      <w:pPr>
        <w:pStyle w:val="BodyText"/>
        <w:spacing w:before="8"/>
        <w:rPr>
          <w:sz w:val="32"/>
        </w:rPr>
      </w:pPr>
    </w:p>
    <w:p>
      <w:pPr>
        <w:pStyle w:val="ListParagraph"/>
        <w:numPr>
          <w:ilvl w:val="1"/>
          <w:numId w:val="16"/>
        </w:numPr>
        <w:tabs>
          <w:tab w:pos="600" w:val="left" w:leader="none"/>
        </w:tabs>
        <w:spacing w:line="240" w:lineRule="auto" w:before="1" w:after="0"/>
        <w:ind w:left="600" w:right="115" w:hanging="360"/>
        <w:jc w:val="both"/>
        <w:rPr>
          <w:sz w:val="20"/>
        </w:rPr>
      </w:pPr>
      <w:r>
        <w:rPr>
          <w:sz w:val="20"/>
        </w:rPr>
        <w:t>The credit to Account No. 1311 is the gross amount of the overpayment recovered and returned to the agency appropriation by transfer. The debit to Account No. 1311 for the same overpayment would have been recorded in the Payroll Expenditure Register for the month in which the State Controller's Office prepared an accounts receivable register covering the</w:t>
      </w:r>
      <w:r>
        <w:rPr>
          <w:spacing w:val="-11"/>
          <w:sz w:val="20"/>
        </w:rPr>
        <w:t> </w:t>
      </w:r>
      <w:r>
        <w:rPr>
          <w:sz w:val="20"/>
        </w:rPr>
        <w:t>overpayment.</w:t>
      </w:r>
    </w:p>
    <w:p>
      <w:pPr>
        <w:pStyle w:val="BodyText"/>
        <w:rPr>
          <w:sz w:val="22"/>
        </w:rPr>
      </w:pPr>
    </w:p>
    <w:p>
      <w:pPr>
        <w:pStyle w:val="BodyText"/>
        <w:spacing w:before="9"/>
        <w:rPr>
          <w:sz w:val="32"/>
        </w:rPr>
      </w:pPr>
    </w:p>
    <w:p>
      <w:pPr>
        <w:pStyle w:val="ListParagraph"/>
        <w:numPr>
          <w:ilvl w:val="1"/>
          <w:numId w:val="16"/>
        </w:numPr>
        <w:tabs>
          <w:tab w:pos="600" w:val="left" w:leader="none"/>
        </w:tabs>
        <w:spacing w:line="240" w:lineRule="auto" w:before="0" w:after="0"/>
        <w:ind w:left="600" w:right="111" w:hanging="360"/>
        <w:jc w:val="both"/>
        <w:rPr>
          <w:sz w:val="20"/>
        </w:rPr>
      </w:pPr>
      <w:r>
        <w:rPr>
          <w:sz w:val="20"/>
        </w:rPr>
        <w:t>Except at the close of the fiscal year, the transfer covering the main regular monthly payroll for a given monthly pay period is recorded in the Payroll Expenditure Register for that month even though the transfer may be dated in the following month. Payroll transfers dated in July covering payrolls for services rendered in June must be recorded in the Payroll Expenditure Register for</w:t>
      </w:r>
      <w:r>
        <w:rPr>
          <w:spacing w:val="-24"/>
          <w:sz w:val="20"/>
        </w:rPr>
        <w:t> </w:t>
      </w:r>
      <w:r>
        <w:rPr>
          <w:sz w:val="20"/>
        </w:rPr>
        <w:t>July.</w:t>
      </w:r>
    </w:p>
    <w:p>
      <w:pPr>
        <w:spacing w:after="0" w:line="240" w:lineRule="auto"/>
        <w:jc w:val="both"/>
        <w:rPr>
          <w:sz w:val="20"/>
        </w:rPr>
        <w:sectPr>
          <w:pgSz w:w="12240" w:h="15840"/>
          <w:pgMar w:header="727" w:footer="743" w:top="940" w:bottom="940" w:left="1200" w:right="1320"/>
        </w:sectPr>
      </w:pPr>
    </w:p>
    <w:p>
      <w:pPr>
        <w:pStyle w:val="BodyText"/>
      </w:pPr>
    </w:p>
    <w:p>
      <w:pPr>
        <w:pStyle w:val="BodyText"/>
        <w:spacing w:before="6"/>
        <w:rPr>
          <w:sz w:val="22"/>
        </w:rPr>
      </w:pPr>
    </w:p>
    <w:p>
      <w:pPr>
        <w:tabs>
          <w:tab w:pos="8979" w:val="left" w:leader="none"/>
        </w:tabs>
        <w:spacing w:line="229" w:lineRule="exact" w:before="1"/>
        <w:ind w:left="119" w:right="0" w:firstLine="0"/>
        <w:jc w:val="left"/>
        <w:rPr>
          <w:b/>
          <w:sz w:val="20"/>
        </w:rPr>
      </w:pPr>
      <w:r>
        <w:rPr>
          <w:b/>
          <w:sz w:val="20"/>
        </w:rPr>
        <w:t>ENTRY</w:t>
      </w:r>
      <w:r>
        <w:rPr>
          <w:b/>
          <w:spacing w:val="-3"/>
          <w:sz w:val="20"/>
        </w:rPr>
        <w:t> </w:t>
      </w:r>
      <w:r>
        <w:rPr>
          <w:b/>
          <w:sz w:val="20"/>
        </w:rPr>
        <w:t>NO.</w:t>
      </w:r>
      <w:r>
        <w:rPr>
          <w:b/>
          <w:spacing w:val="-2"/>
          <w:sz w:val="20"/>
        </w:rPr>
        <w:t> </w:t>
      </w:r>
      <w:r>
        <w:rPr>
          <w:b/>
          <w:sz w:val="20"/>
        </w:rPr>
        <w:t>5</w:t>
        <w:tab/>
        <w:t>10505</w:t>
      </w:r>
    </w:p>
    <w:p>
      <w:pPr>
        <w:pStyle w:val="BodyText"/>
        <w:spacing w:line="229" w:lineRule="exact"/>
        <w:ind w:left="119"/>
      </w:pPr>
      <w:r>
        <w:rPr/>
        <w:t>(Revised 5/87)</w:t>
      </w:r>
    </w:p>
    <w:p>
      <w:pPr>
        <w:pStyle w:val="BodyText"/>
        <w:spacing w:before="11"/>
        <w:rPr>
          <w:sz w:val="19"/>
        </w:rPr>
      </w:pPr>
    </w:p>
    <w:p>
      <w:pPr>
        <w:pStyle w:val="BodyText"/>
        <w:ind w:left="119"/>
      </w:pPr>
      <w:r>
        <w:rPr>
          <w:u w:val="single"/>
        </w:rPr>
        <w:t>Nature of Transaction:</w:t>
      </w:r>
    </w:p>
    <w:p>
      <w:pPr>
        <w:pStyle w:val="BodyText"/>
        <w:spacing w:before="11"/>
        <w:rPr>
          <w:sz w:val="11"/>
        </w:rPr>
      </w:pPr>
    </w:p>
    <w:p>
      <w:pPr>
        <w:pStyle w:val="BodyText"/>
        <w:spacing w:before="92"/>
        <w:ind w:left="120" w:right="115" w:hanging="1"/>
        <w:jc w:val="both"/>
      </w:pPr>
      <w:r>
        <w:rPr/>
        <w:t>Notices of Claims Paid, Form CD–102, are received from the State Controller's Office for warrants issued in payment of claims. The warrants are either (1) centrally mailed to payees by the State Controller's Office or (2) delivered for distribution to payees to the agency that submitted the claim schedule. (This entry is made as a transaction of the month in which the Controller's Warrants were issued as indicated on Form CD–102.) See 10515 for entry to record settlement of "NO WARRANT" claims.</w:t>
      </w:r>
    </w:p>
    <w:p>
      <w:pPr>
        <w:pStyle w:val="BodyText"/>
        <w:spacing w:before="11"/>
        <w:rPr>
          <w:sz w:val="19"/>
        </w:rPr>
      </w:pPr>
    </w:p>
    <w:p>
      <w:pPr>
        <w:pStyle w:val="BodyText"/>
        <w:spacing w:line="364" w:lineRule="auto"/>
        <w:ind w:left="480" w:right="5933" w:hanging="360"/>
      </w:pPr>
      <w:r>
        <w:rPr>
          <w:u w:val="single"/>
        </w:rPr>
        <w:t>Journal Entry for General Ledger Accounts</w:t>
      </w:r>
      <w:r>
        <w:rPr/>
        <w:t>: </w:t>
      </w:r>
      <w:r>
        <w:rPr>
          <w:u w:val="single"/>
        </w:rPr>
        <w:t>Debit</w:t>
      </w:r>
      <w:r>
        <w:rPr/>
        <w:t>:</w:t>
      </w:r>
    </w:p>
    <w:p>
      <w:pPr>
        <w:pStyle w:val="BodyText"/>
        <w:tabs>
          <w:tab w:pos="1200" w:val="left" w:leader="none"/>
        </w:tabs>
        <w:spacing w:before="4"/>
        <w:ind w:left="480"/>
      </w:pPr>
      <w:r>
        <w:rPr/>
        <w:t>3020</w:t>
        <w:tab/>
        <w:t>Claims</w:t>
      </w:r>
      <w:r>
        <w:rPr>
          <w:spacing w:val="-10"/>
        </w:rPr>
        <w:t> </w:t>
      </w:r>
      <w:r>
        <w:rPr/>
        <w:t>Filed</w:t>
      </w:r>
    </w:p>
    <w:p>
      <w:pPr>
        <w:pStyle w:val="BodyText"/>
        <w:spacing w:before="120"/>
        <w:ind w:left="1199"/>
      </w:pPr>
      <w:r>
        <w:rPr>
          <w:u w:val="single"/>
        </w:rPr>
        <w:t>Credit</w:t>
      </w:r>
      <w:r>
        <w:rPr/>
        <w:t>:</w:t>
      </w:r>
    </w:p>
    <w:p>
      <w:pPr>
        <w:pStyle w:val="BodyText"/>
        <w:tabs>
          <w:tab w:pos="1920" w:val="left" w:leader="none"/>
        </w:tabs>
        <w:spacing w:before="120"/>
        <w:ind w:left="1200"/>
      </w:pPr>
      <w:r>
        <w:rPr/>
        <w:t>1140</w:t>
        <w:tab/>
        <w:t>Cash in State</w:t>
      </w:r>
      <w:r>
        <w:rPr>
          <w:spacing w:val="-9"/>
        </w:rPr>
        <w:t> </w:t>
      </w:r>
      <w:r>
        <w:rPr/>
        <w:t>Treasury</w:t>
      </w:r>
    </w:p>
    <w:p>
      <w:pPr>
        <w:pStyle w:val="BodyText"/>
        <w:spacing w:before="4"/>
        <w:rPr>
          <w:sz w:val="30"/>
        </w:rPr>
      </w:pPr>
    </w:p>
    <w:p>
      <w:pPr>
        <w:pStyle w:val="BodyText"/>
        <w:ind w:left="120"/>
        <w:jc w:val="both"/>
      </w:pPr>
      <w:r>
        <w:rPr>
          <w:u w:val="single"/>
        </w:rPr>
        <w:t>Source</w:t>
      </w:r>
      <w:r>
        <w:rPr/>
        <w:t>:</w:t>
      </w:r>
    </w:p>
    <w:p>
      <w:pPr>
        <w:pStyle w:val="BodyText"/>
        <w:spacing w:before="119"/>
        <w:ind w:left="480"/>
      </w:pPr>
      <w:r>
        <w:rPr>
          <w:u w:val="single"/>
        </w:rPr>
        <w:t>Document</w:t>
      </w:r>
      <w:r>
        <w:rPr/>
        <w:t>:</w:t>
      </w:r>
    </w:p>
    <w:p>
      <w:pPr>
        <w:pStyle w:val="BodyText"/>
        <w:spacing w:before="118"/>
        <w:ind w:left="480"/>
      </w:pPr>
      <w:r>
        <w:rPr/>
        <w:t>Notice of Claims Paid, Form CD–102</w:t>
      </w:r>
    </w:p>
    <w:p>
      <w:pPr>
        <w:pStyle w:val="BodyText"/>
      </w:pPr>
    </w:p>
    <w:p>
      <w:pPr>
        <w:pStyle w:val="BodyText"/>
        <w:ind w:left="480"/>
      </w:pPr>
      <w:r>
        <w:rPr>
          <w:u w:val="single"/>
        </w:rPr>
        <w:t>Register</w:t>
      </w:r>
      <w:r>
        <w:rPr/>
        <w:t>:</w:t>
      </w:r>
    </w:p>
    <w:p>
      <w:pPr>
        <w:pStyle w:val="BodyText"/>
        <w:spacing w:before="119"/>
        <w:ind w:left="480"/>
      </w:pPr>
      <w:r>
        <w:rPr/>
        <w:t>None. Use an adding machine tape of Forms CD–102</w:t>
      </w:r>
    </w:p>
    <w:p>
      <w:pPr>
        <w:pStyle w:val="BodyText"/>
      </w:pPr>
    </w:p>
    <w:p>
      <w:pPr>
        <w:pStyle w:val="BodyText"/>
        <w:spacing w:before="1"/>
        <w:ind w:left="120"/>
        <w:jc w:val="both"/>
      </w:pPr>
      <w:r>
        <w:rPr>
          <w:u w:val="single"/>
        </w:rPr>
        <w:t>Explanation</w:t>
      </w:r>
      <w:r>
        <w:rPr/>
        <w:t>:</w:t>
      </w:r>
    </w:p>
    <w:p>
      <w:pPr>
        <w:pStyle w:val="BodyText"/>
        <w:spacing w:before="119"/>
        <w:ind w:left="120" w:right="116"/>
        <w:jc w:val="both"/>
      </w:pPr>
      <w:r>
        <w:rPr/>
        <w:t>This entry is made at the close of each month to record Notices of Claims Paid, Form CD–102, received from the State Controller's Office. The total of warrants issued as shown on each Form CD–102 is checked with the amount  of the claim filed. Inclusive warrant numbers or warrant dates are entered on agency copies of Schedule of Bills Filed, Form 210. The Forms CD–102 are filed and monthly an adding machine tape of the CD–102's dated in that month is used as the basis for the entry to the general ledger</w:t>
      </w:r>
      <w:r>
        <w:rPr>
          <w:spacing w:val="-25"/>
        </w:rPr>
        <w:t> </w:t>
      </w:r>
      <w:r>
        <w:rPr/>
        <w:t>accounts.</w:t>
      </w:r>
    </w:p>
    <w:p>
      <w:pPr>
        <w:spacing w:after="0"/>
        <w:jc w:val="both"/>
        <w:sectPr>
          <w:footerReference w:type="default" r:id="rId55"/>
          <w:pgSz w:w="12240" w:h="15840"/>
          <w:pgMar w:footer="743" w:header="727" w:top="940" w:bottom="940" w:left="1320" w:right="1320"/>
        </w:sectPr>
      </w:pPr>
    </w:p>
    <w:p>
      <w:pPr>
        <w:pStyle w:val="BodyText"/>
        <w:spacing w:before="11"/>
        <w:rPr>
          <w:sz w:val="11"/>
        </w:rPr>
      </w:pPr>
    </w:p>
    <w:p>
      <w:pPr>
        <w:pStyle w:val="BodyText"/>
        <w:spacing w:before="92"/>
        <w:ind w:left="100"/>
      </w:pPr>
      <w:bookmarkStart w:name="20000-20090(8)" w:id="10"/>
      <w:bookmarkEnd w:id="10"/>
      <w:r>
        <w:rPr/>
      </w:r>
      <w:r>
        <w:rPr/>
        <w:t>(Continued)</w:t>
      </w:r>
    </w:p>
    <w:p>
      <w:pPr>
        <w:pStyle w:val="Heading2"/>
        <w:tabs>
          <w:tab w:pos="8154" w:val="left" w:leader="none"/>
        </w:tabs>
        <w:spacing w:line="229" w:lineRule="exact" w:before="2"/>
        <w:ind w:left="100"/>
      </w:pPr>
      <w:r>
        <w:rPr/>
        <w:t>INTERNAL</w:t>
      </w:r>
      <w:r>
        <w:rPr>
          <w:spacing w:val="-3"/>
        </w:rPr>
        <w:t> </w:t>
      </w:r>
      <w:r>
        <w:rPr/>
        <w:t>CONTROL</w:t>
        <w:tab/>
        <w:t>20050 (Cont.</w:t>
      </w:r>
      <w:r>
        <w:rPr>
          <w:spacing w:val="-5"/>
        </w:rPr>
        <w:t> </w:t>
      </w:r>
      <w:r>
        <w:rPr/>
        <w:t>2)</w:t>
      </w:r>
    </w:p>
    <w:p>
      <w:pPr>
        <w:pStyle w:val="BodyText"/>
        <w:spacing w:line="229" w:lineRule="exact"/>
        <w:ind w:left="100"/>
      </w:pPr>
      <w:r>
        <w:rPr/>
        <w:t>(Revised 09/13)</w:t>
      </w:r>
    </w:p>
    <w:p>
      <w:pPr>
        <w:pStyle w:val="BodyText"/>
      </w:pPr>
    </w:p>
    <w:p>
      <w:pPr>
        <w:pStyle w:val="BodyText"/>
        <w:ind w:left="100"/>
      </w:pPr>
      <w:r>
        <w:rPr/>
        <w:pict>
          <v:shape style="position:absolute;margin-left:545.700012pt;margin-top:.156189pt;width:.1pt;height:40.5pt;mso-position-horizontal-relative:page;mso-position-vertical-relative:paragraph;z-index:2824" coordorigin="10914,3" coordsize="0,810" path="m10914,3l10914,234m10914,234l10914,463m10914,463l10914,813e" filled="false" stroked="true" strokeweight=".47998pt" strokecolor="#000000">
            <v:path arrowok="t"/>
            <v:stroke dashstyle="solid"/>
            <w10:wrap type="none"/>
          </v:shape>
        </w:pict>
      </w:r>
      <w:r>
        <w:rPr/>
        <w:t>Internal control consists of five interrelated components:</w:t>
      </w:r>
    </w:p>
    <w:p>
      <w:pPr>
        <w:pStyle w:val="BodyText"/>
        <w:spacing w:before="10"/>
        <w:rPr>
          <w:sz w:val="11"/>
        </w:rPr>
      </w:pPr>
    </w:p>
    <w:p>
      <w:pPr>
        <w:pStyle w:val="ListParagraph"/>
        <w:numPr>
          <w:ilvl w:val="0"/>
          <w:numId w:val="17"/>
        </w:numPr>
        <w:tabs>
          <w:tab w:pos="459" w:val="left" w:leader="none"/>
          <w:tab w:pos="460" w:val="left" w:leader="none"/>
        </w:tabs>
        <w:spacing w:line="240" w:lineRule="auto" w:before="92" w:after="0"/>
        <w:ind w:left="460" w:right="0" w:hanging="360"/>
        <w:jc w:val="left"/>
        <w:rPr>
          <w:sz w:val="20"/>
        </w:rPr>
      </w:pPr>
      <w:r>
        <w:rPr>
          <w:sz w:val="20"/>
          <w:u w:val="single"/>
        </w:rPr>
        <w:t>Control Environment</w:t>
      </w:r>
      <w:r>
        <w:rPr>
          <w:sz w:val="20"/>
        </w:rPr>
        <w:t>. The organization’s tone; the foundation for all other components of internal</w:t>
      </w:r>
      <w:r>
        <w:rPr>
          <w:spacing w:val="8"/>
          <w:sz w:val="20"/>
        </w:rPr>
        <w:t> </w:t>
      </w:r>
      <w:r>
        <w:rPr>
          <w:sz w:val="20"/>
        </w:rPr>
        <w:t>control.</w:t>
      </w:r>
    </w:p>
    <w:p>
      <w:pPr>
        <w:pStyle w:val="ListParagraph"/>
        <w:numPr>
          <w:ilvl w:val="0"/>
          <w:numId w:val="17"/>
        </w:numPr>
        <w:tabs>
          <w:tab w:pos="459" w:val="left" w:leader="none"/>
          <w:tab w:pos="460" w:val="left" w:leader="none"/>
          <w:tab w:pos="2145" w:val="left" w:leader="none"/>
        </w:tabs>
        <w:spacing w:line="240" w:lineRule="auto" w:before="119" w:after="0"/>
        <w:ind w:left="460" w:right="216" w:hanging="360"/>
        <w:jc w:val="left"/>
        <w:rPr>
          <w:sz w:val="20"/>
        </w:rPr>
      </w:pPr>
      <w:r>
        <w:rPr>
          <w:sz w:val="20"/>
          <w:u w:val="single"/>
        </w:rPr>
        <w:t>Risk </w:t>
      </w:r>
      <w:r>
        <w:rPr>
          <w:spacing w:val="3"/>
          <w:sz w:val="20"/>
          <w:u w:val="single"/>
        </w:rPr>
        <w:t> </w:t>
      </w:r>
      <w:r>
        <w:rPr>
          <w:sz w:val="20"/>
          <w:u w:val="single"/>
        </w:rPr>
        <w:t>Assessmen</w:t>
      </w:r>
      <w:r>
        <w:rPr>
          <w:sz w:val="20"/>
        </w:rPr>
        <w:t>t.</w:t>
        <w:tab/>
        <w:t>Management  establishes  activity-level  objectives  and  mechanisms  for </w:t>
      </w:r>
      <w:r>
        <w:rPr>
          <w:spacing w:val="5"/>
          <w:sz w:val="20"/>
        </w:rPr>
        <w:t> </w:t>
      </w:r>
      <w:r>
        <w:rPr>
          <w:sz w:val="20"/>
        </w:rPr>
        <w:t>identifying </w:t>
      </w:r>
      <w:r>
        <w:rPr>
          <w:spacing w:val="1"/>
          <w:sz w:val="20"/>
        </w:rPr>
        <w:t> </w:t>
      </w:r>
      <w:r>
        <w:rPr>
          <w:sz w:val="20"/>
        </w:rPr>
        <w:t>and</w:t>
      </w:r>
      <w:r>
        <w:rPr>
          <w:spacing w:val="-1"/>
          <w:w w:val="100"/>
          <w:sz w:val="20"/>
        </w:rPr>
        <w:t> </w:t>
      </w:r>
      <w:r>
        <w:rPr>
          <w:sz w:val="20"/>
        </w:rPr>
        <w:t>analyzing risks related to their</w:t>
      </w:r>
      <w:r>
        <w:rPr>
          <w:spacing w:val="-34"/>
          <w:sz w:val="20"/>
        </w:rPr>
        <w:t> </w:t>
      </w:r>
      <w:r>
        <w:rPr>
          <w:sz w:val="20"/>
        </w:rPr>
        <w:t>achievement.</w:t>
      </w:r>
    </w:p>
    <w:p>
      <w:pPr>
        <w:pStyle w:val="ListParagraph"/>
        <w:numPr>
          <w:ilvl w:val="0"/>
          <w:numId w:val="17"/>
        </w:numPr>
        <w:tabs>
          <w:tab w:pos="459" w:val="left" w:leader="none"/>
          <w:tab w:pos="460" w:val="left" w:leader="none"/>
        </w:tabs>
        <w:spacing w:line="240" w:lineRule="auto" w:before="118" w:after="0"/>
        <w:ind w:left="460" w:right="218" w:hanging="360"/>
        <w:jc w:val="left"/>
        <w:rPr>
          <w:sz w:val="20"/>
        </w:rPr>
      </w:pPr>
      <w:r>
        <w:rPr>
          <w:sz w:val="20"/>
          <w:u w:val="single"/>
        </w:rPr>
        <w:t>Control Activities</w:t>
      </w:r>
      <w:r>
        <w:rPr>
          <w:sz w:val="20"/>
        </w:rPr>
        <w:t>. Policies and procedures that ensure management’s directives are carried out and help ensure that</w:t>
      </w:r>
      <w:r>
        <w:rPr>
          <w:spacing w:val="-4"/>
          <w:sz w:val="20"/>
        </w:rPr>
        <w:t> </w:t>
      </w:r>
      <w:r>
        <w:rPr>
          <w:sz w:val="20"/>
        </w:rPr>
        <w:t>necessary</w:t>
      </w:r>
      <w:r>
        <w:rPr>
          <w:spacing w:val="-6"/>
          <w:sz w:val="20"/>
        </w:rPr>
        <w:t> </w:t>
      </w:r>
      <w:r>
        <w:rPr>
          <w:sz w:val="20"/>
        </w:rPr>
        <w:t>actions</w:t>
      </w:r>
      <w:r>
        <w:rPr>
          <w:spacing w:val="-4"/>
          <w:sz w:val="20"/>
        </w:rPr>
        <w:t> </w:t>
      </w:r>
      <w:r>
        <w:rPr>
          <w:sz w:val="20"/>
        </w:rPr>
        <w:t>are</w:t>
      </w:r>
      <w:r>
        <w:rPr>
          <w:spacing w:val="-4"/>
          <w:sz w:val="20"/>
        </w:rPr>
        <w:t> </w:t>
      </w:r>
      <w:r>
        <w:rPr>
          <w:sz w:val="20"/>
        </w:rPr>
        <w:t>taken</w:t>
      </w:r>
      <w:r>
        <w:rPr>
          <w:spacing w:val="-3"/>
          <w:sz w:val="20"/>
        </w:rPr>
        <w:t> </w:t>
      </w:r>
      <w:r>
        <w:rPr>
          <w:sz w:val="20"/>
        </w:rPr>
        <w:t>to</w:t>
      </w:r>
      <w:r>
        <w:rPr>
          <w:spacing w:val="-4"/>
          <w:sz w:val="20"/>
        </w:rPr>
        <w:t> </w:t>
      </w:r>
      <w:r>
        <w:rPr>
          <w:sz w:val="20"/>
        </w:rPr>
        <w:t>minimize</w:t>
      </w:r>
      <w:r>
        <w:rPr>
          <w:spacing w:val="-3"/>
          <w:sz w:val="20"/>
        </w:rPr>
        <w:t> </w:t>
      </w:r>
      <w:r>
        <w:rPr>
          <w:sz w:val="20"/>
        </w:rPr>
        <w:t>risks</w:t>
      </w:r>
      <w:r>
        <w:rPr>
          <w:spacing w:val="-4"/>
          <w:sz w:val="20"/>
        </w:rPr>
        <w:t> </w:t>
      </w:r>
      <w:r>
        <w:rPr>
          <w:sz w:val="20"/>
        </w:rPr>
        <w:t>to</w:t>
      </w:r>
      <w:r>
        <w:rPr>
          <w:spacing w:val="-4"/>
          <w:sz w:val="20"/>
        </w:rPr>
        <w:t> </w:t>
      </w:r>
      <w:r>
        <w:rPr>
          <w:sz w:val="20"/>
        </w:rPr>
        <w:t>achievement</w:t>
      </w:r>
      <w:r>
        <w:rPr>
          <w:spacing w:val="-5"/>
          <w:sz w:val="20"/>
        </w:rPr>
        <w:t> </w:t>
      </w:r>
      <w:r>
        <w:rPr>
          <w:sz w:val="20"/>
        </w:rPr>
        <w:t>of</w:t>
      </w:r>
      <w:r>
        <w:rPr>
          <w:spacing w:val="-5"/>
          <w:sz w:val="20"/>
        </w:rPr>
        <w:t> </w:t>
      </w:r>
      <w:r>
        <w:rPr>
          <w:sz w:val="20"/>
        </w:rPr>
        <w:t>the</w:t>
      </w:r>
      <w:r>
        <w:rPr>
          <w:spacing w:val="-4"/>
          <w:sz w:val="20"/>
        </w:rPr>
        <w:t> </w:t>
      </w:r>
      <w:r>
        <w:rPr>
          <w:sz w:val="20"/>
        </w:rPr>
        <w:t>entity’s</w:t>
      </w:r>
      <w:r>
        <w:rPr>
          <w:spacing w:val="-5"/>
          <w:sz w:val="20"/>
        </w:rPr>
        <w:t> </w:t>
      </w:r>
      <w:r>
        <w:rPr>
          <w:sz w:val="20"/>
        </w:rPr>
        <w:t>objectives.</w:t>
      </w:r>
    </w:p>
    <w:p>
      <w:pPr>
        <w:pStyle w:val="ListParagraph"/>
        <w:numPr>
          <w:ilvl w:val="0"/>
          <w:numId w:val="17"/>
        </w:numPr>
        <w:tabs>
          <w:tab w:pos="459" w:val="left" w:leader="none"/>
          <w:tab w:pos="460" w:val="left" w:leader="none"/>
        </w:tabs>
        <w:spacing w:line="240" w:lineRule="auto" w:before="118" w:after="0"/>
        <w:ind w:left="460" w:right="216" w:hanging="360"/>
        <w:jc w:val="left"/>
        <w:rPr>
          <w:sz w:val="20"/>
        </w:rPr>
      </w:pPr>
      <w:r>
        <w:rPr>
          <w:sz w:val="20"/>
          <w:u w:val="single"/>
        </w:rPr>
        <w:t>Information and Communication</w:t>
      </w:r>
      <w:r>
        <w:rPr>
          <w:sz w:val="20"/>
        </w:rPr>
        <w:t>. Information must be identified, captured, and communicated in a form and time frame that enable people to carry out their</w:t>
      </w:r>
      <w:r>
        <w:rPr>
          <w:spacing w:val="-33"/>
          <w:sz w:val="20"/>
        </w:rPr>
        <w:t> </w:t>
      </w:r>
      <w:r>
        <w:rPr>
          <w:sz w:val="20"/>
        </w:rPr>
        <w:t>responsibilities.</w:t>
      </w:r>
    </w:p>
    <w:p>
      <w:pPr>
        <w:pStyle w:val="ListParagraph"/>
        <w:numPr>
          <w:ilvl w:val="0"/>
          <w:numId w:val="17"/>
        </w:numPr>
        <w:tabs>
          <w:tab w:pos="459" w:val="left" w:leader="none"/>
          <w:tab w:pos="460" w:val="left" w:leader="none"/>
        </w:tabs>
        <w:spacing w:line="240" w:lineRule="auto" w:before="119" w:after="0"/>
        <w:ind w:left="460" w:right="218" w:hanging="360"/>
        <w:jc w:val="left"/>
        <w:rPr>
          <w:sz w:val="20"/>
        </w:rPr>
      </w:pPr>
      <w:r>
        <w:rPr>
          <w:sz w:val="20"/>
          <w:u w:val="single"/>
        </w:rPr>
        <w:t>Monitoring</w:t>
      </w:r>
      <w:r>
        <w:rPr>
          <w:sz w:val="20"/>
        </w:rPr>
        <w:t>. Assessing the quality of the system’s performance over time. This is accomplished  through ongoing</w:t>
      </w:r>
      <w:r>
        <w:rPr>
          <w:spacing w:val="-3"/>
          <w:sz w:val="20"/>
        </w:rPr>
        <w:t> </w:t>
      </w:r>
      <w:r>
        <w:rPr>
          <w:sz w:val="20"/>
        </w:rPr>
        <w:t>monitoring</w:t>
      </w:r>
      <w:r>
        <w:rPr>
          <w:spacing w:val="-5"/>
          <w:sz w:val="20"/>
        </w:rPr>
        <w:t> </w:t>
      </w:r>
      <w:r>
        <w:rPr>
          <w:sz w:val="20"/>
        </w:rPr>
        <w:t>activities,</w:t>
      </w:r>
      <w:r>
        <w:rPr>
          <w:spacing w:val="-4"/>
          <w:sz w:val="20"/>
        </w:rPr>
        <w:t> </w:t>
      </w:r>
      <w:r>
        <w:rPr>
          <w:sz w:val="20"/>
        </w:rPr>
        <w:t>separate</w:t>
      </w:r>
      <w:r>
        <w:rPr>
          <w:spacing w:val="-4"/>
          <w:sz w:val="20"/>
        </w:rPr>
        <w:t> </w:t>
      </w:r>
      <w:r>
        <w:rPr>
          <w:sz w:val="20"/>
        </w:rPr>
        <w:t>evaluations</w:t>
      </w:r>
      <w:r>
        <w:rPr>
          <w:spacing w:val="-6"/>
          <w:sz w:val="20"/>
        </w:rPr>
        <w:t> </w:t>
      </w:r>
      <w:r>
        <w:rPr>
          <w:sz w:val="20"/>
        </w:rPr>
        <w:t>or</w:t>
      </w:r>
      <w:r>
        <w:rPr>
          <w:spacing w:val="-4"/>
          <w:sz w:val="20"/>
        </w:rPr>
        <w:t> </w:t>
      </w:r>
      <w:r>
        <w:rPr>
          <w:sz w:val="20"/>
        </w:rPr>
        <w:t>a</w:t>
      </w:r>
      <w:r>
        <w:rPr>
          <w:spacing w:val="-4"/>
          <w:sz w:val="20"/>
        </w:rPr>
        <w:t> </w:t>
      </w:r>
      <w:r>
        <w:rPr>
          <w:sz w:val="20"/>
        </w:rPr>
        <w:t>combination</w:t>
      </w:r>
      <w:r>
        <w:rPr>
          <w:spacing w:val="-3"/>
          <w:sz w:val="20"/>
        </w:rPr>
        <w:t> </w:t>
      </w:r>
      <w:r>
        <w:rPr>
          <w:sz w:val="20"/>
        </w:rPr>
        <w:t>of</w:t>
      </w:r>
      <w:r>
        <w:rPr>
          <w:spacing w:val="-4"/>
          <w:sz w:val="20"/>
        </w:rPr>
        <w:t> </w:t>
      </w:r>
      <w:r>
        <w:rPr>
          <w:sz w:val="20"/>
        </w:rPr>
        <w:t>the</w:t>
      </w:r>
      <w:r>
        <w:rPr>
          <w:spacing w:val="-4"/>
          <w:sz w:val="20"/>
        </w:rPr>
        <w:t> </w:t>
      </w:r>
      <w:r>
        <w:rPr>
          <w:sz w:val="20"/>
        </w:rPr>
        <w:t>two.</w:t>
      </w:r>
    </w:p>
    <w:p>
      <w:pPr>
        <w:pStyle w:val="BodyText"/>
        <w:rPr>
          <w:sz w:val="21"/>
        </w:rPr>
      </w:pPr>
    </w:p>
    <w:p>
      <w:pPr>
        <w:pStyle w:val="Heading2"/>
        <w:tabs>
          <w:tab w:pos="8959" w:val="left" w:leader="none"/>
        </w:tabs>
        <w:spacing w:line="229" w:lineRule="exact" w:before="0"/>
        <w:ind w:left="100"/>
      </w:pPr>
      <w:r>
        <w:rPr/>
        <w:t>INTERNAL</w:t>
      </w:r>
      <w:r>
        <w:rPr>
          <w:spacing w:val="-4"/>
        </w:rPr>
        <w:t> </w:t>
      </w:r>
      <w:r>
        <w:rPr/>
        <w:t>CONTROL</w:t>
      </w:r>
      <w:r>
        <w:rPr>
          <w:spacing w:val="-1"/>
        </w:rPr>
        <w:t> </w:t>
      </w:r>
      <w:r>
        <w:rPr/>
        <w:t>REPORTING</w:t>
        <w:tab/>
        <w:t>20060</w:t>
      </w:r>
    </w:p>
    <w:p>
      <w:pPr>
        <w:pStyle w:val="BodyText"/>
        <w:spacing w:line="229" w:lineRule="exact"/>
        <w:ind w:left="100"/>
      </w:pPr>
      <w:r>
        <w:rPr/>
        <w:t>(Revised 09/13)</w:t>
      </w:r>
    </w:p>
    <w:p>
      <w:pPr>
        <w:pStyle w:val="BodyText"/>
      </w:pPr>
    </w:p>
    <w:p>
      <w:pPr>
        <w:pStyle w:val="BodyText"/>
        <w:ind w:left="100" w:right="216"/>
        <w:jc w:val="both"/>
      </w:pPr>
      <w:r>
        <w:rPr/>
        <w:pict>
          <v:shape style="position:absolute;margin-left:545.700012pt;margin-top:.156117pt;width:.1pt;height:310.5pt;mso-position-horizontal-relative:page;mso-position-vertical-relative:paragraph;z-index:2848" coordorigin="10914,3" coordsize="0,6210" path="m10914,3l10914,234m10914,234l10914,463m10914,463l10914,693m10914,693l10914,924m10914,924l10914,1153m10914,1153l10914,1383m10914,1383l10914,1614m10914,1614l10914,1843m10914,1843l10914,2073m10914,2073l10914,2304m10914,2304l10914,2533m10914,2533l10914,2763m10914,2763l10914,2992m10914,2992l10914,3223m10914,3223l10914,3453m10914,3453l10914,3682m10914,3682l10914,3913m10914,3913l10914,4143m10914,4143l10914,4372m10914,4372l10914,4603m10914,4603l10914,4833m10914,4833l10914,5062m10914,5062l10914,5293m10914,5293l10914,5523m10914,5523l10914,5752m10914,5752l10914,5983m10914,5983l10914,6213e" filled="false" stroked="true" strokeweight=".47998pt" strokecolor="#000000">
            <v:path arrowok="t"/>
            <v:stroke dashstyle="solid"/>
            <w10:wrap type="none"/>
          </v:shape>
        </w:pict>
      </w:r>
      <w:r>
        <w:rPr/>
        <w:t>Pursuant </w:t>
      </w:r>
      <w:r>
        <w:rPr>
          <w:u w:val="single"/>
        </w:rPr>
        <w:t>to FISMA </w:t>
      </w:r>
      <w:r>
        <w:rPr/>
        <w:t>(</w:t>
      </w:r>
      <w:r>
        <w:rPr>
          <w:u w:val="single"/>
        </w:rPr>
        <w:t>GC </w:t>
      </w:r>
      <w:r>
        <w:rPr/>
        <w:t>13405), the head of each state entity shall, on a biennial basis but no later than December 31 of each odd-numbered year, conduct an internal review and prepare a report on the adequacy of their entity’s systems of internal accounting and administrative control in accordance with the </w:t>
      </w:r>
      <w:r>
        <w:rPr>
          <w:u w:val="single"/>
        </w:rPr>
        <w:t>guidance provided by Finance</w:t>
      </w:r>
      <w:r>
        <w:rPr/>
        <w:t>.   </w:t>
      </w:r>
      <w:r>
        <w:rPr>
          <w:u w:val="single"/>
        </w:rPr>
        <w:t>The report shall </w:t>
      </w:r>
      <w:r>
        <w:rPr/>
        <w:t>identify any material inadequacy or material weakness in an entity’s systems of internal accounting and administrative control that prevents the head of the entity from stating that the entity’s systems comply with FISMA. </w:t>
      </w:r>
      <w:r>
        <w:rPr>
          <w:u w:val="single"/>
        </w:rPr>
        <w:t>The submission should consist of a transmittal letter and the review report on internal accounting and administrative</w:t>
      </w:r>
      <w:r>
        <w:rPr>
          <w:spacing w:val="-3"/>
          <w:u w:val="single"/>
        </w:rPr>
        <w:t> </w:t>
      </w:r>
      <w:r>
        <w:rPr>
          <w:u w:val="single"/>
        </w:rPr>
        <w:t>control</w:t>
      </w:r>
      <w:r>
        <w:rPr/>
        <w:t>.</w:t>
      </w:r>
    </w:p>
    <w:p>
      <w:pPr>
        <w:pStyle w:val="BodyText"/>
        <w:spacing w:before="11"/>
        <w:rPr>
          <w:sz w:val="11"/>
        </w:rPr>
      </w:pPr>
    </w:p>
    <w:p>
      <w:pPr>
        <w:pStyle w:val="BodyText"/>
        <w:spacing w:before="92"/>
        <w:ind w:left="100" w:right="216"/>
        <w:jc w:val="both"/>
      </w:pPr>
      <w:r>
        <w:rPr/>
        <w:t>For entities that report to an Agency Secretary, the transmittal letter </w:t>
      </w:r>
      <w:r>
        <w:rPr>
          <w:u w:val="single"/>
        </w:rPr>
        <w:t>and review report </w:t>
      </w:r>
      <w:r>
        <w:rPr/>
        <w:t>should be addressed and sent to the Agency Secretary. The entity should </w:t>
      </w:r>
      <w:r>
        <w:rPr>
          <w:u w:val="single"/>
        </w:rPr>
        <w:t>e-mail </w:t>
      </w:r>
      <w:r>
        <w:rPr/>
        <w:t>copies of the transmittal letter and review report to  the Legislature, </w:t>
      </w:r>
      <w:r>
        <w:rPr>
          <w:u w:val="single"/>
        </w:rPr>
        <w:t>State </w:t>
      </w:r>
      <w:r>
        <w:rPr/>
        <w:t>Auditor, </w:t>
      </w:r>
      <w:r>
        <w:rPr>
          <w:u w:val="single"/>
        </w:rPr>
        <w:t>Governor’s Office</w:t>
      </w:r>
      <w:r>
        <w:rPr/>
        <w:t>, </w:t>
      </w:r>
      <w:r>
        <w:rPr>
          <w:u w:val="single"/>
        </w:rPr>
        <w:t>Director of Finance</w:t>
      </w:r>
      <w:r>
        <w:rPr/>
        <w:t>, State Library, </w:t>
      </w:r>
      <w:r>
        <w:rPr>
          <w:u w:val="single"/>
        </w:rPr>
        <w:t>State Controller’s Office, State Treasurer’s Office, and Attorney General. Refer to Audit Memo on the Finance website for instructions</w:t>
      </w:r>
      <w:r>
        <w:rPr/>
        <w:t>.</w:t>
      </w:r>
    </w:p>
    <w:p>
      <w:pPr>
        <w:pStyle w:val="BodyText"/>
        <w:spacing w:before="11"/>
        <w:rPr>
          <w:sz w:val="11"/>
        </w:rPr>
      </w:pPr>
    </w:p>
    <w:p>
      <w:pPr>
        <w:pStyle w:val="BodyText"/>
        <w:spacing w:before="92"/>
        <w:ind w:left="100" w:right="217"/>
        <w:jc w:val="both"/>
      </w:pPr>
      <w:r>
        <w:rPr/>
        <w:t>For entities that do not report to an Agency Secretary, the transmittal letter </w:t>
      </w:r>
      <w:r>
        <w:rPr>
          <w:u w:val="single"/>
        </w:rPr>
        <w:t>and review report should </w:t>
      </w:r>
      <w:r>
        <w:rPr/>
        <w:t>be addressed and e-mailed to the Director of Finance at </w:t>
      </w:r>
      <w:hyperlink r:id="rId58">
        <w:r>
          <w:rPr>
            <w:color w:val="0000FF"/>
            <w:u w:val="single" w:color="0000FF"/>
          </w:rPr>
          <w:t>FISMAhotline@dof.ca.gov</w:t>
        </w:r>
        <w:r>
          <w:rPr/>
          <w:t>.</w:t>
        </w:r>
      </w:hyperlink>
      <w:r>
        <w:rPr/>
        <w:t> The entity should </w:t>
      </w:r>
      <w:r>
        <w:rPr>
          <w:u w:val="single"/>
        </w:rPr>
        <w:t>e-mail </w:t>
      </w:r>
      <w:r>
        <w:rPr/>
        <w:t>copies of the transmittal letter and review report to the Legislature, </w:t>
      </w:r>
      <w:r>
        <w:rPr>
          <w:u w:val="single"/>
        </w:rPr>
        <w:t>State </w:t>
      </w:r>
      <w:r>
        <w:rPr/>
        <w:t>Auditor, </w:t>
      </w:r>
      <w:r>
        <w:rPr>
          <w:u w:val="single"/>
        </w:rPr>
        <w:t>Governor’s Office</w:t>
      </w:r>
      <w:r>
        <w:rPr/>
        <w:t>, State Library, </w:t>
      </w:r>
      <w:r>
        <w:rPr>
          <w:u w:val="single"/>
        </w:rPr>
        <w:t>State Controller’s Office, State Treasurer’s Office, and Attorney General. Refer to Audit Memo on the Finance website  for</w:t>
      </w:r>
      <w:r>
        <w:rPr>
          <w:spacing w:val="-3"/>
          <w:u w:val="single"/>
        </w:rPr>
        <w:t> </w:t>
      </w:r>
      <w:r>
        <w:rPr>
          <w:u w:val="single"/>
        </w:rPr>
        <w:t>instructions.</w:t>
      </w:r>
    </w:p>
    <w:p>
      <w:pPr>
        <w:pStyle w:val="BodyText"/>
        <w:spacing w:before="11"/>
        <w:rPr>
          <w:sz w:val="11"/>
        </w:rPr>
      </w:pPr>
    </w:p>
    <w:p>
      <w:pPr>
        <w:pStyle w:val="BodyText"/>
        <w:spacing w:before="92"/>
        <w:ind w:left="100" w:right="215"/>
        <w:jc w:val="both"/>
      </w:pPr>
      <w:r>
        <w:rPr/>
        <w:t>Within 30 days after the report is submitted, the entity will provide to the Director of Finance at </w:t>
      </w:r>
      <w:hyperlink r:id="rId58">
        <w:r>
          <w:rPr>
            <w:color w:val="0000FF"/>
            <w:u w:val="single" w:color="0000FF"/>
          </w:rPr>
          <w:t>FISMAhotline@dof.ca.gov </w:t>
        </w:r>
      </w:hyperlink>
      <w:r>
        <w:rPr/>
        <w:t>a plan and schedule for correcting the identified inadequacies and weaknesses described in the entity’s report. The plan will be updated and submitted every six months until all corrections are completed.</w:t>
      </w:r>
    </w:p>
    <w:p>
      <w:pPr>
        <w:pStyle w:val="BodyText"/>
        <w:spacing w:before="11"/>
        <w:rPr>
          <w:sz w:val="11"/>
        </w:rPr>
      </w:pPr>
    </w:p>
    <w:p>
      <w:pPr>
        <w:pStyle w:val="BodyText"/>
        <w:spacing w:before="92"/>
        <w:ind w:left="100" w:right="215"/>
        <w:jc w:val="both"/>
      </w:pPr>
      <w:r>
        <w:rPr/>
        <w:t>The state entity head must investigate any allegation that an employee provided false or misleading information in connection with the review of an entity’s system of internal control or in connection with the preparation of the biennial report. The state entity head must submit a report on all the allegations made and the actions taken to resolve them to the </w:t>
      </w:r>
      <w:r>
        <w:rPr>
          <w:u w:val="single"/>
        </w:rPr>
        <w:t>Director of Finance </w:t>
      </w:r>
      <w:r>
        <w:rPr/>
        <w:t>within 90 days </w:t>
      </w:r>
      <w:r>
        <w:rPr>
          <w:u w:val="single"/>
        </w:rPr>
        <w:t>of </w:t>
      </w:r>
      <w:r>
        <w:rPr/>
        <w:t>receiving the</w:t>
      </w:r>
      <w:r>
        <w:rPr>
          <w:spacing w:val="-33"/>
        </w:rPr>
        <w:t> </w:t>
      </w:r>
      <w:r>
        <w:rPr/>
        <w:t>allegation.</w:t>
      </w:r>
    </w:p>
    <w:p>
      <w:pPr>
        <w:pStyle w:val="BodyText"/>
        <w:spacing w:before="11"/>
        <w:rPr>
          <w:sz w:val="11"/>
        </w:rPr>
      </w:pPr>
    </w:p>
    <w:p>
      <w:pPr>
        <w:pStyle w:val="BodyText"/>
        <w:spacing w:before="92"/>
        <w:ind w:left="100"/>
      </w:pPr>
      <w:r>
        <w:rPr/>
        <w:t>(Continued)</w:t>
      </w:r>
    </w:p>
    <w:p>
      <w:pPr>
        <w:spacing w:after="0"/>
        <w:sectPr>
          <w:headerReference w:type="default" r:id="rId56"/>
          <w:footerReference w:type="default" r:id="rId57"/>
          <w:pgSz w:w="12240" w:h="15840"/>
          <w:pgMar w:header="725" w:footer="743" w:top="940" w:bottom="940" w:left="1340" w:right="1220"/>
        </w:sectPr>
      </w:pPr>
    </w:p>
    <w:p>
      <w:pPr>
        <w:tabs>
          <w:tab w:pos="8188" w:val="left" w:leader="none"/>
        </w:tabs>
        <w:spacing w:line="229" w:lineRule="exact" w:before="0"/>
        <w:ind w:left="100" w:right="0" w:firstLine="0"/>
        <w:jc w:val="left"/>
        <w:rPr>
          <w:sz w:val="20"/>
        </w:rPr>
      </w:pPr>
      <w:r>
        <w:rPr>
          <w:b/>
          <w:sz w:val="20"/>
        </w:rPr>
        <w:t>INTERNAL</w:t>
      </w:r>
      <w:r>
        <w:rPr>
          <w:b/>
          <w:spacing w:val="-4"/>
          <w:sz w:val="20"/>
        </w:rPr>
        <w:t> </w:t>
      </w:r>
      <w:r>
        <w:rPr>
          <w:b/>
          <w:sz w:val="20"/>
        </w:rPr>
        <w:t>CONTROL</w:t>
      </w:r>
      <w:r>
        <w:rPr>
          <w:b/>
          <w:spacing w:val="-1"/>
          <w:sz w:val="20"/>
        </w:rPr>
        <w:t> </w:t>
      </w:r>
      <w:r>
        <w:rPr>
          <w:b/>
          <w:sz w:val="20"/>
        </w:rPr>
        <w:t>REPORTING</w:t>
        <w:tab/>
        <w:t>20060 </w:t>
      </w:r>
      <w:r>
        <w:rPr>
          <w:sz w:val="20"/>
        </w:rPr>
        <w:t>(Cont.</w:t>
      </w:r>
      <w:r>
        <w:rPr>
          <w:spacing w:val="-5"/>
          <w:sz w:val="20"/>
        </w:rPr>
        <w:t> </w:t>
      </w:r>
      <w:r>
        <w:rPr>
          <w:sz w:val="20"/>
        </w:rPr>
        <w:t>1)</w:t>
      </w:r>
    </w:p>
    <w:p>
      <w:pPr>
        <w:pStyle w:val="BodyText"/>
      </w:pPr>
    </w:p>
    <w:p>
      <w:pPr>
        <w:pStyle w:val="BodyText"/>
        <w:spacing w:before="1"/>
        <w:ind w:left="100" w:right="235"/>
      </w:pPr>
      <w:r>
        <w:rPr/>
        <w:pict>
          <v:shape style="position:absolute;margin-left:545.700012pt;margin-top:.206108pt;width:.1pt;height:103.45pt;mso-position-horizontal-relative:page;mso-position-vertical-relative:paragraph;z-index:2872" coordorigin="10914,4" coordsize="0,2069" path="m10914,4l10914,233m10914,233l10914,464m10914,464l10914,694m10914,694l10914,923m10914,923l10914,1154m10914,1154l10914,1384m10914,1384l10914,1613m10914,1613l10914,1844m10914,1844l10914,2073e" filled="false" stroked="true" strokeweight=".47998pt" strokecolor="#000000">
            <v:path arrowok="t"/>
            <v:stroke dashstyle="solid"/>
            <w10:wrap type="none"/>
          </v:shape>
        </w:pict>
      </w:r>
      <w:r>
        <w:rPr>
          <w:u w:val="single"/>
        </w:rPr>
        <w:t>All internal reviews are to be completed in accordance with the guidance provided by Finance. The management of each entity is responsible for conducting the review, identifying risks and controls, mitigating the identified risks, and reporting the results. Internal audit units may support this effort by reviewing the design and operating effectiveness of the entity’s controls, in accordance with appropriate standards as required by GC 13886.5. The review shall examine internal accounting control and fiscal compliance practices in use at the time of the review.</w:t>
      </w:r>
    </w:p>
    <w:p>
      <w:pPr>
        <w:pStyle w:val="BodyText"/>
        <w:spacing w:before="1"/>
        <w:rPr>
          <w:sz w:val="12"/>
        </w:rPr>
      </w:pPr>
    </w:p>
    <w:p>
      <w:pPr>
        <w:pStyle w:val="BodyText"/>
        <w:spacing w:before="92"/>
        <w:ind w:left="100"/>
      </w:pPr>
      <w:r>
        <w:rPr/>
        <w:pict>
          <v:line style="position:absolute;mso-position-horizontal-relative:page;mso-position-vertical-relative:paragraph;z-index:-65848" from="316.320007pt,38.235935pt" to="318.780007pt,38.235935pt" stroked="true" strokeweight=".47998pt" strokecolor="#000000">
            <v:stroke dashstyle="solid"/>
            <w10:wrap type="none"/>
          </v:line>
        </w:pict>
      </w:r>
      <w:r>
        <w:rPr>
          <w:u w:val="single"/>
        </w:rPr>
        <w:t>Tools, templates, Audit Memos, and other guidance are available on the Finance website at </w:t>
      </w:r>
      <w:hyperlink r:id="rId60">
        <w:r>
          <w:rPr>
            <w:color w:val="0000FF"/>
            <w:u w:val="single" w:color="0000FF"/>
          </w:rPr>
          <w:t>http://www.dof.ca.gov/osae/fisma/.</w:t>
        </w:r>
      </w:hyperlink>
      <w:r>
        <w:rPr>
          <w:color w:val="0000FF"/>
          <w:u w:val="single" w:color="0000FF"/>
        </w:rPr>
        <w:t> </w:t>
      </w:r>
      <w:r>
        <w:rPr>
          <w:u w:val="single" w:color="0000FF"/>
        </w:rPr>
        <w:t>Questions on the review and reporting processes can be addressed to Finance’s </w:t>
      </w:r>
      <w:r>
        <w:rPr>
          <w:u w:val="single"/>
        </w:rPr>
        <w:t>FISMA Hotline e-mail address at </w:t>
      </w:r>
      <w:hyperlink r:id="rId58">
        <w:r>
          <w:rPr>
            <w:color w:val="0000FF"/>
            <w:u w:val="single" w:color="0000FF"/>
          </w:rPr>
          <w:t>FISMAhotline@dof.ca.gov</w:t>
        </w:r>
        <w:r>
          <w:rPr/>
          <w:t>.</w:t>
        </w:r>
      </w:hyperlink>
    </w:p>
    <w:p>
      <w:pPr>
        <w:pStyle w:val="BodyText"/>
        <w:spacing w:before="2"/>
        <w:rPr>
          <w:sz w:val="12"/>
        </w:rPr>
      </w:pPr>
    </w:p>
    <w:p>
      <w:pPr>
        <w:pStyle w:val="Heading2"/>
        <w:tabs>
          <w:tab w:pos="8959" w:val="left" w:leader="none"/>
        </w:tabs>
        <w:spacing w:line="229" w:lineRule="exact" w:before="92"/>
        <w:ind w:left="100"/>
        <w:jc w:val="both"/>
      </w:pPr>
      <w:r>
        <w:rPr/>
        <w:t>FEDERAL</w:t>
      </w:r>
      <w:r>
        <w:rPr>
          <w:spacing w:val="-4"/>
        </w:rPr>
        <w:t> </w:t>
      </w:r>
      <w:r>
        <w:rPr/>
        <w:t>PASS-THROUGH</w:t>
      </w:r>
      <w:r>
        <w:rPr>
          <w:spacing w:val="-4"/>
        </w:rPr>
        <w:t> </w:t>
      </w:r>
      <w:r>
        <w:rPr/>
        <w:t>FUNDS</w:t>
        <w:tab/>
        <w:t>20070</w:t>
      </w:r>
    </w:p>
    <w:p>
      <w:pPr>
        <w:pStyle w:val="BodyText"/>
        <w:spacing w:line="229" w:lineRule="exact"/>
        <w:ind w:left="100"/>
        <w:jc w:val="both"/>
      </w:pPr>
      <w:r>
        <w:rPr/>
        <w:t>(Revised 09/13)</w:t>
      </w:r>
    </w:p>
    <w:p>
      <w:pPr>
        <w:pStyle w:val="BodyText"/>
        <w:spacing w:before="11"/>
        <w:rPr>
          <w:sz w:val="19"/>
        </w:rPr>
      </w:pPr>
    </w:p>
    <w:p>
      <w:pPr>
        <w:pStyle w:val="BodyText"/>
        <w:ind w:left="100" w:right="216"/>
        <w:jc w:val="both"/>
      </w:pPr>
      <w:r>
        <w:rPr/>
        <w:pict>
          <v:shape style="position:absolute;margin-left:545.700012pt;margin-top:.156086pt;width:.1pt;height:263pt;mso-position-horizontal-relative:page;mso-position-vertical-relative:paragraph;z-index:2920" coordorigin="10914,3" coordsize="0,5260" path="m10914,3l10914,234m10914,234l10914,463m10914,463l10914,693m10914,693l10914,924m10914,924l10914,1153m10914,1153l10914,1383m10914,1383l10914,1614m10914,1614l10914,1843m10914,1843l10914,2073m10914,2073l10914,2304m10914,2304l10914,2533m10914,2533l10914,2763m10914,2763l10914,2994m10914,2994l10914,3223m10914,3223l10914,3453m10914,3453l10914,3682m10914,3682l10914,3913m10914,3913l10914,4143m10914,4143l10914,4372m10914,4372l10914,4603m10914,4603l10914,4833m10914,4833l10914,5263e" filled="false" stroked="true" strokeweight=".47998pt" strokecolor="#000000">
            <v:path arrowok="t"/>
            <v:stroke dashstyle="solid"/>
            <w10:wrap type="none"/>
          </v:shape>
        </w:pict>
      </w:r>
      <w:r>
        <w:rPr/>
        <w:t>The Federal Single Audit Act of 1984 as amended by the Single Audit Act Amendment of 1996 and amendments in conjunction with </w:t>
      </w:r>
      <w:r>
        <w:rPr>
          <w:u w:val="single"/>
        </w:rPr>
        <w:t>OMB </w:t>
      </w:r>
      <w:r>
        <w:rPr/>
        <w:t>Circular </w:t>
      </w:r>
      <w:r>
        <w:rPr>
          <w:u w:val="single"/>
        </w:rPr>
        <w:t>A-133</w:t>
      </w:r>
      <w:r>
        <w:rPr/>
        <w:t>, defines a pass-through entity as a non-federal entity that provides a federal award to a sub recipient to carry out a federal program.  OMB Circular A-133, </w:t>
      </w:r>
      <w:r>
        <w:rPr>
          <w:u w:val="single"/>
        </w:rPr>
        <w:t>section </w:t>
      </w:r>
      <w:r>
        <w:rPr/>
        <w:t>.310(b), requires a schedule  of expenditures of federal awards be prepared each year and lists the requirements for completing the schedule of expenditures,</w:t>
      </w:r>
      <w:r>
        <w:rPr>
          <w:spacing w:val="-3"/>
        </w:rPr>
        <w:t> </w:t>
      </w:r>
      <w:r>
        <w:rPr/>
        <w:t>including</w:t>
      </w:r>
      <w:r>
        <w:rPr>
          <w:spacing w:val="-3"/>
        </w:rPr>
        <w:t> </w:t>
      </w:r>
      <w:r>
        <w:rPr/>
        <w:t>the</w:t>
      </w:r>
      <w:r>
        <w:rPr>
          <w:spacing w:val="-3"/>
        </w:rPr>
        <w:t> </w:t>
      </w:r>
      <w:r>
        <w:rPr/>
        <w:t>requirement</w:t>
      </w:r>
      <w:r>
        <w:rPr>
          <w:spacing w:val="-4"/>
        </w:rPr>
        <w:t> </w:t>
      </w:r>
      <w:r>
        <w:rPr/>
        <w:t>to</w:t>
      </w:r>
      <w:r>
        <w:rPr>
          <w:spacing w:val="-2"/>
        </w:rPr>
        <w:t> </w:t>
      </w:r>
      <w:r>
        <w:rPr/>
        <w:t>identify</w:t>
      </w:r>
      <w:r>
        <w:rPr>
          <w:spacing w:val="-4"/>
        </w:rPr>
        <w:t> </w:t>
      </w:r>
      <w:r>
        <w:rPr/>
        <w:t>the</w:t>
      </w:r>
      <w:r>
        <w:rPr>
          <w:spacing w:val="-3"/>
        </w:rPr>
        <w:t> </w:t>
      </w:r>
      <w:r>
        <w:rPr/>
        <w:t>total</w:t>
      </w:r>
      <w:r>
        <w:rPr>
          <w:spacing w:val="-4"/>
        </w:rPr>
        <w:t> </w:t>
      </w:r>
      <w:r>
        <w:rPr/>
        <w:t>amount</w:t>
      </w:r>
      <w:r>
        <w:rPr>
          <w:spacing w:val="-5"/>
        </w:rPr>
        <w:t> </w:t>
      </w:r>
      <w:r>
        <w:rPr/>
        <w:t>provided</w:t>
      </w:r>
      <w:r>
        <w:rPr>
          <w:spacing w:val="-3"/>
        </w:rPr>
        <w:t> </w:t>
      </w:r>
      <w:r>
        <w:rPr/>
        <w:t>to</w:t>
      </w:r>
      <w:r>
        <w:rPr>
          <w:spacing w:val="-4"/>
        </w:rPr>
        <w:t> </w:t>
      </w:r>
      <w:r>
        <w:rPr/>
        <w:t>sub</w:t>
      </w:r>
      <w:r>
        <w:rPr>
          <w:spacing w:val="-4"/>
        </w:rPr>
        <w:t> </w:t>
      </w:r>
      <w:r>
        <w:rPr/>
        <w:t>recipients.</w:t>
      </w:r>
    </w:p>
    <w:p>
      <w:pPr>
        <w:pStyle w:val="BodyText"/>
        <w:spacing w:before="11"/>
        <w:rPr>
          <w:sz w:val="11"/>
        </w:rPr>
      </w:pPr>
    </w:p>
    <w:p>
      <w:pPr>
        <w:pStyle w:val="BodyText"/>
        <w:spacing w:before="92"/>
        <w:ind w:left="100" w:right="217"/>
        <w:jc w:val="both"/>
      </w:pPr>
      <w:r>
        <w:rPr/>
        <w:t>To facilitate the identification and tracking of federal funds transferred between state agencies or state agencies and local governments, each contract, interagency agreement, or any other document controlling the disbursement of federal financial assistance must cite the applicable catalog number from the Catalog of Federal Domestic Assistance. If state matching funds are involved, specify the percentage of state and federal funds. Where federal funds are disbursed through a claim schedule, the catalog number should be recorded.</w:t>
      </w:r>
    </w:p>
    <w:p>
      <w:pPr>
        <w:pStyle w:val="BodyText"/>
        <w:spacing w:before="11"/>
        <w:rPr>
          <w:sz w:val="11"/>
        </w:rPr>
      </w:pPr>
    </w:p>
    <w:p>
      <w:pPr>
        <w:pStyle w:val="BodyText"/>
        <w:spacing w:before="92"/>
        <w:ind w:left="100"/>
      </w:pPr>
      <w:r>
        <w:rPr>
          <w:u w:val="single"/>
        </w:rPr>
        <w:t>OMB </w:t>
      </w:r>
      <w:r>
        <w:rPr/>
        <w:t>Circular A-133, Subpart D, describes the responsibilities of federal agencies and pass-through entities. Specifically, </w:t>
      </w:r>
      <w:r>
        <w:rPr>
          <w:u w:val="single"/>
        </w:rPr>
        <w:t>section </w:t>
      </w:r>
      <w:r>
        <w:rPr/>
        <w:t>.400(d) prescribes the responsibilities of a pass-through entity for the federal awards it makes.</w:t>
      </w:r>
    </w:p>
    <w:p>
      <w:pPr>
        <w:pStyle w:val="BodyText"/>
        <w:spacing w:before="11"/>
        <w:rPr>
          <w:sz w:val="11"/>
        </w:rPr>
      </w:pPr>
    </w:p>
    <w:p>
      <w:pPr>
        <w:pStyle w:val="BodyText"/>
        <w:spacing w:before="92"/>
        <w:ind w:left="100"/>
      </w:pPr>
      <w:r>
        <w:rPr/>
        <w:t>To ensure that the State of California carries out its responsibilities in accordance with this federal act, the following procedures shall apply:</w:t>
      </w:r>
    </w:p>
    <w:p>
      <w:pPr>
        <w:pStyle w:val="BodyText"/>
        <w:spacing w:before="1"/>
        <w:rPr>
          <w:sz w:val="12"/>
        </w:rPr>
      </w:pPr>
    </w:p>
    <w:p>
      <w:pPr>
        <w:pStyle w:val="ListParagraph"/>
        <w:numPr>
          <w:ilvl w:val="0"/>
          <w:numId w:val="18"/>
        </w:numPr>
        <w:tabs>
          <w:tab w:pos="460" w:val="left" w:leader="none"/>
        </w:tabs>
        <w:spacing w:line="240" w:lineRule="auto" w:before="92" w:after="0"/>
        <w:ind w:left="460" w:right="216" w:hanging="360"/>
        <w:jc w:val="both"/>
        <w:rPr>
          <w:sz w:val="20"/>
        </w:rPr>
      </w:pPr>
      <w:r>
        <w:rPr>
          <w:sz w:val="20"/>
        </w:rPr>
        <w:t>As part of the annual Single Audit, </w:t>
      </w:r>
      <w:r>
        <w:rPr>
          <w:sz w:val="20"/>
          <w:u w:val="single"/>
        </w:rPr>
        <w:t>Finance </w:t>
      </w:r>
      <w:r>
        <w:rPr>
          <w:sz w:val="20"/>
        </w:rPr>
        <w:t>requires state agencies to provide certain financial information related to federal awards received. Specifically, agencies must provide schedules of cash and non-cash federal assistance. The information provided is consolidated by Finance and forwarded to the </w:t>
      </w:r>
      <w:r>
        <w:rPr>
          <w:sz w:val="20"/>
          <w:u w:val="single"/>
        </w:rPr>
        <w:t>State Auditor </w:t>
      </w:r>
      <w:r>
        <w:rPr>
          <w:sz w:val="20"/>
        </w:rPr>
        <w:t>for  inclusion in the Single Audit Report. </w:t>
      </w:r>
      <w:r>
        <w:rPr>
          <w:sz w:val="20"/>
          <w:u w:val="single"/>
        </w:rPr>
        <w:t>Refer to Audit Memos on the Finance website for further</w:t>
      </w:r>
      <w:r>
        <w:rPr>
          <w:spacing w:val="11"/>
          <w:sz w:val="20"/>
          <w:u w:val="single"/>
        </w:rPr>
        <w:t> </w:t>
      </w:r>
      <w:r>
        <w:rPr>
          <w:sz w:val="20"/>
          <w:u w:val="single"/>
        </w:rPr>
        <w:t>guidance.</w:t>
      </w:r>
    </w:p>
    <w:p>
      <w:pPr>
        <w:pStyle w:val="BodyText"/>
        <w:spacing w:before="4"/>
        <w:rPr>
          <w:sz w:val="17"/>
        </w:rPr>
      </w:pPr>
    </w:p>
    <w:p>
      <w:pPr>
        <w:pStyle w:val="BodyText"/>
        <w:ind w:left="100"/>
      </w:pPr>
      <w:r>
        <w:rPr/>
        <w:t>(Continued)</w:t>
      </w:r>
    </w:p>
    <w:p>
      <w:pPr>
        <w:spacing w:after="0"/>
        <w:sectPr>
          <w:headerReference w:type="default" r:id="rId59"/>
          <w:pgSz w:w="12240" w:h="15840"/>
          <w:pgMar w:header="725" w:footer="743" w:top="1160" w:bottom="940" w:left="1340" w:right="1220"/>
        </w:sectPr>
      </w:pPr>
    </w:p>
    <w:p>
      <w:pPr>
        <w:pStyle w:val="Heading2"/>
        <w:tabs>
          <w:tab w:pos="8959" w:val="left" w:leader="none"/>
        </w:tabs>
        <w:spacing w:before="1"/>
        <w:ind w:left="100"/>
      </w:pPr>
      <w:r>
        <w:rPr/>
        <w:t>FEDERAL</w:t>
      </w:r>
      <w:r>
        <w:rPr>
          <w:spacing w:val="-4"/>
        </w:rPr>
        <w:t> </w:t>
      </w:r>
      <w:r>
        <w:rPr/>
        <w:t>PASS-THROUGH</w:t>
      </w:r>
      <w:r>
        <w:rPr>
          <w:spacing w:val="-4"/>
        </w:rPr>
        <w:t> </w:t>
      </w:r>
      <w:r>
        <w:rPr/>
        <w:t>FUNDS</w:t>
        <w:tab/>
        <w:t>20070</w:t>
      </w:r>
    </w:p>
    <w:p>
      <w:pPr>
        <w:pStyle w:val="BodyText"/>
        <w:rPr>
          <w:b/>
          <w:sz w:val="22"/>
        </w:rPr>
      </w:pPr>
    </w:p>
    <w:p>
      <w:pPr>
        <w:pStyle w:val="ListParagraph"/>
        <w:numPr>
          <w:ilvl w:val="0"/>
          <w:numId w:val="18"/>
        </w:numPr>
        <w:tabs>
          <w:tab w:pos="459" w:val="left" w:leader="none"/>
          <w:tab w:pos="460" w:val="left" w:leader="none"/>
        </w:tabs>
        <w:spacing w:line="240" w:lineRule="auto" w:before="174" w:after="0"/>
        <w:ind w:left="460" w:right="0" w:hanging="360"/>
        <w:jc w:val="left"/>
        <w:rPr>
          <w:sz w:val="20"/>
        </w:rPr>
      </w:pPr>
      <w:r>
        <w:rPr/>
        <w:pict>
          <v:shape style="position:absolute;margin-left:545.700012pt;margin-top:8.856209pt;width:.1pt;height:264.5pt;mso-position-horizontal-relative:page;mso-position-vertical-relative:paragraph;z-index:2944" coordorigin="10914,177" coordsize="0,5290" path="m10914,177l10914,608m10914,608l10914,837m10914,837l10914,1068m10914,1068l10914,1298m10914,1298l10914,1527m10914,1527l10914,1758m10914,1758l10914,1987m10914,1987l10914,2217m10914,2217l10914,2568m10914,2568l10914,2797m10914,2797l10914,3147m10914,3147l10914,3378m10914,3378l10914,3727m10914,3727l10914,3957m10914,3957l10914,4308m10914,4308l10914,4537m10914,4537l10914,4887m10914,4887l10914,5118m10914,5118l10914,5467e" filled="false" stroked="true" strokeweight=".47998pt" strokecolor="#000000">
            <v:path arrowok="t"/>
            <v:stroke dashstyle="solid"/>
            <w10:wrap type="none"/>
          </v:shape>
        </w:pict>
      </w:r>
      <w:r>
        <w:rPr>
          <w:sz w:val="20"/>
        </w:rPr>
        <w:t>The</w:t>
      </w:r>
      <w:r>
        <w:rPr>
          <w:spacing w:val="-5"/>
          <w:sz w:val="20"/>
        </w:rPr>
        <w:t> </w:t>
      </w:r>
      <w:r>
        <w:rPr>
          <w:sz w:val="20"/>
        </w:rPr>
        <w:t>SCO</w:t>
      </w:r>
      <w:r>
        <w:rPr>
          <w:spacing w:val="-6"/>
          <w:sz w:val="20"/>
        </w:rPr>
        <w:t> </w:t>
      </w:r>
      <w:r>
        <w:rPr>
          <w:sz w:val="20"/>
        </w:rPr>
        <w:t>will</w:t>
      </w:r>
      <w:r>
        <w:rPr>
          <w:spacing w:val="-4"/>
          <w:sz w:val="20"/>
        </w:rPr>
        <w:t> </w:t>
      </w:r>
      <w:r>
        <w:rPr>
          <w:sz w:val="20"/>
        </w:rPr>
        <w:t>coordinate</w:t>
      </w:r>
      <w:r>
        <w:rPr>
          <w:spacing w:val="-4"/>
          <w:sz w:val="20"/>
        </w:rPr>
        <w:t> </w:t>
      </w:r>
      <w:r>
        <w:rPr>
          <w:sz w:val="20"/>
        </w:rPr>
        <w:t>single</w:t>
      </w:r>
      <w:r>
        <w:rPr>
          <w:spacing w:val="-4"/>
          <w:sz w:val="20"/>
        </w:rPr>
        <w:t> </w:t>
      </w:r>
      <w:r>
        <w:rPr>
          <w:sz w:val="20"/>
        </w:rPr>
        <w:t>audit</w:t>
      </w:r>
      <w:r>
        <w:rPr>
          <w:spacing w:val="-4"/>
          <w:sz w:val="20"/>
        </w:rPr>
        <w:t> </w:t>
      </w:r>
      <w:r>
        <w:rPr>
          <w:sz w:val="20"/>
        </w:rPr>
        <w:t>compliance</w:t>
      </w:r>
      <w:r>
        <w:rPr>
          <w:spacing w:val="-5"/>
          <w:sz w:val="20"/>
        </w:rPr>
        <w:t> </w:t>
      </w:r>
      <w:r>
        <w:rPr>
          <w:sz w:val="20"/>
        </w:rPr>
        <w:t>with</w:t>
      </w:r>
      <w:r>
        <w:rPr>
          <w:spacing w:val="-3"/>
          <w:sz w:val="20"/>
        </w:rPr>
        <w:t> </w:t>
      </w:r>
      <w:r>
        <w:rPr>
          <w:sz w:val="20"/>
        </w:rPr>
        <w:t>local</w:t>
      </w:r>
      <w:r>
        <w:rPr>
          <w:spacing w:val="-4"/>
          <w:sz w:val="20"/>
        </w:rPr>
        <w:t> </w:t>
      </w:r>
      <w:r>
        <w:rPr>
          <w:sz w:val="20"/>
        </w:rPr>
        <w:t>governments.</w:t>
      </w:r>
    </w:p>
    <w:p>
      <w:pPr>
        <w:pStyle w:val="BodyText"/>
        <w:spacing w:before="5"/>
        <w:rPr>
          <w:sz w:val="17"/>
        </w:rPr>
      </w:pPr>
    </w:p>
    <w:p>
      <w:pPr>
        <w:pStyle w:val="ListParagraph"/>
        <w:numPr>
          <w:ilvl w:val="1"/>
          <w:numId w:val="18"/>
        </w:numPr>
        <w:tabs>
          <w:tab w:pos="820" w:val="left" w:leader="none"/>
        </w:tabs>
        <w:spacing w:line="240" w:lineRule="auto" w:before="0" w:after="0"/>
        <w:ind w:left="820" w:right="216" w:hanging="360"/>
        <w:jc w:val="both"/>
        <w:rPr>
          <w:sz w:val="20"/>
        </w:rPr>
      </w:pPr>
      <w:r>
        <w:rPr>
          <w:sz w:val="20"/>
        </w:rPr>
        <w:t>Each state entity will monitor the federal funds it disburses to local governments to ensure compliance with federal laws and regulations. State entities will receive local government audit reports performed in accordance with the Single Audit Act of 1984, P.L. 98-502, and the Single Audit Act Amendments of  1996, P.L. 104-156, from the SCO when the audit report includes a schedule of findings and questioned costs with respect to federal funds that were passed through state entities. In addition, the SCO will distribute the single audit reports to state entities when the prior fiscal year’s single audit report included audit findings related to federal funds. The state entity will review these reports and evaluate the corrective action plans submitted in response to findings of</w:t>
      </w:r>
      <w:r>
        <w:rPr>
          <w:spacing w:val="-24"/>
          <w:sz w:val="20"/>
        </w:rPr>
        <w:t> </w:t>
      </w:r>
      <w:r>
        <w:rPr>
          <w:sz w:val="20"/>
        </w:rPr>
        <w:t>noncompliance.</w:t>
      </w:r>
    </w:p>
    <w:p>
      <w:pPr>
        <w:pStyle w:val="ListParagraph"/>
        <w:numPr>
          <w:ilvl w:val="1"/>
          <w:numId w:val="18"/>
        </w:numPr>
        <w:tabs>
          <w:tab w:pos="820" w:val="left" w:leader="none"/>
        </w:tabs>
        <w:spacing w:line="240" w:lineRule="auto" w:before="120" w:after="0"/>
        <w:ind w:left="820" w:right="218" w:hanging="360"/>
        <w:jc w:val="both"/>
        <w:rPr>
          <w:sz w:val="20"/>
        </w:rPr>
      </w:pPr>
      <w:r>
        <w:rPr>
          <w:sz w:val="20"/>
        </w:rPr>
        <w:t>All contracts or agreements issued by state entities concerning disbursement of federal funds to local governments</w:t>
      </w:r>
      <w:r>
        <w:rPr>
          <w:spacing w:val="-4"/>
          <w:sz w:val="20"/>
        </w:rPr>
        <w:t> </w:t>
      </w:r>
      <w:r>
        <w:rPr>
          <w:sz w:val="20"/>
        </w:rPr>
        <w:t>will</w:t>
      </w:r>
      <w:r>
        <w:rPr>
          <w:spacing w:val="-4"/>
          <w:sz w:val="20"/>
        </w:rPr>
        <w:t> </w:t>
      </w:r>
      <w:r>
        <w:rPr>
          <w:sz w:val="20"/>
        </w:rPr>
        <w:t>include</w:t>
      </w:r>
      <w:r>
        <w:rPr>
          <w:spacing w:val="-4"/>
          <w:sz w:val="20"/>
        </w:rPr>
        <w:t> </w:t>
      </w:r>
      <w:r>
        <w:rPr>
          <w:sz w:val="20"/>
        </w:rPr>
        <w:t>the</w:t>
      </w:r>
      <w:r>
        <w:rPr>
          <w:spacing w:val="-4"/>
          <w:sz w:val="20"/>
        </w:rPr>
        <w:t> </w:t>
      </w:r>
      <w:r>
        <w:rPr>
          <w:sz w:val="20"/>
        </w:rPr>
        <w:t>requirement</w:t>
      </w:r>
      <w:r>
        <w:rPr>
          <w:spacing w:val="-5"/>
          <w:sz w:val="20"/>
        </w:rPr>
        <w:t> </w:t>
      </w:r>
      <w:r>
        <w:rPr>
          <w:sz w:val="20"/>
        </w:rPr>
        <w:t>for</w:t>
      </w:r>
      <w:r>
        <w:rPr>
          <w:spacing w:val="-4"/>
          <w:sz w:val="20"/>
        </w:rPr>
        <w:t> </w:t>
      </w:r>
      <w:r>
        <w:rPr>
          <w:sz w:val="20"/>
        </w:rPr>
        <w:t>an</w:t>
      </w:r>
      <w:r>
        <w:rPr>
          <w:spacing w:val="-3"/>
          <w:sz w:val="20"/>
        </w:rPr>
        <w:t> </w:t>
      </w:r>
      <w:r>
        <w:rPr>
          <w:sz w:val="20"/>
        </w:rPr>
        <w:t>audit</w:t>
      </w:r>
      <w:r>
        <w:rPr>
          <w:spacing w:val="-4"/>
          <w:sz w:val="20"/>
        </w:rPr>
        <w:t> </w:t>
      </w:r>
      <w:r>
        <w:rPr>
          <w:sz w:val="20"/>
        </w:rPr>
        <w:t>in</w:t>
      </w:r>
      <w:r>
        <w:rPr>
          <w:spacing w:val="-3"/>
          <w:sz w:val="20"/>
        </w:rPr>
        <w:t> </w:t>
      </w:r>
      <w:r>
        <w:rPr>
          <w:sz w:val="20"/>
        </w:rPr>
        <w:t>accordance</w:t>
      </w:r>
      <w:r>
        <w:rPr>
          <w:spacing w:val="-5"/>
          <w:sz w:val="20"/>
        </w:rPr>
        <w:t> </w:t>
      </w:r>
      <w:r>
        <w:rPr>
          <w:sz w:val="20"/>
        </w:rPr>
        <w:t>with</w:t>
      </w:r>
      <w:r>
        <w:rPr>
          <w:spacing w:val="-3"/>
          <w:sz w:val="20"/>
        </w:rPr>
        <w:t> </w:t>
      </w:r>
      <w:r>
        <w:rPr>
          <w:sz w:val="20"/>
        </w:rPr>
        <w:t>P.L.</w:t>
      </w:r>
      <w:r>
        <w:rPr>
          <w:spacing w:val="-5"/>
          <w:sz w:val="20"/>
        </w:rPr>
        <w:t> </w:t>
      </w:r>
      <w:r>
        <w:rPr>
          <w:sz w:val="20"/>
        </w:rPr>
        <w:t>104-156</w:t>
      </w:r>
      <w:r>
        <w:rPr>
          <w:spacing w:val="-3"/>
          <w:sz w:val="20"/>
        </w:rPr>
        <w:t> </w:t>
      </w:r>
      <w:r>
        <w:rPr>
          <w:sz w:val="20"/>
        </w:rPr>
        <w:t>and</w:t>
      </w:r>
      <w:r>
        <w:rPr>
          <w:spacing w:val="-3"/>
          <w:sz w:val="20"/>
        </w:rPr>
        <w:t> </w:t>
      </w:r>
      <w:r>
        <w:rPr>
          <w:sz w:val="20"/>
        </w:rPr>
        <w:t>amendments.</w:t>
      </w:r>
    </w:p>
    <w:p>
      <w:pPr>
        <w:pStyle w:val="ListParagraph"/>
        <w:numPr>
          <w:ilvl w:val="1"/>
          <w:numId w:val="18"/>
        </w:numPr>
        <w:tabs>
          <w:tab w:pos="820" w:val="left" w:leader="none"/>
        </w:tabs>
        <w:spacing w:line="240" w:lineRule="auto" w:before="120" w:after="0"/>
        <w:ind w:left="820" w:right="215" w:hanging="360"/>
        <w:jc w:val="both"/>
        <w:rPr>
          <w:sz w:val="20"/>
        </w:rPr>
      </w:pPr>
      <w:r>
        <w:rPr>
          <w:sz w:val="20"/>
        </w:rPr>
        <w:t>The SCO will inform units of local government to submit copies of audit reports and corrective action plans,</w:t>
      </w:r>
      <w:r>
        <w:rPr>
          <w:spacing w:val="-4"/>
          <w:sz w:val="20"/>
        </w:rPr>
        <w:t> </w:t>
      </w:r>
      <w:r>
        <w:rPr>
          <w:sz w:val="20"/>
        </w:rPr>
        <w:t>when</w:t>
      </w:r>
      <w:r>
        <w:rPr>
          <w:spacing w:val="-4"/>
          <w:sz w:val="20"/>
        </w:rPr>
        <w:t> </w:t>
      </w:r>
      <w:r>
        <w:rPr>
          <w:sz w:val="20"/>
        </w:rPr>
        <w:t>warranted,</w:t>
      </w:r>
      <w:r>
        <w:rPr>
          <w:spacing w:val="-4"/>
          <w:sz w:val="20"/>
        </w:rPr>
        <w:t> </w:t>
      </w:r>
      <w:r>
        <w:rPr>
          <w:sz w:val="20"/>
        </w:rPr>
        <w:t>prepared</w:t>
      </w:r>
      <w:r>
        <w:rPr>
          <w:spacing w:val="-4"/>
          <w:sz w:val="20"/>
        </w:rPr>
        <w:t> </w:t>
      </w:r>
      <w:r>
        <w:rPr>
          <w:sz w:val="20"/>
        </w:rPr>
        <w:t>in</w:t>
      </w:r>
      <w:r>
        <w:rPr>
          <w:spacing w:val="-2"/>
          <w:sz w:val="20"/>
        </w:rPr>
        <w:t> </w:t>
      </w:r>
      <w:r>
        <w:rPr>
          <w:sz w:val="20"/>
        </w:rPr>
        <w:t>accordance</w:t>
      </w:r>
      <w:r>
        <w:rPr>
          <w:spacing w:val="-4"/>
          <w:sz w:val="20"/>
        </w:rPr>
        <w:t> </w:t>
      </w:r>
      <w:r>
        <w:rPr>
          <w:sz w:val="20"/>
        </w:rPr>
        <w:t>with</w:t>
      </w:r>
      <w:r>
        <w:rPr>
          <w:spacing w:val="-2"/>
          <w:sz w:val="20"/>
        </w:rPr>
        <w:t> </w:t>
      </w:r>
      <w:r>
        <w:rPr>
          <w:sz w:val="20"/>
        </w:rPr>
        <w:t>P.L.</w:t>
      </w:r>
      <w:r>
        <w:rPr>
          <w:spacing w:val="-4"/>
          <w:sz w:val="20"/>
        </w:rPr>
        <w:t> </w:t>
      </w:r>
      <w:r>
        <w:rPr>
          <w:sz w:val="20"/>
        </w:rPr>
        <w:t>104-156</w:t>
      </w:r>
      <w:r>
        <w:rPr>
          <w:spacing w:val="-3"/>
          <w:sz w:val="20"/>
        </w:rPr>
        <w:t> </w:t>
      </w:r>
      <w:r>
        <w:rPr>
          <w:sz w:val="20"/>
        </w:rPr>
        <w:t>and</w:t>
      </w:r>
      <w:r>
        <w:rPr>
          <w:spacing w:val="-3"/>
          <w:sz w:val="20"/>
        </w:rPr>
        <w:t> </w:t>
      </w:r>
      <w:r>
        <w:rPr>
          <w:sz w:val="20"/>
        </w:rPr>
        <w:t>amendments</w:t>
      </w:r>
      <w:r>
        <w:rPr>
          <w:spacing w:val="-3"/>
          <w:sz w:val="20"/>
        </w:rPr>
        <w:t> </w:t>
      </w:r>
      <w:r>
        <w:rPr>
          <w:sz w:val="20"/>
        </w:rPr>
        <w:t>directly</w:t>
      </w:r>
      <w:r>
        <w:rPr>
          <w:spacing w:val="-4"/>
          <w:sz w:val="20"/>
        </w:rPr>
        <w:t> </w:t>
      </w:r>
      <w:r>
        <w:rPr>
          <w:sz w:val="20"/>
        </w:rPr>
        <w:t>to</w:t>
      </w:r>
      <w:r>
        <w:rPr>
          <w:spacing w:val="-2"/>
          <w:sz w:val="20"/>
        </w:rPr>
        <w:t> </w:t>
      </w:r>
      <w:r>
        <w:rPr>
          <w:sz w:val="20"/>
        </w:rPr>
        <w:t>the</w:t>
      </w:r>
      <w:r>
        <w:rPr>
          <w:spacing w:val="-3"/>
          <w:sz w:val="20"/>
        </w:rPr>
        <w:t> </w:t>
      </w:r>
      <w:r>
        <w:rPr>
          <w:sz w:val="20"/>
        </w:rPr>
        <w:t>SCO.</w:t>
      </w:r>
    </w:p>
    <w:p>
      <w:pPr>
        <w:pStyle w:val="ListParagraph"/>
        <w:numPr>
          <w:ilvl w:val="1"/>
          <w:numId w:val="18"/>
        </w:numPr>
        <w:tabs>
          <w:tab w:pos="820" w:val="left" w:leader="none"/>
        </w:tabs>
        <w:spacing w:line="240" w:lineRule="auto" w:before="119" w:after="0"/>
        <w:ind w:left="820" w:right="215" w:hanging="360"/>
        <w:jc w:val="both"/>
        <w:rPr>
          <w:sz w:val="20"/>
        </w:rPr>
      </w:pPr>
      <w:r>
        <w:rPr>
          <w:sz w:val="20"/>
        </w:rPr>
        <w:t>The SCO will distribute copies of each audit report and corrective action plan to state entities affected by audit</w:t>
      </w:r>
      <w:r>
        <w:rPr>
          <w:spacing w:val="-7"/>
          <w:sz w:val="20"/>
        </w:rPr>
        <w:t> </w:t>
      </w:r>
      <w:r>
        <w:rPr>
          <w:sz w:val="20"/>
        </w:rPr>
        <w:t>findings.</w:t>
      </w:r>
    </w:p>
    <w:p>
      <w:pPr>
        <w:pStyle w:val="ListParagraph"/>
        <w:numPr>
          <w:ilvl w:val="1"/>
          <w:numId w:val="18"/>
        </w:numPr>
        <w:tabs>
          <w:tab w:pos="820" w:val="left" w:leader="none"/>
        </w:tabs>
        <w:spacing w:line="240" w:lineRule="auto" w:before="120" w:after="0"/>
        <w:ind w:left="820" w:right="217" w:hanging="360"/>
        <w:jc w:val="both"/>
        <w:rPr>
          <w:sz w:val="20"/>
        </w:rPr>
      </w:pPr>
      <w:r>
        <w:rPr>
          <w:sz w:val="20"/>
        </w:rPr>
        <w:t>State entities will follow up on audit findings pertaining to federal programs which they administer, and the SCO</w:t>
      </w:r>
      <w:r>
        <w:rPr>
          <w:spacing w:val="-5"/>
          <w:sz w:val="20"/>
        </w:rPr>
        <w:t> </w:t>
      </w:r>
      <w:r>
        <w:rPr>
          <w:sz w:val="20"/>
        </w:rPr>
        <w:t>will</w:t>
      </w:r>
      <w:r>
        <w:rPr>
          <w:spacing w:val="-3"/>
          <w:sz w:val="20"/>
        </w:rPr>
        <w:t> </w:t>
      </w:r>
      <w:r>
        <w:rPr>
          <w:sz w:val="20"/>
        </w:rPr>
        <w:t>follow</w:t>
      </w:r>
      <w:r>
        <w:rPr>
          <w:spacing w:val="-5"/>
          <w:sz w:val="20"/>
        </w:rPr>
        <w:t> </w:t>
      </w:r>
      <w:r>
        <w:rPr>
          <w:sz w:val="20"/>
        </w:rPr>
        <w:t>up</w:t>
      </w:r>
      <w:r>
        <w:rPr>
          <w:spacing w:val="-4"/>
          <w:sz w:val="20"/>
        </w:rPr>
        <w:t> </w:t>
      </w:r>
      <w:r>
        <w:rPr>
          <w:sz w:val="20"/>
        </w:rPr>
        <w:t>on</w:t>
      </w:r>
      <w:r>
        <w:rPr>
          <w:spacing w:val="-4"/>
          <w:sz w:val="20"/>
        </w:rPr>
        <w:t> </w:t>
      </w:r>
      <w:r>
        <w:rPr>
          <w:sz w:val="20"/>
        </w:rPr>
        <w:t>general</w:t>
      </w:r>
      <w:r>
        <w:rPr>
          <w:spacing w:val="-3"/>
          <w:sz w:val="20"/>
        </w:rPr>
        <w:t> </w:t>
      </w:r>
      <w:r>
        <w:rPr>
          <w:sz w:val="20"/>
        </w:rPr>
        <w:t>findings</w:t>
      </w:r>
      <w:r>
        <w:rPr>
          <w:spacing w:val="-3"/>
          <w:sz w:val="20"/>
        </w:rPr>
        <w:t> </w:t>
      </w:r>
      <w:r>
        <w:rPr>
          <w:sz w:val="20"/>
        </w:rPr>
        <w:t>such</w:t>
      </w:r>
      <w:r>
        <w:rPr>
          <w:spacing w:val="-4"/>
          <w:sz w:val="20"/>
        </w:rPr>
        <w:t> </w:t>
      </w:r>
      <w:r>
        <w:rPr>
          <w:sz w:val="20"/>
        </w:rPr>
        <w:t>as</w:t>
      </w:r>
      <w:r>
        <w:rPr>
          <w:spacing w:val="-3"/>
          <w:sz w:val="20"/>
        </w:rPr>
        <w:t> </w:t>
      </w:r>
      <w:r>
        <w:rPr>
          <w:sz w:val="20"/>
        </w:rPr>
        <w:t>those</w:t>
      </w:r>
      <w:r>
        <w:rPr>
          <w:spacing w:val="-5"/>
          <w:sz w:val="20"/>
        </w:rPr>
        <w:t> </w:t>
      </w:r>
      <w:r>
        <w:rPr>
          <w:sz w:val="20"/>
        </w:rPr>
        <w:t>relating</w:t>
      </w:r>
      <w:r>
        <w:rPr>
          <w:spacing w:val="-2"/>
          <w:sz w:val="20"/>
        </w:rPr>
        <w:t> </w:t>
      </w:r>
      <w:r>
        <w:rPr>
          <w:sz w:val="20"/>
        </w:rPr>
        <w:t>to</w:t>
      </w:r>
      <w:r>
        <w:rPr>
          <w:spacing w:val="-3"/>
          <w:sz w:val="20"/>
        </w:rPr>
        <w:t> </w:t>
      </w:r>
      <w:r>
        <w:rPr>
          <w:sz w:val="20"/>
        </w:rPr>
        <w:t>internal</w:t>
      </w:r>
      <w:r>
        <w:rPr>
          <w:spacing w:val="-3"/>
          <w:sz w:val="20"/>
        </w:rPr>
        <w:t> </w:t>
      </w:r>
      <w:r>
        <w:rPr>
          <w:sz w:val="20"/>
        </w:rPr>
        <w:t>control.</w:t>
      </w:r>
    </w:p>
    <w:p>
      <w:pPr>
        <w:pStyle w:val="ListParagraph"/>
        <w:numPr>
          <w:ilvl w:val="1"/>
          <w:numId w:val="18"/>
        </w:numPr>
        <w:tabs>
          <w:tab w:pos="820" w:val="left" w:leader="none"/>
        </w:tabs>
        <w:spacing w:line="240" w:lineRule="auto" w:before="120" w:after="0"/>
        <w:ind w:left="820" w:right="219" w:hanging="360"/>
        <w:jc w:val="both"/>
        <w:rPr>
          <w:sz w:val="20"/>
        </w:rPr>
      </w:pPr>
      <w:r>
        <w:rPr>
          <w:sz w:val="20"/>
        </w:rPr>
        <w:t>The SCO will review and monitor the audit reports issued by external independent auditors. The SCO will determine</w:t>
      </w:r>
      <w:r>
        <w:rPr>
          <w:spacing w:val="-3"/>
          <w:sz w:val="20"/>
        </w:rPr>
        <w:t> </w:t>
      </w:r>
      <w:r>
        <w:rPr>
          <w:sz w:val="20"/>
        </w:rPr>
        <w:t>whether</w:t>
      </w:r>
      <w:r>
        <w:rPr>
          <w:spacing w:val="-5"/>
          <w:sz w:val="20"/>
        </w:rPr>
        <w:t> </w:t>
      </w:r>
      <w:r>
        <w:rPr>
          <w:sz w:val="20"/>
        </w:rPr>
        <w:t>or</w:t>
      </w:r>
      <w:r>
        <w:rPr>
          <w:spacing w:val="-4"/>
          <w:sz w:val="20"/>
        </w:rPr>
        <w:t> </w:t>
      </w:r>
      <w:r>
        <w:rPr>
          <w:sz w:val="20"/>
        </w:rPr>
        <w:t>not</w:t>
      </w:r>
      <w:r>
        <w:rPr>
          <w:spacing w:val="-3"/>
          <w:sz w:val="20"/>
        </w:rPr>
        <w:t> </w:t>
      </w:r>
      <w:r>
        <w:rPr>
          <w:sz w:val="20"/>
        </w:rPr>
        <w:t>the</w:t>
      </w:r>
      <w:r>
        <w:rPr>
          <w:spacing w:val="-5"/>
          <w:sz w:val="20"/>
        </w:rPr>
        <w:t> </w:t>
      </w:r>
      <w:r>
        <w:rPr>
          <w:sz w:val="20"/>
        </w:rPr>
        <w:t>audit</w:t>
      </w:r>
      <w:r>
        <w:rPr>
          <w:spacing w:val="-5"/>
          <w:sz w:val="20"/>
        </w:rPr>
        <w:t> </w:t>
      </w:r>
      <w:r>
        <w:rPr>
          <w:sz w:val="20"/>
        </w:rPr>
        <w:t>reports</w:t>
      </w:r>
      <w:r>
        <w:rPr>
          <w:spacing w:val="-3"/>
          <w:sz w:val="20"/>
        </w:rPr>
        <w:t> </w:t>
      </w:r>
      <w:r>
        <w:rPr>
          <w:sz w:val="20"/>
        </w:rPr>
        <w:t>conform</w:t>
      </w:r>
      <w:r>
        <w:rPr>
          <w:spacing w:val="-5"/>
          <w:sz w:val="20"/>
        </w:rPr>
        <w:t> </w:t>
      </w:r>
      <w:r>
        <w:rPr>
          <w:sz w:val="20"/>
        </w:rPr>
        <w:t>to</w:t>
      </w:r>
      <w:r>
        <w:rPr>
          <w:spacing w:val="-4"/>
          <w:sz w:val="20"/>
        </w:rPr>
        <w:t> </w:t>
      </w:r>
      <w:r>
        <w:rPr>
          <w:i/>
          <w:sz w:val="20"/>
        </w:rPr>
        <w:t>Government</w:t>
      </w:r>
      <w:r>
        <w:rPr>
          <w:i/>
          <w:spacing w:val="-4"/>
          <w:sz w:val="20"/>
        </w:rPr>
        <w:t> </w:t>
      </w:r>
      <w:r>
        <w:rPr>
          <w:i/>
          <w:sz w:val="20"/>
        </w:rPr>
        <w:t>Auditing</w:t>
      </w:r>
      <w:r>
        <w:rPr>
          <w:i/>
          <w:spacing w:val="-4"/>
          <w:sz w:val="20"/>
        </w:rPr>
        <w:t> </w:t>
      </w:r>
      <w:r>
        <w:rPr>
          <w:i/>
          <w:sz w:val="20"/>
        </w:rPr>
        <w:t>Standards</w:t>
      </w:r>
      <w:r>
        <w:rPr>
          <w:sz w:val="20"/>
        </w:rPr>
        <w:t>.</w:t>
      </w:r>
    </w:p>
    <w:p>
      <w:pPr>
        <w:pStyle w:val="BodyText"/>
      </w:pPr>
    </w:p>
    <w:p>
      <w:pPr>
        <w:pStyle w:val="BodyText"/>
        <w:spacing w:before="7"/>
        <w:rPr>
          <w:sz w:val="22"/>
        </w:rPr>
      </w:pPr>
    </w:p>
    <w:p>
      <w:pPr>
        <w:pStyle w:val="Heading2"/>
        <w:tabs>
          <w:tab w:pos="8960" w:val="left" w:leader="none"/>
        </w:tabs>
        <w:spacing w:line="228" w:lineRule="exact" w:before="92"/>
        <w:ind w:left="100"/>
        <w:jc w:val="both"/>
      </w:pPr>
      <w:r>
        <w:rPr/>
        <w:t>NOTIFICATION OF ACTUAL OR SUSPECTED FRAUDS</w:t>
      </w:r>
      <w:r>
        <w:rPr>
          <w:spacing w:val="-12"/>
        </w:rPr>
        <w:t> </w:t>
      </w:r>
      <w:r>
        <w:rPr/>
        <w:t>AND</w:t>
      </w:r>
      <w:r>
        <w:rPr>
          <w:spacing w:val="-1"/>
        </w:rPr>
        <w:t> </w:t>
      </w:r>
      <w:r>
        <w:rPr/>
        <w:t>IRREGULARITIES</w:t>
        <w:tab/>
        <w:t>20080</w:t>
      </w:r>
    </w:p>
    <w:p>
      <w:pPr>
        <w:pStyle w:val="BodyText"/>
        <w:spacing w:line="228" w:lineRule="exact"/>
        <w:ind w:left="100"/>
        <w:jc w:val="both"/>
      </w:pPr>
      <w:r>
        <w:rPr/>
        <w:t>(Revised 09/13)</w:t>
      </w:r>
    </w:p>
    <w:p>
      <w:pPr>
        <w:pStyle w:val="BodyText"/>
        <w:spacing w:before="1"/>
      </w:pPr>
    </w:p>
    <w:p>
      <w:pPr>
        <w:pStyle w:val="BodyText"/>
        <w:ind w:left="100" w:right="217"/>
        <w:jc w:val="both"/>
      </w:pPr>
      <w:r>
        <w:rPr/>
        <w:pict>
          <v:shape style="position:absolute;margin-left:545.700012pt;margin-top:.156097pt;width:.1pt;height:172.45pt;mso-position-horizontal-relative:page;mso-position-vertical-relative:paragraph;z-index:2968" coordorigin="10914,3" coordsize="0,3449" path="m10914,3l10914,232m10914,232l10914,463m10914,463l10914,692m10914,692l10914,922m10914,922l10914,1153m10914,1153l10914,1382m10914,1382l10914,1612m10914,1612l10914,1843m10914,1843l10914,2072m10914,2072l10914,2302m10914,2302l10914,2533m10914,2533l10914,2762m10914,2762l10914,2992m10914,2992l10914,3223m10914,3223l10914,3452e" filled="false" stroked="true" strokeweight=".47998pt" strokecolor="#000000">
            <v:path arrowok="t"/>
            <v:stroke dashstyle="solid"/>
            <w10:wrap type="none"/>
          </v:shape>
        </w:pict>
      </w:r>
      <w:r>
        <w:rPr/>
        <w:t>An entity will notify </w:t>
      </w:r>
      <w:r>
        <w:rPr>
          <w:u w:val="single"/>
        </w:rPr>
        <w:t>OSAE </w:t>
      </w:r>
      <w:r>
        <w:rPr/>
        <w:t>and the </w:t>
      </w:r>
      <w:r>
        <w:rPr>
          <w:u w:val="single"/>
        </w:rPr>
        <w:t>State Auditor </w:t>
      </w:r>
      <w:r>
        <w:rPr/>
        <w:t>of all cases of actual or suspected </w:t>
      </w:r>
      <w:r>
        <w:rPr>
          <w:u w:val="single"/>
        </w:rPr>
        <w:t>fraud, theft</w:t>
      </w:r>
      <w:r>
        <w:rPr/>
        <w:t>, or other irregularities it has become aware of either internally or by referral. This requirement applies to all incidents involving state assets, whether alleged against state employees or others.</w:t>
      </w:r>
    </w:p>
    <w:p>
      <w:pPr>
        <w:pStyle w:val="BodyText"/>
        <w:spacing w:before="10"/>
        <w:rPr>
          <w:sz w:val="11"/>
        </w:rPr>
      </w:pPr>
    </w:p>
    <w:p>
      <w:pPr>
        <w:pStyle w:val="BodyText"/>
        <w:spacing w:before="93"/>
        <w:ind w:left="100" w:right="215"/>
        <w:jc w:val="both"/>
      </w:pPr>
      <w:r>
        <w:rPr/>
        <w:t>Notification will be made to </w:t>
      </w:r>
      <w:r>
        <w:rPr>
          <w:u w:val="single"/>
        </w:rPr>
        <w:t>OSAE </w:t>
      </w:r>
      <w:r>
        <w:rPr/>
        <w:t>and the </w:t>
      </w:r>
      <w:r>
        <w:rPr>
          <w:u w:val="single"/>
        </w:rPr>
        <w:t>State Auditor </w:t>
      </w:r>
      <w:r>
        <w:rPr/>
        <w:t>in writing not later than the first business day following  the actual or suspected fraud, theft, or irregularity. The notification will include, as a minimum, the sequence of events, the internal controls that failed, the means of discovery, the corrective actions taken, the actual or estimated dollar amount, and any punitive actions taken or being considered. In those instances where complete information is not available by the first business day following discovery, a preliminary notification will be made. A complete notification will be made within thirty days. If not completed within thirty days, a progress report will be submitted every</w:t>
      </w:r>
      <w:r>
        <w:rPr>
          <w:spacing w:val="-3"/>
        </w:rPr>
        <w:t> </w:t>
      </w:r>
      <w:r>
        <w:rPr/>
        <w:t>thirty</w:t>
      </w:r>
      <w:r>
        <w:rPr>
          <w:spacing w:val="-3"/>
        </w:rPr>
        <w:t> </w:t>
      </w:r>
      <w:r>
        <w:rPr/>
        <w:t>days</w:t>
      </w:r>
      <w:r>
        <w:rPr>
          <w:spacing w:val="-3"/>
        </w:rPr>
        <w:t> </w:t>
      </w:r>
      <w:r>
        <w:rPr/>
        <w:t>until</w:t>
      </w:r>
      <w:r>
        <w:rPr>
          <w:spacing w:val="-3"/>
        </w:rPr>
        <w:t> </w:t>
      </w:r>
      <w:r>
        <w:rPr/>
        <w:t>the</w:t>
      </w:r>
      <w:r>
        <w:rPr>
          <w:spacing w:val="-3"/>
        </w:rPr>
        <w:t> </w:t>
      </w:r>
      <w:r>
        <w:rPr/>
        <w:t>entity</w:t>
      </w:r>
      <w:r>
        <w:rPr>
          <w:spacing w:val="-3"/>
        </w:rPr>
        <w:t> </w:t>
      </w:r>
      <w:r>
        <w:rPr/>
        <w:t>has</w:t>
      </w:r>
      <w:r>
        <w:rPr>
          <w:spacing w:val="-3"/>
        </w:rPr>
        <w:t> </w:t>
      </w:r>
      <w:r>
        <w:rPr/>
        <w:t>resolution</w:t>
      </w:r>
      <w:r>
        <w:rPr>
          <w:spacing w:val="-4"/>
        </w:rPr>
        <w:t> </w:t>
      </w:r>
      <w:r>
        <w:rPr/>
        <w:t>or</w:t>
      </w:r>
      <w:r>
        <w:rPr>
          <w:spacing w:val="-5"/>
        </w:rPr>
        <w:t> </w:t>
      </w:r>
      <w:r>
        <w:rPr/>
        <w:t>has</w:t>
      </w:r>
      <w:r>
        <w:rPr>
          <w:spacing w:val="-5"/>
        </w:rPr>
        <w:t> </w:t>
      </w:r>
      <w:r>
        <w:rPr/>
        <w:t>referred</w:t>
      </w:r>
      <w:r>
        <w:rPr>
          <w:spacing w:val="-2"/>
        </w:rPr>
        <w:t> </w:t>
      </w:r>
      <w:r>
        <w:rPr/>
        <w:t>the</w:t>
      </w:r>
      <w:r>
        <w:rPr>
          <w:spacing w:val="-3"/>
        </w:rPr>
        <w:t> </w:t>
      </w:r>
      <w:r>
        <w:rPr/>
        <w:t>incident</w:t>
      </w:r>
      <w:r>
        <w:rPr>
          <w:spacing w:val="-5"/>
        </w:rPr>
        <w:t> </w:t>
      </w:r>
      <w:r>
        <w:rPr/>
        <w:t>to</w:t>
      </w:r>
      <w:r>
        <w:rPr>
          <w:spacing w:val="-2"/>
        </w:rPr>
        <w:t> </w:t>
      </w:r>
      <w:r>
        <w:rPr/>
        <w:t>the</w:t>
      </w:r>
      <w:r>
        <w:rPr>
          <w:spacing w:val="-5"/>
        </w:rPr>
        <w:t> </w:t>
      </w:r>
      <w:r>
        <w:rPr/>
        <w:t>proper</w:t>
      </w:r>
      <w:r>
        <w:rPr>
          <w:spacing w:val="-3"/>
        </w:rPr>
        <w:t> </w:t>
      </w:r>
      <w:r>
        <w:rPr/>
        <w:t>authority.</w:t>
      </w:r>
    </w:p>
    <w:p>
      <w:pPr>
        <w:pStyle w:val="BodyText"/>
        <w:spacing w:before="11"/>
        <w:rPr>
          <w:sz w:val="11"/>
        </w:rPr>
      </w:pPr>
    </w:p>
    <w:p>
      <w:pPr>
        <w:pStyle w:val="BodyText"/>
        <w:spacing w:before="92"/>
        <w:ind w:left="100" w:right="214"/>
        <w:jc w:val="both"/>
      </w:pPr>
      <w:r>
        <w:rPr/>
        <w:t>Additionally, agencies will notify </w:t>
      </w:r>
      <w:r>
        <w:rPr>
          <w:u w:val="single"/>
        </w:rPr>
        <w:t>OSAE </w:t>
      </w:r>
      <w:r>
        <w:rPr/>
        <w:t>of material irregularities in their annual Letter of Representation in accordance with SAM </w:t>
      </w:r>
      <w:r>
        <w:rPr>
          <w:u w:val="single"/>
        </w:rPr>
        <w:t>section </w:t>
      </w:r>
      <w:r>
        <w:rPr/>
        <w:t>20020 (Single Audit Coordination). For reporting lost, stolen or destroyed property, see SAM </w:t>
      </w:r>
      <w:r>
        <w:rPr>
          <w:u w:val="single"/>
        </w:rPr>
        <w:t>section </w:t>
      </w:r>
      <w:r>
        <w:rPr/>
        <w:t>8643.</w:t>
      </w:r>
    </w:p>
    <w:p>
      <w:pPr>
        <w:spacing w:after="0"/>
        <w:jc w:val="both"/>
        <w:sectPr>
          <w:pgSz w:w="12240" w:h="15840"/>
          <w:pgMar w:header="725" w:footer="743" w:top="1160" w:bottom="940" w:left="1340" w:right="1220"/>
        </w:sectPr>
      </w:pPr>
    </w:p>
    <w:p>
      <w:pPr>
        <w:pStyle w:val="BodyText"/>
        <w:spacing w:before="2"/>
        <w:rPr>
          <w:sz w:val="12"/>
        </w:rPr>
      </w:pPr>
    </w:p>
    <w:p>
      <w:pPr>
        <w:pStyle w:val="Heading2"/>
        <w:tabs>
          <w:tab w:pos="8959" w:val="left" w:leader="none"/>
        </w:tabs>
        <w:spacing w:line="229" w:lineRule="exact" w:before="92"/>
        <w:ind w:left="100"/>
      </w:pPr>
      <w:r>
        <w:rPr/>
        <w:t>REPORTING</w:t>
      </w:r>
      <w:r>
        <w:rPr>
          <w:spacing w:val="-2"/>
        </w:rPr>
        <w:t> </w:t>
      </w:r>
      <w:r>
        <w:rPr/>
        <w:t>MATRIX</w:t>
        <w:tab/>
        <w:t>20090</w:t>
      </w:r>
    </w:p>
    <w:p>
      <w:pPr>
        <w:pStyle w:val="BodyText"/>
        <w:spacing w:line="229" w:lineRule="exact"/>
        <w:ind w:left="100"/>
      </w:pPr>
      <w:r>
        <w:rPr/>
        <w:t>(Revised 09/13)</w:t>
      </w:r>
    </w:p>
    <w:p>
      <w:pPr>
        <w:pStyle w:val="BodyText"/>
        <w:spacing w:before="11"/>
        <w:rPr>
          <w:sz w:val="19"/>
        </w:rPr>
      </w:pPr>
    </w:p>
    <w:p>
      <w:pPr>
        <w:pStyle w:val="BodyText"/>
        <w:tabs>
          <w:tab w:pos="3608" w:val="left" w:leader="none"/>
          <w:tab w:pos="6333" w:val="left" w:leader="none"/>
          <w:tab w:pos="8393" w:val="left" w:leader="none"/>
        </w:tabs>
        <w:ind w:left="1114"/>
      </w:pPr>
      <w:r>
        <w:rPr/>
        <w:pict>
          <v:shape style="position:absolute;margin-left:540pt;margin-top:.156209pt;width:.1pt;height:158.550pt;mso-position-horizontal-relative:page;mso-position-vertical-relative:paragraph;z-index:2992" coordorigin="10800,3" coordsize="0,3171" path="m10800,3l10800,264m10800,264l10800,524m10800,524l10800,783m10800,783l10800,1044m10800,1044l10800,1734m10800,1734l10800,1994m10800,1994l10800,2454m10800,2454l10800,2714m10800,2714l10800,3174e" filled="false" stroked="true" strokeweight=".47998pt" strokecolor="#000000">
            <v:path arrowok="t"/>
            <v:stroke dashstyle="solid"/>
            <w10:wrap type="none"/>
          </v:shape>
        </w:pict>
      </w:r>
      <w:r>
        <w:rPr>
          <w:u w:val="single"/>
        </w:rPr>
        <w:t>Document</w:t>
      </w:r>
      <w:r>
        <w:rPr/>
        <w:tab/>
      </w:r>
      <w:r>
        <w:rPr>
          <w:u w:val="single"/>
        </w:rPr>
        <w:t>Required</w:t>
      </w:r>
      <w:r>
        <w:rPr>
          <w:spacing w:val="-3"/>
          <w:u w:val="single"/>
        </w:rPr>
        <w:t> </w:t>
      </w:r>
      <w:r>
        <w:rPr>
          <w:u w:val="single"/>
        </w:rPr>
        <w:t>from</w:t>
      </w:r>
      <w:r>
        <w:rPr/>
        <w:tab/>
      </w:r>
      <w:r>
        <w:rPr>
          <w:u w:val="single"/>
        </w:rPr>
        <w:t>Due</w:t>
      </w:r>
      <w:r>
        <w:rPr>
          <w:spacing w:val="-1"/>
          <w:u w:val="single"/>
        </w:rPr>
        <w:t> </w:t>
      </w:r>
      <w:r>
        <w:rPr>
          <w:u w:val="single"/>
        </w:rPr>
        <w:t>Date</w:t>
      </w:r>
      <w:r>
        <w:rPr/>
        <w:tab/>
      </w:r>
      <w:r>
        <w:rPr>
          <w:u w:val="single"/>
        </w:rPr>
        <w:t>Submit</w:t>
      </w:r>
      <w:r>
        <w:rPr>
          <w:spacing w:val="-2"/>
          <w:u w:val="single"/>
        </w:rPr>
        <w:t> </w:t>
      </w:r>
      <w:r>
        <w:rPr>
          <w:u w:val="single"/>
        </w:rPr>
        <w:t>to</w:t>
      </w:r>
    </w:p>
    <w:p>
      <w:pPr>
        <w:pStyle w:val="BodyText"/>
        <w:spacing w:before="3"/>
        <w:rPr>
          <w:sz w:val="17"/>
        </w:rPr>
      </w:pPr>
    </w:p>
    <w:p>
      <w:pPr>
        <w:pStyle w:val="BodyText"/>
        <w:tabs>
          <w:tab w:pos="3573" w:val="left" w:leader="none"/>
          <w:tab w:pos="5517" w:val="left" w:leader="none"/>
          <w:tab w:pos="8466" w:val="left" w:leader="none"/>
        </w:tabs>
        <w:spacing w:before="92"/>
        <w:ind w:left="133"/>
      </w:pPr>
      <w:r>
        <w:rPr/>
        <w:t>Single Audit</w:t>
      </w:r>
      <w:r>
        <w:rPr>
          <w:spacing w:val="-8"/>
        </w:rPr>
        <w:t> </w:t>
      </w:r>
      <w:r>
        <w:rPr/>
        <w:t>Representation</w:t>
      </w:r>
      <w:r>
        <w:rPr>
          <w:spacing w:val="-4"/>
        </w:rPr>
        <w:t> </w:t>
      </w:r>
      <w:r>
        <w:rPr/>
        <w:t>Letter</w:t>
        <w:tab/>
        <w:t>All</w:t>
      </w:r>
      <w:r>
        <w:rPr>
          <w:spacing w:val="-3"/>
        </w:rPr>
        <w:t> </w:t>
      </w:r>
      <w:r>
        <w:rPr/>
        <w:t>State</w:t>
      </w:r>
      <w:r>
        <w:rPr>
          <w:spacing w:val="-3"/>
        </w:rPr>
        <w:t> </w:t>
      </w:r>
      <w:r>
        <w:rPr/>
        <w:t>entities</w:t>
        <w:tab/>
        <w:t>Upon notification,</w:t>
      </w:r>
      <w:r>
        <w:rPr>
          <w:spacing w:val="-7"/>
        </w:rPr>
        <w:t> </w:t>
      </w:r>
      <w:r>
        <w:rPr/>
        <w:t>each</w:t>
      </w:r>
      <w:r>
        <w:rPr>
          <w:spacing w:val="-2"/>
        </w:rPr>
        <w:t> </w:t>
      </w:r>
      <w:r>
        <w:rPr/>
        <w:t>year</w:t>
        <w:tab/>
      </w:r>
      <w:r>
        <w:rPr>
          <w:u w:val="single"/>
        </w:rPr>
        <w:t>Finance</w:t>
      </w:r>
    </w:p>
    <w:p>
      <w:pPr>
        <w:pStyle w:val="BodyText"/>
        <w:spacing w:before="2"/>
        <w:rPr>
          <w:sz w:val="17"/>
        </w:rPr>
      </w:pPr>
    </w:p>
    <w:p>
      <w:pPr>
        <w:spacing w:after="0"/>
        <w:rPr>
          <w:sz w:val="17"/>
        </w:rPr>
        <w:sectPr>
          <w:headerReference w:type="default" r:id="rId61"/>
          <w:pgSz w:w="12240" w:h="15840"/>
          <w:pgMar w:header="725" w:footer="743" w:top="940" w:bottom="940" w:left="1340" w:right="1320"/>
        </w:sectPr>
      </w:pPr>
    </w:p>
    <w:p>
      <w:pPr>
        <w:pStyle w:val="BodyText"/>
        <w:spacing w:before="92"/>
        <w:ind w:left="100" w:right="-18"/>
      </w:pPr>
      <w:r>
        <w:rPr/>
        <w:t>FISMA Transmittal Letter and Review Report</w:t>
      </w:r>
    </w:p>
    <w:p>
      <w:pPr>
        <w:pStyle w:val="BodyText"/>
        <w:tabs>
          <w:tab w:pos="2045" w:val="left" w:leader="none"/>
        </w:tabs>
        <w:spacing w:before="92"/>
        <w:ind w:left="100"/>
      </w:pPr>
      <w:r>
        <w:rPr/>
        <w:br w:type="column"/>
      </w:r>
      <w:r>
        <w:rPr/>
        <w:t>All</w:t>
      </w:r>
      <w:r>
        <w:rPr>
          <w:spacing w:val="-3"/>
        </w:rPr>
        <w:t> </w:t>
      </w:r>
      <w:r>
        <w:rPr/>
        <w:t>State</w:t>
      </w:r>
      <w:r>
        <w:rPr>
          <w:spacing w:val="-3"/>
        </w:rPr>
        <w:t> </w:t>
      </w:r>
      <w:r>
        <w:rPr/>
        <w:t>entities</w:t>
        <w:tab/>
        <w:t>Biennial, but no later</w:t>
      </w:r>
      <w:r>
        <w:rPr>
          <w:spacing w:val="-14"/>
        </w:rPr>
        <w:t> </w:t>
      </w:r>
      <w:r>
        <w:rPr>
          <w:u w:val="single"/>
        </w:rPr>
        <w:t>than</w:t>
      </w:r>
    </w:p>
    <w:p>
      <w:pPr>
        <w:pStyle w:val="BodyText"/>
        <w:ind w:left="2045" w:right="377"/>
      </w:pPr>
      <w:r>
        <w:rPr/>
        <w:t>December 31 of each odd-numbered year</w:t>
      </w:r>
    </w:p>
    <w:p>
      <w:pPr>
        <w:pStyle w:val="BodyText"/>
        <w:spacing w:before="92"/>
        <w:ind w:left="236" w:right="389" w:hanging="137"/>
      </w:pPr>
      <w:r>
        <w:rPr/>
        <w:br w:type="column"/>
      </w:r>
      <w:r>
        <w:rPr>
          <w:u w:val="single"/>
        </w:rPr>
        <w:t>See SAM 20060</w:t>
      </w:r>
    </w:p>
    <w:p>
      <w:pPr>
        <w:spacing w:after="0"/>
        <w:sectPr>
          <w:type w:val="continuous"/>
          <w:pgSz w:w="12240" w:h="15840"/>
          <w:pgMar w:top="920" w:bottom="820" w:left="1340" w:right="1320"/>
          <w:cols w:num="3" w:equalWidth="0">
            <w:col w:w="2552" w:space="921"/>
            <w:col w:w="4131" w:space="695"/>
            <w:col w:w="1281"/>
          </w:cols>
        </w:sectPr>
      </w:pPr>
    </w:p>
    <w:p>
      <w:pPr>
        <w:pStyle w:val="BodyText"/>
        <w:spacing w:before="7"/>
        <w:rPr>
          <w:sz w:val="14"/>
        </w:rPr>
      </w:pPr>
    </w:p>
    <w:p>
      <w:pPr>
        <w:spacing w:after="0"/>
        <w:rPr>
          <w:sz w:val="14"/>
        </w:rPr>
        <w:sectPr>
          <w:type w:val="continuous"/>
          <w:pgSz w:w="12240" w:h="15840"/>
          <w:pgMar w:top="920" w:bottom="820" w:left="1340" w:right="1320"/>
        </w:sectPr>
      </w:pPr>
    </w:p>
    <w:p>
      <w:pPr>
        <w:pStyle w:val="BodyText"/>
        <w:tabs>
          <w:tab w:pos="3572" w:val="left" w:leader="none"/>
          <w:tab w:pos="5517" w:val="left" w:leader="none"/>
        </w:tabs>
        <w:spacing w:before="92"/>
        <w:ind w:left="5517" w:hanging="5418"/>
      </w:pPr>
      <w:r>
        <w:rPr/>
        <w:t>Corrective</w:t>
      </w:r>
      <w:r>
        <w:rPr>
          <w:spacing w:val="-5"/>
        </w:rPr>
        <w:t> </w:t>
      </w:r>
      <w:r>
        <w:rPr/>
        <w:t>Action</w:t>
      </w:r>
      <w:r>
        <w:rPr>
          <w:spacing w:val="-4"/>
        </w:rPr>
        <w:t> </w:t>
      </w:r>
      <w:r>
        <w:rPr/>
        <w:t>Plan</w:t>
        <w:tab/>
        <w:t>All</w:t>
      </w:r>
      <w:r>
        <w:rPr>
          <w:spacing w:val="-3"/>
        </w:rPr>
        <w:t> </w:t>
      </w:r>
      <w:r>
        <w:rPr/>
        <w:t>State</w:t>
      </w:r>
      <w:r>
        <w:rPr>
          <w:spacing w:val="-3"/>
        </w:rPr>
        <w:t> </w:t>
      </w:r>
      <w:r>
        <w:rPr/>
        <w:t>entities</w:t>
        <w:tab/>
        <w:t>Within 30</w:t>
      </w:r>
      <w:r>
        <w:rPr>
          <w:spacing w:val="-8"/>
        </w:rPr>
        <w:t> </w:t>
      </w:r>
      <w:r>
        <w:rPr/>
        <w:t>days</w:t>
      </w:r>
      <w:r>
        <w:rPr>
          <w:spacing w:val="-3"/>
        </w:rPr>
        <w:t> </w:t>
      </w:r>
      <w:r>
        <w:rPr/>
        <w:t>after</w:t>
      </w:r>
      <w:r>
        <w:rPr>
          <w:spacing w:val="-1"/>
          <w:w w:val="100"/>
        </w:rPr>
        <w:t> </w:t>
      </w:r>
      <w:r>
        <w:rPr/>
        <w:t>submitting the FISMA</w:t>
      </w:r>
      <w:r>
        <w:rPr>
          <w:spacing w:val="-16"/>
        </w:rPr>
        <w:t> </w:t>
      </w:r>
      <w:r>
        <w:rPr/>
        <w:t>Report</w:t>
      </w:r>
    </w:p>
    <w:p>
      <w:pPr>
        <w:pStyle w:val="BodyText"/>
        <w:spacing w:before="92"/>
        <w:ind w:left="100"/>
      </w:pPr>
      <w:r>
        <w:rPr/>
        <w:br w:type="column"/>
      </w:r>
      <w:r>
        <w:rPr>
          <w:u w:val="single"/>
        </w:rPr>
        <w:t>Finance</w:t>
      </w:r>
    </w:p>
    <w:p>
      <w:pPr>
        <w:spacing w:after="0"/>
        <w:sectPr>
          <w:type w:val="continuous"/>
          <w:pgSz w:w="12240" w:h="15840"/>
          <w:pgMar w:top="920" w:bottom="820" w:left="1340" w:right="1320"/>
          <w:cols w:num="2" w:equalWidth="0">
            <w:col w:w="7925" w:space="443"/>
            <w:col w:w="1212"/>
          </w:cols>
        </w:sectPr>
      </w:pPr>
    </w:p>
    <w:p>
      <w:pPr>
        <w:pStyle w:val="BodyText"/>
        <w:spacing w:before="7"/>
        <w:rPr>
          <w:sz w:val="14"/>
        </w:rPr>
      </w:pPr>
    </w:p>
    <w:p>
      <w:pPr>
        <w:spacing w:after="0"/>
        <w:rPr>
          <w:sz w:val="14"/>
        </w:rPr>
        <w:sectPr>
          <w:type w:val="continuous"/>
          <w:pgSz w:w="12240" w:h="15840"/>
          <w:pgMar w:top="920" w:bottom="820" w:left="1340" w:right="1320"/>
        </w:sectPr>
      </w:pPr>
    </w:p>
    <w:p>
      <w:pPr>
        <w:pStyle w:val="BodyText"/>
        <w:tabs>
          <w:tab w:pos="3472" w:val="left" w:leader="none"/>
          <w:tab w:pos="5418" w:val="left" w:leader="none"/>
        </w:tabs>
        <w:spacing w:line="230" w:lineRule="exact" w:before="92"/>
        <w:jc w:val="right"/>
      </w:pPr>
      <w:r>
        <w:rPr/>
        <w:t>Subsequent Corrective</w:t>
      </w:r>
      <w:r>
        <w:rPr>
          <w:spacing w:val="-10"/>
        </w:rPr>
        <w:t> </w:t>
      </w:r>
      <w:r>
        <w:rPr/>
        <w:t>Action</w:t>
      </w:r>
      <w:r>
        <w:rPr>
          <w:spacing w:val="-4"/>
        </w:rPr>
        <w:t> </w:t>
      </w:r>
      <w:r>
        <w:rPr/>
        <w:t>Plan</w:t>
        <w:tab/>
        <w:t>All</w:t>
      </w:r>
      <w:r>
        <w:rPr>
          <w:spacing w:val="-3"/>
        </w:rPr>
        <w:t> </w:t>
      </w:r>
      <w:r>
        <w:rPr/>
        <w:t>State</w:t>
      </w:r>
      <w:r>
        <w:rPr>
          <w:spacing w:val="-3"/>
        </w:rPr>
        <w:t> </w:t>
      </w:r>
      <w:r>
        <w:rPr/>
        <w:t>entities</w:t>
        <w:tab/>
        <w:t>Every six months until</w:t>
      </w:r>
      <w:r>
        <w:rPr>
          <w:spacing w:val="-14"/>
        </w:rPr>
        <w:t> </w:t>
      </w:r>
      <w:r>
        <w:rPr/>
        <w:t>all</w:t>
      </w:r>
    </w:p>
    <w:p>
      <w:pPr>
        <w:pStyle w:val="BodyText"/>
        <w:spacing w:line="230" w:lineRule="exact"/>
        <w:jc w:val="right"/>
      </w:pPr>
      <w:r>
        <w:rPr/>
        <w:t>corrections are completed</w:t>
      </w:r>
    </w:p>
    <w:p>
      <w:pPr>
        <w:pStyle w:val="BodyText"/>
        <w:spacing w:before="92"/>
        <w:ind w:left="100"/>
      </w:pPr>
      <w:r>
        <w:rPr/>
        <w:br w:type="column"/>
      </w:r>
      <w:r>
        <w:rPr>
          <w:u w:val="single"/>
        </w:rPr>
        <w:t>Finance</w:t>
      </w:r>
    </w:p>
    <w:sectPr>
      <w:type w:val="continuous"/>
      <w:pgSz w:w="12240" w:h="15840"/>
      <w:pgMar w:top="920" w:bottom="820" w:left="1340" w:right="1320"/>
      <w:cols w:num="2" w:equalWidth="0">
        <w:col w:w="7585" w:space="782"/>
        <w:col w:w="121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67783">
          <wp:simplePos x="0" y="0"/>
          <wp:positionH relativeFrom="page">
            <wp:posOffset>902208</wp:posOffset>
          </wp:positionH>
          <wp:positionV relativeFrom="page">
            <wp:posOffset>9532619</wp:posOffset>
          </wp:positionV>
          <wp:extent cx="537972" cy="15240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537972" cy="152400"/>
                  </a:xfrm>
                  <a:prstGeom prst="rect">
                    <a:avLst/>
                  </a:prstGeom>
                </pic:spPr>
              </pic:pic>
            </a:graphicData>
          </a:graphic>
        </wp:anchor>
      </w:drawing>
    </w:r>
    <w:r>
      <w:rPr/>
      <w:drawing>
        <wp:anchor distT="0" distB="0" distL="0" distR="0" allowOverlap="1" layoutInCell="1" locked="0" behindDoc="1" simplePos="0" relativeHeight="268367807">
          <wp:simplePos x="0" y="0"/>
          <wp:positionH relativeFrom="page">
            <wp:posOffset>3538728</wp:posOffset>
          </wp:positionH>
          <wp:positionV relativeFrom="page">
            <wp:posOffset>9532619</wp:posOffset>
          </wp:positionV>
          <wp:extent cx="694944" cy="15240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2" cstate="print"/>
                  <a:stretch>
                    <a:fillRect/>
                  </a:stretch>
                </pic:blipFill>
                <pic:spPr>
                  <a:xfrm>
                    <a:off x="0" y="0"/>
                    <a:ext cx="694944" cy="152400"/>
                  </a:xfrm>
                  <a:prstGeom prst="rect">
                    <a:avLst/>
                  </a:prstGeom>
                </pic:spPr>
              </pic:pic>
            </a:graphicData>
          </a:graphic>
        </wp:anchor>
      </w:drawing>
    </w:r>
    <w:r>
      <w:rPr/>
      <w:drawing>
        <wp:anchor distT="0" distB="0" distL="0" distR="0" allowOverlap="1" layoutInCell="1" locked="0" behindDoc="1" simplePos="0" relativeHeight="268367831">
          <wp:simplePos x="0" y="0"/>
          <wp:positionH relativeFrom="page">
            <wp:posOffset>5737859</wp:posOffset>
          </wp:positionH>
          <wp:positionV relativeFrom="page">
            <wp:posOffset>9532619</wp:posOffset>
          </wp:positionV>
          <wp:extent cx="1132332" cy="152400"/>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3" cstate="print"/>
                  <a:stretch>
                    <a:fillRect/>
                  </a:stretch>
                </pic:blipFill>
                <pic:spPr>
                  <a:xfrm>
                    <a:off x="0" y="0"/>
                    <a:ext cx="1132332" cy="152400"/>
                  </a:xfrm>
                  <a:prstGeom prst="rect">
                    <a:avLst/>
                  </a:prstGeom>
                </pic:spPr>
              </pic:pic>
            </a:graphicData>
          </a:graphic>
        </wp:anchor>
      </w:drawing>
    </w:r>
    <w:r>
      <w:rPr/>
      <w:pict>
        <v:shape style="position:absolute;margin-left:71.024002pt;margin-top:749.559448pt;width:42pt;height:13.15pt;mso-position-horizontal-relative:page;mso-position-vertical-relative:page;z-index:-67600" type="#_x0000_t202" filled="false" stroked="false">
          <v:textbox inset="0,0,0,0">
            <w:txbxContent>
              <w:p>
                <w:pPr>
                  <w:spacing w:before="12"/>
                  <w:ind w:left="20" w:right="0" w:firstLine="0"/>
                  <w:jc w:val="left"/>
                  <w:rPr>
                    <w:rFonts w:ascii="Arial"/>
                    <w:b/>
                    <w:sz w:val="20"/>
                  </w:rPr>
                </w:pPr>
                <w:r>
                  <w:rPr>
                    <w:rFonts w:ascii="Arial"/>
                    <w:b/>
                    <w:sz w:val="20"/>
                  </w:rPr>
                  <w:t>Rev. 423</w:t>
                </w:r>
              </w:p>
            </w:txbxContent>
          </v:textbox>
          <w10:wrap type="none"/>
        </v:shape>
      </w:pict>
    </w:r>
    <w:r>
      <w:rPr/>
      <w:pict>
        <v:shape style="position:absolute;margin-left:278.649994pt;margin-top:749.559448pt;width:54.25pt;height:13.15pt;mso-position-horizontal-relative:page;mso-position-vertical-relative:page;z-index:-67576" type="#_x0000_t202" filled="false" stroked="false">
          <v:textbox inset="0,0,0,0">
            <w:txbxContent>
              <w:p>
                <w:pPr>
                  <w:spacing w:before="12"/>
                  <w:ind w:left="20" w:right="0" w:firstLine="0"/>
                  <w:jc w:val="left"/>
                  <w:rPr>
                    <w:rFonts w:ascii="Arial"/>
                    <w:b/>
                    <w:sz w:val="20"/>
                  </w:rPr>
                </w:pPr>
                <w:r>
                  <w:rPr>
                    <w:rFonts w:ascii="Arial"/>
                    <w:b/>
                    <w:sz w:val="20"/>
                  </w:rPr>
                  <w:t>Page </w:t>
                </w:r>
                <w:r>
                  <w:rPr/>
                  <w:fldChar w:fldCharType="begin"/>
                </w:r>
                <w:r>
                  <w:rPr>
                    <w:rFonts w:ascii="Arial"/>
                    <w:b/>
                    <w:sz w:val="20"/>
                  </w:rPr>
                  <w:instrText> PAGE </w:instrText>
                </w:r>
                <w:r>
                  <w:rPr/>
                  <w:fldChar w:fldCharType="separate"/>
                </w:r>
                <w:r>
                  <w:rPr/>
                  <w:t>1</w:t>
                </w:r>
                <w:r>
                  <w:rPr/>
                  <w:fldChar w:fldCharType="end"/>
                </w:r>
                <w:r>
                  <w:rPr>
                    <w:rFonts w:ascii="Arial"/>
                    <w:b/>
                    <w:sz w:val="20"/>
                  </w:rPr>
                  <w:t> of 2</w:t>
                </w:r>
              </w:p>
            </w:txbxContent>
          </v:textbox>
          <w10:wrap type="none"/>
        </v:shape>
      </w:pict>
    </w:r>
    <w:r>
      <w:rPr/>
      <w:pict>
        <v:shape style="position:absolute;margin-left:451.859985pt;margin-top:749.559448pt;width:88.55pt;height:13.15pt;mso-position-horizontal-relative:page;mso-position-vertical-relative:page;z-index:-67552" type="#_x0000_t202" filled="false" stroked="false">
          <v:textbox inset="0,0,0,0">
            <w:txbxContent>
              <w:p>
                <w:pPr>
                  <w:spacing w:before="12"/>
                  <w:ind w:left="20" w:right="0" w:firstLine="0"/>
                  <w:jc w:val="left"/>
                  <w:rPr>
                    <w:rFonts w:ascii="Arial"/>
                    <w:b/>
                    <w:sz w:val="20"/>
                  </w:rPr>
                </w:pPr>
                <w:r>
                  <w:rPr>
                    <w:rFonts w:ascii="Arial"/>
                    <w:b/>
                    <w:sz w:val="20"/>
                  </w:rPr>
                  <w:t>SEPTEMBER 2013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911072pt;width:33pt;height:13.1pt;mso-position-horizontal-relative:page;mso-position-vertical-relative:page;z-index:-67048" type="#_x0000_t202" filled="false" stroked="false">
          <v:textbox inset="0,0,0,0">
            <w:txbxContent>
              <w:p>
                <w:pPr>
                  <w:spacing w:before="12"/>
                  <w:ind w:left="20" w:right="0" w:firstLine="0"/>
                  <w:jc w:val="left"/>
                  <w:rPr>
                    <w:b/>
                    <w:sz w:val="20"/>
                  </w:rPr>
                </w:pPr>
                <w:r>
                  <w:rPr>
                    <w:b/>
                    <w:sz w:val="20"/>
                  </w:rPr>
                  <w:t>TL 334</w:t>
                </w:r>
              </w:p>
            </w:txbxContent>
          </v:textbox>
          <w10:wrap type="none"/>
        </v:shape>
      </w:pict>
    </w:r>
    <w:r>
      <w:rPr/>
      <w:pict>
        <v:shape style="position:absolute;margin-left:294.914948pt;margin-top:743.911072pt;width:22.2pt;height:13.1pt;mso-position-horizontal-relative:page;mso-position-vertical-relative:page;z-index:-67024" type="#_x0000_t202" filled="false" stroked="false">
          <v:textbox inset="0,0,0,0">
            <w:txbxContent>
              <w:p>
                <w:pPr>
                  <w:spacing w:before="12"/>
                  <w:ind w:left="20" w:right="0" w:firstLine="0"/>
                  <w:jc w:val="left"/>
                  <w:rPr>
                    <w:b/>
                    <w:sz w:val="20"/>
                  </w:rPr>
                </w:pPr>
                <w:r>
                  <w:rPr>
                    <w:b/>
                    <w:sz w:val="20"/>
                  </w:rPr>
                  <w:t>8454</w:t>
                </w:r>
              </w:p>
            </w:txbxContent>
          </v:textbox>
          <w10:wrap type="none"/>
        </v:shape>
      </w:pict>
    </w:r>
    <w:r>
      <w:rPr/>
      <w:pict>
        <v:shape style="position:absolute;margin-left:458.407257pt;margin-top:743.911072pt;width:82.6pt;height:13.1pt;mso-position-horizontal-relative:page;mso-position-vertical-relative:page;z-index:-67000" type="#_x0000_t202" filled="false" stroked="false">
          <v:textbox inset="0,0,0,0">
            <w:txbxContent>
              <w:p>
                <w:pPr>
                  <w:spacing w:before="12"/>
                  <w:ind w:left="20" w:right="0" w:firstLine="0"/>
                  <w:jc w:val="left"/>
                  <w:rPr>
                    <w:b/>
                    <w:sz w:val="20"/>
                  </w:rPr>
                </w:pPr>
                <w:r>
                  <w:rPr>
                    <w:b/>
                    <w:sz w:val="20"/>
                  </w:rPr>
                  <w:t>DECEMBER 1989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911072pt;width:43.35pt;height:13.1pt;mso-position-horizontal-relative:page;mso-position-vertical-relative:page;z-index:-66976" type="#_x0000_t202" filled="false" stroked="false">
          <v:textbox inset="0,0,0,0">
            <w:txbxContent>
              <w:p>
                <w:pPr>
                  <w:spacing w:before="12"/>
                  <w:ind w:left="20" w:right="0" w:firstLine="0"/>
                  <w:jc w:val="left"/>
                  <w:rPr>
                    <w:b/>
                    <w:sz w:val="20"/>
                  </w:rPr>
                </w:pPr>
                <w:r>
                  <w:rPr>
                    <w:b/>
                    <w:sz w:val="20"/>
                  </w:rPr>
                  <w:t>REV. 423</w:t>
                </w:r>
              </w:p>
            </w:txbxContent>
          </v:textbox>
          <w10:wrap type="none"/>
        </v:shape>
      </w:pict>
    </w:r>
    <w:r>
      <w:rPr/>
      <w:pict>
        <v:shape style="position:absolute;margin-left:454.555573pt;margin-top:743.911072pt;width:86.45pt;height:13.1pt;mso-position-horizontal-relative:page;mso-position-vertical-relative:page;z-index:-66952" type="#_x0000_t202" filled="false" stroked="false">
          <v:textbox inset="0,0,0,0">
            <w:txbxContent>
              <w:p>
                <w:pPr>
                  <w:spacing w:before="12"/>
                  <w:ind w:left="20" w:right="0" w:firstLine="0"/>
                  <w:jc w:val="left"/>
                  <w:rPr>
                    <w:b/>
                    <w:sz w:val="20"/>
                  </w:rPr>
                </w:pPr>
                <w:r>
                  <w:rPr>
                    <w:b/>
                    <w:sz w:val="20"/>
                  </w:rPr>
                  <w:t>SEPTEMBER 2013</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911072pt;width:38.9pt;height:13.1pt;mso-position-horizontal-relative:page;mso-position-vertical-relative:page;z-index:-66928" type="#_x0000_t202" filled="false" stroked="false">
          <v:textbox inset="0,0,0,0">
            <w:txbxContent>
              <w:p>
                <w:pPr>
                  <w:spacing w:before="12"/>
                  <w:ind w:left="20" w:right="0" w:firstLine="0"/>
                  <w:jc w:val="left"/>
                  <w:rPr>
                    <w:b/>
                    <w:sz w:val="20"/>
                  </w:rPr>
                </w:pPr>
                <w:r>
                  <w:rPr>
                    <w:b/>
                    <w:sz w:val="20"/>
                  </w:rPr>
                  <w:t>Rev. 423</w:t>
                </w:r>
              </w:p>
            </w:txbxContent>
          </v:textbox>
          <w10:wrap type="none"/>
        </v:shape>
      </w:pict>
    </w:r>
    <w:r>
      <w:rPr/>
      <w:pict>
        <v:shape style="position:absolute;margin-left:454.575623pt;margin-top:743.911072pt;width:86.45pt;height:13.1pt;mso-position-horizontal-relative:page;mso-position-vertical-relative:page;z-index:-66904" type="#_x0000_t202" filled="false" stroked="false">
          <v:textbox inset="0,0,0,0">
            <w:txbxContent>
              <w:p>
                <w:pPr>
                  <w:spacing w:before="12"/>
                  <w:ind w:left="20" w:right="0" w:firstLine="0"/>
                  <w:jc w:val="left"/>
                  <w:rPr>
                    <w:b/>
                    <w:sz w:val="20"/>
                  </w:rPr>
                </w:pPr>
                <w:r>
                  <w:rPr>
                    <w:b/>
                    <w:sz w:val="20"/>
                  </w:rPr>
                  <w:t>SEPTEMBER 2013</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911072pt;width:36.4pt;height:13.1pt;mso-position-horizontal-relative:page;mso-position-vertical-relative:page;z-index:-66856" type="#_x0000_t202" filled="false" stroked="false">
          <v:textbox inset="0,0,0,0">
            <w:txbxContent>
              <w:p>
                <w:pPr>
                  <w:spacing w:before="12"/>
                  <w:ind w:left="20" w:right="0" w:firstLine="0"/>
                  <w:jc w:val="left"/>
                  <w:rPr>
                    <w:b/>
                    <w:sz w:val="20"/>
                  </w:rPr>
                </w:pPr>
                <w:r>
                  <w:rPr>
                    <w:b/>
                    <w:sz w:val="20"/>
                  </w:rPr>
                  <w:t>Rev 423</w:t>
                </w:r>
              </w:p>
            </w:txbxContent>
          </v:textbox>
          <w10:wrap type="none"/>
        </v:shape>
      </w:pict>
    </w:r>
    <w:r>
      <w:rPr/>
      <w:pict>
        <v:shape style="position:absolute;margin-left:454.575623pt;margin-top:743.911072pt;width:86.45pt;height:13.1pt;mso-position-horizontal-relative:page;mso-position-vertical-relative:page;z-index:-66832" type="#_x0000_t202" filled="false" stroked="false">
          <v:textbox inset="0,0,0,0">
            <w:txbxContent>
              <w:p>
                <w:pPr>
                  <w:spacing w:before="12"/>
                  <w:ind w:left="20" w:right="0" w:firstLine="0"/>
                  <w:jc w:val="left"/>
                  <w:rPr>
                    <w:b/>
                    <w:sz w:val="20"/>
                  </w:rPr>
                </w:pPr>
                <w:r>
                  <w:rPr>
                    <w:b/>
                    <w:sz w:val="20"/>
                  </w:rPr>
                  <w:t>SEPTEMBER 2013</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00298pt;margin-top:725.851257pt;width:38.7pt;height:13.1pt;mso-position-horizontal-relative:page;mso-position-vertical-relative:page;z-index:-66760" type="#_x0000_t202" filled="false" stroked="false">
          <v:textbox inset="0,0,0,0">
            <w:txbxContent>
              <w:p>
                <w:pPr>
                  <w:spacing w:before="12"/>
                  <w:ind w:left="20" w:right="0" w:firstLine="0"/>
                  <w:jc w:val="left"/>
                  <w:rPr>
                    <w:b/>
                    <w:sz w:val="20"/>
                  </w:rPr>
                </w:pPr>
                <w:r>
                  <w:rPr>
                    <w:b/>
                    <w:sz w:val="20"/>
                  </w:rPr>
                  <w:t>Rev. 423</w:t>
                </w:r>
              </w:p>
            </w:txbxContent>
          </v:textbox>
          <w10:wrap type="none"/>
        </v:shape>
      </w:pict>
    </w:r>
    <w:r>
      <w:rPr/>
      <w:pict>
        <v:shape style="position:absolute;margin-left:484.813263pt;margin-top:725.851257pt;width:86.3pt;height:13.1pt;mso-position-horizontal-relative:page;mso-position-vertical-relative:page;z-index:-66736" type="#_x0000_t202" filled="false" stroked="false">
          <v:textbox inset="0,0,0,0">
            <w:txbxContent>
              <w:p>
                <w:pPr>
                  <w:spacing w:before="12"/>
                  <w:ind w:left="20" w:right="0" w:firstLine="0"/>
                  <w:jc w:val="left"/>
                  <w:rPr>
                    <w:b/>
                    <w:sz w:val="20"/>
                  </w:rPr>
                </w:pPr>
                <w:r>
                  <w:rPr>
                    <w:b/>
                    <w:sz w:val="20"/>
                  </w:rPr>
                  <w:t>SEPTEMBER 2013</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9947pt;margin-top:743.851196pt;width:38.65pt;height:13.1pt;mso-position-horizontal-relative:page;mso-position-vertical-relative:page;z-index:-66616" type="#_x0000_t202" filled="false" stroked="false">
          <v:textbox inset="0,0,0,0">
            <w:txbxContent>
              <w:p>
                <w:pPr>
                  <w:spacing w:before="12"/>
                  <w:ind w:left="20" w:right="0" w:firstLine="0"/>
                  <w:jc w:val="left"/>
                  <w:rPr>
                    <w:b/>
                    <w:sz w:val="20"/>
                  </w:rPr>
                </w:pPr>
                <w:r>
                  <w:rPr>
                    <w:b/>
                    <w:sz w:val="20"/>
                  </w:rPr>
                  <w:t>Rev. 323</w:t>
                </w:r>
              </w:p>
            </w:txbxContent>
          </v:textbox>
          <w10:wrap type="none"/>
        </v:shape>
      </w:pict>
    </w:r>
    <w:r>
      <w:rPr/>
      <w:pict>
        <v:shape style="position:absolute;margin-left:492.586426pt;margin-top:743.851196pt;width:48.4pt;height:13.1pt;mso-position-horizontal-relative:page;mso-position-vertical-relative:page;z-index:-66592" type="#_x0000_t202" filled="false" stroked="false">
          <v:textbox inset="0,0,0,0">
            <w:txbxContent>
              <w:p>
                <w:pPr>
                  <w:spacing w:before="12"/>
                  <w:ind w:left="20" w:right="0" w:firstLine="0"/>
                  <w:jc w:val="left"/>
                  <w:rPr>
                    <w:b/>
                    <w:sz w:val="20"/>
                  </w:rPr>
                </w:pPr>
                <w:r>
                  <w:rPr>
                    <w:b/>
                    <w:sz w:val="20"/>
                  </w:rPr>
                  <w:t>MAY 1987</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9947pt;margin-top:743.851196pt;width:38.65pt;height:13.1pt;mso-position-horizontal-relative:page;mso-position-vertical-relative:page;z-index:-66568" type="#_x0000_t202" filled="false" stroked="false">
          <v:textbox inset="0,0,0,0">
            <w:txbxContent>
              <w:p>
                <w:pPr>
                  <w:spacing w:before="12"/>
                  <w:ind w:left="20" w:right="0" w:firstLine="0"/>
                  <w:jc w:val="left"/>
                  <w:rPr>
                    <w:b/>
                    <w:sz w:val="20"/>
                  </w:rPr>
                </w:pPr>
                <w:r>
                  <w:rPr>
                    <w:b/>
                    <w:sz w:val="20"/>
                  </w:rPr>
                  <w:t>Rev. 423</w:t>
                </w:r>
              </w:p>
            </w:txbxContent>
          </v:textbox>
          <w10:wrap type="none"/>
        </v:shape>
      </w:pict>
    </w:r>
    <w:r>
      <w:rPr/>
      <w:pict>
        <v:shape style="position:absolute;margin-left:454.799011pt;margin-top:743.851196pt;width:86.15pt;height:13.1pt;mso-position-horizontal-relative:page;mso-position-vertical-relative:page;z-index:-66544" type="#_x0000_t202" filled="false" stroked="false">
          <v:textbox inset="0,0,0,0">
            <w:txbxContent>
              <w:p>
                <w:pPr>
                  <w:spacing w:before="12"/>
                  <w:ind w:left="20" w:right="0" w:firstLine="0"/>
                  <w:jc w:val="left"/>
                  <w:rPr>
                    <w:b/>
                    <w:sz w:val="20"/>
                  </w:rPr>
                </w:pPr>
                <w:r>
                  <w:rPr>
                    <w:b/>
                    <w:sz w:val="20"/>
                  </w:rPr>
                  <w:t>SEPTEMBER 2013</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9947pt;margin-top:743.851196pt;width:38.65pt;height:13.1pt;mso-position-horizontal-relative:page;mso-position-vertical-relative:page;z-index:-66520" type="#_x0000_t202" filled="false" stroked="false">
          <v:textbox inset="0,0,0,0">
            <w:txbxContent>
              <w:p>
                <w:pPr>
                  <w:spacing w:before="12"/>
                  <w:ind w:left="20" w:right="0" w:firstLine="0"/>
                  <w:jc w:val="left"/>
                  <w:rPr>
                    <w:b/>
                    <w:sz w:val="20"/>
                  </w:rPr>
                </w:pPr>
                <w:r>
                  <w:rPr>
                    <w:b/>
                    <w:sz w:val="20"/>
                  </w:rPr>
                  <w:t>Rev. 323</w:t>
                </w:r>
              </w:p>
            </w:txbxContent>
          </v:textbox>
          <w10:wrap type="none"/>
        </v:shape>
      </w:pict>
    </w:r>
    <w:r>
      <w:rPr/>
      <w:pict>
        <v:shape style="position:absolute;margin-left:492.586426pt;margin-top:743.851196pt;width:48.4pt;height:13.1pt;mso-position-horizontal-relative:page;mso-position-vertical-relative:page;z-index:-66496" type="#_x0000_t202" filled="false" stroked="false">
          <v:textbox inset="0,0,0,0">
            <w:txbxContent>
              <w:p>
                <w:pPr>
                  <w:spacing w:before="12"/>
                  <w:ind w:left="20" w:right="0" w:firstLine="0"/>
                  <w:jc w:val="left"/>
                  <w:rPr>
                    <w:b/>
                    <w:sz w:val="20"/>
                  </w:rPr>
                </w:pPr>
                <w:r>
                  <w:rPr>
                    <w:b/>
                    <w:sz w:val="20"/>
                  </w:rPr>
                  <w:t>MAY 1987</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00015pt;margin-top:743.85144pt;width:36.2pt;height:13.1pt;mso-position-horizontal-relative:page;mso-position-vertical-relative:page;z-index:-66448" type="#_x0000_t202" filled="false" stroked="false">
          <v:textbox inset="0,0,0,0">
            <w:txbxContent>
              <w:p>
                <w:pPr>
                  <w:spacing w:before="12"/>
                  <w:ind w:left="20" w:right="0" w:firstLine="0"/>
                  <w:jc w:val="left"/>
                  <w:rPr>
                    <w:b/>
                    <w:sz w:val="20"/>
                  </w:rPr>
                </w:pPr>
                <w:r>
                  <w:rPr>
                    <w:b/>
                    <w:sz w:val="20"/>
                  </w:rPr>
                  <w:t>Rev 423</w:t>
                </w:r>
              </w:p>
            </w:txbxContent>
          </v:textbox>
          <w10:wrap type="none"/>
        </v:shape>
      </w:pict>
    </w:r>
    <w:r>
      <w:rPr/>
      <w:pict>
        <v:shape style="position:absolute;margin-left:454.840149pt;margin-top:743.85144pt;width:86.15pt;height:13.1pt;mso-position-horizontal-relative:page;mso-position-vertical-relative:page;z-index:-66424" type="#_x0000_t202" filled="false" stroked="false">
          <v:textbox inset="0,0,0,0">
            <w:txbxContent>
              <w:p>
                <w:pPr>
                  <w:spacing w:before="12"/>
                  <w:ind w:left="20" w:right="0" w:firstLine="0"/>
                  <w:jc w:val="left"/>
                  <w:rPr>
                    <w:b/>
                    <w:sz w:val="20"/>
                  </w:rPr>
                </w:pPr>
                <w:r>
                  <w:rPr>
                    <w:b/>
                    <w:sz w:val="20"/>
                  </w:rPr>
                  <w:t>SEPTEMBER 2013</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49.919495pt;width:42.35pt;height:13.15pt;mso-position-horizontal-relative:page;mso-position-vertical-relative:page;z-index:-67528" type="#_x0000_t202" filled="false" stroked="false">
          <v:textbox inset="0,0,0,0">
            <w:txbxContent>
              <w:p>
                <w:pPr>
                  <w:spacing w:before="12"/>
                  <w:ind w:left="20" w:right="0" w:firstLine="0"/>
                  <w:jc w:val="left"/>
                  <w:rPr>
                    <w:rFonts w:ascii="Arial"/>
                    <w:b/>
                    <w:sz w:val="20"/>
                  </w:rPr>
                </w:pPr>
                <w:r>
                  <w:rPr>
                    <w:rFonts w:ascii="Arial"/>
                    <w:b/>
                    <w:sz w:val="20"/>
                  </w:rPr>
                  <w:t>Rev. 423</w:t>
                </w:r>
              </w:p>
            </w:txbxContent>
          </v:textbox>
          <w10:wrap type="none"/>
        </v:shape>
      </w:pict>
    </w:r>
    <w:r>
      <w:rPr/>
      <w:pict>
        <v:shape style="position:absolute;margin-left:451.619995pt;margin-top:749.919495pt;width:89.15pt;height:13.15pt;mso-position-horizontal-relative:page;mso-position-vertical-relative:page;z-index:-67504" type="#_x0000_t202" filled="false" stroked="false">
          <v:textbox inset="0,0,0,0">
            <w:txbxContent>
              <w:p>
                <w:pPr>
                  <w:spacing w:before="12"/>
                  <w:ind w:left="20" w:right="0" w:firstLine="0"/>
                  <w:jc w:val="left"/>
                  <w:rPr>
                    <w:rFonts w:ascii="Arial"/>
                    <w:b/>
                    <w:sz w:val="20"/>
                  </w:rPr>
                </w:pPr>
                <w:r>
                  <w:rPr>
                    <w:rFonts w:ascii="Arial"/>
                    <w:b/>
                    <w:sz w:val="20"/>
                  </w:rPr>
                  <w:t>SEPTEMBER 2013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67456" from="545.700012pt,744.47998pt" to="545.700012pt,755.99998pt" stroked="true" strokeweight=".47998pt" strokecolor="#000000">
          <v:stroke dashstyle="solid"/>
          <w10:wrap type="none"/>
        </v:line>
      </w:pict>
    </w:r>
    <w:r>
      <w:rPr/>
      <w:pict>
        <v:shape style="position:absolute;margin-left:71.000107pt;margin-top:743.851196pt;width:38.65pt;height:13.1pt;mso-position-horizontal-relative:page;mso-position-vertical-relative:page;z-index:-67432" type="#_x0000_t202" filled="false" stroked="false">
          <v:textbox inset="0,0,0,0">
            <w:txbxContent>
              <w:p>
                <w:pPr>
                  <w:spacing w:before="12"/>
                  <w:ind w:left="20" w:right="0" w:firstLine="0"/>
                  <w:jc w:val="left"/>
                  <w:rPr>
                    <w:b/>
                    <w:sz w:val="20"/>
                  </w:rPr>
                </w:pPr>
                <w:r>
                  <w:rPr>
                    <w:b/>
                    <w:sz w:val="20"/>
                    <w:u w:val="single"/>
                  </w:rPr>
                  <w:t>Rev. 422</w:t>
                </w:r>
              </w:p>
            </w:txbxContent>
          </v:textbox>
          <w10:wrap type="none"/>
        </v:shape>
      </w:pict>
    </w:r>
    <w:r>
      <w:rPr/>
      <w:pict>
        <v:shape style="position:absolute;margin-left:490.359161pt;margin-top:743.851196pt;width:50.6pt;height:13.1pt;mso-position-horizontal-relative:page;mso-position-vertical-relative:page;z-index:-67408" type="#_x0000_t202" filled="false" stroked="false">
          <v:textbox inset="0,0,0,0">
            <w:txbxContent>
              <w:p>
                <w:pPr>
                  <w:spacing w:before="12"/>
                  <w:ind w:left="20" w:right="0" w:firstLine="0"/>
                  <w:jc w:val="left"/>
                  <w:rPr>
                    <w:b/>
                    <w:sz w:val="20"/>
                  </w:rPr>
                </w:pPr>
                <w:r>
                  <w:rPr>
                    <w:b/>
                    <w:sz w:val="20"/>
                    <w:u w:val="single"/>
                  </w:rPr>
                  <w:t>JUNE 2013</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51074pt;width:43.15pt;height:13.1pt;mso-position-horizontal-relative:page;mso-position-vertical-relative:page;z-index:-67360" type="#_x0000_t202" filled="false" stroked="false">
          <v:textbox inset="0,0,0,0">
            <w:txbxContent>
              <w:p>
                <w:pPr>
                  <w:spacing w:before="12"/>
                  <w:ind w:left="20" w:right="0" w:firstLine="0"/>
                  <w:jc w:val="left"/>
                  <w:rPr>
                    <w:b/>
                    <w:sz w:val="20"/>
                  </w:rPr>
                </w:pPr>
                <w:r>
                  <w:rPr>
                    <w:b/>
                    <w:sz w:val="20"/>
                  </w:rPr>
                  <w:t>REV. 423</w:t>
                </w:r>
              </w:p>
            </w:txbxContent>
          </v:textbox>
          <w10:wrap type="none"/>
        </v:shape>
      </w:pict>
    </w:r>
    <w:r>
      <w:rPr/>
      <w:pict>
        <v:shape style="position:absolute;margin-left:454.841156pt;margin-top:743.851074pt;width:86.2pt;height:13.1pt;mso-position-horizontal-relative:page;mso-position-vertical-relative:page;z-index:-67336" type="#_x0000_t202" filled="false" stroked="false">
          <v:textbox inset="0,0,0,0">
            <w:txbxContent>
              <w:p>
                <w:pPr>
                  <w:spacing w:before="12"/>
                  <w:ind w:left="20" w:right="0" w:firstLine="0"/>
                  <w:jc w:val="left"/>
                  <w:rPr>
                    <w:b/>
                    <w:sz w:val="20"/>
                  </w:rPr>
                </w:pPr>
                <w:r>
                  <w:rPr>
                    <w:b/>
                    <w:sz w:val="20"/>
                  </w:rPr>
                  <w:t>SEPTEMBER 2013</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51074pt;width:43.15pt;height:13.1pt;mso-position-horizontal-relative:page;mso-position-vertical-relative:page;z-index:-67312" type="#_x0000_t202" filled="false" stroked="false">
          <v:textbox inset="0,0,0,0">
            <w:txbxContent>
              <w:p>
                <w:pPr>
                  <w:spacing w:before="12"/>
                  <w:ind w:left="20" w:right="0" w:firstLine="0"/>
                  <w:jc w:val="left"/>
                  <w:rPr>
                    <w:b/>
                    <w:sz w:val="20"/>
                  </w:rPr>
                </w:pPr>
                <w:r>
                  <w:rPr>
                    <w:b/>
                    <w:sz w:val="20"/>
                  </w:rPr>
                  <w:t>REV. 413</w:t>
                </w:r>
              </w:p>
            </w:txbxContent>
          </v:textbox>
          <w10:wrap type="none"/>
        </v:shape>
      </w:pict>
    </w:r>
    <w:r>
      <w:rPr/>
      <w:pict>
        <v:shape style="position:absolute;margin-left:477.637665pt;margin-top:743.851074pt;width:63.4pt;height:13.1pt;mso-position-horizontal-relative:page;mso-position-vertical-relative:page;z-index:-67288" type="#_x0000_t202" filled="false" stroked="false">
          <v:textbox inset="0,0,0,0">
            <w:txbxContent>
              <w:p>
                <w:pPr>
                  <w:spacing w:before="12"/>
                  <w:ind w:left="20" w:right="0" w:firstLine="0"/>
                  <w:jc w:val="left"/>
                  <w:rPr>
                    <w:b/>
                    <w:sz w:val="20"/>
                  </w:rPr>
                </w:pPr>
                <w:r>
                  <w:rPr>
                    <w:b/>
                    <w:sz w:val="20"/>
                  </w:rPr>
                  <w:t>MARCH 2011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51074pt;width:43.15pt;height:13.1pt;mso-position-horizontal-relative:page;mso-position-vertical-relative:page;z-index:-67264" type="#_x0000_t202" filled="false" stroked="false">
          <v:textbox inset="0,0,0,0">
            <w:txbxContent>
              <w:p>
                <w:pPr>
                  <w:spacing w:before="12"/>
                  <w:ind w:left="20" w:right="0" w:firstLine="0"/>
                  <w:jc w:val="left"/>
                  <w:rPr>
                    <w:b/>
                    <w:sz w:val="20"/>
                  </w:rPr>
                </w:pPr>
                <w:r>
                  <w:rPr>
                    <w:b/>
                    <w:sz w:val="20"/>
                  </w:rPr>
                  <w:t>REV. 411</w:t>
                </w:r>
              </w:p>
            </w:txbxContent>
          </v:textbox>
          <w10:wrap type="none"/>
        </v:shape>
      </w:pict>
    </w:r>
    <w:r>
      <w:rPr/>
      <w:pict>
        <v:shape style="position:absolute;margin-left:477.637665pt;margin-top:743.851074pt;width:63.4pt;height:13.1pt;mso-position-horizontal-relative:page;mso-position-vertical-relative:page;z-index:-67240" type="#_x0000_t202" filled="false" stroked="false">
          <v:textbox inset="0,0,0,0">
            <w:txbxContent>
              <w:p>
                <w:pPr>
                  <w:spacing w:before="12"/>
                  <w:ind w:left="20" w:right="0" w:firstLine="0"/>
                  <w:jc w:val="left"/>
                  <w:rPr>
                    <w:b/>
                    <w:sz w:val="20"/>
                  </w:rPr>
                </w:pPr>
                <w:r>
                  <w:rPr>
                    <w:b/>
                    <w:sz w:val="20"/>
                  </w:rPr>
                  <w:t>MARCH 2011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51074pt;width:43.15pt;height:13.1pt;mso-position-horizontal-relative:page;mso-position-vertical-relative:page;z-index:-67216" type="#_x0000_t202" filled="false" stroked="false">
          <v:textbox inset="0,0,0,0">
            <w:txbxContent>
              <w:p>
                <w:pPr>
                  <w:spacing w:before="12"/>
                  <w:ind w:left="20" w:right="0" w:firstLine="0"/>
                  <w:jc w:val="left"/>
                  <w:rPr>
                    <w:b/>
                    <w:sz w:val="20"/>
                  </w:rPr>
                </w:pPr>
                <w:r>
                  <w:rPr>
                    <w:b/>
                    <w:sz w:val="20"/>
                  </w:rPr>
                  <w:t>REV. 423</w:t>
                </w:r>
              </w:p>
            </w:txbxContent>
          </v:textbox>
          <w10:wrap type="none"/>
        </v:shape>
      </w:pict>
    </w:r>
    <w:r>
      <w:rPr/>
      <w:pict>
        <v:shape style="position:absolute;margin-left:461.562042pt;margin-top:743.851074pt;width:79.45pt;height:13.1pt;mso-position-horizontal-relative:page;mso-position-vertical-relative:page;z-index:-67192" type="#_x0000_t202" filled="false" stroked="false">
          <v:textbox inset="0,0,0,0">
            <w:txbxContent>
              <w:p>
                <w:pPr>
                  <w:spacing w:before="12"/>
                  <w:ind w:left="20" w:right="0" w:firstLine="0"/>
                  <w:jc w:val="left"/>
                  <w:rPr>
                    <w:b/>
                    <w:sz w:val="20"/>
                  </w:rPr>
                </w:pPr>
                <w:r>
                  <w:rPr>
                    <w:b/>
                    <w:sz w:val="20"/>
                  </w:rPr>
                  <w:t>SEPTEMER 2013</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51074pt;width:43.15pt;height:13.1pt;mso-position-horizontal-relative:page;mso-position-vertical-relative:page;z-index:-67168" type="#_x0000_t202" filled="false" stroked="false">
          <v:textbox inset="0,0,0,0">
            <w:txbxContent>
              <w:p>
                <w:pPr>
                  <w:spacing w:before="12"/>
                  <w:ind w:left="20" w:right="0" w:firstLine="0"/>
                  <w:jc w:val="left"/>
                  <w:rPr>
                    <w:b/>
                    <w:sz w:val="20"/>
                  </w:rPr>
                </w:pPr>
                <w:r>
                  <w:rPr>
                    <w:b/>
                    <w:sz w:val="20"/>
                  </w:rPr>
                  <w:t>REV. 423</w:t>
                </w:r>
              </w:p>
            </w:txbxContent>
          </v:textbox>
          <w10:wrap type="none"/>
        </v:shape>
      </w:pict>
    </w:r>
    <w:r>
      <w:rPr/>
      <w:pict>
        <v:shape style="position:absolute;margin-left:454.844391pt;margin-top:743.851074pt;width:86.15pt;height:13.1pt;mso-position-horizontal-relative:page;mso-position-vertical-relative:page;z-index:-67144" type="#_x0000_t202" filled="false" stroked="false">
          <v:textbox inset="0,0,0,0">
            <w:txbxContent>
              <w:p>
                <w:pPr>
                  <w:spacing w:before="12"/>
                  <w:ind w:left="20" w:right="0" w:firstLine="0"/>
                  <w:jc w:val="left"/>
                  <w:rPr>
                    <w:b/>
                    <w:sz w:val="20"/>
                  </w:rPr>
                </w:pPr>
                <w:r>
                  <w:rPr>
                    <w:b/>
                    <w:sz w:val="20"/>
                  </w:rPr>
                  <w:t>SEPTEMBER 2013</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51074pt;width:43.15pt;height:13.1pt;mso-position-horizontal-relative:page;mso-position-vertical-relative:page;z-index:-67120" type="#_x0000_t202" filled="false" stroked="false">
          <v:textbox inset="0,0,0,0">
            <w:txbxContent>
              <w:p>
                <w:pPr>
                  <w:spacing w:before="12"/>
                  <w:ind w:left="20" w:right="0" w:firstLine="0"/>
                  <w:jc w:val="left"/>
                  <w:rPr>
                    <w:b/>
                    <w:sz w:val="20"/>
                  </w:rPr>
                </w:pPr>
                <w:r>
                  <w:rPr>
                    <w:b/>
                    <w:sz w:val="20"/>
                  </w:rPr>
                  <w:t>REV. 411</w:t>
                </w:r>
              </w:p>
            </w:txbxContent>
          </v:textbox>
          <w10:wrap type="none"/>
        </v:shape>
      </w:pict>
    </w:r>
    <w:r>
      <w:rPr/>
      <w:pict>
        <v:shape style="position:absolute;margin-left:477.638672pt;margin-top:743.851074pt;width:63.4pt;height:13.1pt;mso-position-horizontal-relative:page;mso-position-vertical-relative:page;z-index:-67096" type="#_x0000_t202" filled="false" stroked="false">
          <v:textbox inset="0,0,0,0">
            <w:txbxContent>
              <w:p>
                <w:pPr>
                  <w:spacing w:before="12"/>
                  <w:ind w:left="20" w:right="0" w:firstLine="0"/>
                  <w:jc w:val="left"/>
                  <w:rPr>
                    <w:b/>
                    <w:sz w:val="20"/>
                  </w:rPr>
                </w:pPr>
                <w:r>
                  <w:rPr>
                    <w:b/>
                    <w:sz w:val="20"/>
                  </w:rPr>
                  <w:t>MARCH 2011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67735">
          <wp:simplePos x="0" y="0"/>
          <wp:positionH relativeFrom="page">
            <wp:posOffset>2494788</wp:posOffset>
          </wp:positionH>
          <wp:positionV relativeFrom="page">
            <wp:posOffset>388620</wp:posOffset>
          </wp:positionV>
          <wp:extent cx="2781300" cy="20421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2781300" cy="204216"/>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96.449997pt;margin-top:29.249962pt;width:217.8pt;height:17.7pt;mso-position-horizontal-relative:page;mso-position-vertical-relative:page;z-index:-67696" type="#_x0000_t202" filled="false" stroked="false">
          <v:textbox inset="0,0,0,0">
            <w:txbxContent>
              <w:p>
                <w:pPr>
                  <w:spacing w:before="11"/>
                  <w:ind w:left="20" w:right="0" w:firstLine="0"/>
                  <w:jc w:val="left"/>
                  <w:rPr>
                    <w:rFonts w:ascii="Arial" w:hAnsi="Arial"/>
                    <w:b/>
                    <w:sz w:val="28"/>
                  </w:rPr>
                </w:pPr>
                <w:r>
                  <w:rPr>
                    <w:rFonts w:ascii="Arial" w:hAnsi="Arial"/>
                    <w:b/>
                    <w:spacing w:val="-5"/>
                    <w:sz w:val="28"/>
                  </w:rPr>
                  <w:t>SAM </w:t>
                </w:r>
                <w:r>
                  <w:rPr>
                    <w:rFonts w:ascii="Arial" w:hAnsi="Arial"/>
                    <w:b/>
                    <w:sz w:val="28"/>
                  </w:rPr>
                  <w:t>– REVISION 423 </w:t>
                </w:r>
                <w:r>
                  <w:rPr>
                    <w:rFonts w:ascii="Arial" w:hAnsi="Arial"/>
                    <w:b/>
                    <w:spacing w:val="-3"/>
                    <w:sz w:val="28"/>
                  </w:rPr>
                  <w:t>SUMMARY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4.739990pt;margin-top:35.371044pt;width:87pt;height:13.1pt;mso-position-horizontal-relative:page;mso-position-vertical-relative:page;z-index:-66712" type="#_x0000_t202" filled="false" stroked="false">
          <v:textbox inset="0,0,0,0">
            <w:txbxContent>
              <w:p>
                <w:pPr>
                  <w:spacing w:before="12"/>
                  <w:ind w:left="20" w:right="0" w:firstLine="0"/>
                  <w:jc w:val="left"/>
                  <w:rPr>
                    <w:b/>
                    <w:sz w:val="20"/>
                  </w:rPr>
                </w:pPr>
                <w:r>
                  <w:rPr>
                    <w:b/>
                    <w:sz w:val="20"/>
                  </w:rPr>
                  <w:t>SAM - PAYROLLS</w:t>
                </w:r>
              </w:p>
            </w:txbxContent>
          </v:textbox>
          <w10:wrap type="none"/>
        </v:shape>
      </w:pict>
    </w:r>
    <w:r>
      <w:rPr/>
      <w:pict>
        <v:shape style="position:absolute;margin-left:71.000298pt;margin-top:55.231686pt;width:50.35pt;height:13.1pt;mso-position-horizontal-relative:page;mso-position-vertical-relative:page;z-index:-66688" type="#_x0000_t202" filled="false" stroked="false">
          <v:textbox inset="0,0,0,0">
            <w:txbxContent>
              <w:p>
                <w:pPr>
                  <w:pStyle w:val="BodyText"/>
                  <w:spacing w:before="12"/>
                  <w:ind w:left="20"/>
                </w:pPr>
                <w:r>
                  <w:rPr>
                    <w:u w:val="single"/>
                  </w:rPr>
                  <w:t>(Continued)</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4.739990pt;margin-top:35.371044pt;width:87pt;height:13.1pt;mso-position-horizontal-relative:page;mso-position-vertical-relative:page;z-index:-66664" type="#_x0000_t202" filled="false" stroked="false">
          <v:textbox inset="0,0,0,0">
            <w:txbxContent>
              <w:p>
                <w:pPr>
                  <w:spacing w:before="12"/>
                  <w:ind w:left="20" w:right="0" w:firstLine="0"/>
                  <w:jc w:val="left"/>
                  <w:rPr>
                    <w:b/>
                    <w:sz w:val="20"/>
                  </w:rPr>
                </w:pPr>
                <w:r>
                  <w:rPr>
                    <w:b/>
                    <w:sz w:val="20"/>
                  </w:rPr>
                  <w:t>SAM - PAYROLLS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860001pt;margin-top:35.371044pt;width:136.25pt;height:13.1pt;mso-position-horizontal-relative:page;mso-position-vertical-relative:page;z-index:-66640" type="#_x0000_t202" filled="false" stroked="false">
          <v:textbox inset="0,0,0,0">
            <w:txbxContent>
              <w:p>
                <w:pPr>
                  <w:spacing w:before="12"/>
                  <w:ind w:left="20" w:right="0" w:firstLine="0"/>
                  <w:jc w:val="left"/>
                  <w:rPr>
                    <w:b/>
                    <w:sz w:val="20"/>
                  </w:rPr>
                </w:pPr>
                <w:r>
                  <w:rPr>
                    <w:b/>
                    <w:sz w:val="20"/>
                  </w:rPr>
                  <w:t>SAM—STANDARD ENTRIES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279999pt;margin-top:35.251045pt;width:183.4pt;height:13.1pt;mso-position-horizontal-relative:page;mso-position-vertical-relative:page;z-index:-66472" type="#_x0000_t202" filled="false" stroked="false">
          <v:textbox inset="0,0,0,0">
            <w:txbxContent>
              <w:p>
                <w:pPr>
                  <w:pStyle w:val="BodyText"/>
                  <w:spacing w:before="12"/>
                  <w:ind w:left="20"/>
                </w:pPr>
                <w:r>
                  <w:rPr/>
                  <w:t>SAM – AUDITING OF STATE AGENCIES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279999pt;margin-top:35.251045pt;width:183.4pt;height:13.1pt;mso-position-horizontal-relative:page;mso-position-vertical-relative:page;z-index:-66400" type="#_x0000_t202" filled="false" stroked="false">
          <v:textbox inset="0,0,0,0">
            <w:txbxContent>
              <w:p>
                <w:pPr>
                  <w:pStyle w:val="BodyText"/>
                  <w:spacing w:before="12"/>
                  <w:ind w:left="20"/>
                </w:pPr>
                <w:r>
                  <w:rPr/>
                  <w:t>SAM – AUDITING OF STATE AGENCIES</w:t>
                </w:r>
              </w:p>
            </w:txbxContent>
          </v:textbox>
          <w10:wrap type="none"/>
        </v:shape>
      </w:pict>
    </w:r>
    <w:r>
      <w:rPr/>
      <w:pict>
        <v:shape style="position:absolute;margin-left:71.000015pt;margin-top:46.771038pt;width:50.35pt;height:13.1pt;mso-position-horizontal-relative:page;mso-position-vertical-relative:page;z-index:-66376" type="#_x0000_t202" filled="false" stroked="false">
          <v:textbox inset="0,0,0,0">
            <w:txbxContent>
              <w:p>
                <w:pPr>
                  <w:pStyle w:val="BodyText"/>
                  <w:spacing w:before="12"/>
                  <w:ind w:left="20"/>
                </w:pPr>
                <w:r>
                  <w:rPr/>
                  <w:t>(Continued)</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4.279999pt;margin-top:35.251045pt;width:183.4pt;height:13.1pt;mso-position-horizontal-relative:page;mso-position-vertical-relative:page;z-index:-66352" type="#_x0000_t202" filled="false" stroked="false">
          <v:textbox inset="0,0,0,0">
            <w:txbxContent>
              <w:p>
                <w:pPr>
                  <w:pStyle w:val="BodyText"/>
                  <w:spacing w:before="12"/>
                  <w:ind w:left="20"/>
                </w:pPr>
                <w:r>
                  <w:rPr/>
                  <w:t>SAM – AUDITING OF STATE AGENCIES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8.160004pt;margin-top:35.371044pt;width:255.7pt;height:13.1pt;mso-position-horizontal-relative:page;mso-position-vertical-relative:page;z-index:-67480" type="#_x0000_t202" filled="false" stroked="false">
          <v:textbox inset="0,0,0,0">
            <w:txbxContent>
              <w:p>
                <w:pPr>
                  <w:spacing w:before="12"/>
                  <w:ind w:left="20" w:right="0" w:firstLine="0"/>
                  <w:jc w:val="left"/>
                  <w:rPr>
                    <w:b/>
                    <w:sz w:val="20"/>
                  </w:rPr>
                </w:pPr>
                <w:r>
                  <w:rPr>
                    <w:b/>
                    <w:sz w:val="20"/>
                  </w:rPr>
                  <w:t>SAM—ORGANIZATION FOR FISCAL MANAGEMENT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600006pt;margin-top:35.371044pt;width:198.85pt;height:13.1pt;mso-position-horizontal-relative:page;mso-position-vertical-relative:page;z-index:-67384" type="#_x0000_t202" filled="false" stroked="false">
          <v:textbox inset="0,0,0,0">
            <w:txbxContent>
              <w:p>
                <w:pPr>
                  <w:spacing w:before="12"/>
                  <w:ind w:left="20" w:right="0" w:firstLine="0"/>
                  <w:jc w:val="left"/>
                  <w:rPr>
                    <w:b/>
                    <w:sz w:val="20"/>
                  </w:rPr>
                </w:pPr>
                <w:r>
                  <w:rPr>
                    <w:b/>
                    <w:sz w:val="20"/>
                  </w:rPr>
                  <w:t>SAM—RECONCILIATION AND REPORTS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3.900024pt;margin-top:23.131992pt;width:120.15pt;height:13.1pt;mso-position-horizontal-relative:page;mso-position-vertical-relative:page;z-index:-67072" type="#_x0000_t202" filled="false" stroked="false">
          <v:textbox inset="0,0,0,0">
            <w:txbxContent>
              <w:p>
                <w:pPr>
                  <w:spacing w:before="12"/>
                  <w:ind w:left="20" w:right="0" w:firstLine="0"/>
                  <w:jc w:val="left"/>
                  <w:rPr>
                    <w:b/>
                    <w:sz w:val="20"/>
                  </w:rPr>
                </w:pPr>
                <w:r>
                  <w:rPr>
                    <w:b/>
                    <w:sz w:val="20"/>
                  </w:rPr>
                  <w:t>SAM—DISBURSEMENTS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3.900024pt;margin-top:34.952465pt;width:120.15pt;height:13.1pt;mso-position-horizontal-relative:page;mso-position-vertical-relative:page;z-index:-66880" type="#_x0000_t202" filled="false" stroked="false">
          <v:textbox inset="0,0,0,0">
            <w:txbxContent>
              <w:p>
                <w:pPr>
                  <w:spacing w:before="12"/>
                  <w:ind w:left="20" w:right="0" w:firstLine="0"/>
                  <w:jc w:val="left"/>
                  <w:rPr>
                    <w:b/>
                    <w:sz w:val="20"/>
                  </w:rPr>
                </w:pPr>
                <w:r>
                  <w:rPr>
                    <w:b/>
                    <w:sz w:val="20"/>
                  </w:rPr>
                  <w:t>SAM—DISBURSEMENTS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3.900024pt;margin-top:34.952465pt;width:120.15pt;height:13.1pt;mso-position-horizontal-relative:page;mso-position-vertical-relative:page;z-index:-66808" type="#_x0000_t202" filled="false" stroked="false">
          <v:textbox inset="0,0,0,0">
            <w:txbxContent>
              <w:p>
                <w:pPr>
                  <w:spacing w:before="12"/>
                  <w:ind w:left="20" w:right="0" w:firstLine="0"/>
                  <w:jc w:val="left"/>
                  <w:rPr>
                    <w:b/>
                    <w:sz w:val="20"/>
                  </w:rPr>
                </w:pPr>
                <w:r>
                  <w:rPr>
                    <w:b/>
                    <w:sz w:val="20"/>
                  </w:rPr>
                  <w:t>SAM—DISBURSEMENTS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4.739990pt;margin-top:35.371044pt;width:87pt;height:13.1pt;mso-position-horizontal-relative:page;mso-position-vertical-relative:page;z-index:-66784" type="#_x0000_t202" filled="false" stroked="false">
          <v:textbox inset="0,0,0,0">
            <w:txbxContent>
              <w:p>
                <w:pPr>
                  <w:spacing w:before="12"/>
                  <w:ind w:left="20" w:right="0" w:firstLine="0"/>
                  <w:jc w:val="left"/>
                  <w:rPr>
                    <w:b/>
                    <w:sz w:val="20"/>
                  </w:rPr>
                </w:pPr>
                <w:r>
                  <w:rPr>
                    <w:b/>
                    <w:sz w:val="20"/>
                  </w:rPr>
                  <w:t>SAM - PAYROLLS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460" w:hanging="360"/>
        <w:jc w:val="left"/>
      </w:pPr>
      <w:rPr>
        <w:rFonts w:hint="default" w:ascii="Times New Roman" w:hAnsi="Times New Roman" w:eastAsia="Times New Roman" w:cs="Times New Roman"/>
        <w:w w:val="100"/>
        <w:sz w:val="20"/>
        <w:szCs w:val="20"/>
      </w:rPr>
    </w:lvl>
    <w:lvl w:ilvl="1">
      <w:start w:val="1"/>
      <w:numFmt w:val="lowerLetter"/>
      <w:lvlText w:val="%2."/>
      <w:lvlJc w:val="left"/>
      <w:pPr>
        <w:ind w:left="820" w:hanging="360"/>
        <w:jc w:val="left"/>
      </w:pPr>
      <w:rPr>
        <w:rFonts w:hint="default" w:ascii="Times New Roman" w:hAnsi="Times New Roman" w:eastAsia="Times New Roman" w:cs="Times New Roman"/>
        <w:spacing w:val="-1"/>
        <w:w w:val="100"/>
        <w:sz w:val="20"/>
        <w:szCs w:val="20"/>
      </w:rPr>
    </w:lvl>
    <w:lvl w:ilvl="2">
      <w:start w:val="0"/>
      <w:numFmt w:val="bullet"/>
      <w:lvlText w:val="•"/>
      <w:lvlJc w:val="left"/>
      <w:pPr>
        <w:ind w:left="1804" w:hanging="360"/>
      </w:pPr>
      <w:rPr>
        <w:rFonts w:hint="default"/>
      </w:rPr>
    </w:lvl>
    <w:lvl w:ilvl="3">
      <w:start w:val="0"/>
      <w:numFmt w:val="bullet"/>
      <w:lvlText w:val="•"/>
      <w:lvlJc w:val="left"/>
      <w:pPr>
        <w:ind w:left="2788" w:hanging="360"/>
      </w:pPr>
      <w:rPr>
        <w:rFonts w:hint="default"/>
      </w:rPr>
    </w:lvl>
    <w:lvl w:ilvl="4">
      <w:start w:val="0"/>
      <w:numFmt w:val="bullet"/>
      <w:lvlText w:val="•"/>
      <w:lvlJc w:val="left"/>
      <w:pPr>
        <w:ind w:left="3773" w:hanging="360"/>
      </w:pPr>
      <w:rPr>
        <w:rFonts w:hint="default"/>
      </w:rPr>
    </w:lvl>
    <w:lvl w:ilvl="5">
      <w:start w:val="0"/>
      <w:numFmt w:val="bullet"/>
      <w:lvlText w:val="•"/>
      <w:lvlJc w:val="left"/>
      <w:pPr>
        <w:ind w:left="4757" w:hanging="360"/>
      </w:pPr>
      <w:rPr>
        <w:rFonts w:hint="default"/>
      </w:rPr>
    </w:lvl>
    <w:lvl w:ilvl="6">
      <w:start w:val="0"/>
      <w:numFmt w:val="bullet"/>
      <w:lvlText w:val="•"/>
      <w:lvlJc w:val="left"/>
      <w:pPr>
        <w:ind w:left="574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711" w:hanging="360"/>
      </w:pPr>
      <w:rPr>
        <w:rFonts w:hint="default"/>
      </w:rPr>
    </w:lvl>
  </w:abstractNum>
  <w:abstractNum w:abstractNumId="16">
    <w:multiLevelType w:val="hybridMultilevel"/>
    <w:lvl w:ilvl="0">
      <w:start w:val="1"/>
      <w:numFmt w:val="decimal"/>
      <w:lvlText w:val="%1."/>
      <w:lvlJc w:val="left"/>
      <w:pPr>
        <w:ind w:left="460" w:hanging="360"/>
        <w:jc w:val="left"/>
      </w:pPr>
      <w:rPr>
        <w:rFonts w:hint="default" w:ascii="Times New Roman" w:hAnsi="Times New Roman" w:eastAsia="Times New Roman" w:cs="Times New Roman"/>
        <w:w w:val="100"/>
        <w:sz w:val="20"/>
        <w:szCs w:val="20"/>
      </w:rPr>
    </w:lvl>
    <w:lvl w:ilvl="1">
      <w:start w:val="0"/>
      <w:numFmt w:val="bullet"/>
      <w:lvlText w:val="•"/>
      <w:lvlJc w:val="left"/>
      <w:pPr>
        <w:ind w:left="138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26" w:hanging="360"/>
      </w:pPr>
      <w:rPr>
        <w:rFonts w:hint="default"/>
      </w:rPr>
    </w:lvl>
    <w:lvl w:ilvl="4">
      <w:start w:val="0"/>
      <w:numFmt w:val="bullet"/>
      <w:lvlText w:val="•"/>
      <w:lvlJc w:val="left"/>
      <w:pPr>
        <w:ind w:left="4148" w:hanging="360"/>
      </w:pPr>
      <w:rPr>
        <w:rFonts w:hint="default"/>
      </w:rPr>
    </w:lvl>
    <w:lvl w:ilvl="5">
      <w:start w:val="0"/>
      <w:numFmt w:val="bullet"/>
      <w:lvlText w:val="•"/>
      <w:lvlJc w:val="left"/>
      <w:pPr>
        <w:ind w:left="5070" w:hanging="360"/>
      </w:pPr>
      <w:rPr>
        <w:rFonts w:hint="default"/>
      </w:rPr>
    </w:lvl>
    <w:lvl w:ilvl="6">
      <w:start w:val="0"/>
      <w:numFmt w:val="bullet"/>
      <w:lvlText w:val="•"/>
      <w:lvlJc w:val="left"/>
      <w:pPr>
        <w:ind w:left="5992" w:hanging="360"/>
      </w:pPr>
      <w:rPr>
        <w:rFonts w:hint="default"/>
      </w:rPr>
    </w:lvl>
    <w:lvl w:ilvl="7">
      <w:start w:val="0"/>
      <w:numFmt w:val="bullet"/>
      <w:lvlText w:val="•"/>
      <w:lvlJc w:val="left"/>
      <w:pPr>
        <w:ind w:left="6914" w:hanging="360"/>
      </w:pPr>
      <w:rPr>
        <w:rFonts w:hint="default"/>
      </w:rPr>
    </w:lvl>
    <w:lvl w:ilvl="8">
      <w:start w:val="0"/>
      <w:numFmt w:val="bullet"/>
      <w:lvlText w:val="•"/>
      <w:lvlJc w:val="left"/>
      <w:pPr>
        <w:ind w:left="7836" w:hanging="360"/>
      </w:pPr>
      <w:rPr>
        <w:rFonts w:hint="default"/>
      </w:rPr>
    </w:lvl>
  </w:abstractNum>
  <w:abstractNum w:abstractNumId="15">
    <w:multiLevelType w:val="hybridMultilevel"/>
    <w:lvl w:ilvl="0">
      <w:start w:val="1"/>
      <w:numFmt w:val="decimal"/>
      <w:lvlText w:val="%1)"/>
      <w:lvlJc w:val="left"/>
      <w:pPr>
        <w:ind w:left="120" w:hanging="210"/>
        <w:jc w:val="left"/>
      </w:pPr>
      <w:rPr>
        <w:rFonts w:hint="default"/>
        <w:spacing w:val="-3"/>
        <w:w w:val="99"/>
        <w:u w:val="single" w:color="000000"/>
      </w:rPr>
    </w:lvl>
    <w:lvl w:ilvl="1">
      <w:start w:val="1"/>
      <w:numFmt w:val="decimal"/>
      <w:lvlText w:val="(%2)"/>
      <w:lvlJc w:val="left"/>
      <w:pPr>
        <w:ind w:left="600" w:hanging="360"/>
        <w:jc w:val="left"/>
      </w:pPr>
      <w:rPr>
        <w:rFonts w:hint="default" w:ascii="Times New Roman" w:hAnsi="Times New Roman" w:eastAsia="Times New Roman" w:cs="Times New Roman"/>
        <w:spacing w:val="-1"/>
        <w:w w:val="100"/>
        <w:sz w:val="20"/>
        <w:szCs w:val="20"/>
      </w:rPr>
    </w:lvl>
    <w:lvl w:ilvl="2">
      <w:start w:val="0"/>
      <w:numFmt w:val="bullet"/>
      <w:lvlText w:val="•"/>
      <w:lvlJc w:val="left"/>
      <w:pPr>
        <w:ind w:left="1600" w:hanging="360"/>
      </w:pPr>
      <w:rPr>
        <w:rFonts w:hint="default"/>
      </w:rPr>
    </w:lvl>
    <w:lvl w:ilvl="3">
      <w:start w:val="0"/>
      <w:numFmt w:val="bullet"/>
      <w:lvlText w:val="•"/>
      <w:lvlJc w:val="left"/>
      <w:pPr>
        <w:ind w:left="2600" w:hanging="360"/>
      </w:pPr>
      <w:rPr>
        <w:rFonts w:hint="default"/>
      </w:rPr>
    </w:lvl>
    <w:lvl w:ilvl="4">
      <w:start w:val="0"/>
      <w:numFmt w:val="bullet"/>
      <w:lvlText w:val="•"/>
      <w:lvlJc w:val="left"/>
      <w:pPr>
        <w:ind w:left="3600" w:hanging="360"/>
      </w:pPr>
      <w:rPr>
        <w:rFonts w:hint="default"/>
      </w:rPr>
    </w:lvl>
    <w:lvl w:ilvl="5">
      <w:start w:val="0"/>
      <w:numFmt w:val="bullet"/>
      <w:lvlText w:val="•"/>
      <w:lvlJc w:val="left"/>
      <w:pPr>
        <w:ind w:left="4600" w:hanging="360"/>
      </w:pPr>
      <w:rPr>
        <w:rFonts w:hint="default"/>
      </w:rPr>
    </w:lvl>
    <w:lvl w:ilvl="6">
      <w:start w:val="0"/>
      <w:numFmt w:val="bullet"/>
      <w:lvlText w:val="•"/>
      <w:lvlJc w:val="left"/>
      <w:pPr>
        <w:ind w:left="5600" w:hanging="360"/>
      </w:pPr>
      <w:rPr>
        <w:rFonts w:hint="default"/>
      </w:rPr>
    </w:lvl>
    <w:lvl w:ilvl="7">
      <w:start w:val="0"/>
      <w:numFmt w:val="bullet"/>
      <w:lvlText w:val="•"/>
      <w:lvlJc w:val="left"/>
      <w:pPr>
        <w:ind w:left="6600" w:hanging="360"/>
      </w:pPr>
      <w:rPr>
        <w:rFonts w:hint="default"/>
      </w:rPr>
    </w:lvl>
    <w:lvl w:ilvl="8">
      <w:start w:val="0"/>
      <w:numFmt w:val="bullet"/>
      <w:lvlText w:val="•"/>
      <w:lvlJc w:val="left"/>
      <w:pPr>
        <w:ind w:left="7600" w:hanging="360"/>
      </w:pPr>
      <w:rPr>
        <w:rFonts w:hint="default"/>
      </w:rPr>
    </w:lvl>
  </w:abstractNum>
  <w:abstractNum w:abstractNumId="14">
    <w:multiLevelType w:val="hybridMultilevel"/>
    <w:lvl w:ilvl="0">
      <w:start w:val="0"/>
      <w:numFmt w:val="bullet"/>
      <w:lvlText w:val=""/>
      <w:lvlJc w:val="left"/>
      <w:pPr>
        <w:ind w:left="840" w:hanging="720"/>
      </w:pPr>
      <w:rPr>
        <w:rFonts w:hint="default" w:ascii="Symbol" w:hAnsi="Symbol" w:eastAsia="Symbol" w:cs="Symbol"/>
        <w:w w:val="100"/>
        <w:sz w:val="20"/>
        <w:szCs w:val="20"/>
      </w:rPr>
    </w:lvl>
    <w:lvl w:ilvl="1">
      <w:start w:val="0"/>
      <w:numFmt w:val="bullet"/>
      <w:lvlText w:val="•"/>
      <w:lvlJc w:val="left"/>
      <w:pPr>
        <w:ind w:left="1776" w:hanging="720"/>
      </w:pPr>
      <w:rPr>
        <w:rFonts w:hint="default"/>
      </w:rPr>
    </w:lvl>
    <w:lvl w:ilvl="2">
      <w:start w:val="0"/>
      <w:numFmt w:val="bullet"/>
      <w:lvlText w:val="•"/>
      <w:lvlJc w:val="left"/>
      <w:pPr>
        <w:ind w:left="2712" w:hanging="720"/>
      </w:pPr>
      <w:rPr>
        <w:rFonts w:hint="default"/>
      </w:rPr>
    </w:lvl>
    <w:lvl w:ilvl="3">
      <w:start w:val="0"/>
      <w:numFmt w:val="bullet"/>
      <w:lvlText w:val="•"/>
      <w:lvlJc w:val="left"/>
      <w:pPr>
        <w:ind w:left="3648" w:hanging="720"/>
      </w:pPr>
      <w:rPr>
        <w:rFonts w:hint="default"/>
      </w:rPr>
    </w:lvl>
    <w:lvl w:ilvl="4">
      <w:start w:val="0"/>
      <w:numFmt w:val="bullet"/>
      <w:lvlText w:val="•"/>
      <w:lvlJc w:val="left"/>
      <w:pPr>
        <w:ind w:left="4584" w:hanging="720"/>
      </w:pPr>
      <w:rPr>
        <w:rFonts w:hint="default"/>
      </w:rPr>
    </w:lvl>
    <w:lvl w:ilvl="5">
      <w:start w:val="0"/>
      <w:numFmt w:val="bullet"/>
      <w:lvlText w:val="•"/>
      <w:lvlJc w:val="left"/>
      <w:pPr>
        <w:ind w:left="5520" w:hanging="720"/>
      </w:pPr>
      <w:rPr>
        <w:rFonts w:hint="default"/>
      </w:rPr>
    </w:lvl>
    <w:lvl w:ilvl="6">
      <w:start w:val="0"/>
      <w:numFmt w:val="bullet"/>
      <w:lvlText w:val="•"/>
      <w:lvlJc w:val="left"/>
      <w:pPr>
        <w:ind w:left="6456" w:hanging="720"/>
      </w:pPr>
      <w:rPr>
        <w:rFonts w:hint="default"/>
      </w:rPr>
    </w:lvl>
    <w:lvl w:ilvl="7">
      <w:start w:val="0"/>
      <w:numFmt w:val="bullet"/>
      <w:lvlText w:val="•"/>
      <w:lvlJc w:val="left"/>
      <w:pPr>
        <w:ind w:left="7392" w:hanging="720"/>
      </w:pPr>
      <w:rPr>
        <w:rFonts w:hint="default"/>
      </w:rPr>
    </w:lvl>
    <w:lvl w:ilvl="8">
      <w:start w:val="0"/>
      <w:numFmt w:val="bullet"/>
      <w:lvlText w:val="•"/>
      <w:lvlJc w:val="left"/>
      <w:pPr>
        <w:ind w:left="8328" w:hanging="720"/>
      </w:pPr>
      <w:rPr>
        <w:rFonts w:hint="default"/>
      </w:rPr>
    </w:lvl>
  </w:abstractNum>
  <w:abstractNum w:abstractNumId="13">
    <w:multiLevelType w:val="hybridMultilevel"/>
    <w:lvl w:ilvl="0">
      <w:start w:val="0"/>
      <w:numFmt w:val="bullet"/>
      <w:lvlText w:val="•"/>
      <w:lvlJc w:val="left"/>
      <w:pPr>
        <w:ind w:left="839" w:hanging="720"/>
      </w:pPr>
      <w:rPr>
        <w:rFonts w:hint="default"/>
        <w:w w:val="100"/>
        <w:u w:val="single" w:color="000000"/>
      </w:rPr>
    </w:lvl>
    <w:lvl w:ilvl="1">
      <w:start w:val="0"/>
      <w:numFmt w:val="bullet"/>
      <w:lvlText w:val=""/>
      <w:lvlJc w:val="left"/>
      <w:pPr>
        <w:ind w:left="840" w:hanging="360"/>
      </w:pPr>
      <w:rPr>
        <w:rFonts w:hint="default" w:ascii="Symbol" w:hAnsi="Symbol" w:eastAsia="Symbol" w:cs="Symbol"/>
        <w:w w:val="100"/>
        <w:sz w:val="20"/>
        <w:szCs w:val="20"/>
      </w:rPr>
    </w:lvl>
    <w:lvl w:ilvl="2">
      <w:start w:val="0"/>
      <w:numFmt w:val="bullet"/>
      <w:lvlText w:val="•"/>
      <w:lvlJc w:val="left"/>
      <w:pPr>
        <w:ind w:left="2712" w:hanging="360"/>
      </w:pPr>
      <w:rPr>
        <w:rFonts w:hint="default"/>
      </w:rPr>
    </w:lvl>
    <w:lvl w:ilvl="3">
      <w:start w:val="0"/>
      <w:numFmt w:val="bullet"/>
      <w:lvlText w:val="•"/>
      <w:lvlJc w:val="left"/>
      <w:pPr>
        <w:ind w:left="3648" w:hanging="360"/>
      </w:pPr>
      <w:rPr>
        <w:rFonts w:hint="default"/>
      </w:rPr>
    </w:lvl>
    <w:lvl w:ilvl="4">
      <w:start w:val="0"/>
      <w:numFmt w:val="bullet"/>
      <w:lvlText w:val="•"/>
      <w:lvlJc w:val="left"/>
      <w:pPr>
        <w:ind w:left="4584" w:hanging="360"/>
      </w:pPr>
      <w:rPr>
        <w:rFonts w:hint="default"/>
      </w:rPr>
    </w:lvl>
    <w:lvl w:ilvl="5">
      <w:start w:val="0"/>
      <w:numFmt w:val="bullet"/>
      <w:lvlText w:val="•"/>
      <w:lvlJc w:val="left"/>
      <w:pPr>
        <w:ind w:left="5520" w:hanging="360"/>
      </w:pPr>
      <w:rPr>
        <w:rFonts w:hint="default"/>
      </w:rPr>
    </w:lvl>
    <w:lvl w:ilvl="6">
      <w:start w:val="0"/>
      <w:numFmt w:val="bullet"/>
      <w:lvlText w:val="•"/>
      <w:lvlJc w:val="left"/>
      <w:pPr>
        <w:ind w:left="6456" w:hanging="360"/>
      </w:pPr>
      <w:rPr>
        <w:rFonts w:hint="default"/>
      </w:rPr>
    </w:lvl>
    <w:lvl w:ilvl="7">
      <w:start w:val="0"/>
      <w:numFmt w:val="bullet"/>
      <w:lvlText w:val="•"/>
      <w:lvlJc w:val="left"/>
      <w:pPr>
        <w:ind w:left="7392" w:hanging="360"/>
      </w:pPr>
      <w:rPr>
        <w:rFonts w:hint="default"/>
      </w:rPr>
    </w:lvl>
    <w:lvl w:ilvl="8">
      <w:start w:val="0"/>
      <w:numFmt w:val="bullet"/>
      <w:lvlText w:val="•"/>
      <w:lvlJc w:val="left"/>
      <w:pPr>
        <w:ind w:left="8328" w:hanging="360"/>
      </w:pPr>
      <w:rPr>
        <w:rFonts w:hint="default"/>
      </w:rPr>
    </w:lvl>
  </w:abstractNum>
  <w:abstractNum w:abstractNumId="12">
    <w:multiLevelType w:val="hybridMultilevel"/>
    <w:lvl w:ilvl="0">
      <w:start w:val="1"/>
      <w:numFmt w:val="decimal"/>
      <w:lvlText w:val="%1."/>
      <w:lvlJc w:val="left"/>
      <w:pPr>
        <w:ind w:left="480" w:hanging="360"/>
        <w:jc w:val="left"/>
      </w:pPr>
      <w:rPr>
        <w:rFonts w:hint="default" w:ascii="Times New Roman" w:hAnsi="Times New Roman" w:eastAsia="Times New Roman" w:cs="Times New Roman"/>
        <w:w w:val="100"/>
        <w:sz w:val="20"/>
        <w:szCs w:val="20"/>
      </w:rPr>
    </w:lvl>
    <w:lvl w:ilvl="1">
      <w:start w:val="0"/>
      <w:numFmt w:val="bullet"/>
      <w:lvlText w:val="•"/>
      <w:lvlJc w:val="left"/>
      <w:pPr>
        <w:ind w:left="1462" w:hanging="360"/>
      </w:pPr>
      <w:rPr>
        <w:rFonts w:hint="default"/>
      </w:rPr>
    </w:lvl>
    <w:lvl w:ilvl="2">
      <w:start w:val="0"/>
      <w:numFmt w:val="bullet"/>
      <w:lvlText w:val="•"/>
      <w:lvlJc w:val="left"/>
      <w:pPr>
        <w:ind w:left="2444" w:hanging="360"/>
      </w:pPr>
      <w:rPr>
        <w:rFonts w:hint="default"/>
      </w:rPr>
    </w:lvl>
    <w:lvl w:ilvl="3">
      <w:start w:val="0"/>
      <w:numFmt w:val="bullet"/>
      <w:lvlText w:val="•"/>
      <w:lvlJc w:val="left"/>
      <w:pPr>
        <w:ind w:left="3426" w:hanging="360"/>
      </w:pPr>
      <w:rPr>
        <w:rFonts w:hint="default"/>
      </w:rPr>
    </w:lvl>
    <w:lvl w:ilvl="4">
      <w:start w:val="0"/>
      <w:numFmt w:val="bullet"/>
      <w:lvlText w:val="•"/>
      <w:lvlJc w:val="left"/>
      <w:pPr>
        <w:ind w:left="4408" w:hanging="360"/>
      </w:pPr>
      <w:rPr>
        <w:rFonts w:hint="default"/>
      </w:rPr>
    </w:lvl>
    <w:lvl w:ilvl="5">
      <w:start w:val="0"/>
      <w:numFmt w:val="bullet"/>
      <w:lvlText w:val="•"/>
      <w:lvlJc w:val="left"/>
      <w:pPr>
        <w:ind w:left="5390" w:hanging="360"/>
      </w:pPr>
      <w:rPr>
        <w:rFonts w:hint="default"/>
      </w:rPr>
    </w:lvl>
    <w:lvl w:ilvl="6">
      <w:start w:val="0"/>
      <w:numFmt w:val="bullet"/>
      <w:lvlText w:val="•"/>
      <w:lvlJc w:val="left"/>
      <w:pPr>
        <w:ind w:left="6372" w:hanging="360"/>
      </w:pPr>
      <w:rPr>
        <w:rFonts w:hint="default"/>
      </w:rPr>
    </w:lvl>
    <w:lvl w:ilvl="7">
      <w:start w:val="0"/>
      <w:numFmt w:val="bullet"/>
      <w:lvlText w:val="•"/>
      <w:lvlJc w:val="left"/>
      <w:pPr>
        <w:ind w:left="7354" w:hanging="360"/>
      </w:pPr>
      <w:rPr>
        <w:rFonts w:hint="default"/>
      </w:rPr>
    </w:lvl>
    <w:lvl w:ilvl="8">
      <w:start w:val="0"/>
      <w:numFmt w:val="bullet"/>
      <w:lvlText w:val="•"/>
      <w:lvlJc w:val="left"/>
      <w:pPr>
        <w:ind w:left="8336" w:hanging="360"/>
      </w:pPr>
      <w:rPr>
        <w:rFonts w:hint="default"/>
      </w:rPr>
    </w:lvl>
  </w:abstractNum>
  <w:abstractNum w:abstractNumId="11">
    <w:multiLevelType w:val="hybridMultilevel"/>
    <w:lvl w:ilvl="0">
      <w:start w:val="1"/>
      <w:numFmt w:val="decimal"/>
      <w:lvlText w:val="%1."/>
      <w:lvlJc w:val="left"/>
      <w:pPr>
        <w:ind w:left="480" w:hanging="360"/>
        <w:jc w:val="left"/>
      </w:pPr>
      <w:rPr>
        <w:rFonts w:hint="default" w:ascii="Times New Roman" w:hAnsi="Times New Roman" w:eastAsia="Times New Roman" w:cs="Times New Roman"/>
        <w:w w:val="100"/>
        <w:sz w:val="20"/>
        <w:szCs w:val="20"/>
      </w:rPr>
    </w:lvl>
    <w:lvl w:ilvl="1">
      <w:start w:val="0"/>
      <w:numFmt w:val="bullet"/>
      <w:lvlText w:val="•"/>
      <w:lvlJc w:val="left"/>
      <w:pPr>
        <w:ind w:left="1462" w:hanging="360"/>
      </w:pPr>
      <w:rPr>
        <w:rFonts w:hint="default"/>
      </w:rPr>
    </w:lvl>
    <w:lvl w:ilvl="2">
      <w:start w:val="0"/>
      <w:numFmt w:val="bullet"/>
      <w:lvlText w:val="•"/>
      <w:lvlJc w:val="left"/>
      <w:pPr>
        <w:ind w:left="2444" w:hanging="360"/>
      </w:pPr>
      <w:rPr>
        <w:rFonts w:hint="default"/>
      </w:rPr>
    </w:lvl>
    <w:lvl w:ilvl="3">
      <w:start w:val="0"/>
      <w:numFmt w:val="bullet"/>
      <w:lvlText w:val="•"/>
      <w:lvlJc w:val="left"/>
      <w:pPr>
        <w:ind w:left="3426" w:hanging="360"/>
      </w:pPr>
      <w:rPr>
        <w:rFonts w:hint="default"/>
      </w:rPr>
    </w:lvl>
    <w:lvl w:ilvl="4">
      <w:start w:val="0"/>
      <w:numFmt w:val="bullet"/>
      <w:lvlText w:val="•"/>
      <w:lvlJc w:val="left"/>
      <w:pPr>
        <w:ind w:left="4408" w:hanging="360"/>
      </w:pPr>
      <w:rPr>
        <w:rFonts w:hint="default"/>
      </w:rPr>
    </w:lvl>
    <w:lvl w:ilvl="5">
      <w:start w:val="0"/>
      <w:numFmt w:val="bullet"/>
      <w:lvlText w:val="•"/>
      <w:lvlJc w:val="left"/>
      <w:pPr>
        <w:ind w:left="5390" w:hanging="360"/>
      </w:pPr>
      <w:rPr>
        <w:rFonts w:hint="default"/>
      </w:rPr>
    </w:lvl>
    <w:lvl w:ilvl="6">
      <w:start w:val="0"/>
      <w:numFmt w:val="bullet"/>
      <w:lvlText w:val="•"/>
      <w:lvlJc w:val="left"/>
      <w:pPr>
        <w:ind w:left="6372" w:hanging="360"/>
      </w:pPr>
      <w:rPr>
        <w:rFonts w:hint="default"/>
      </w:rPr>
    </w:lvl>
    <w:lvl w:ilvl="7">
      <w:start w:val="0"/>
      <w:numFmt w:val="bullet"/>
      <w:lvlText w:val="•"/>
      <w:lvlJc w:val="left"/>
      <w:pPr>
        <w:ind w:left="7354" w:hanging="360"/>
      </w:pPr>
      <w:rPr>
        <w:rFonts w:hint="default"/>
      </w:rPr>
    </w:lvl>
    <w:lvl w:ilvl="8">
      <w:start w:val="0"/>
      <w:numFmt w:val="bullet"/>
      <w:lvlText w:val="•"/>
      <w:lvlJc w:val="left"/>
      <w:pPr>
        <w:ind w:left="8336" w:hanging="360"/>
      </w:pPr>
      <w:rPr>
        <w:rFonts w:hint="default"/>
      </w:rPr>
    </w:lvl>
  </w:abstractNum>
  <w:abstractNum w:abstractNumId="10">
    <w:multiLevelType w:val="hybridMultilevel"/>
    <w:lvl w:ilvl="0">
      <w:start w:val="1"/>
      <w:numFmt w:val="decimal"/>
      <w:lvlText w:val="%1."/>
      <w:lvlJc w:val="left"/>
      <w:pPr>
        <w:ind w:left="839" w:hanging="720"/>
        <w:jc w:val="left"/>
      </w:pPr>
      <w:rPr>
        <w:rFonts w:hint="default" w:ascii="Times New Roman" w:hAnsi="Times New Roman" w:eastAsia="Times New Roman" w:cs="Times New Roman"/>
        <w:w w:val="100"/>
        <w:sz w:val="20"/>
        <w:szCs w:val="20"/>
      </w:rPr>
    </w:lvl>
    <w:lvl w:ilvl="1">
      <w:start w:val="0"/>
      <w:numFmt w:val="bullet"/>
      <w:lvlText w:val="•"/>
      <w:lvlJc w:val="left"/>
      <w:pPr>
        <w:ind w:left="1780" w:hanging="720"/>
      </w:pPr>
      <w:rPr>
        <w:rFonts w:hint="default"/>
      </w:rPr>
    </w:lvl>
    <w:lvl w:ilvl="2">
      <w:start w:val="0"/>
      <w:numFmt w:val="bullet"/>
      <w:lvlText w:val="•"/>
      <w:lvlJc w:val="left"/>
      <w:pPr>
        <w:ind w:left="2720" w:hanging="720"/>
      </w:pPr>
      <w:rPr>
        <w:rFonts w:hint="default"/>
      </w:rPr>
    </w:lvl>
    <w:lvl w:ilvl="3">
      <w:start w:val="0"/>
      <w:numFmt w:val="bullet"/>
      <w:lvlText w:val="•"/>
      <w:lvlJc w:val="left"/>
      <w:pPr>
        <w:ind w:left="3660" w:hanging="720"/>
      </w:pPr>
      <w:rPr>
        <w:rFonts w:hint="default"/>
      </w:rPr>
    </w:lvl>
    <w:lvl w:ilvl="4">
      <w:start w:val="0"/>
      <w:numFmt w:val="bullet"/>
      <w:lvlText w:val="•"/>
      <w:lvlJc w:val="left"/>
      <w:pPr>
        <w:ind w:left="4600" w:hanging="720"/>
      </w:pPr>
      <w:rPr>
        <w:rFonts w:hint="default"/>
      </w:rPr>
    </w:lvl>
    <w:lvl w:ilvl="5">
      <w:start w:val="0"/>
      <w:numFmt w:val="bullet"/>
      <w:lvlText w:val="•"/>
      <w:lvlJc w:val="left"/>
      <w:pPr>
        <w:ind w:left="5540" w:hanging="720"/>
      </w:pPr>
      <w:rPr>
        <w:rFonts w:hint="default"/>
      </w:rPr>
    </w:lvl>
    <w:lvl w:ilvl="6">
      <w:start w:val="0"/>
      <w:numFmt w:val="bullet"/>
      <w:lvlText w:val="•"/>
      <w:lvlJc w:val="left"/>
      <w:pPr>
        <w:ind w:left="6480" w:hanging="720"/>
      </w:pPr>
      <w:rPr>
        <w:rFonts w:hint="default"/>
      </w:rPr>
    </w:lvl>
    <w:lvl w:ilvl="7">
      <w:start w:val="0"/>
      <w:numFmt w:val="bullet"/>
      <w:lvlText w:val="•"/>
      <w:lvlJc w:val="left"/>
      <w:pPr>
        <w:ind w:left="7420" w:hanging="720"/>
      </w:pPr>
      <w:rPr>
        <w:rFonts w:hint="default"/>
      </w:rPr>
    </w:lvl>
    <w:lvl w:ilvl="8">
      <w:start w:val="0"/>
      <w:numFmt w:val="bullet"/>
      <w:lvlText w:val="•"/>
      <w:lvlJc w:val="left"/>
      <w:pPr>
        <w:ind w:left="8360" w:hanging="720"/>
      </w:pPr>
      <w:rPr>
        <w:rFonts w:hint="default"/>
      </w:rPr>
    </w:lvl>
  </w:abstractNum>
  <w:abstractNum w:abstractNumId="9">
    <w:multiLevelType w:val="hybridMultilevel"/>
    <w:lvl w:ilvl="0">
      <w:start w:val="1"/>
      <w:numFmt w:val="lowerLetter"/>
      <w:lvlText w:val="%1."/>
      <w:lvlJc w:val="left"/>
      <w:pPr>
        <w:ind w:left="1559" w:hanging="720"/>
        <w:jc w:val="left"/>
      </w:pPr>
      <w:rPr>
        <w:rFonts w:hint="default" w:ascii="Times New Roman" w:hAnsi="Times New Roman" w:eastAsia="Times New Roman" w:cs="Times New Roman"/>
        <w:spacing w:val="-1"/>
        <w:w w:val="100"/>
        <w:sz w:val="20"/>
        <w:szCs w:val="20"/>
      </w:rPr>
    </w:lvl>
    <w:lvl w:ilvl="1">
      <w:start w:val="0"/>
      <w:numFmt w:val="bullet"/>
      <w:lvlText w:val="•"/>
      <w:lvlJc w:val="left"/>
      <w:pPr>
        <w:ind w:left="2428" w:hanging="720"/>
      </w:pPr>
      <w:rPr>
        <w:rFonts w:hint="default"/>
      </w:rPr>
    </w:lvl>
    <w:lvl w:ilvl="2">
      <w:start w:val="0"/>
      <w:numFmt w:val="bullet"/>
      <w:lvlText w:val="•"/>
      <w:lvlJc w:val="left"/>
      <w:pPr>
        <w:ind w:left="3296" w:hanging="720"/>
      </w:pPr>
      <w:rPr>
        <w:rFonts w:hint="default"/>
      </w:rPr>
    </w:lvl>
    <w:lvl w:ilvl="3">
      <w:start w:val="0"/>
      <w:numFmt w:val="bullet"/>
      <w:lvlText w:val="•"/>
      <w:lvlJc w:val="left"/>
      <w:pPr>
        <w:ind w:left="4164" w:hanging="720"/>
      </w:pPr>
      <w:rPr>
        <w:rFonts w:hint="default"/>
      </w:rPr>
    </w:lvl>
    <w:lvl w:ilvl="4">
      <w:start w:val="0"/>
      <w:numFmt w:val="bullet"/>
      <w:lvlText w:val="•"/>
      <w:lvlJc w:val="left"/>
      <w:pPr>
        <w:ind w:left="5032" w:hanging="720"/>
      </w:pPr>
      <w:rPr>
        <w:rFonts w:hint="default"/>
      </w:rPr>
    </w:lvl>
    <w:lvl w:ilvl="5">
      <w:start w:val="0"/>
      <w:numFmt w:val="bullet"/>
      <w:lvlText w:val="•"/>
      <w:lvlJc w:val="left"/>
      <w:pPr>
        <w:ind w:left="5900" w:hanging="720"/>
      </w:pPr>
      <w:rPr>
        <w:rFonts w:hint="default"/>
      </w:rPr>
    </w:lvl>
    <w:lvl w:ilvl="6">
      <w:start w:val="0"/>
      <w:numFmt w:val="bullet"/>
      <w:lvlText w:val="•"/>
      <w:lvlJc w:val="left"/>
      <w:pPr>
        <w:ind w:left="6768" w:hanging="720"/>
      </w:pPr>
      <w:rPr>
        <w:rFonts w:hint="default"/>
      </w:rPr>
    </w:lvl>
    <w:lvl w:ilvl="7">
      <w:start w:val="0"/>
      <w:numFmt w:val="bullet"/>
      <w:lvlText w:val="•"/>
      <w:lvlJc w:val="left"/>
      <w:pPr>
        <w:ind w:left="7636" w:hanging="720"/>
      </w:pPr>
      <w:rPr>
        <w:rFonts w:hint="default"/>
      </w:rPr>
    </w:lvl>
    <w:lvl w:ilvl="8">
      <w:start w:val="0"/>
      <w:numFmt w:val="bullet"/>
      <w:lvlText w:val="•"/>
      <w:lvlJc w:val="left"/>
      <w:pPr>
        <w:ind w:left="8504" w:hanging="720"/>
      </w:pPr>
      <w:rPr>
        <w:rFonts w:hint="default"/>
      </w:rPr>
    </w:lvl>
  </w:abstractNum>
  <w:abstractNum w:abstractNumId="8">
    <w:multiLevelType w:val="hybridMultilevel"/>
    <w:lvl w:ilvl="0">
      <w:start w:val="1"/>
      <w:numFmt w:val="decimal"/>
      <w:lvlText w:val="%1."/>
      <w:lvlJc w:val="left"/>
      <w:pPr>
        <w:ind w:left="839" w:hanging="720"/>
        <w:jc w:val="left"/>
      </w:pPr>
      <w:rPr>
        <w:rFonts w:hint="default" w:ascii="Times New Roman" w:hAnsi="Times New Roman" w:eastAsia="Times New Roman" w:cs="Times New Roman"/>
        <w:w w:val="100"/>
        <w:sz w:val="20"/>
        <w:szCs w:val="20"/>
      </w:rPr>
    </w:lvl>
    <w:lvl w:ilvl="1">
      <w:start w:val="0"/>
      <w:numFmt w:val="bullet"/>
      <w:lvlText w:val=""/>
      <w:lvlJc w:val="left"/>
      <w:pPr>
        <w:ind w:left="840" w:hanging="360"/>
      </w:pPr>
      <w:rPr>
        <w:rFonts w:hint="default" w:ascii="Symbol" w:hAnsi="Symbol" w:eastAsia="Symbol" w:cs="Symbol"/>
        <w:w w:val="100"/>
        <w:sz w:val="20"/>
        <w:szCs w:val="20"/>
      </w:rPr>
    </w:lvl>
    <w:lvl w:ilvl="2">
      <w:start w:val="0"/>
      <w:numFmt w:val="bullet"/>
      <w:lvlText w:val="•"/>
      <w:lvlJc w:val="left"/>
      <w:pPr>
        <w:ind w:left="2720" w:hanging="360"/>
      </w:pPr>
      <w:rPr>
        <w:rFonts w:hint="default"/>
      </w:rPr>
    </w:lvl>
    <w:lvl w:ilvl="3">
      <w:start w:val="0"/>
      <w:numFmt w:val="bullet"/>
      <w:lvlText w:val="•"/>
      <w:lvlJc w:val="left"/>
      <w:pPr>
        <w:ind w:left="3660" w:hanging="360"/>
      </w:pPr>
      <w:rPr>
        <w:rFonts w:hint="default"/>
      </w:rPr>
    </w:lvl>
    <w:lvl w:ilvl="4">
      <w:start w:val="0"/>
      <w:numFmt w:val="bullet"/>
      <w:lvlText w:val="•"/>
      <w:lvlJc w:val="left"/>
      <w:pPr>
        <w:ind w:left="4600" w:hanging="360"/>
      </w:pPr>
      <w:rPr>
        <w:rFonts w:hint="default"/>
      </w:rPr>
    </w:lvl>
    <w:lvl w:ilvl="5">
      <w:start w:val="0"/>
      <w:numFmt w:val="bullet"/>
      <w:lvlText w:val="•"/>
      <w:lvlJc w:val="left"/>
      <w:pPr>
        <w:ind w:left="5540" w:hanging="360"/>
      </w:pPr>
      <w:rPr>
        <w:rFonts w:hint="default"/>
      </w:rPr>
    </w:lvl>
    <w:lvl w:ilvl="6">
      <w:start w:val="0"/>
      <w:numFmt w:val="bullet"/>
      <w:lvlText w:val="•"/>
      <w:lvlJc w:val="left"/>
      <w:pPr>
        <w:ind w:left="6480" w:hanging="360"/>
      </w:pPr>
      <w:rPr>
        <w:rFonts w:hint="default"/>
      </w:rPr>
    </w:lvl>
    <w:lvl w:ilvl="7">
      <w:start w:val="0"/>
      <w:numFmt w:val="bullet"/>
      <w:lvlText w:val="•"/>
      <w:lvlJc w:val="left"/>
      <w:pPr>
        <w:ind w:left="7420" w:hanging="360"/>
      </w:pPr>
      <w:rPr>
        <w:rFonts w:hint="default"/>
      </w:rPr>
    </w:lvl>
    <w:lvl w:ilvl="8">
      <w:start w:val="0"/>
      <w:numFmt w:val="bullet"/>
      <w:lvlText w:val="•"/>
      <w:lvlJc w:val="left"/>
      <w:pPr>
        <w:ind w:left="8360" w:hanging="360"/>
      </w:pPr>
      <w:rPr>
        <w:rFonts w:hint="default"/>
      </w:rPr>
    </w:lvl>
  </w:abstractNum>
  <w:abstractNum w:abstractNumId="7">
    <w:multiLevelType w:val="hybridMultilevel"/>
    <w:lvl w:ilvl="0">
      <w:start w:val="1"/>
      <w:numFmt w:val="decimal"/>
      <w:lvlText w:val="%1."/>
      <w:lvlJc w:val="left"/>
      <w:pPr>
        <w:ind w:left="480" w:hanging="360"/>
        <w:jc w:val="left"/>
      </w:pPr>
      <w:rPr>
        <w:rFonts w:hint="default" w:ascii="Times New Roman" w:hAnsi="Times New Roman" w:eastAsia="Times New Roman" w:cs="Times New Roman"/>
        <w:w w:val="100"/>
        <w:sz w:val="20"/>
        <w:szCs w:val="20"/>
      </w:rPr>
    </w:lvl>
    <w:lvl w:ilvl="1">
      <w:start w:val="0"/>
      <w:numFmt w:val="bullet"/>
      <w:lvlText w:val="•"/>
      <w:lvlJc w:val="left"/>
      <w:pPr>
        <w:ind w:left="1462" w:hanging="360"/>
      </w:pPr>
      <w:rPr>
        <w:rFonts w:hint="default"/>
      </w:rPr>
    </w:lvl>
    <w:lvl w:ilvl="2">
      <w:start w:val="0"/>
      <w:numFmt w:val="bullet"/>
      <w:lvlText w:val="•"/>
      <w:lvlJc w:val="left"/>
      <w:pPr>
        <w:ind w:left="2444" w:hanging="360"/>
      </w:pPr>
      <w:rPr>
        <w:rFonts w:hint="default"/>
      </w:rPr>
    </w:lvl>
    <w:lvl w:ilvl="3">
      <w:start w:val="0"/>
      <w:numFmt w:val="bullet"/>
      <w:lvlText w:val="•"/>
      <w:lvlJc w:val="left"/>
      <w:pPr>
        <w:ind w:left="3426" w:hanging="360"/>
      </w:pPr>
      <w:rPr>
        <w:rFonts w:hint="default"/>
      </w:rPr>
    </w:lvl>
    <w:lvl w:ilvl="4">
      <w:start w:val="0"/>
      <w:numFmt w:val="bullet"/>
      <w:lvlText w:val="•"/>
      <w:lvlJc w:val="left"/>
      <w:pPr>
        <w:ind w:left="4408" w:hanging="360"/>
      </w:pPr>
      <w:rPr>
        <w:rFonts w:hint="default"/>
      </w:rPr>
    </w:lvl>
    <w:lvl w:ilvl="5">
      <w:start w:val="0"/>
      <w:numFmt w:val="bullet"/>
      <w:lvlText w:val="•"/>
      <w:lvlJc w:val="left"/>
      <w:pPr>
        <w:ind w:left="5390" w:hanging="360"/>
      </w:pPr>
      <w:rPr>
        <w:rFonts w:hint="default"/>
      </w:rPr>
    </w:lvl>
    <w:lvl w:ilvl="6">
      <w:start w:val="0"/>
      <w:numFmt w:val="bullet"/>
      <w:lvlText w:val="•"/>
      <w:lvlJc w:val="left"/>
      <w:pPr>
        <w:ind w:left="6372" w:hanging="360"/>
      </w:pPr>
      <w:rPr>
        <w:rFonts w:hint="default"/>
      </w:rPr>
    </w:lvl>
    <w:lvl w:ilvl="7">
      <w:start w:val="0"/>
      <w:numFmt w:val="bullet"/>
      <w:lvlText w:val="•"/>
      <w:lvlJc w:val="left"/>
      <w:pPr>
        <w:ind w:left="7354" w:hanging="360"/>
      </w:pPr>
      <w:rPr>
        <w:rFonts w:hint="default"/>
      </w:rPr>
    </w:lvl>
    <w:lvl w:ilvl="8">
      <w:start w:val="0"/>
      <w:numFmt w:val="bullet"/>
      <w:lvlText w:val="•"/>
      <w:lvlJc w:val="left"/>
      <w:pPr>
        <w:ind w:left="8336" w:hanging="360"/>
      </w:pPr>
      <w:rPr>
        <w:rFonts w:hint="default"/>
      </w:rPr>
    </w:lvl>
  </w:abstractNum>
  <w:abstractNum w:abstractNumId="6">
    <w:multiLevelType w:val="hybridMultilevel"/>
    <w:lvl w:ilvl="0">
      <w:start w:val="10"/>
      <w:numFmt w:val="decimal"/>
      <w:lvlText w:val="%1."/>
      <w:lvlJc w:val="left"/>
      <w:pPr>
        <w:ind w:left="470" w:hanging="351"/>
        <w:jc w:val="left"/>
      </w:pPr>
      <w:rPr>
        <w:rFonts w:hint="default" w:ascii="Times New Roman" w:hAnsi="Times New Roman" w:eastAsia="Times New Roman" w:cs="Times New Roman"/>
        <w:spacing w:val="-1"/>
        <w:w w:val="100"/>
        <w:sz w:val="20"/>
        <w:szCs w:val="20"/>
      </w:rPr>
    </w:lvl>
    <w:lvl w:ilvl="1">
      <w:start w:val="1"/>
      <w:numFmt w:val="lowerLetter"/>
      <w:lvlText w:val="%2."/>
      <w:lvlJc w:val="left"/>
      <w:pPr>
        <w:ind w:left="480" w:hanging="359"/>
        <w:jc w:val="left"/>
      </w:pPr>
      <w:rPr>
        <w:rFonts w:hint="default" w:ascii="Times New Roman" w:hAnsi="Times New Roman" w:eastAsia="Times New Roman" w:cs="Times New Roman"/>
        <w:spacing w:val="-1"/>
        <w:w w:val="100"/>
        <w:sz w:val="20"/>
        <w:szCs w:val="20"/>
      </w:rPr>
    </w:lvl>
    <w:lvl w:ilvl="2">
      <w:start w:val="0"/>
      <w:numFmt w:val="bullet"/>
      <w:lvlText w:val=""/>
      <w:lvlJc w:val="left"/>
      <w:pPr>
        <w:ind w:left="1560" w:hanging="360"/>
      </w:pPr>
      <w:rPr>
        <w:rFonts w:hint="default" w:ascii="Symbol" w:hAnsi="Symbol" w:eastAsia="Symbol" w:cs="Symbol"/>
        <w:w w:val="100"/>
        <w:sz w:val="20"/>
        <w:szCs w:val="20"/>
      </w:rPr>
    </w:lvl>
    <w:lvl w:ilvl="3">
      <w:start w:val="0"/>
      <w:numFmt w:val="bullet"/>
      <w:lvlText w:val="•"/>
      <w:lvlJc w:val="left"/>
      <w:pPr>
        <w:ind w:left="3368" w:hanging="360"/>
      </w:pPr>
      <w:rPr>
        <w:rFonts w:hint="default"/>
      </w:rPr>
    </w:lvl>
    <w:lvl w:ilvl="4">
      <w:start w:val="0"/>
      <w:numFmt w:val="bullet"/>
      <w:lvlText w:val="•"/>
      <w:lvlJc w:val="left"/>
      <w:pPr>
        <w:ind w:left="4273" w:hanging="360"/>
      </w:pPr>
      <w:rPr>
        <w:rFonts w:hint="default"/>
      </w:rPr>
    </w:lvl>
    <w:lvl w:ilvl="5">
      <w:start w:val="0"/>
      <w:numFmt w:val="bullet"/>
      <w:lvlText w:val="•"/>
      <w:lvlJc w:val="left"/>
      <w:pPr>
        <w:ind w:left="5177" w:hanging="360"/>
      </w:pPr>
      <w:rPr>
        <w:rFonts w:hint="default"/>
      </w:rPr>
    </w:lvl>
    <w:lvl w:ilvl="6">
      <w:start w:val="0"/>
      <w:numFmt w:val="bullet"/>
      <w:lvlText w:val="•"/>
      <w:lvlJc w:val="left"/>
      <w:pPr>
        <w:ind w:left="6082" w:hanging="360"/>
      </w:pPr>
      <w:rPr>
        <w:rFonts w:hint="default"/>
      </w:rPr>
    </w:lvl>
    <w:lvl w:ilvl="7">
      <w:start w:val="0"/>
      <w:numFmt w:val="bullet"/>
      <w:lvlText w:val="•"/>
      <w:lvlJc w:val="left"/>
      <w:pPr>
        <w:ind w:left="6986" w:hanging="360"/>
      </w:pPr>
      <w:rPr>
        <w:rFonts w:hint="default"/>
      </w:rPr>
    </w:lvl>
    <w:lvl w:ilvl="8">
      <w:start w:val="0"/>
      <w:numFmt w:val="bullet"/>
      <w:lvlText w:val="•"/>
      <w:lvlJc w:val="left"/>
      <w:pPr>
        <w:ind w:left="7891" w:hanging="360"/>
      </w:pPr>
      <w:rPr>
        <w:rFonts w:hint="default"/>
      </w:rPr>
    </w:lvl>
  </w:abstractNum>
  <w:abstractNum w:abstractNumId="5">
    <w:multiLevelType w:val="hybridMultilevel"/>
    <w:lvl w:ilvl="0">
      <w:start w:val="1"/>
      <w:numFmt w:val="lowerLetter"/>
      <w:lvlText w:val="%1."/>
      <w:lvlJc w:val="left"/>
      <w:pPr>
        <w:ind w:left="479" w:hanging="360"/>
        <w:jc w:val="left"/>
      </w:pPr>
      <w:rPr>
        <w:rFonts w:hint="default" w:ascii="Times New Roman" w:hAnsi="Times New Roman" w:eastAsia="Times New Roman" w:cs="Times New Roman"/>
        <w:w w:val="100"/>
        <w:sz w:val="20"/>
        <w:szCs w:val="20"/>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4">
    <w:multiLevelType w:val="hybridMultilevel"/>
    <w:lvl w:ilvl="0">
      <w:start w:val="1"/>
      <w:numFmt w:val="lowerLetter"/>
      <w:lvlText w:val="%1."/>
      <w:lvlJc w:val="left"/>
      <w:pPr>
        <w:ind w:left="479" w:hanging="271"/>
        <w:jc w:val="left"/>
      </w:pPr>
      <w:rPr>
        <w:rFonts w:hint="default" w:ascii="Times New Roman" w:hAnsi="Times New Roman" w:eastAsia="Times New Roman" w:cs="Times New Roman"/>
        <w:w w:val="100"/>
        <w:sz w:val="20"/>
        <w:szCs w:val="20"/>
      </w:rPr>
    </w:lvl>
    <w:lvl w:ilvl="1">
      <w:start w:val="0"/>
      <w:numFmt w:val="bullet"/>
      <w:lvlText w:val="•"/>
      <w:lvlJc w:val="left"/>
      <w:pPr>
        <w:ind w:left="1392" w:hanging="271"/>
      </w:pPr>
      <w:rPr>
        <w:rFonts w:hint="default"/>
      </w:rPr>
    </w:lvl>
    <w:lvl w:ilvl="2">
      <w:start w:val="0"/>
      <w:numFmt w:val="bullet"/>
      <w:lvlText w:val="•"/>
      <w:lvlJc w:val="left"/>
      <w:pPr>
        <w:ind w:left="2304" w:hanging="271"/>
      </w:pPr>
      <w:rPr>
        <w:rFonts w:hint="default"/>
      </w:rPr>
    </w:lvl>
    <w:lvl w:ilvl="3">
      <w:start w:val="0"/>
      <w:numFmt w:val="bullet"/>
      <w:lvlText w:val="•"/>
      <w:lvlJc w:val="left"/>
      <w:pPr>
        <w:ind w:left="3216" w:hanging="271"/>
      </w:pPr>
      <w:rPr>
        <w:rFonts w:hint="default"/>
      </w:rPr>
    </w:lvl>
    <w:lvl w:ilvl="4">
      <w:start w:val="0"/>
      <w:numFmt w:val="bullet"/>
      <w:lvlText w:val="•"/>
      <w:lvlJc w:val="left"/>
      <w:pPr>
        <w:ind w:left="4128" w:hanging="271"/>
      </w:pPr>
      <w:rPr>
        <w:rFonts w:hint="default"/>
      </w:rPr>
    </w:lvl>
    <w:lvl w:ilvl="5">
      <w:start w:val="0"/>
      <w:numFmt w:val="bullet"/>
      <w:lvlText w:val="•"/>
      <w:lvlJc w:val="left"/>
      <w:pPr>
        <w:ind w:left="5040" w:hanging="271"/>
      </w:pPr>
      <w:rPr>
        <w:rFonts w:hint="default"/>
      </w:rPr>
    </w:lvl>
    <w:lvl w:ilvl="6">
      <w:start w:val="0"/>
      <w:numFmt w:val="bullet"/>
      <w:lvlText w:val="•"/>
      <w:lvlJc w:val="left"/>
      <w:pPr>
        <w:ind w:left="5952" w:hanging="271"/>
      </w:pPr>
      <w:rPr>
        <w:rFonts w:hint="default"/>
      </w:rPr>
    </w:lvl>
    <w:lvl w:ilvl="7">
      <w:start w:val="0"/>
      <w:numFmt w:val="bullet"/>
      <w:lvlText w:val="•"/>
      <w:lvlJc w:val="left"/>
      <w:pPr>
        <w:ind w:left="6864" w:hanging="271"/>
      </w:pPr>
      <w:rPr>
        <w:rFonts w:hint="default"/>
      </w:rPr>
    </w:lvl>
    <w:lvl w:ilvl="8">
      <w:start w:val="0"/>
      <w:numFmt w:val="bullet"/>
      <w:lvlText w:val="•"/>
      <w:lvlJc w:val="left"/>
      <w:pPr>
        <w:ind w:left="7776" w:hanging="271"/>
      </w:pPr>
      <w:rPr>
        <w:rFonts w:hint="default"/>
      </w:rPr>
    </w:lvl>
  </w:abstractNum>
  <w:abstractNum w:abstractNumId="3">
    <w:multiLevelType w:val="hybridMultilevel"/>
    <w:lvl w:ilvl="0">
      <w:start w:val="1"/>
      <w:numFmt w:val="lowerLetter"/>
      <w:lvlText w:val="%1."/>
      <w:lvlJc w:val="left"/>
      <w:pPr>
        <w:ind w:left="479" w:hanging="290"/>
        <w:jc w:val="left"/>
      </w:pPr>
      <w:rPr>
        <w:rFonts w:hint="default" w:ascii="Times New Roman" w:hAnsi="Times New Roman" w:eastAsia="Times New Roman" w:cs="Times New Roman"/>
        <w:w w:val="100"/>
        <w:sz w:val="20"/>
        <w:szCs w:val="20"/>
      </w:rPr>
    </w:lvl>
    <w:lvl w:ilvl="1">
      <w:start w:val="0"/>
      <w:numFmt w:val="bullet"/>
      <w:lvlText w:val="•"/>
      <w:lvlJc w:val="left"/>
      <w:pPr>
        <w:ind w:left="1392" w:hanging="290"/>
      </w:pPr>
      <w:rPr>
        <w:rFonts w:hint="default"/>
      </w:rPr>
    </w:lvl>
    <w:lvl w:ilvl="2">
      <w:start w:val="0"/>
      <w:numFmt w:val="bullet"/>
      <w:lvlText w:val="•"/>
      <w:lvlJc w:val="left"/>
      <w:pPr>
        <w:ind w:left="2304" w:hanging="290"/>
      </w:pPr>
      <w:rPr>
        <w:rFonts w:hint="default"/>
      </w:rPr>
    </w:lvl>
    <w:lvl w:ilvl="3">
      <w:start w:val="0"/>
      <w:numFmt w:val="bullet"/>
      <w:lvlText w:val="•"/>
      <w:lvlJc w:val="left"/>
      <w:pPr>
        <w:ind w:left="3216" w:hanging="290"/>
      </w:pPr>
      <w:rPr>
        <w:rFonts w:hint="default"/>
      </w:rPr>
    </w:lvl>
    <w:lvl w:ilvl="4">
      <w:start w:val="0"/>
      <w:numFmt w:val="bullet"/>
      <w:lvlText w:val="•"/>
      <w:lvlJc w:val="left"/>
      <w:pPr>
        <w:ind w:left="4128" w:hanging="290"/>
      </w:pPr>
      <w:rPr>
        <w:rFonts w:hint="default"/>
      </w:rPr>
    </w:lvl>
    <w:lvl w:ilvl="5">
      <w:start w:val="0"/>
      <w:numFmt w:val="bullet"/>
      <w:lvlText w:val="•"/>
      <w:lvlJc w:val="left"/>
      <w:pPr>
        <w:ind w:left="5040" w:hanging="290"/>
      </w:pPr>
      <w:rPr>
        <w:rFonts w:hint="default"/>
      </w:rPr>
    </w:lvl>
    <w:lvl w:ilvl="6">
      <w:start w:val="0"/>
      <w:numFmt w:val="bullet"/>
      <w:lvlText w:val="•"/>
      <w:lvlJc w:val="left"/>
      <w:pPr>
        <w:ind w:left="5952" w:hanging="290"/>
      </w:pPr>
      <w:rPr>
        <w:rFonts w:hint="default"/>
      </w:rPr>
    </w:lvl>
    <w:lvl w:ilvl="7">
      <w:start w:val="0"/>
      <w:numFmt w:val="bullet"/>
      <w:lvlText w:val="•"/>
      <w:lvlJc w:val="left"/>
      <w:pPr>
        <w:ind w:left="6864" w:hanging="290"/>
      </w:pPr>
      <w:rPr>
        <w:rFonts w:hint="default"/>
      </w:rPr>
    </w:lvl>
    <w:lvl w:ilvl="8">
      <w:start w:val="0"/>
      <w:numFmt w:val="bullet"/>
      <w:lvlText w:val="•"/>
      <w:lvlJc w:val="left"/>
      <w:pPr>
        <w:ind w:left="7776" w:hanging="290"/>
      </w:pPr>
      <w:rPr>
        <w:rFonts w:hint="default"/>
      </w:rPr>
    </w:lvl>
  </w:abstractNum>
  <w:abstractNum w:abstractNumId="2">
    <w:multiLevelType w:val="hybridMultilevel"/>
    <w:lvl w:ilvl="0">
      <w:start w:val="1"/>
      <w:numFmt w:val="lowerLetter"/>
      <w:lvlText w:val="%1."/>
      <w:lvlJc w:val="left"/>
      <w:pPr>
        <w:ind w:left="479" w:hanging="360"/>
        <w:jc w:val="left"/>
      </w:pPr>
      <w:rPr>
        <w:rFonts w:hint="default" w:ascii="Times New Roman" w:hAnsi="Times New Roman" w:eastAsia="Times New Roman" w:cs="Times New Roman"/>
        <w:spacing w:val="-1"/>
        <w:w w:val="100"/>
        <w:sz w:val="20"/>
        <w:szCs w:val="20"/>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1">
    <w:multiLevelType w:val="hybridMultilevel"/>
    <w:lvl w:ilvl="0">
      <w:start w:val="1"/>
      <w:numFmt w:val="decimal"/>
      <w:lvlText w:val="%1."/>
      <w:lvlJc w:val="left"/>
      <w:pPr>
        <w:ind w:left="480" w:hanging="360"/>
        <w:jc w:val="left"/>
      </w:pPr>
      <w:rPr>
        <w:rFonts w:hint="default" w:ascii="Times New Roman" w:hAnsi="Times New Roman" w:eastAsia="Times New Roman" w:cs="Times New Roman"/>
        <w:w w:val="100"/>
        <w:sz w:val="20"/>
        <w:szCs w:val="20"/>
      </w:rPr>
    </w:lvl>
    <w:lvl w:ilvl="1">
      <w:start w:val="0"/>
      <w:numFmt w:val="bullet"/>
      <w:lvlText w:val=""/>
      <w:lvlJc w:val="left"/>
      <w:pPr>
        <w:ind w:left="1200" w:hanging="360"/>
      </w:pPr>
      <w:rPr>
        <w:rFonts w:hint="default" w:ascii="Symbol" w:hAnsi="Symbol" w:eastAsia="Symbol" w:cs="Symbol"/>
        <w:w w:val="100"/>
        <w:sz w:val="20"/>
        <w:szCs w:val="20"/>
      </w:rPr>
    </w:lvl>
    <w:lvl w:ilvl="2">
      <w:start w:val="0"/>
      <w:numFmt w:val="bullet"/>
      <w:lvlText w:val="•"/>
      <w:lvlJc w:val="left"/>
      <w:pPr>
        <w:ind w:left="2133" w:hanging="360"/>
      </w:pPr>
      <w:rPr>
        <w:rFonts w:hint="default"/>
      </w:rPr>
    </w:lvl>
    <w:lvl w:ilvl="3">
      <w:start w:val="0"/>
      <w:numFmt w:val="bullet"/>
      <w:lvlText w:val="•"/>
      <w:lvlJc w:val="left"/>
      <w:pPr>
        <w:ind w:left="3066" w:hanging="360"/>
      </w:pPr>
      <w:rPr>
        <w:rFonts w:hint="default"/>
      </w:rPr>
    </w:lvl>
    <w:lvl w:ilvl="4">
      <w:start w:val="0"/>
      <w:numFmt w:val="bullet"/>
      <w:lvlText w:val="•"/>
      <w:lvlJc w:val="left"/>
      <w:pPr>
        <w:ind w:left="4000" w:hanging="360"/>
      </w:pPr>
      <w:rPr>
        <w:rFonts w:hint="default"/>
      </w:rPr>
    </w:lvl>
    <w:lvl w:ilvl="5">
      <w:start w:val="0"/>
      <w:numFmt w:val="bullet"/>
      <w:lvlText w:val="•"/>
      <w:lvlJc w:val="left"/>
      <w:pPr>
        <w:ind w:left="4933" w:hanging="360"/>
      </w:pPr>
      <w:rPr>
        <w:rFonts w:hint="default"/>
      </w:rPr>
    </w:lvl>
    <w:lvl w:ilvl="6">
      <w:start w:val="0"/>
      <w:numFmt w:val="bullet"/>
      <w:lvlText w:val="•"/>
      <w:lvlJc w:val="left"/>
      <w:pPr>
        <w:ind w:left="5866" w:hanging="360"/>
      </w:pPr>
      <w:rPr>
        <w:rFonts w:hint="default"/>
      </w:rPr>
    </w:lvl>
    <w:lvl w:ilvl="7">
      <w:start w:val="0"/>
      <w:numFmt w:val="bullet"/>
      <w:lvlText w:val="•"/>
      <w:lvlJc w:val="left"/>
      <w:pPr>
        <w:ind w:left="6800" w:hanging="360"/>
      </w:pPr>
      <w:rPr>
        <w:rFonts w:hint="default"/>
      </w:rPr>
    </w:lvl>
    <w:lvl w:ilvl="8">
      <w:start w:val="0"/>
      <w:numFmt w:val="bullet"/>
      <w:lvlText w:val="•"/>
      <w:lvlJc w:val="left"/>
      <w:pPr>
        <w:ind w:left="7733" w:hanging="360"/>
      </w:pPr>
      <w:rPr>
        <w:rFonts w:hint="default"/>
      </w:rPr>
    </w:lvl>
  </w:abstractNum>
  <w:abstractNum w:abstractNumId="0">
    <w:multiLevelType w:val="hybridMultilevel"/>
    <w:lvl w:ilvl="0">
      <w:start w:val="1"/>
      <w:numFmt w:val="lowerLetter"/>
      <w:lvlText w:val="%1."/>
      <w:lvlJc w:val="left"/>
      <w:pPr>
        <w:ind w:left="480" w:hanging="360"/>
        <w:jc w:val="left"/>
      </w:pPr>
      <w:rPr>
        <w:rFonts w:hint="default" w:ascii="Times New Roman" w:hAnsi="Times New Roman" w:eastAsia="Times New Roman" w:cs="Times New Roman"/>
        <w:spacing w:val="-1"/>
        <w:w w:val="100"/>
        <w:sz w:val="20"/>
        <w:szCs w:val="20"/>
      </w:rPr>
    </w:lvl>
    <w:lvl w:ilvl="1">
      <w:start w:val="0"/>
      <w:numFmt w:val="bullet"/>
      <w:lvlText w:val="•"/>
      <w:lvlJc w:val="left"/>
      <w:pPr>
        <w:ind w:left="1402" w:hanging="360"/>
      </w:pPr>
      <w:rPr>
        <w:rFonts w:hint="default"/>
      </w:rPr>
    </w:lvl>
    <w:lvl w:ilvl="2">
      <w:start w:val="0"/>
      <w:numFmt w:val="bullet"/>
      <w:lvlText w:val="•"/>
      <w:lvlJc w:val="left"/>
      <w:pPr>
        <w:ind w:left="2324" w:hanging="360"/>
      </w:pPr>
      <w:rPr>
        <w:rFonts w:hint="default"/>
      </w:rPr>
    </w:lvl>
    <w:lvl w:ilvl="3">
      <w:start w:val="0"/>
      <w:numFmt w:val="bullet"/>
      <w:lvlText w:val="•"/>
      <w:lvlJc w:val="left"/>
      <w:pPr>
        <w:ind w:left="3246" w:hanging="360"/>
      </w:pPr>
      <w:rPr>
        <w:rFonts w:hint="default"/>
      </w:rPr>
    </w:lvl>
    <w:lvl w:ilvl="4">
      <w:start w:val="0"/>
      <w:numFmt w:val="bullet"/>
      <w:lvlText w:val="•"/>
      <w:lvlJc w:val="left"/>
      <w:pPr>
        <w:ind w:left="4168" w:hanging="360"/>
      </w:pPr>
      <w:rPr>
        <w:rFonts w:hint="default"/>
      </w:rPr>
    </w:lvl>
    <w:lvl w:ilvl="5">
      <w:start w:val="0"/>
      <w:numFmt w:val="bullet"/>
      <w:lvlText w:val="•"/>
      <w:lvlJc w:val="left"/>
      <w:pPr>
        <w:ind w:left="5090" w:hanging="360"/>
      </w:pPr>
      <w:rPr>
        <w:rFonts w:hint="default"/>
      </w:rPr>
    </w:lvl>
    <w:lvl w:ilvl="6">
      <w:start w:val="0"/>
      <w:numFmt w:val="bullet"/>
      <w:lvlText w:val="•"/>
      <w:lvlJc w:val="left"/>
      <w:pPr>
        <w:ind w:left="6012" w:hanging="360"/>
      </w:pPr>
      <w:rPr>
        <w:rFonts w:hint="default"/>
      </w:rPr>
    </w:lvl>
    <w:lvl w:ilvl="7">
      <w:start w:val="0"/>
      <w:numFmt w:val="bullet"/>
      <w:lvlText w:val="•"/>
      <w:lvlJc w:val="left"/>
      <w:pPr>
        <w:ind w:left="6934" w:hanging="360"/>
      </w:pPr>
      <w:rPr>
        <w:rFonts w:hint="default"/>
      </w:rPr>
    </w:lvl>
    <w:lvl w:ilvl="8">
      <w:start w:val="0"/>
      <w:numFmt w:val="bullet"/>
      <w:lvlText w:val="•"/>
      <w:lvlJc w:val="left"/>
      <w:pPr>
        <w:ind w:left="7856" w:hanging="360"/>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90"/>
      <w:ind w:left="120"/>
      <w:outlineLvl w:val="1"/>
    </w:pPr>
    <w:rPr>
      <w:rFonts w:ascii="Times New Roman" w:hAnsi="Times New Roman" w:eastAsia="Times New Roman" w:cs="Times New Roman"/>
      <w:sz w:val="24"/>
      <w:szCs w:val="24"/>
    </w:rPr>
  </w:style>
  <w:style w:styleId="Heading2" w:type="paragraph">
    <w:name w:val="Heading 2"/>
    <w:basedOn w:val="Normal"/>
    <w:uiPriority w:val="1"/>
    <w:qFormat/>
    <w:pPr>
      <w:spacing w:before="12"/>
      <w:ind w:left="20"/>
      <w:outlineLvl w:val="2"/>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479" w:hanging="360"/>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5.png"/><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yperlink" Target="http://www.lao.ca.gov/" TargetMode="Externa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hyperlink" Target="mailto:Item.Processing@Treasurer.ca.gov" TargetMode="Externa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footer" Target="footer8.xm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footer" Target="footer9.xml"/><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header" Target="header5.xml"/><Relationship Id="rId34" Type="http://schemas.openxmlformats.org/officeDocument/2006/relationships/footer" Target="footer10.xml"/><Relationship Id="rId35" Type="http://schemas.openxmlformats.org/officeDocument/2006/relationships/footer" Target="footer11.xml"/><Relationship Id="rId36" Type="http://schemas.openxmlformats.org/officeDocument/2006/relationships/hyperlink" Target="http://www.ofs.dgs.ca.gov/" TargetMode="External"/><Relationship Id="rId37" Type="http://schemas.openxmlformats.org/officeDocument/2006/relationships/hyperlink" Target="mailto:SRFFiscalServices@dgs.ca.gov" TargetMode="External"/><Relationship Id="rId38" Type="http://schemas.openxmlformats.org/officeDocument/2006/relationships/hyperlink" Target="http://www.dgs.ca.gov/osp/Forms/Search/pdf_fillPrint.aspx" TargetMode="External"/><Relationship Id="rId39" Type="http://schemas.openxmlformats.org/officeDocument/2006/relationships/hyperlink" Target="http://www.documents.dgs.ca.gov/ofs/Afs94a.pdf" TargetMode="External"/><Relationship Id="rId40" Type="http://schemas.openxmlformats.org/officeDocument/2006/relationships/footer" Target="footer12.xml"/><Relationship Id="rId41" Type="http://schemas.openxmlformats.org/officeDocument/2006/relationships/header" Target="header6.xml"/><Relationship Id="rId42" Type="http://schemas.openxmlformats.org/officeDocument/2006/relationships/footer" Target="footer13.xml"/><Relationship Id="rId43" Type="http://schemas.openxmlformats.org/officeDocument/2006/relationships/image" Target="media/image17.png"/><Relationship Id="rId44" Type="http://schemas.openxmlformats.org/officeDocument/2006/relationships/header" Target="header7.xml"/><Relationship Id="rId45" Type="http://schemas.openxmlformats.org/officeDocument/2006/relationships/header" Target="header8.xml"/><Relationship Id="rId46" Type="http://schemas.openxmlformats.org/officeDocument/2006/relationships/footer" Target="footer14.xml"/><Relationship Id="rId47" Type="http://schemas.openxmlformats.org/officeDocument/2006/relationships/header" Target="header9.xml"/><Relationship Id="rId48" Type="http://schemas.openxmlformats.org/officeDocument/2006/relationships/footer" Target="footer15.xml"/><Relationship Id="rId49" Type="http://schemas.openxmlformats.org/officeDocument/2006/relationships/header" Target="header10.xml"/><Relationship Id="rId50" Type="http://schemas.openxmlformats.org/officeDocument/2006/relationships/header" Target="header11.xml"/><Relationship Id="rId51" Type="http://schemas.openxmlformats.org/officeDocument/2006/relationships/header" Target="header12.xml"/><Relationship Id="rId52" Type="http://schemas.openxmlformats.org/officeDocument/2006/relationships/footer" Target="footer16.xml"/><Relationship Id="rId53" Type="http://schemas.openxmlformats.org/officeDocument/2006/relationships/image" Target="media/image18.png"/><Relationship Id="rId54" Type="http://schemas.openxmlformats.org/officeDocument/2006/relationships/footer" Target="footer17.xml"/><Relationship Id="rId55" Type="http://schemas.openxmlformats.org/officeDocument/2006/relationships/footer" Target="footer18.xml"/><Relationship Id="rId56" Type="http://schemas.openxmlformats.org/officeDocument/2006/relationships/header" Target="header13.xml"/><Relationship Id="rId57" Type="http://schemas.openxmlformats.org/officeDocument/2006/relationships/footer" Target="footer19.xml"/><Relationship Id="rId58" Type="http://schemas.openxmlformats.org/officeDocument/2006/relationships/hyperlink" Target="mailto:FISMAhotline@dof.ca.gov" TargetMode="External"/><Relationship Id="rId59" Type="http://schemas.openxmlformats.org/officeDocument/2006/relationships/header" Target="header14.xml"/><Relationship Id="rId60" Type="http://schemas.openxmlformats.org/officeDocument/2006/relationships/hyperlink" Target="http://www.dof.ca.gov/osae/fisma/" TargetMode="External"/><Relationship Id="rId61" Type="http://schemas.openxmlformats.org/officeDocument/2006/relationships/header" Target="header15.xml"/><Relationship Id="rId6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dcterms:created xsi:type="dcterms:W3CDTF">2020-07-14T09:11:38Z</dcterms:created>
  <dcterms:modified xsi:type="dcterms:W3CDTF">2020-07-14T09:11:38Z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2013-08-26T00:00:00Z</vt:filetime>
  </property>
  <property fmtid="{D5CDD505-2E9C-101B-9397-08002B2CF9AE}" pid="3" name="Creator">
    <vt:lpwstr>Adobe Acrobat Pro 11.0.0</vt:lpwstr>
  </property>
  <property fmtid="{D5CDD505-2E9C-101B-9397-08002B2CF9AE}" pid="4" name="LastSaved">
    <vt:filetime>2020-07-14T00:00:00Z</vt:filetime>
  </property>
</Properties>
</file>