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4"/>
        <w:ind w:left="220"/>
      </w:pPr>
      <w:r>
        <w:rPr/>
        <w:t>Format and minor grammatical changes have been made to all pages included in this revision package. Revision bars are not inserted for format changes, non-substantial technical changes, and fully rewritten chapters. Revision bars appear on the right sides of all pages. Vertical (addition) bars indicate added and rewritten matter, and horizontal (deletion) bars indicate deleted matter.</w:t>
      </w:r>
    </w:p>
    <w:p>
      <w:pPr>
        <w:pStyle w:val="BodyText"/>
        <w:spacing w:before="2"/>
      </w:pPr>
    </w:p>
    <w:p>
      <w:pPr>
        <w:pStyle w:val="BodyText"/>
        <w:ind w:left="220" w:right="166"/>
        <w:jc w:val="both"/>
      </w:pPr>
      <w:r>
        <w:rPr/>
        <w:t>NOTE: SAM is currently being reviewed and revised from the front to the back. We realize this will take a few years but with patience and fortitude it will happen. Therefore, you will see SAM Sections marked as “Reviewed” and the reviewed date in the “Revised” sections of SAM.  Example: (Reviewed 9/04)</w:t>
      </w:r>
    </w:p>
    <w:p>
      <w:pPr>
        <w:pStyle w:val="BodyText"/>
        <w:rPr>
          <w:sz w:val="24"/>
        </w:rPr>
      </w:pPr>
    </w:p>
    <w:p>
      <w:pPr>
        <w:pStyle w:val="BodyText"/>
        <w:rPr>
          <w:sz w:val="21"/>
        </w:rPr>
      </w:pPr>
    </w:p>
    <w:p>
      <w:pPr>
        <w:pStyle w:val="Heading1"/>
        <w:tabs>
          <w:tab w:pos="5258" w:val="left" w:leader="none"/>
        </w:tabs>
      </w:pPr>
      <w:r>
        <w:rPr/>
        <w:t>ITEM</w:t>
        <w:tab/>
        <w:t>SUMMARY</w:t>
      </w:r>
    </w:p>
    <w:p>
      <w:pPr>
        <w:pStyle w:val="BodyText"/>
        <w:spacing w:before="4"/>
        <w:rPr>
          <w:b/>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98"/>
        <w:gridCol w:w="7470"/>
      </w:tblGrid>
      <w:tr>
        <w:trPr>
          <w:trHeight w:val="523" w:hRule="exact"/>
        </w:trPr>
        <w:tc>
          <w:tcPr>
            <w:tcW w:w="1998" w:type="dxa"/>
          </w:tcPr>
          <w:p>
            <w:pPr>
              <w:pStyle w:val="TableParagraph"/>
              <w:rPr>
                <w:b/>
                <w:sz w:val="22"/>
                <w:u w:val="none"/>
              </w:rPr>
            </w:pPr>
            <w:r>
              <w:rPr>
                <w:b/>
                <w:sz w:val="22"/>
                <w:u w:val="none"/>
              </w:rPr>
              <w:t>Subject Index</w:t>
            </w:r>
          </w:p>
        </w:tc>
        <w:tc>
          <w:tcPr>
            <w:tcW w:w="7470" w:type="dxa"/>
          </w:tcPr>
          <w:p>
            <w:pPr>
              <w:pStyle w:val="TableParagraph"/>
              <w:rPr>
                <w:sz w:val="22"/>
                <w:u w:val="none"/>
              </w:rPr>
            </w:pPr>
            <w:r>
              <w:rPr>
                <w:b/>
                <w:sz w:val="22"/>
                <w:u w:val="thick"/>
              </w:rPr>
              <w:t>Page 11 Subject Index, </w:t>
            </w:r>
            <w:r>
              <w:rPr>
                <w:sz w:val="22"/>
                <w:u w:val="none"/>
              </w:rPr>
              <w:t>adds Jury Duty, Section 8594 to subject index.</w:t>
            </w:r>
          </w:p>
        </w:tc>
      </w:tr>
      <w:tr>
        <w:trPr>
          <w:trHeight w:val="778" w:hRule="exact"/>
        </w:trPr>
        <w:tc>
          <w:tcPr>
            <w:tcW w:w="1998" w:type="dxa"/>
          </w:tcPr>
          <w:p>
            <w:pPr>
              <w:pStyle w:val="TableParagraph"/>
              <w:rPr>
                <w:b/>
                <w:sz w:val="22"/>
                <w:u w:val="none"/>
              </w:rPr>
            </w:pPr>
            <w:r>
              <w:rPr>
                <w:b/>
                <w:sz w:val="22"/>
                <w:u w:val="none"/>
              </w:rPr>
              <w:t>Chapter 0700</w:t>
            </w:r>
          </w:p>
        </w:tc>
        <w:tc>
          <w:tcPr>
            <w:tcW w:w="7470" w:type="dxa"/>
          </w:tcPr>
          <w:p>
            <w:pPr>
              <w:pStyle w:val="TableParagraph"/>
              <w:ind w:right="665"/>
              <w:rPr>
                <w:sz w:val="22"/>
                <w:u w:val="none"/>
              </w:rPr>
            </w:pPr>
            <w:r>
              <w:rPr>
                <w:b/>
                <w:sz w:val="22"/>
                <w:u w:val="thick"/>
              </w:rPr>
              <w:t>Travel Sections 0700 through 0780, </w:t>
            </w:r>
            <w:r>
              <w:rPr>
                <w:sz w:val="22"/>
                <w:u w:val="none"/>
              </w:rPr>
              <w:t>revised to reflect current State policy, correct grammatical errors, or review for correctness.</w:t>
            </w:r>
          </w:p>
        </w:tc>
      </w:tr>
      <w:tr>
        <w:trPr>
          <w:trHeight w:val="778" w:hRule="exact"/>
        </w:trPr>
        <w:tc>
          <w:tcPr>
            <w:tcW w:w="1998" w:type="dxa"/>
          </w:tcPr>
          <w:p>
            <w:pPr>
              <w:pStyle w:val="TableParagraph"/>
              <w:rPr>
                <w:b/>
                <w:sz w:val="22"/>
                <w:u w:val="none"/>
              </w:rPr>
            </w:pPr>
            <w:r>
              <w:rPr>
                <w:b/>
                <w:sz w:val="22"/>
                <w:u w:val="none"/>
              </w:rPr>
              <w:t>Chapter 0700</w:t>
            </w:r>
          </w:p>
        </w:tc>
        <w:tc>
          <w:tcPr>
            <w:tcW w:w="7470" w:type="dxa"/>
          </w:tcPr>
          <w:p>
            <w:pPr>
              <w:pStyle w:val="TableParagraph"/>
              <w:ind w:right="194"/>
              <w:rPr>
                <w:sz w:val="22"/>
                <w:u w:val="none"/>
              </w:rPr>
            </w:pPr>
            <w:r>
              <w:rPr>
                <w:b/>
                <w:sz w:val="22"/>
                <w:u w:val="thick"/>
              </w:rPr>
              <w:t>Travel Guide Index 100 through 1300, </w:t>
            </w:r>
            <w:r>
              <w:rPr>
                <w:sz w:val="22"/>
                <w:u w:val="none"/>
              </w:rPr>
              <w:t>revised to reflect current State policy or correct grammatical errors.</w:t>
            </w:r>
          </w:p>
        </w:tc>
      </w:tr>
      <w:tr>
        <w:trPr>
          <w:trHeight w:val="778" w:hRule="exact"/>
        </w:trPr>
        <w:tc>
          <w:tcPr>
            <w:tcW w:w="1998" w:type="dxa"/>
          </w:tcPr>
          <w:p>
            <w:pPr>
              <w:pStyle w:val="TableParagraph"/>
              <w:rPr>
                <w:b/>
                <w:sz w:val="22"/>
                <w:u w:val="none"/>
              </w:rPr>
            </w:pPr>
            <w:r>
              <w:rPr>
                <w:b/>
                <w:sz w:val="22"/>
                <w:u w:val="none"/>
              </w:rPr>
              <w:t>Section 8091</w:t>
            </w:r>
          </w:p>
        </w:tc>
        <w:tc>
          <w:tcPr>
            <w:tcW w:w="7470" w:type="dxa"/>
          </w:tcPr>
          <w:p>
            <w:pPr>
              <w:pStyle w:val="TableParagraph"/>
              <w:ind w:right="226"/>
              <w:rPr>
                <w:sz w:val="22"/>
                <w:u w:val="none"/>
              </w:rPr>
            </w:pPr>
            <w:r>
              <w:rPr>
                <w:b/>
                <w:sz w:val="22"/>
                <w:u w:val="thick"/>
              </w:rPr>
              <w:t>Remittances to State Treasury, </w:t>
            </w:r>
            <w:r>
              <w:rPr>
                <w:sz w:val="22"/>
                <w:u w:val="none"/>
              </w:rPr>
              <w:t>updates procedures for remitting cash to a fund in the State Treasury.</w:t>
            </w:r>
          </w:p>
        </w:tc>
      </w:tr>
      <w:tr>
        <w:trPr>
          <w:trHeight w:val="778" w:hRule="exact"/>
        </w:trPr>
        <w:tc>
          <w:tcPr>
            <w:tcW w:w="1998" w:type="dxa"/>
          </w:tcPr>
          <w:p>
            <w:pPr>
              <w:pStyle w:val="TableParagraph"/>
              <w:rPr>
                <w:b/>
                <w:sz w:val="22"/>
                <w:u w:val="none"/>
              </w:rPr>
            </w:pPr>
            <w:r>
              <w:rPr>
                <w:b/>
                <w:sz w:val="22"/>
                <w:u w:val="none"/>
              </w:rPr>
              <w:t>Section 8100</w:t>
            </w:r>
          </w:p>
        </w:tc>
        <w:tc>
          <w:tcPr>
            <w:tcW w:w="7470" w:type="dxa"/>
          </w:tcPr>
          <w:p>
            <w:pPr>
              <w:pStyle w:val="TableParagraph"/>
              <w:ind w:right="158"/>
              <w:rPr>
                <w:sz w:val="22"/>
                <w:u w:val="none"/>
              </w:rPr>
            </w:pPr>
            <w:r>
              <w:rPr>
                <w:b/>
                <w:sz w:val="22"/>
                <w:u w:val="thick"/>
              </w:rPr>
              <w:t>General, </w:t>
            </w:r>
            <w:r>
              <w:rPr>
                <w:sz w:val="22"/>
                <w:u w:val="none"/>
              </w:rPr>
              <w:t>revises section to include instructions for establishing or augmenting an office revolving fund, which was previously included in SAM Section 8170.</w:t>
            </w:r>
          </w:p>
        </w:tc>
      </w:tr>
      <w:tr>
        <w:trPr>
          <w:trHeight w:val="778" w:hRule="exact"/>
        </w:trPr>
        <w:tc>
          <w:tcPr>
            <w:tcW w:w="1998" w:type="dxa"/>
          </w:tcPr>
          <w:p>
            <w:pPr>
              <w:pStyle w:val="TableParagraph"/>
              <w:rPr>
                <w:b/>
                <w:sz w:val="22"/>
                <w:u w:val="none"/>
              </w:rPr>
            </w:pPr>
            <w:r>
              <w:rPr>
                <w:b/>
                <w:sz w:val="22"/>
                <w:u w:val="none"/>
              </w:rPr>
              <w:t>Section 8170</w:t>
            </w:r>
          </w:p>
        </w:tc>
        <w:tc>
          <w:tcPr>
            <w:tcW w:w="7470" w:type="dxa"/>
          </w:tcPr>
          <w:p>
            <w:pPr>
              <w:pStyle w:val="TableParagraph"/>
              <w:ind w:right="184" w:hanging="1"/>
              <w:rPr>
                <w:sz w:val="22"/>
                <w:u w:val="none"/>
              </w:rPr>
            </w:pPr>
            <w:r>
              <w:rPr>
                <w:b/>
                <w:sz w:val="22"/>
                <w:u w:val="thick"/>
              </w:rPr>
              <w:t>Claims, </w:t>
            </w:r>
            <w:r>
              <w:rPr>
                <w:sz w:val="22"/>
                <w:u w:val="none"/>
              </w:rPr>
              <w:t>revises section to include instructions to reimburse a department’s office revolving fund through the replenishment claim schedule process.</w:t>
            </w:r>
          </w:p>
        </w:tc>
      </w:tr>
      <w:tr>
        <w:trPr>
          <w:trHeight w:val="523" w:hRule="exact"/>
        </w:trPr>
        <w:tc>
          <w:tcPr>
            <w:tcW w:w="1998" w:type="dxa"/>
          </w:tcPr>
          <w:p>
            <w:pPr>
              <w:pStyle w:val="TableParagraph"/>
              <w:rPr>
                <w:b/>
                <w:sz w:val="22"/>
                <w:u w:val="none"/>
              </w:rPr>
            </w:pPr>
            <w:r>
              <w:rPr>
                <w:b/>
                <w:sz w:val="22"/>
                <w:u w:val="none"/>
              </w:rPr>
              <w:t>Section 8172</w:t>
            </w:r>
          </w:p>
        </w:tc>
        <w:tc>
          <w:tcPr>
            <w:tcW w:w="7470" w:type="dxa"/>
          </w:tcPr>
          <w:p>
            <w:pPr>
              <w:pStyle w:val="TableParagraph"/>
              <w:rPr>
                <w:sz w:val="22"/>
                <w:u w:val="none"/>
              </w:rPr>
            </w:pPr>
            <w:r>
              <w:rPr>
                <w:b/>
                <w:sz w:val="22"/>
                <w:u w:val="thick"/>
              </w:rPr>
              <w:t>Shortages, </w:t>
            </w:r>
            <w:r>
              <w:rPr>
                <w:sz w:val="22"/>
                <w:u w:val="none"/>
              </w:rPr>
              <w:t>revises procedure section.</w:t>
            </w:r>
          </w:p>
        </w:tc>
      </w:tr>
      <w:tr>
        <w:trPr>
          <w:trHeight w:val="778" w:hRule="exact"/>
        </w:trPr>
        <w:tc>
          <w:tcPr>
            <w:tcW w:w="1998" w:type="dxa"/>
          </w:tcPr>
          <w:p>
            <w:pPr>
              <w:pStyle w:val="TableParagraph"/>
              <w:rPr>
                <w:b/>
                <w:sz w:val="22"/>
                <w:u w:val="none"/>
              </w:rPr>
            </w:pPr>
            <w:r>
              <w:rPr>
                <w:b/>
                <w:sz w:val="22"/>
                <w:u w:val="none"/>
              </w:rPr>
              <w:t>Section 8594</w:t>
            </w:r>
          </w:p>
        </w:tc>
        <w:tc>
          <w:tcPr>
            <w:tcW w:w="7470" w:type="dxa"/>
          </w:tcPr>
          <w:p>
            <w:pPr>
              <w:pStyle w:val="TableParagraph"/>
              <w:ind w:right="472" w:hanging="1"/>
              <w:rPr>
                <w:sz w:val="22"/>
                <w:u w:val="none"/>
              </w:rPr>
            </w:pPr>
            <w:r>
              <w:rPr>
                <w:b/>
                <w:sz w:val="22"/>
                <w:u w:val="thick"/>
              </w:rPr>
              <w:t>Absence for Jury Duty, </w:t>
            </w:r>
            <w:r>
              <w:rPr>
                <w:sz w:val="22"/>
                <w:u w:val="none"/>
              </w:rPr>
              <w:t>updates procedures for the receipt of attendance fees while serving as a juror.</w:t>
            </w:r>
          </w:p>
        </w:tc>
      </w:tr>
    </w:tbl>
    <w:p>
      <w:pPr>
        <w:spacing w:after="0"/>
        <w:rPr>
          <w:sz w:val="22"/>
        </w:rPr>
        <w:sectPr>
          <w:footerReference w:type="default" r:id="rId5"/>
          <w:type w:val="continuous"/>
          <w:pgSz w:w="12240" w:h="15840"/>
          <w:pgMar w:footer="742" w:top="900" w:bottom="940" w:left="1220" w:right="1320"/>
        </w:sectPr>
      </w:pPr>
    </w:p>
    <w:p>
      <w:pPr>
        <w:spacing w:before="60"/>
        <w:ind w:left="2863" w:right="0" w:firstLine="0"/>
        <w:jc w:val="left"/>
        <w:rPr>
          <w:b/>
          <w:sz w:val="22"/>
        </w:rPr>
      </w:pPr>
      <w:r>
        <w:rPr>
          <w:b/>
          <w:sz w:val="22"/>
        </w:rPr>
        <w:t>REVISION SEQUENCE INSTRUCTIONS</w:t>
      </w:r>
    </w:p>
    <w:p>
      <w:pPr>
        <w:pStyle w:val="BodyText"/>
        <w:spacing w:before="179"/>
        <w:ind w:left="220" w:right="125"/>
      </w:pPr>
      <w:r>
        <w:rPr/>
        <w:t>The SAM is undergoing a format transition. Therefore, page numbers are either at the center bottom or upper right corner of the page.</w:t>
      </w:r>
    </w:p>
    <w:p>
      <w:pPr>
        <w:pStyle w:val="BodyText"/>
        <w:spacing w:before="5"/>
        <w:rPr>
          <w:sz w:val="23"/>
        </w:rPr>
      </w:pPr>
    </w:p>
    <w:tbl>
      <w:tblPr>
        <w:tblW w:w="0" w:type="auto"/>
        <w:jc w:val="left"/>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0"/>
        <w:gridCol w:w="1710"/>
        <w:gridCol w:w="2610"/>
        <w:gridCol w:w="1802"/>
      </w:tblGrid>
      <w:tr>
        <w:trPr>
          <w:trHeight w:val="509" w:hRule="exact"/>
        </w:trPr>
        <w:tc>
          <w:tcPr>
            <w:tcW w:w="3530" w:type="dxa"/>
            <w:tcBorders>
              <w:top w:val="nil"/>
              <w:left w:val="nil"/>
              <w:bottom w:val="nil"/>
              <w:right w:val="nil"/>
            </w:tcBorders>
          </w:tcPr>
          <w:p>
            <w:pPr>
              <w:pStyle w:val="TableParagraph"/>
              <w:spacing w:line="243" w:lineRule="exact" w:before="0"/>
              <w:ind w:left="110"/>
              <w:rPr>
                <w:b/>
                <w:sz w:val="22"/>
                <w:u w:val="none"/>
              </w:rPr>
            </w:pPr>
            <w:r>
              <w:rPr>
                <w:b/>
                <w:sz w:val="22"/>
                <w:u w:val="none"/>
              </w:rPr>
              <w:t>Remove Page (s)</w:t>
            </w:r>
          </w:p>
        </w:tc>
        <w:tc>
          <w:tcPr>
            <w:tcW w:w="1710" w:type="dxa"/>
            <w:tcBorders>
              <w:top w:val="nil"/>
              <w:left w:val="nil"/>
              <w:bottom w:val="nil"/>
              <w:right w:val="nil"/>
            </w:tcBorders>
          </w:tcPr>
          <w:p>
            <w:pPr>
              <w:pStyle w:val="TableParagraph"/>
              <w:spacing w:line="244" w:lineRule="auto" w:before="0"/>
              <w:ind w:left="345" w:right="267" w:hanging="59"/>
              <w:rPr>
                <w:b/>
                <w:sz w:val="22"/>
                <w:u w:val="none"/>
              </w:rPr>
            </w:pPr>
            <w:r>
              <w:rPr>
                <w:b/>
                <w:sz w:val="22"/>
                <w:u w:val="none"/>
              </w:rPr>
              <w:t>Consecutive Number of</w:t>
            </w:r>
          </w:p>
        </w:tc>
        <w:tc>
          <w:tcPr>
            <w:tcW w:w="2610" w:type="dxa"/>
            <w:tcBorders>
              <w:top w:val="nil"/>
              <w:left w:val="nil"/>
              <w:bottom w:val="nil"/>
              <w:right w:val="nil"/>
            </w:tcBorders>
          </w:tcPr>
          <w:p>
            <w:pPr>
              <w:pStyle w:val="TableParagraph"/>
              <w:spacing w:line="243" w:lineRule="exact" w:before="0"/>
              <w:ind w:left="606" w:right="606"/>
              <w:jc w:val="center"/>
              <w:rPr>
                <w:b/>
                <w:sz w:val="22"/>
                <w:u w:val="none"/>
              </w:rPr>
            </w:pPr>
            <w:r>
              <w:rPr>
                <w:b/>
                <w:sz w:val="22"/>
                <w:u w:val="none"/>
              </w:rPr>
              <w:t>Insert Page (s)</w:t>
            </w:r>
          </w:p>
        </w:tc>
        <w:tc>
          <w:tcPr>
            <w:tcW w:w="1802" w:type="dxa"/>
            <w:tcBorders>
              <w:top w:val="nil"/>
              <w:left w:val="nil"/>
              <w:bottom w:val="nil"/>
              <w:right w:val="nil"/>
            </w:tcBorders>
          </w:tcPr>
          <w:p>
            <w:pPr>
              <w:pStyle w:val="TableParagraph"/>
              <w:spacing w:line="244" w:lineRule="auto" w:before="0"/>
              <w:ind w:left="390" w:right="313" w:hanging="58"/>
              <w:rPr>
                <w:b/>
                <w:sz w:val="22"/>
                <w:u w:val="none"/>
              </w:rPr>
            </w:pPr>
            <w:r>
              <w:rPr>
                <w:b/>
                <w:sz w:val="22"/>
                <w:u w:val="none"/>
              </w:rPr>
              <w:t>Consecutive</w:t>
            </w:r>
            <w:r>
              <w:rPr>
                <w:b/>
                <w:w w:val="99"/>
                <w:sz w:val="22"/>
                <w:u w:val="none"/>
              </w:rPr>
              <w:t> </w:t>
            </w:r>
            <w:r>
              <w:rPr>
                <w:b/>
                <w:sz w:val="22"/>
                <w:u w:val="none"/>
              </w:rPr>
              <w:t>Number of</w:t>
            </w:r>
          </w:p>
        </w:tc>
      </w:tr>
      <w:tr>
        <w:trPr>
          <w:trHeight w:val="256" w:hRule="exact"/>
        </w:trPr>
        <w:tc>
          <w:tcPr>
            <w:tcW w:w="3530" w:type="dxa"/>
            <w:tcBorders>
              <w:top w:val="nil"/>
              <w:left w:val="nil"/>
              <w:right w:val="nil"/>
            </w:tcBorders>
          </w:tcPr>
          <w:p>
            <w:pPr/>
          </w:p>
        </w:tc>
        <w:tc>
          <w:tcPr>
            <w:tcW w:w="1710" w:type="dxa"/>
            <w:tcBorders>
              <w:top w:val="nil"/>
              <w:left w:val="nil"/>
              <w:right w:val="nil"/>
            </w:tcBorders>
          </w:tcPr>
          <w:p>
            <w:pPr>
              <w:pStyle w:val="TableParagraph"/>
              <w:spacing w:line="251" w:lineRule="exact" w:before="0"/>
              <w:ind w:left="535" w:right="536"/>
              <w:jc w:val="center"/>
              <w:rPr>
                <w:b/>
                <w:sz w:val="22"/>
                <w:u w:val="none"/>
              </w:rPr>
            </w:pPr>
            <w:r>
              <w:rPr>
                <w:b/>
                <w:sz w:val="22"/>
                <w:u w:val="none"/>
              </w:rPr>
              <w:t>Sheets</w:t>
            </w:r>
          </w:p>
        </w:tc>
        <w:tc>
          <w:tcPr>
            <w:tcW w:w="2610" w:type="dxa"/>
            <w:tcBorders>
              <w:top w:val="nil"/>
              <w:left w:val="nil"/>
              <w:right w:val="nil"/>
            </w:tcBorders>
          </w:tcPr>
          <w:p>
            <w:pPr/>
          </w:p>
        </w:tc>
        <w:tc>
          <w:tcPr>
            <w:tcW w:w="1802" w:type="dxa"/>
            <w:tcBorders>
              <w:top w:val="nil"/>
              <w:left w:val="nil"/>
              <w:right w:val="nil"/>
            </w:tcBorders>
          </w:tcPr>
          <w:p>
            <w:pPr>
              <w:pStyle w:val="TableParagraph"/>
              <w:spacing w:line="251" w:lineRule="exact" w:before="0"/>
              <w:ind w:left="581" w:right="581"/>
              <w:jc w:val="center"/>
              <w:rPr>
                <w:b/>
                <w:sz w:val="22"/>
                <w:u w:val="none"/>
              </w:rPr>
            </w:pPr>
            <w:r>
              <w:rPr>
                <w:b/>
                <w:sz w:val="22"/>
                <w:u w:val="none"/>
              </w:rPr>
              <w:t>Sheets</w:t>
            </w:r>
          </w:p>
        </w:tc>
      </w:tr>
      <w:tr>
        <w:trPr>
          <w:trHeight w:val="526" w:hRule="exact"/>
        </w:trPr>
        <w:tc>
          <w:tcPr>
            <w:tcW w:w="3530" w:type="dxa"/>
          </w:tcPr>
          <w:p>
            <w:pPr>
              <w:pStyle w:val="TableParagraph"/>
              <w:rPr>
                <w:b/>
                <w:sz w:val="22"/>
                <w:u w:val="none"/>
              </w:rPr>
            </w:pPr>
            <w:r>
              <w:rPr>
                <w:b/>
                <w:sz w:val="22"/>
                <w:u w:val="none"/>
              </w:rPr>
              <w:t>Page 11 Subject Index</w:t>
            </w:r>
          </w:p>
        </w:tc>
        <w:tc>
          <w:tcPr>
            <w:tcW w:w="1710" w:type="dxa"/>
          </w:tcPr>
          <w:p>
            <w:pPr>
              <w:pStyle w:val="TableParagraph"/>
              <w:ind w:left="0"/>
              <w:jc w:val="center"/>
              <w:rPr>
                <w:b/>
                <w:sz w:val="22"/>
                <w:u w:val="none"/>
              </w:rPr>
            </w:pPr>
            <w:r>
              <w:rPr>
                <w:b/>
                <w:w w:val="99"/>
                <w:sz w:val="22"/>
                <w:u w:val="none"/>
              </w:rPr>
              <w:t>1</w:t>
            </w:r>
          </w:p>
        </w:tc>
        <w:tc>
          <w:tcPr>
            <w:tcW w:w="2610" w:type="dxa"/>
          </w:tcPr>
          <w:p>
            <w:pPr>
              <w:pStyle w:val="TableParagraph"/>
              <w:ind w:left="323" w:right="321"/>
              <w:jc w:val="center"/>
              <w:rPr>
                <w:b/>
                <w:sz w:val="22"/>
                <w:u w:val="none"/>
              </w:rPr>
            </w:pPr>
            <w:r>
              <w:rPr>
                <w:b/>
                <w:sz w:val="22"/>
                <w:u w:val="none"/>
              </w:rPr>
              <w:t>Same</w:t>
            </w:r>
          </w:p>
        </w:tc>
        <w:tc>
          <w:tcPr>
            <w:tcW w:w="1802" w:type="dxa"/>
          </w:tcPr>
          <w:p>
            <w:pPr>
              <w:pStyle w:val="TableParagraph"/>
              <w:spacing w:line="240" w:lineRule="exact" w:before="0"/>
              <w:ind w:left="0"/>
              <w:jc w:val="center"/>
              <w:rPr>
                <w:b/>
                <w:sz w:val="22"/>
                <w:u w:val="none"/>
              </w:rPr>
            </w:pPr>
            <w:r>
              <w:rPr>
                <w:b/>
                <w:w w:val="99"/>
                <w:sz w:val="22"/>
                <w:u w:val="none"/>
              </w:rPr>
              <w:t>1</w:t>
            </w:r>
          </w:p>
        </w:tc>
      </w:tr>
      <w:tr>
        <w:trPr>
          <w:trHeight w:val="526" w:hRule="exact"/>
        </w:trPr>
        <w:tc>
          <w:tcPr>
            <w:tcW w:w="3530" w:type="dxa"/>
          </w:tcPr>
          <w:p>
            <w:pPr>
              <w:pStyle w:val="TableParagraph"/>
              <w:rPr>
                <w:b/>
                <w:sz w:val="22"/>
                <w:u w:val="none"/>
              </w:rPr>
            </w:pPr>
            <w:r>
              <w:rPr>
                <w:b/>
                <w:sz w:val="22"/>
                <w:u w:val="none"/>
              </w:rPr>
              <w:t>0700 through 0765 (Cont. 1)</w:t>
            </w:r>
          </w:p>
        </w:tc>
        <w:tc>
          <w:tcPr>
            <w:tcW w:w="1710" w:type="dxa"/>
          </w:tcPr>
          <w:p>
            <w:pPr>
              <w:pStyle w:val="TableParagraph"/>
              <w:ind w:left="0"/>
              <w:jc w:val="center"/>
              <w:rPr>
                <w:b/>
                <w:sz w:val="22"/>
                <w:u w:val="none"/>
              </w:rPr>
            </w:pPr>
            <w:r>
              <w:rPr>
                <w:b/>
                <w:w w:val="99"/>
                <w:sz w:val="22"/>
                <w:u w:val="none"/>
              </w:rPr>
              <w:t>9</w:t>
            </w:r>
          </w:p>
        </w:tc>
        <w:tc>
          <w:tcPr>
            <w:tcW w:w="2610" w:type="dxa"/>
          </w:tcPr>
          <w:p>
            <w:pPr>
              <w:pStyle w:val="TableParagraph"/>
              <w:ind w:left="323" w:right="323"/>
              <w:jc w:val="center"/>
              <w:rPr>
                <w:b/>
                <w:sz w:val="22"/>
                <w:u w:val="none"/>
              </w:rPr>
            </w:pPr>
            <w:r>
              <w:rPr>
                <w:b/>
                <w:sz w:val="22"/>
                <w:u w:val="none"/>
              </w:rPr>
              <w:t>Same</w:t>
            </w:r>
          </w:p>
        </w:tc>
        <w:tc>
          <w:tcPr>
            <w:tcW w:w="1802" w:type="dxa"/>
          </w:tcPr>
          <w:p>
            <w:pPr>
              <w:pStyle w:val="TableParagraph"/>
              <w:spacing w:line="240" w:lineRule="exact" w:before="0"/>
              <w:ind w:left="0" w:right="2"/>
              <w:jc w:val="center"/>
              <w:rPr>
                <w:b/>
                <w:sz w:val="22"/>
                <w:u w:val="none"/>
              </w:rPr>
            </w:pPr>
            <w:r>
              <w:rPr>
                <w:b/>
                <w:w w:val="99"/>
                <w:sz w:val="22"/>
                <w:u w:val="none"/>
              </w:rPr>
              <w:t>9</w:t>
            </w:r>
          </w:p>
        </w:tc>
      </w:tr>
      <w:tr>
        <w:trPr>
          <w:trHeight w:val="784" w:hRule="exact"/>
        </w:trPr>
        <w:tc>
          <w:tcPr>
            <w:tcW w:w="3530" w:type="dxa"/>
          </w:tcPr>
          <w:p>
            <w:pPr>
              <w:pStyle w:val="TableParagraph"/>
              <w:rPr>
                <w:b/>
                <w:sz w:val="22"/>
                <w:u w:val="none"/>
              </w:rPr>
            </w:pPr>
            <w:r>
              <w:rPr>
                <w:b/>
                <w:sz w:val="22"/>
                <w:u w:val="none"/>
              </w:rPr>
              <w:t>Complete Travel Guide Index</w:t>
            </w:r>
          </w:p>
        </w:tc>
        <w:tc>
          <w:tcPr>
            <w:tcW w:w="1710" w:type="dxa"/>
          </w:tcPr>
          <w:p>
            <w:pPr>
              <w:pStyle w:val="TableParagraph"/>
              <w:ind w:left="720" w:right="720"/>
              <w:jc w:val="center"/>
              <w:rPr>
                <w:b/>
                <w:sz w:val="22"/>
                <w:u w:val="none"/>
              </w:rPr>
            </w:pPr>
            <w:r>
              <w:rPr>
                <w:b/>
                <w:sz w:val="22"/>
                <w:u w:val="none"/>
              </w:rPr>
              <w:t>10</w:t>
            </w:r>
          </w:p>
        </w:tc>
        <w:tc>
          <w:tcPr>
            <w:tcW w:w="2610" w:type="dxa"/>
          </w:tcPr>
          <w:p>
            <w:pPr>
              <w:pStyle w:val="TableParagraph"/>
              <w:spacing w:line="244" w:lineRule="auto"/>
              <w:ind w:left="1030" w:right="174" w:hanging="836"/>
              <w:rPr>
                <w:b/>
                <w:sz w:val="22"/>
                <w:u w:val="none"/>
              </w:rPr>
            </w:pPr>
            <w:r>
              <w:rPr>
                <w:b/>
                <w:sz w:val="22"/>
                <w:u w:val="none"/>
              </w:rPr>
              <w:t>Complete Travel Guide Index</w:t>
            </w:r>
          </w:p>
        </w:tc>
        <w:tc>
          <w:tcPr>
            <w:tcW w:w="1802" w:type="dxa"/>
          </w:tcPr>
          <w:p>
            <w:pPr>
              <w:pStyle w:val="TableParagraph"/>
              <w:spacing w:line="240" w:lineRule="exact" w:before="0"/>
              <w:ind w:left="0" w:right="2"/>
              <w:jc w:val="center"/>
              <w:rPr>
                <w:b/>
                <w:sz w:val="22"/>
                <w:u w:val="none"/>
              </w:rPr>
            </w:pPr>
            <w:r>
              <w:rPr>
                <w:b/>
                <w:w w:val="99"/>
                <w:sz w:val="22"/>
                <w:u w:val="none"/>
              </w:rPr>
              <w:t>9</w:t>
            </w:r>
          </w:p>
        </w:tc>
      </w:tr>
      <w:tr>
        <w:trPr>
          <w:trHeight w:val="784" w:hRule="exact"/>
        </w:trPr>
        <w:tc>
          <w:tcPr>
            <w:tcW w:w="3530" w:type="dxa"/>
          </w:tcPr>
          <w:p>
            <w:pPr>
              <w:pStyle w:val="TableParagraph"/>
              <w:rPr>
                <w:b/>
                <w:sz w:val="22"/>
                <w:u w:val="none"/>
              </w:rPr>
            </w:pPr>
            <w:r>
              <w:rPr>
                <w:b/>
                <w:sz w:val="22"/>
                <w:u w:val="none"/>
              </w:rPr>
              <w:t>8081 (Cont. 1) through 8091.1</w:t>
            </w:r>
          </w:p>
          <w:p>
            <w:pPr>
              <w:pStyle w:val="TableParagraph"/>
              <w:rPr>
                <w:b/>
                <w:sz w:val="22"/>
                <w:u w:val="none"/>
              </w:rPr>
            </w:pPr>
            <w:r>
              <w:rPr>
                <w:b/>
                <w:sz w:val="22"/>
                <w:u w:val="none"/>
              </w:rPr>
              <w:t>(Cont. 1)</w:t>
            </w:r>
          </w:p>
        </w:tc>
        <w:tc>
          <w:tcPr>
            <w:tcW w:w="1710" w:type="dxa"/>
          </w:tcPr>
          <w:p>
            <w:pPr>
              <w:pStyle w:val="TableParagraph"/>
              <w:ind w:left="0" w:right="1"/>
              <w:jc w:val="center"/>
              <w:rPr>
                <w:b/>
                <w:sz w:val="22"/>
                <w:u w:val="none"/>
              </w:rPr>
            </w:pPr>
            <w:r>
              <w:rPr>
                <w:b/>
                <w:w w:val="99"/>
                <w:sz w:val="22"/>
                <w:u w:val="none"/>
              </w:rPr>
              <w:t>2</w:t>
            </w:r>
          </w:p>
        </w:tc>
        <w:tc>
          <w:tcPr>
            <w:tcW w:w="2610" w:type="dxa"/>
          </w:tcPr>
          <w:p>
            <w:pPr>
              <w:pStyle w:val="TableParagraph"/>
              <w:ind w:left="323" w:right="323"/>
              <w:jc w:val="center"/>
              <w:rPr>
                <w:b/>
                <w:sz w:val="22"/>
                <w:u w:val="none"/>
              </w:rPr>
            </w:pPr>
            <w:r>
              <w:rPr>
                <w:b/>
                <w:sz w:val="22"/>
                <w:u w:val="none"/>
              </w:rPr>
              <w:t>Same</w:t>
            </w:r>
          </w:p>
        </w:tc>
        <w:tc>
          <w:tcPr>
            <w:tcW w:w="1802" w:type="dxa"/>
          </w:tcPr>
          <w:p>
            <w:pPr>
              <w:pStyle w:val="TableParagraph"/>
              <w:ind w:left="0"/>
              <w:jc w:val="center"/>
              <w:rPr>
                <w:b/>
                <w:sz w:val="22"/>
                <w:u w:val="none"/>
              </w:rPr>
            </w:pPr>
            <w:r>
              <w:rPr>
                <w:b/>
                <w:w w:val="99"/>
                <w:sz w:val="22"/>
                <w:u w:val="none"/>
              </w:rPr>
              <w:t>2</w:t>
            </w:r>
          </w:p>
        </w:tc>
      </w:tr>
      <w:tr>
        <w:trPr>
          <w:trHeight w:val="526" w:hRule="exact"/>
        </w:trPr>
        <w:tc>
          <w:tcPr>
            <w:tcW w:w="3530" w:type="dxa"/>
          </w:tcPr>
          <w:p>
            <w:pPr>
              <w:pStyle w:val="TableParagraph"/>
              <w:rPr>
                <w:b/>
                <w:sz w:val="22"/>
                <w:u w:val="none"/>
              </w:rPr>
            </w:pPr>
            <w:r>
              <w:rPr>
                <w:b/>
                <w:sz w:val="22"/>
                <w:u w:val="none"/>
              </w:rPr>
              <w:t>8100</w:t>
            </w:r>
          </w:p>
        </w:tc>
        <w:tc>
          <w:tcPr>
            <w:tcW w:w="1710" w:type="dxa"/>
          </w:tcPr>
          <w:p>
            <w:pPr>
              <w:pStyle w:val="TableParagraph"/>
              <w:ind w:left="0"/>
              <w:jc w:val="center"/>
              <w:rPr>
                <w:b/>
                <w:sz w:val="22"/>
                <w:u w:val="none"/>
              </w:rPr>
            </w:pPr>
            <w:r>
              <w:rPr>
                <w:b/>
                <w:w w:val="99"/>
                <w:sz w:val="22"/>
                <w:u w:val="none"/>
              </w:rPr>
              <w:t>1</w:t>
            </w:r>
          </w:p>
        </w:tc>
        <w:tc>
          <w:tcPr>
            <w:tcW w:w="2610" w:type="dxa"/>
          </w:tcPr>
          <w:p>
            <w:pPr>
              <w:pStyle w:val="TableParagraph"/>
              <w:ind w:left="323" w:right="323"/>
              <w:jc w:val="center"/>
              <w:rPr>
                <w:b/>
                <w:sz w:val="22"/>
                <w:u w:val="none"/>
              </w:rPr>
            </w:pPr>
            <w:r>
              <w:rPr>
                <w:b/>
                <w:sz w:val="22"/>
                <w:u w:val="none"/>
              </w:rPr>
              <w:t>Same</w:t>
            </w:r>
          </w:p>
        </w:tc>
        <w:tc>
          <w:tcPr>
            <w:tcW w:w="1802" w:type="dxa"/>
          </w:tcPr>
          <w:p>
            <w:pPr>
              <w:pStyle w:val="TableParagraph"/>
              <w:ind w:left="0"/>
              <w:jc w:val="center"/>
              <w:rPr>
                <w:b/>
                <w:sz w:val="22"/>
                <w:u w:val="none"/>
              </w:rPr>
            </w:pPr>
            <w:r>
              <w:rPr>
                <w:b/>
                <w:w w:val="99"/>
                <w:sz w:val="22"/>
                <w:u w:val="none"/>
              </w:rPr>
              <w:t>1</w:t>
            </w:r>
          </w:p>
        </w:tc>
      </w:tr>
      <w:tr>
        <w:trPr>
          <w:trHeight w:val="526" w:hRule="exact"/>
        </w:trPr>
        <w:tc>
          <w:tcPr>
            <w:tcW w:w="3530" w:type="dxa"/>
          </w:tcPr>
          <w:p>
            <w:pPr>
              <w:pStyle w:val="TableParagraph"/>
              <w:rPr>
                <w:b/>
                <w:sz w:val="22"/>
                <w:u w:val="none"/>
              </w:rPr>
            </w:pPr>
            <w:r>
              <w:rPr>
                <w:b/>
                <w:sz w:val="22"/>
                <w:u w:val="none"/>
              </w:rPr>
              <w:t>8130</w:t>
            </w:r>
          </w:p>
        </w:tc>
        <w:tc>
          <w:tcPr>
            <w:tcW w:w="1710" w:type="dxa"/>
          </w:tcPr>
          <w:p>
            <w:pPr>
              <w:pStyle w:val="TableParagraph"/>
              <w:ind w:left="0"/>
              <w:jc w:val="center"/>
              <w:rPr>
                <w:b/>
                <w:sz w:val="22"/>
                <w:u w:val="none"/>
              </w:rPr>
            </w:pPr>
            <w:r>
              <w:rPr>
                <w:b/>
                <w:w w:val="99"/>
                <w:sz w:val="22"/>
                <w:u w:val="none"/>
              </w:rPr>
              <w:t>1</w:t>
            </w:r>
          </w:p>
        </w:tc>
        <w:tc>
          <w:tcPr>
            <w:tcW w:w="2610" w:type="dxa"/>
          </w:tcPr>
          <w:p>
            <w:pPr>
              <w:pStyle w:val="TableParagraph"/>
              <w:ind w:left="323" w:right="323"/>
              <w:jc w:val="center"/>
              <w:rPr>
                <w:b/>
                <w:sz w:val="22"/>
                <w:u w:val="none"/>
              </w:rPr>
            </w:pPr>
            <w:r>
              <w:rPr>
                <w:b/>
                <w:sz w:val="22"/>
                <w:u w:val="none"/>
              </w:rPr>
              <w:t>Same</w:t>
            </w:r>
          </w:p>
        </w:tc>
        <w:tc>
          <w:tcPr>
            <w:tcW w:w="1802" w:type="dxa"/>
          </w:tcPr>
          <w:p>
            <w:pPr>
              <w:pStyle w:val="TableParagraph"/>
              <w:ind w:left="0"/>
              <w:jc w:val="center"/>
              <w:rPr>
                <w:b/>
                <w:sz w:val="22"/>
                <w:u w:val="none"/>
              </w:rPr>
            </w:pPr>
            <w:r>
              <w:rPr>
                <w:b/>
                <w:w w:val="99"/>
                <w:sz w:val="22"/>
                <w:u w:val="none"/>
              </w:rPr>
              <w:t>1</w:t>
            </w:r>
          </w:p>
        </w:tc>
      </w:tr>
      <w:tr>
        <w:trPr>
          <w:trHeight w:val="786" w:hRule="exact"/>
        </w:trPr>
        <w:tc>
          <w:tcPr>
            <w:tcW w:w="3530" w:type="dxa"/>
          </w:tcPr>
          <w:p>
            <w:pPr>
              <w:pStyle w:val="TableParagraph"/>
              <w:rPr>
                <w:b/>
                <w:sz w:val="22"/>
                <w:u w:val="none"/>
              </w:rPr>
            </w:pPr>
            <w:r>
              <w:rPr>
                <w:b/>
                <w:sz w:val="22"/>
                <w:u w:val="none"/>
              </w:rPr>
              <w:t>8593 through 8594.3</w:t>
            </w:r>
          </w:p>
        </w:tc>
        <w:tc>
          <w:tcPr>
            <w:tcW w:w="1710" w:type="dxa"/>
          </w:tcPr>
          <w:p>
            <w:pPr>
              <w:pStyle w:val="TableParagraph"/>
              <w:ind w:left="0" w:right="1"/>
              <w:jc w:val="center"/>
              <w:rPr>
                <w:b/>
                <w:sz w:val="22"/>
                <w:u w:val="none"/>
              </w:rPr>
            </w:pPr>
            <w:r>
              <w:rPr>
                <w:b/>
                <w:w w:val="99"/>
                <w:sz w:val="22"/>
                <w:u w:val="none"/>
              </w:rPr>
              <w:t>2</w:t>
            </w:r>
          </w:p>
        </w:tc>
        <w:tc>
          <w:tcPr>
            <w:tcW w:w="2610" w:type="dxa"/>
          </w:tcPr>
          <w:p>
            <w:pPr>
              <w:pStyle w:val="TableParagraph"/>
              <w:ind w:left="323" w:right="323"/>
              <w:jc w:val="center"/>
              <w:rPr>
                <w:b/>
                <w:sz w:val="22"/>
                <w:u w:val="none"/>
              </w:rPr>
            </w:pPr>
            <w:r>
              <w:rPr>
                <w:b/>
                <w:sz w:val="22"/>
                <w:u w:val="none"/>
              </w:rPr>
              <w:t>8593 through 8594.2</w:t>
            </w:r>
          </w:p>
          <w:p>
            <w:pPr>
              <w:pStyle w:val="TableParagraph"/>
              <w:ind w:left="323" w:right="323"/>
              <w:jc w:val="center"/>
              <w:rPr>
                <w:b/>
                <w:sz w:val="22"/>
                <w:u w:val="none"/>
              </w:rPr>
            </w:pPr>
            <w:r>
              <w:rPr>
                <w:b/>
                <w:sz w:val="22"/>
                <w:u w:val="none"/>
              </w:rPr>
              <w:t>(Cont. 1)</w:t>
            </w:r>
          </w:p>
        </w:tc>
        <w:tc>
          <w:tcPr>
            <w:tcW w:w="1802" w:type="dxa"/>
          </w:tcPr>
          <w:p>
            <w:pPr>
              <w:pStyle w:val="TableParagraph"/>
              <w:spacing w:line="240" w:lineRule="exact" w:before="0"/>
              <w:ind w:left="0" w:right="1"/>
              <w:jc w:val="center"/>
              <w:rPr>
                <w:b/>
                <w:sz w:val="22"/>
                <w:u w:val="none"/>
              </w:rPr>
            </w:pPr>
            <w:r>
              <w:rPr>
                <w:b/>
                <w:w w:val="99"/>
                <w:sz w:val="22"/>
                <w:u w:val="none"/>
              </w:rPr>
              <w:t>2</w:t>
            </w:r>
          </w:p>
        </w:tc>
      </w:tr>
    </w:tbl>
    <w:sectPr>
      <w:pgSz w:w="12240" w:h="15840"/>
      <w:pgMar w:header="0" w:footer="742" w:top="1180" w:bottom="940" w:left="122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743.911072pt;width:38.9pt;height:13.1pt;mso-position-horizontal-relative:page;mso-position-vertical-relative:page;z-index:-5920" type="#_x0000_t202" filled="false" stroked="false">
          <v:textbox inset="0,0,0,0">
            <w:txbxContent>
              <w:p>
                <w:pPr>
                  <w:spacing w:before="12"/>
                  <w:ind w:left="20" w:right="0" w:firstLine="0"/>
                  <w:jc w:val="left"/>
                  <w:rPr>
                    <w:b/>
                    <w:sz w:val="20"/>
                  </w:rPr>
                </w:pPr>
                <w:r>
                  <w:rPr>
                    <w:b/>
                    <w:sz w:val="20"/>
                  </w:rPr>
                  <w:t>Rev. 399</w:t>
                </w:r>
              </w:p>
            </w:txbxContent>
          </v:textbox>
          <w10:wrap type="none"/>
        </v:shape>
      </w:pict>
    </w:r>
    <w:r>
      <w:rPr/>
      <w:pict>
        <v:shape style="position:absolute;margin-left:454.575592pt;margin-top:743.911072pt;width:86.45pt;height:13.1pt;mso-position-horizontal-relative:page;mso-position-vertical-relative:page;z-index:-5896" type="#_x0000_t202" filled="false" stroked="false">
          <v:textbox inset="0,0,0,0">
            <w:txbxContent>
              <w:p>
                <w:pPr>
                  <w:spacing w:before="12"/>
                  <w:ind w:left="20" w:right="0" w:firstLine="0"/>
                  <w:jc w:val="left"/>
                  <w:rPr>
                    <w:b/>
                    <w:sz w:val="20"/>
                  </w:rPr>
                </w:pPr>
                <w:r>
                  <w:rPr>
                    <w:b/>
                    <w:sz w:val="20"/>
                  </w:rPr>
                  <w:t>SEPTEMBER 2007</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ind w:left="220"/>
      <w:outlineLvl w:val="1"/>
    </w:pPr>
    <w:rPr>
      <w:rFonts w:ascii="Times New Roman" w:hAnsi="Times New Roman" w:eastAsia="Times New Roman" w:cs="Times New Roman"/>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4"/>
      <w:ind w:left="103"/>
    </w:pPr>
    <w:rPr>
      <w:rFonts w:ascii="Times New Roman" w:hAnsi="Times New Roman" w:eastAsia="Times New Roman" w:cs="Times New Roman"/>
      <w:u w:val="single" w:color="000000"/>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dc:title>Format and minor grammatical changes have been made to all pages included in this revision package.  Revision bars are not inserted for format changes, non-substantial technical changes, and fully rewritten chapters.  Revision bars appear on the right sid</dc:title>
  <dcterms:created xsi:type="dcterms:W3CDTF">2020-07-14T11:06:07Z</dcterms:created>
  <dcterms:modified xsi:type="dcterms:W3CDTF">2020-07-14T11:06:07Z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2007-09-10T00:00:00Z</vt:filetime>
  </property>
  <property fmtid="{D5CDD505-2E9C-101B-9397-08002B2CF9AE}" pid="3" name="Creator">
    <vt:lpwstr>Acrobat PDFMaker 7.0 for Word</vt:lpwstr>
  </property>
  <property fmtid="{D5CDD505-2E9C-101B-9397-08002B2CF9AE}" pid="4" name="LastSaved">
    <vt:filetime>2020-07-14T00:00:00Z</vt:filetime>
  </property>
</Properties>
</file>