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41707" w14:textId="6C3E8D5D" w:rsidR="00E464C3" w:rsidRPr="001C2DD8" w:rsidRDefault="00E464C3" w:rsidP="003F4D09">
      <w:pPr>
        <w:pStyle w:val="Title"/>
        <w:spacing w:before="1080" w:line="360" w:lineRule="auto"/>
        <w:rPr>
          <w:rFonts w:ascii="Arial" w:hAnsi="Arial" w:cs="Arial"/>
        </w:rPr>
      </w:pPr>
      <w:r w:rsidRPr="001C2DD8">
        <w:rPr>
          <w:rFonts w:ascii="Arial" w:hAnsi="Arial" w:cs="Arial"/>
        </w:rPr>
        <w:t>State of California</w:t>
      </w:r>
    </w:p>
    <w:p w14:paraId="4004237C" w14:textId="4856BD6F" w:rsidR="00E464C3" w:rsidRPr="001C2DD8" w:rsidRDefault="00E464C3" w:rsidP="00E464C3">
      <w:pPr>
        <w:pStyle w:val="Title"/>
        <w:spacing w:line="360" w:lineRule="auto"/>
        <w:rPr>
          <w:rFonts w:ascii="Arial" w:hAnsi="Arial" w:cs="Arial"/>
        </w:rPr>
      </w:pPr>
      <w:r w:rsidRPr="001C2DD8">
        <w:rPr>
          <w:rFonts w:ascii="Arial" w:hAnsi="Arial" w:cs="Arial"/>
        </w:rPr>
        <w:t>Request for Proposals</w:t>
      </w:r>
    </w:p>
    <w:p w14:paraId="42AE2F95" w14:textId="7F183E42" w:rsidR="001D77D2" w:rsidRPr="001C2DD8" w:rsidRDefault="001D77D2" w:rsidP="001D77D2">
      <w:pPr>
        <w:pStyle w:val="Title"/>
        <w:spacing w:line="360" w:lineRule="auto"/>
        <w:rPr>
          <w:rFonts w:ascii="Arial" w:hAnsi="Arial" w:cs="Arial"/>
          <w:i/>
          <w:iCs/>
          <w:sz w:val="48"/>
          <w:szCs w:val="48"/>
        </w:rPr>
      </w:pPr>
      <w:r w:rsidRPr="001C2DD8">
        <w:rPr>
          <w:rFonts w:ascii="Arial" w:hAnsi="Arial" w:cs="Arial"/>
          <w:i/>
          <w:iCs/>
          <w:sz w:val="48"/>
          <w:szCs w:val="48"/>
        </w:rPr>
        <w:t>By Respondents Pre-Qualified via RFQ</w:t>
      </w:r>
    </w:p>
    <w:p w14:paraId="79D231DF" w14:textId="77777777" w:rsidR="00E464C3" w:rsidRPr="001C2DD8" w:rsidRDefault="00E464C3" w:rsidP="00E464C3">
      <w:pPr>
        <w:pStyle w:val="Title"/>
        <w:spacing w:line="360" w:lineRule="auto"/>
        <w:rPr>
          <w:rFonts w:ascii="Arial" w:hAnsi="Arial" w:cs="Arial"/>
        </w:rPr>
      </w:pPr>
      <w:r w:rsidRPr="001C2DD8">
        <w:rPr>
          <w:rFonts w:ascii="Arial" w:hAnsi="Arial" w:cs="Arial"/>
        </w:rPr>
        <w:t>Affordable Housing Development</w:t>
      </w:r>
    </w:p>
    <w:p w14:paraId="412C11C3" w14:textId="5B3931F6" w:rsidR="00E464C3" w:rsidRPr="001C2DD8" w:rsidRDefault="00E464C3" w:rsidP="00F4224F">
      <w:pPr>
        <w:pStyle w:val="Title"/>
        <w:spacing w:line="360" w:lineRule="auto"/>
        <w:rPr>
          <w:rFonts w:ascii="Arial" w:hAnsi="Arial" w:cs="Arial"/>
        </w:rPr>
      </w:pPr>
      <w:r w:rsidRPr="001C2DD8">
        <w:rPr>
          <w:rFonts w:ascii="Arial" w:hAnsi="Arial" w:cs="Arial"/>
        </w:rPr>
        <w:t>Under Executive Order N-06-19</w:t>
      </w:r>
    </w:p>
    <w:p w14:paraId="195B0D7E" w14:textId="77777777" w:rsidR="003F4D09" w:rsidRDefault="00F4224F" w:rsidP="003F4D09">
      <w:pPr>
        <w:spacing w:after="240" w:line="720" w:lineRule="auto"/>
        <w:rPr>
          <w:rFonts w:eastAsiaTheme="majorEastAsia" w:cs="Arial"/>
          <w:spacing w:val="-10"/>
          <w:kern w:val="28"/>
          <w:sz w:val="40"/>
          <w:szCs w:val="40"/>
        </w:rPr>
      </w:pPr>
      <w:bookmarkStart w:id="0" w:name="_Toc20481691"/>
      <w:bookmarkStart w:id="1" w:name="_Toc20721599"/>
      <w:r w:rsidRPr="001C2DD8">
        <w:rPr>
          <w:rFonts w:eastAsiaTheme="majorEastAsia" w:cs="Arial"/>
          <w:spacing w:val="-10"/>
          <w:kern w:val="28"/>
          <w:sz w:val="40"/>
          <w:szCs w:val="40"/>
        </w:rPr>
        <w:t xml:space="preserve">Location: </w:t>
      </w:r>
      <w:r w:rsidR="002006FA">
        <w:rPr>
          <w:rFonts w:eastAsiaTheme="majorEastAsia" w:cs="Arial"/>
          <w:spacing w:val="-10"/>
          <w:kern w:val="28"/>
          <w:sz w:val="40"/>
          <w:szCs w:val="40"/>
        </w:rPr>
        <w:t>San Francisco</w:t>
      </w:r>
      <w:r w:rsidRPr="001C2DD8">
        <w:rPr>
          <w:rFonts w:eastAsiaTheme="majorEastAsia" w:cs="Arial"/>
          <w:spacing w:val="-10"/>
          <w:kern w:val="28"/>
          <w:sz w:val="40"/>
          <w:szCs w:val="40"/>
        </w:rPr>
        <w:t>, CA</w:t>
      </w:r>
    </w:p>
    <w:p w14:paraId="3E9D7B8D" w14:textId="34E6E7E5" w:rsidR="00EF396D" w:rsidRDefault="003F4D09" w:rsidP="003F4D09">
      <w:pPr>
        <w:spacing w:after="240" w:line="720" w:lineRule="auto"/>
        <w:rPr>
          <w:rFonts w:eastAsiaTheme="majorEastAsia" w:cs="Arial"/>
          <w:spacing w:val="-10"/>
          <w:kern w:val="28"/>
          <w:sz w:val="40"/>
          <w:szCs w:val="40"/>
        </w:rPr>
      </w:pPr>
      <w:r>
        <w:rPr>
          <w:noProof/>
        </w:rPr>
        <w:drawing>
          <wp:inline distT="0" distB="0" distL="0" distR="0" wp14:anchorId="6E4E0B76" wp14:editId="431A9904">
            <wp:extent cx="2732859" cy="1700783"/>
            <wp:effectExtent l="0" t="0" r="0" b="0"/>
            <wp:docPr id="9" name="image4.jpeg" descr="Site map of San Francisco parcel locations for the Affordable Housing pro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2859" cy="1700783"/>
                    </a:xfrm>
                    <a:prstGeom prst="rect">
                      <a:avLst/>
                    </a:prstGeom>
                  </pic:spPr>
                </pic:pic>
              </a:graphicData>
            </a:graphic>
          </wp:inline>
        </w:drawing>
      </w:r>
    </w:p>
    <w:p w14:paraId="7778F346" w14:textId="039A57E0" w:rsidR="00F4224F" w:rsidRPr="00113FE2" w:rsidRDefault="00F4224F" w:rsidP="00F4224F">
      <w:pPr>
        <w:rPr>
          <w:sz w:val="36"/>
          <w:szCs w:val="36"/>
        </w:rPr>
      </w:pPr>
      <w:r w:rsidRPr="001C2DD8">
        <w:rPr>
          <w:sz w:val="36"/>
          <w:szCs w:val="36"/>
        </w:rPr>
        <w:t xml:space="preserve">Released: </w:t>
      </w:r>
      <w:r w:rsidR="00346634" w:rsidRPr="00113FE2">
        <w:rPr>
          <w:sz w:val="36"/>
          <w:szCs w:val="36"/>
        </w:rPr>
        <w:t xml:space="preserve">August </w:t>
      </w:r>
      <w:r w:rsidR="004432EE">
        <w:rPr>
          <w:sz w:val="36"/>
          <w:szCs w:val="36"/>
        </w:rPr>
        <w:t>21</w:t>
      </w:r>
      <w:r w:rsidRPr="00113FE2">
        <w:rPr>
          <w:sz w:val="36"/>
          <w:szCs w:val="36"/>
        </w:rPr>
        <w:t>, 2020</w:t>
      </w:r>
    </w:p>
    <w:p w14:paraId="7619BBDD" w14:textId="2569AA4B" w:rsidR="003F4D09" w:rsidRDefault="00F4224F" w:rsidP="00F4224F">
      <w:pPr>
        <w:spacing w:line="360" w:lineRule="auto"/>
        <w:rPr>
          <w:sz w:val="36"/>
          <w:szCs w:val="36"/>
        </w:rPr>
      </w:pPr>
      <w:r w:rsidRPr="00113FE2">
        <w:rPr>
          <w:sz w:val="36"/>
          <w:szCs w:val="36"/>
        </w:rPr>
        <w:t xml:space="preserve">Due: </w:t>
      </w:r>
      <w:r w:rsidR="00CE5CAC" w:rsidRPr="00113FE2">
        <w:rPr>
          <w:sz w:val="36"/>
          <w:szCs w:val="36"/>
        </w:rPr>
        <w:t xml:space="preserve">October </w:t>
      </w:r>
      <w:r w:rsidR="004C18BE">
        <w:rPr>
          <w:sz w:val="36"/>
          <w:szCs w:val="36"/>
        </w:rPr>
        <w:t>30</w:t>
      </w:r>
      <w:r w:rsidR="00830E0F" w:rsidRPr="00113FE2">
        <w:rPr>
          <w:sz w:val="36"/>
          <w:szCs w:val="36"/>
        </w:rPr>
        <w:t>, 2020</w:t>
      </w:r>
      <w:r w:rsidR="003F4D09">
        <w:rPr>
          <w:sz w:val="36"/>
          <w:szCs w:val="36"/>
        </w:rPr>
        <w:br w:type="page"/>
      </w:r>
    </w:p>
    <w:p w14:paraId="5477CE14" w14:textId="6212A312" w:rsidR="00670300" w:rsidRPr="001C2DD8" w:rsidRDefault="00DA1FE3" w:rsidP="00DA1FE3">
      <w:pPr>
        <w:pStyle w:val="Heading1"/>
        <w:spacing w:after="0"/>
      </w:pPr>
      <w:r w:rsidRPr="001C2DD8">
        <w:lastRenderedPageBreak/>
        <w:t>REQUEST FOR PROPOSALS</w:t>
      </w:r>
    </w:p>
    <w:p w14:paraId="59C1810C" w14:textId="6BA19C04" w:rsidR="00DA1FE3" w:rsidRDefault="00DA1FE3" w:rsidP="00E464C3">
      <w:pPr>
        <w:pStyle w:val="Heading1"/>
        <w:rPr>
          <w:b w:val="0"/>
          <w:bCs w:val="0"/>
        </w:rPr>
      </w:pPr>
      <w:r w:rsidRPr="001C2DD8">
        <w:rPr>
          <w:b w:val="0"/>
          <w:bCs w:val="0"/>
        </w:rPr>
        <w:t>Affordable Housing Development</w:t>
      </w:r>
    </w:p>
    <w:p w14:paraId="267DB694" w14:textId="77777777" w:rsidR="00A81BE6" w:rsidRPr="00A81BE6" w:rsidRDefault="00A81BE6" w:rsidP="00E464C3">
      <w:pPr>
        <w:pStyle w:val="Heading1"/>
        <w:rPr>
          <w:b w:val="0"/>
          <w:bCs w:val="0"/>
        </w:rPr>
      </w:pPr>
    </w:p>
    <w:p w14:paraId="58D44790" w14:textId="1B4218D5" w:rsidR="00DA1FE3" w:rsidRDefault="00DA1FE3" w:rsidP="00DA1FE3">
      <w:pPr>
        <w:pStyle w:val="Heading1"/>
        <w:spacing w:after="0"/>
        <w:rPr>
          <w:sz w:val="24"/>
          <w:szCs w:val="22"/>
        </w:rPr>
      </w:pPr>
      <w:r w:rsidRPr="001C2DD8">
        <w:rPr>
          <w:sz w:val="24"/>
          <w:szCs w:val="22"/>
        </w:rPr>
        <w:t>Proposals must be submitted</w:t>
      </w:r>
      <w:r w:rsidR="00687561">
        <w:rPr>
          <w:sz w:val="24"/>
          <w:szCs w:val="22"/>
        </w:rPr>
        <w:t xml:space="preserve"> by</w:t>
      </w:r>
      <w:r w:rsidRPr="001C2DD8">
        <w:rPr>
          <w:sz w:val="24"/>
          <w:szCs w:val="22"/>
        </w:rPr>
        <w:t>:</w:t>
      </w:r>
    </w:p>
    <w:p w14:paraId="6C6F44DC" w14:textId="46601EB1" w:rsidR="00131239" w:rsidRDefault="002E0BFA" w:rsidP="00DA1FE3">
      <w:pPr>
        <w:pStyle w:val="Heading1"/>
        <w:numPr>
          <w:ilvl w:val="0"/>
          <w:numId w:val="28"/>
        </w:numPr>
        <w:spacing w:after="0"/>
        <w:rPr>
          <w:b w:val="0"/>
          <w:bCs w:val="0"/>
          <w:sz w:val="24"/>
          <w:szCs w:val="22"/>
        </w:rPr>
      </w:pPr>
      <w:bookmarkStart w:id="2" w:name="_Hlk45715014"/>
      <w:r>
        <w:rPr>
          <w:b w:val="0"/>
          <w:bCs w:val="0"/>
          <w:sz w:val="24"/>
          <w:szCs w:val="22"/>
        </w:rPr>
        <w:t xml:space="preserve">Emailing </w:t>
      </w:r>
      <w:r w:rsidR="004355AC" w:rsidRPr="003E116E">
        <w:rPr>
          <w:b w:val="0"/>
          <w:bCs w:val="0"/>
          <w:sz w:val="24"/>
          <w:szCs w:val="22"/>
        </w:rPr>
        <w:t>Jon Heim</w:t>
      </w:r>
      <w:r w:rsidR="00131239">
        <w:rPr>
          <w:b w:val="0"/>
          <w:bCs w:val="0"/>
          <w:sz w:val="24"/>
          <w:szCs w:val="22"/>
        </w:rPr>
        <w:t xml:space="preserve">, </w:t>
      </w:r>
      <w:hyperlink r:id="rId12" w:history="1">
        <w:r w:rsidR="00131239" w:rsidRPr="00603396">
          <w:rPr>
            <w:rStyle w:val="Hyperlink"/>
            <w:b w:val="0"/>
            <w:bCs w:val="0"/>
            <w:sz w:val="24"/>
            <w:szCs w:val="22"/>
          </w:rPr>
          <w:t>jonathan.heim@dgs.ca.gov</w:t>
        </w:r>
      </w:hyperlink>
      <w:r w:rsidR="00687561">
        <w:rPr>
          <w:b w:val="0"/>
          <w:bCs w:val="0"/>
          <w:sz w:val="24"/>
          <w:szCs w:val="22"/>
        </w:rPr>
        <w:t>; and</w:t>
      </w:r>
    </w:p>
    <w:p w14:paraId="0D7B1F57" w14:textId="09070B3C" w:rsidR="00131239" w:rsidRDefault="002E0BFA" w:rsidP="00DA1FE3">
      <w:pPr>
        <w:pStyle w:val="Heading1"/>
        <w:numPr>
          <w:ilvl w:val="0"/>
          <w:numId w:val="28"/>
        </w:numPr>
        <w:spacing w:after="0"/>
        <w:rPr>
          <w:b w:val="0"/>
          <w:bCs w:val="0"/>
          <w:sz w:val="24"/>
          <w:szCs w:val="22"/>
        </w:rPr>
      </w:pPr>
      <w:r>
        <w:rPr>
          <w:b w:val="0"/>
          <w:bCs w:val="0"/>
          <w:sz w:val="24"/>
          <w:szCs w:val="22"/>
        </w:rPr>
        <w:t xml:space="preserve">Uploading to </w:t>
      </w:r>
      <w:r w:rsidR="00131239" w:rsidRPr="00131239">
        <w:rPr>
          <w:b w:val="0"/>
          <w:bCs w:val="0"/>
          <w:sz w:val="24"/>
          <w:szCs w:val="22"/>
        </w:rPr>
        <w:t>Box.com</w:t>
      </w:r>
      <w:r w:rsidR="00364E63">
        <w:rPr>
          <w:b w:val="0"/>
          <w:bCs w:val="0"/>
          <w:sz w:val="24"/>
          <w:szCs w:val="22"/>
        </w:rPr>
        <w:t xml:space="preserve">. </w:t>
      </w:r>
    </w:p>
    <w:bookmarkEnd w:id="2"/>
    <w:p w14:paraId="09556207" w14:textId="77777777" w:rsidR="00CD456B" w:rsidRDefault="00CD456B" w:rsidP="00CD456B">
      <w:pPr>
        <w:pStyle w:val="Heading1"/>
        <w:spacing w:after="0"/>
        <w:ind w:left="720"/>
        <w:rPr>
          <w:b w:val="0"/>
          <w:bCs w:val="0"/>
          <w:sz w:val="24"/>
          <w:szCs w:val="22"/>
        </w:rPr>
      </w:pPr>
    </w:p>
    <w:p w14:paraId="27F989B5" w14:textId="263C6E8D" w:rsidR="00364E63" w:rsidRPr="00207623" w:rsidRDefault="00364E63" w:rsidP="00364E63">
      <w:pPr>
        <w:pStyle w:val="Heading1"/>
        <w:spacing w:after="0"/>
        <w:rPr>
          <w:b w:val="0"/>
          <w:bCs w:val="0"/>
          <w:i/>
          <w:iCs/>
          <w:sz w:val="24"/>
          <w:szCs w:val="22"/>
        </w:rPr>
      </w:pPr>
      <w:r w:rsidRPr="00207623">
        <w:rPr>
          <w:b w:val="0"/>
          <w:bCs w:val="0"/>
          <w:i/>
          <w:iCs/>
          <w:sz w:val="24"/>
          <w:szCs w:val="22"/>
        </w:rPr>
        <w:t xml:space="preserve">It is the responsibility of the </w:t>
      </w:r>
      <w:r w:rsidR="005B1F9F">
        <w:rPr>
          <w:b w:val="0"/>
          <w:bCs w:val="0"/>
          <w:i/>
          <w:iCs/>
          <w:sz w:val="24"/>
          <w:szCs w:val="22"/>
        </w:rPr>
        <w:t>R</w:t>
      </w:r>
      <w:r w:rsidR="005B1F9F" w:rsidRPr="00207623">
        <w:rPr>
          <w:b w:val="0"/>
          <w:bCs w:val="0"/>
          <w:i/>
          <w:iCs/>
          <w:sz w:val="24"/>
          <w:szCs w:val="22"/>
        </w:rPr>
        <w:t xml:space="preserve">espondent </w:t>
      </w:r>
      <w:r w:rsidRPr="00207623">
        <w:rPr>
          <w:b w:val="0"/>
          <w:bCs w:val="0"/>
          <w:i/>
          <w:iCs/>
          <w:sz w:val="24"/>
          <w:szCs w:val="22"/>
        </w:rPr>
        <w:t xml:space="preserve">to </w:t>
      </w:r>
      <w:r w:rsidR="00CA3986" w:rsidRPr="00207623">
        <w:rPr>
          <w:b w:val="0"/>
          <w:bCs w:val="0"/>
          <w:i/>
          <w:iCs/>
          <w:sz w:val="24"/>
          <w:szCs w:val="22"/>
        </w:rPr>
        <w:t>ensure the</w:t>
      </w:r>
      <w:r w:rsidR="00207623" w:rsidRPr="00207623">
        <w:rPr>
          <w:b w:val="0"/>
          <w:bCs w:val="0"/>
          <w:i/>
          <w:iCs/>
          <w:sz w:val="24"/>
          <w:szCs w:val="22"/>
        </w:rPr>
        <w:t xml:space="preserve">ir </w:t>
      </w:r>
      <w:r w:rsidR="00CA3986" w:rsidRPr="00207623">
        <w:rPr>
          <w:b w:val="0"/>
          <w:bCs w:val="0"/>
          <w:i/>
          <w:iCs/>
          <w:sz w:val="24"/>
          <w:szCs w:val="22"/>
        </w:rPr>
        <w:t>proposal is</w:t>
      </w:r>
      <w:r w:rsidR="00CD456B" w:rsidRPr="00207623">
        <w:rPr>
          <w:b w:val="0"/>
          <w:bCs w:val="0"/>
          <w:i/>
          <w:iCs/>
          <w:sz w:val="24"/>
          <w:szCs w:val="22"/>
        </w:rPr>
        <w:t xml:space="preserve"> emailed and uploaded in its entirety. </w:t>
      </w:r>
      <w:r w:rsidR="00794DFF">
        <w:rPr>
          <w:b w:val="0"/>
          <w:bCs w:val="0"/>
          <w:i/>
          <w:iCs/>
          <w:sz w:val="24"/>
          <w:szCs w:val="22"/>
        </w:rPr>
        <w:t>Any information or material submitted after the deadline will not be considered.</w:t>
      </w:r>
    </w:p>
    <w:p w14:paraId="23E81CE9" w14:textId="77777777" w:rsidR="0060329E" w:rsidRPr="001C2DD8" w:rsidRDefault="0060329E" w:rsidP="00E464C3">
      <w:pPr>
        <w:pStyle w:val="Heading1"/>
      </w:pPr>
    </w:p>
    <w:p w14:paraId="18AF4984" w14:textId="6101A999" w:rsidR="00DA1FE3" w:rsidRPr="001C2DD8" w:rsidRDefault="00DA1FE3" w:rsidP="00E464C3">
      <w:pPr>
        <w:pStyle w:val="Heading1"/>
        <w:rPr>
          <w:sz w:val="24"/>
          <w:szCs w:val="22"/>
        </w:rPr>
      </w:pPr>
      <w:r w:rsidRPr="001C2DD8">
        <w:rPr>
          <w:sz w:val="24"/>
          <w:szCs w:val="22"/>
        </w:rPr>
        <w:t xml:space="preserve">DEADLINE: Submit by </w:t>
      </w:r>
      <w:r w:rsidR="007D5439" w:rsidRPr="001C2DD8">
        <w:rPr>
          <w:sz w:val="24"/>
          <w:szCs w:val="22"/>
        </w:rPr>
        <w:t xml:space="preserve">5:00 </w:t>
      </w:r>
      <w:r w:rsidRPr="001C2DD8">
        <w:rPr>
          <w:sz w:val="24"/>
          <w:szCs w:val="22"/>
        </w:rPr>
        <w:t xml:space="preserve">PM PT on </w:t>
      </w:r>
      <w:r w:rsidR="00CE5CAC" w:rsidRPr="00113FE2">
        <w:rPr>
          <w:sz w:val="24"/>
          <w:szCs w:val="22"/>
        </w:rPr>
        <w:t xml:space="preserve">October </w:t>
      </w:r>
      <w:r w:rsidR="004C18BE">
        <w:rPr>
          <w:sz w:val="24"/>
          <w:szCs w:val="22"/>
        </w:rPr>
        <w:t>30</w:t>
      </w:r>
      <w:r w:rsidR="00894411" w:rsidRPr="00113FE2">
        <w:rPr>
          <w:sz w:val="24"/>
          <w:szCs w:val="22"/>
        </w:rPr>
        <w:t>, 2020</w:t>
      </w:r>
      <w:r w:rsidRPr="001C2DD8">
        <w:rPr>
          <w:sz w:val="24"/>
          <w:szCs w:val="22"/>
        </w:rPr>
        <w:t>.</w:t>
      </w:r>
    </w:p>
    <w:p w14:paraId="0369F7E3" w14:textId="77777777" w:rsidR="0085361F" w:rsidRDefault="0085361F" w:rsidP="00E464C3">
      <w:pPr>
        <w:pStyle w:val="Heading1"/>
        <w:rPr>
          <w:sz w:val="24"/>
          <w:szCs w:val="22"/>
        </w:rPr>
      </w:pPr>
    </w:p>
    <w:p w14:paraId="77A20F3D" w14:textId="77777777" w:rsidR="0060329E" w:rsidRPr="001C2DD8" w:rsidRDefault="0060329E" w:rsidP="00E464C3">
      <w:pPr>
        <w:pStyle w:val="Heading1"/>
        <w:rPr>
          <w:sz w:val="24"/>
          <w:szCs w:val="22"/>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894411" w:rsidRPr="001C2DD8" w14:paraId="45F9A9B2" w14:textId="77777777" w:rsidTr="0085361F">
        <w:tc>
          <w:tcPr>
            <w:tcW w:w="9576" w:type="dxa"/>
            <w:shd w:val="clear" w:color="auto" w:fill="D9D9D9" w:themeFill="background1" w:themeFillShade="D9"/>
          </w:tcPr>
          <w:p w14:paraId="1A86B248" w14:textId="77777777" w:rsidR="0085361F" w:rsidRPr="001C2DD8" w:rsidRDefault="0085361F" w:rsidP="0085361F">
            <w:pPr>
              <w:pStyle w:val="Heading1"/>
              <w:outlineLvl w:val="0"/>
              <w:rPr>
                <w:sz w:val="24"/>
                <w:szCs w:val="22"/>
              </w:rPr>
            </w:pPr>
          </w:p>
          <w:p w14:paraId="5BFF602F" w14:textId="3A6227E9" w:rsidR="0085361F" w:rsidRPr="001C2DD8" w:rsidRDefault="0085361F" w:rsidP="0085361F">
            <w:pPr>
              <w:pStyle w:val="Heading1"/>
              <w:outlineLvl w:val="0"/>
              <w:rPr>
                <w:sz w:val="24"/>
                <w:szCs w:val="22"/>
              </w:rPr>
            </w:pPr>
            <w:r w:rsidRPr="001C2DD8">
              <w:rPr>
                <w:sz w:val="24"/>
                <w:szCs w:val="22"/>
              </w:rPr>
              <w:t>THIS REQUEST FOR PROPOSALS IS OPEN ONLY TO INVITED TEAMS THAT SUCCESSFULLY MET THE QUALIF</w:t>
            </w:r>
            <w:r w:rsidR="00113FE2">
              <w:rPr>
                <w:sz w:val="24"/>
                <w:szCs w:val="22"/>
              </w:rPr>
              <w:t>I</w:t>
            </w:r>
            <w:r w:rsidRPr="001C2DD8">
              <w:rPr>
                <w:sz w:val="24"/>
                <w:szCs w:val="22"/>
              </w:rPr>
              <w:t>CATIONS OUTLINE</w:t>
            </w:r>
            <w:r w:rsidR="00AC1B7E" w:rsidRPr="001C2DD8">
              <w:rPr>
                <w:sz w:val="24"/>
                <w:szCs w:val="22"/>
              </w:rPr>
              <w:t>D</w:t>
            </w:r>
            <w:r w:rsidRPr="001C2DD8">
              <w:rPr>
                <w:sz w:val="24"/>
                <w:szCs w:val="22"/>
              </w:rPr>
              <w:t xml:space="preserve"> IN THE </w:t>
            </w:r>
            <w:r w:rsidR="00AC1B7E" w:rsidRPr="001C2DD8">
              <w:rPr>
                <w:sz w:val="24"/>
                <w:szCs w:val="22"/>
              </w:rPr>
              <w:t xml:space="preserve">AFFORDABLE HOUSING DEVELOPMENT </w:t>
            </w:r>
            <w:r w:rsidRPr="001C2DD8">
              <w:rPr>
                <w:sz w:val="24"/>
                <w:szCs w:val="22"/>
              </w:rPr>
              <w:t>REQUEST FOR QUALIFICATIONS</w:t>
            </w:r>
            <w:r w:rsidR="00AC1B7E" w:rsidRPr="001C2DD8">
              <w:rPr>
                <w:sz w:val="24"/>
                <w:szCs w:val="22"/>
              </w:rPr>
              <w:t xml:space="preserve"> NO. </w:t>
            </w:r>
            <w:r w:rsidR="00830E0F">
              <w:rPr>
                <w:sz w:val="24"/>
                <w:szCs w:val="22"/>
              </w:rPr>
              <w:t>2</w:t>
            </w:r>
            <w:r w:rsidR="00AC1B7E" w:rsidRPr="001C2DD8">
              <w:rPr>
                <w:sz w:val="24"/>
                <w:szCs w:val="22"/>
              </w:rPr>
              <w:t>-20</w:t>
            </w:r>
            <w:r w:rsidRPr="001C2DD8">
              <w:rPr>
                <w:sz w:val="24"/>
                <w:szCs w:val="22"/>
              </w:rPr>
              <w:t xml:space="preserve">, WHICH CLOSED ON </w:t>
            </w:r>
            <w:r w:rsidR="00830E0F">
              <w:rPr>
                <w:sz w:val="24"/>
                <w:szCs w:val="22"/>
              </w:rPr>
              <w:t>JUNE 1</w:t>
            </w:r>
            <w:r w:rsidR="009F4322">
              <w:rPr>
                <w:sz w:val="24"/>
                <w:szCs w:val="22"/>
              </w:rPr>
              <w:t>2</w:t>
            </w:r>
            <w:r w:rsidR="007D5439" w:rsidRPr="001C2DD8">
              <w:rPr>
                <w:sz w:val="24"/>
                <w:szCs w:val="22"/>
              </w:rPr>
              <w:t>, 2020</w:t>
            </w:r>
            <w:r w:rsidRPr="001C2DD8">
              <w:rPr>
                <w:sz w:val="24"/>
                <w:szCs w:val="22"/>
              </w:rPr>
              <w:t>.</w:t>
            </w:r>
          </w:p>
          <w:p w14:paraId="4F077660" w14:textId="77777777" w:rsidR="0085361F" w:rsidRPr="001C2DD8" w:rsidRDefault="0085361F" w:rsidP="0085361F">
            <w:pPr>
              <w:pStyle w:val="Heading1"/>
              <w:outlineLvl w:val="0"/>
              <w:rPr>
                <w:sz w:val="24"/>
                <w:szCs w:val="22"/>
              </w:rPr>
            </w:pPr>
          </w:p>
          <w:p w14:paraId="6F19C7E8" w14:textId="77777777" w:rsidR="0085361F" w:rsidRPr="001C2DD8" w:rsidRDefault="0085361F" w:rsidP="0085361F">
            <w:pPr>
              <w:pStyle w:val="Heading1"/>
              <w:outlineLvl w:val="0"/>
              <w:rPr>
                <w:b w:val="0"/>
                <w:bCs w:val="0"/>
                <w:sz w:val="24"/>
                <w:szCs w:val="22"/>
              </w:rPr>
            </w:pPr>
            <w:r w:rsidRPr="001C2DD8">
              <w:rPr>
                <w:b w:val="0"/>
                <w:bCs w:val="0"/>
                <w:sz w:val="24"/>
                <w:szCs w:val="22"/>
              </w:rPr>
              <w:t xml:space="preserve">Respondents that successfully qualified for this opportunity during the Qualification stage have been notified of their eligibility to submit a proposal. </w:t>
            </w:r>
          </w:p>
          <w:p w14:paraId="184263C1" w14:textId="77777777" w:rsidR="0085361F" w:rsidRPr="001C2DD8" w:rsidRDefault="0085361F" w:rsidP="00E464C3">
            <w:pPr>
              <w:pStyle w:val="Heading1"/>
              <w:outlineLvl w:val="0"/>
              <w:rPr>
                <w:sz w:val="24"/>
                <w:szCs w:val="22"/>
              </w:rPr>
            </w:pPr>
          </w:p>
        </w:tc>
      </w:tr>
    </w:tbl>
    <w:p w14:paraId="51D21A08" w14:textId="77777777" w:rsidR="0085361F" w:rsidRDefault="0085361F" w:rsidP="00E464C3">
      <w:pPr>
        <w:pStyle w:val="Heading1"/>
      </w:pPr>
    </w:p>
    <w:p w14:paraId="7D649842" w14:textId="77777777" w:rsidR="0060329E" w:rsidRDefault="0060329E" w:rsidP="00E464C3">
      <w:pPr>
        <w:pStyle w:val="Heading1"/>
      </w:pPr>
    </w:p>
    <w:p w14:paraId="78EB7CF8" w14:textId="77777777" w:rsidR="0060329E" w:rsidRDefault="0060329E" w:rsidP="00E464C3">
      <w:pPr>
        <w:pStyle w:val="Heading1"/>
      </w:pPr>
    </w:p>
    <w:p w14:paraId="3C740526" w14:textId="77777777" w:rsidR="0060329E" w:rsidRDefault="0060329E" w:rsidP="00E464C3">
      <w:pPr>
        <w:pStyle w:val="Heading1"/>
      </w:pPr>
    </w:p>
    <w:p w14:paraId="0BB472F6" w14:textId="77777777" w:rsidR="0060329E" w:rsidRPr="001C2DD8" w:rsidRDefault="0060329E" w:rsidP="00E464C3">
      <w:pPr>
        <w:pStyle w:val="Heading1"/>
      </w:pPr>
    </w:p>
    <w:p w14:paraId="050BB6B1" w14:textId="77777777" w:rsidR="00DA1FE3" w:rsidRPr="001C2DD8" w:rsidRDefault="00DA1FE3" w:rsidP="00E464C3">
      <w:pPr>
        <w:pStyle w:val="Heading1"/>
        <w:rPr>
          <w:b w:val="0"/>
          <w:bCs w:val="0"/>
          <w:sz w:val="24"/>
          <w:szCs w:val="22"/>
        </w:rPr>
      </w:pPr>
    </w:p>
    <w:p w14:paraId="482BAE85" w14:textId="0ECA89B1" w:rsidR="00463D5D" w:rsidRPr="001C2DD8" w:rsidRDefault="0085361F" w:rsidP="00E464C3">
      <w:pPr>
        <w:pStyle w:val="Heading1"/>
        <w:rPr>
          <w:b w:val="0"/>
          <w:bCs w:val="0"/>
          <w:i/>
          <w:iCs/>
          <w:sz w:val="24"/>
          <w:szCs w:val="22"/>
        </w:rPr>
      </w:pPr>
      <w:r w:rsidRPr="001C2DD8">
        <w:rPr>
          <w:b w:val="0"/>
          <w:bCs w:val="0"/>
          <w:i/>
          <w:iCs/>
          <w:sz w:val="24"/>
          <w:szCs w:val="22"/>
        </w:rPr>
        <w:t>Note: The California Public Records Act (California Government Code Sections 6250 et seq.) mandates public access to government records. Therefore, unless the information is exempt from disclosure by law, the material submitted may be made available to the public.</w:t>
      </w:r>
    </w:p>
    <w:p w14:paraId="5D49F2DD" w14:textId="3A711F9F" w:rsidR="00E464C3" w:rsidRPr="001C2DD8" w:rsidRDefault="00E464C3" w:rsidP="00E464C3">
      <w:pPr>
        <w:pStyle w:val="Heading1"/>
      </w:pPr>
      <w:r w:rsidRPr="001C2DD8">
        <w:lastRenderedPageBreak/>
        <w:t>STATE CONTACT:</w:t>
      </w:r>
      <w:bookmarkEnd w:id="0"/>
      <w:bookmarkEnd w:id="1"/>
    </w:p>
    <w:p w14:paraId="78F6EF88" w14:textId="77777777" w:rsidR="00E464C3" w:rsidRPr="001C2DD8" w:rsidRDefault="00E464C3" w:rsidP="00E464C3">
      <w:pPr>
        <w:spacing w:after="0"/>
      </w:pPr>
      <w:r w:rsidRPr="001C2DD8">
        <w:t>Jon Heim</w:t>
      </w:r>
    </w:p>
    <w:p w14:paraId="34504026" w14:textId="77777777" w:rsidR="00E464C3" w:rsidRPr="001C2DD8" w:rsidRDefault="00E464C3" w:rsidP="00E464C3">
      <w:pPr>
        <w:spacing w:after="0"/>
      </w:pPr>
      <w:r w:rsidRPr="001C2DD8">
        <w:t>Department of General Services</w:t>
      </w:r>
    </w:p>
    <w:p w14:paraId="05B9C282" w14:textId="77777777" w:rsidR="00E464C3" w:rsidRPr="001C2DD8" w:rsidRDefault="00E464C3" w:rsidP="00E464C3">
      <w:pPr>
        <w:spacing w:after="0"/>
      </w:pPr>
      <w:r w:rsidRPr="001C2DD8">
        <w:t xml:space="preserve">Asset Management Branch </w:t>
      </w:r>
    </w:p>
    <w:p w14:paraId="42679A64" w14:textId="77777777" w:rsidR="00E464C3" w:rsidRPr="001C2DD8" w:rsidRDefault="00E464C3" w:rsidP="00E464C3">
      <w:pPr>
        <w:spacing w:after="0"/>
      </w:pPr>
      <w:r w:rsidRPr="001C2DD8">
        <w:t>707 3</w:t>
      </w:r>
      <w:r w:rsidRPr="001C2DD8">
        <w:rPr>
          <w:vertAlign w:val="superscript"/>
        </w:rPr>
        <w:t>rd</w:t>
      </w:r>
      <w:r w:rsidRPr="001C2DD8">
        <w:t xml:space="preserve"> Street, 5</w:t>
      </w:r>
      <w:r w:rsidRPr="001C2DD8">
        <w:rPr>
          <w:vertAlign w:val="superscript"/>
        </w:rPr>
        <w:t>th</w:t>
      </w:r>
      <w:r w:rsidRPr="001C2DD8">
        <w:t xml:space="preserve"> Floor </w:t>
      </w:r>
    </w:p>
    <w:p w14:paraId="1B9ACBC4" w14:textId="77777777" w:rsidR="00E464C3" w:rsidRPr="001C2DD8" w:rsidRDefault="00E464C3" w:rsidP="00E464C3">
      <w:pPr>
        <w:spacing w:after="0"/>
      </w:pPr>
      <w:r w:rsidRPr="001C2DD8">
        <w:t>West Sacramento, CA 95605</w:t>
      </w:r>
    </w:p>
    <w:p w14:paraId="1C87E516" w14:textId="77777777" w:rsidR="00E464C3" w:rsidRPr="001C2DD8" w:rsidRDefault="00C114EE" w:rsidP="00E464C3">
      <w:pPr>
        <w:spacing w:after="0"/>
      </w:pPr>
      <w:hyperlink r:id="rId13" w:history="1">
        <w:r w:rsidR="00E464C3" w:rsidRPr="001C2DD8">
          <w:rPr>
            <w:rStyle w:val="Hyperlink"/>
            <w:color w:val="auto"/>
          </w:rPr>
          <w:t>jonathan.heim@dgs.ca.gov</w:t>
        </w:r>
      </w:hyperlink>
    </w:p>
    <w:p w14:paraId="246C5064" w14:textId="77777777" w:rsidR="00E464C3" w:rsidRPr="001C2DD8" w:rsidRDefault="00E464C3" w:rsidP="00E464C3">
      <w:pPr>
        <w:spacing w:after="0" w:line="240" w:lineRule="auto"/>
      </w:pPr>
    </w:p>
    <w:p w14:paraId="6A54C62C" w14:textId="320DA1DD" w:rsidR="00E464C3" w:rsidRPr="001C2DD8" w:rsidRDefault="00E464C3" w:rsidP="00E464C3">
      <w:pPr>
        <w:pStyle w:val="Heading1"/>
      </w:pPr>
      <w:bookmarkStart w:id="3" w:name="_Toc20481692"/>
      <w:bookmarkStart w:id="4" w:name="_Toc20721600"/>
      <w:r w:rsidRPr="001C2DD8">
        <w:t>PROJECT WEBSITE:</w:t>
      </w:r>
      <w:bookmarkEnd w:id="3"/>
      <w:bookmarkEnd w:id="4"/>
    </w:p>
    <w:p w14:paraId="51436884" w14:textId="77777777" w:rsidR="00E464C3" w:rsidRPr="001C2DD8" w:rsidRDefault="00E464C3" w:rsidP="00E464C3">
      <w:r w:rsidRPr="001C2DD8">
        <w:t xml:space="preserve">Page: </w:t>
      </w:r>
      <w:hyperlink r:id="rId14" w:history="1">
        <w:r w:rsidRPr="001C2DD8">
          <w:rPr>
            <w:rStyle w:val="Hyperlink"/>
            <w:color w:val="auto"/>
          </w:rPr>
          <w:t>Executive Order N-06-19 Affordable Housing</w:t>
        </w:r>
      </w:hyperlink>
    </w:p>
    <w:p w14:paraId="220D6453" w14:textId="77777777" w:rsidR="00E464C3" w:rsidRPr="001C2DD8" w:rsidRDefault="00E464C3" w:rsidP="00E464C3">
      <w:pPr>
        <w:rPr>
          <w:b/>
          <w:bCs/>
          <w:sz w:val="28"/>
          <w:szCs w:val="24"/>
        </w:rPr>
      </w:pPr>
      <w:r w:rsidRPr="001C2DD8">
        <w:t>URL: https://www.dgs.ca.gov/RESD/Projects/Page-Content/Projects-List-Folder/Executive-Order-N-06-19-Affordable-Housing-Development</w:t>
      </w:r>
    </w:p>
    <w:p w14:paraId="76CE8BDB" w14:textId="65C194BD" w:rsidR="00E464C3" w:rsidRPr="001C2DD8" w:rsidRDefault="00E464C3" w:rsidP="00E464C3">
      <w:pPr>
        <w:pStyle w:val="Heading1"/>
      </w:pPr>
      <w:bookmarkStart w:id="5" w:name="_Toc20481693"/>
      <w:bookmarkStart w:id="6" w:name="_Toc20721601"/>
      <w:r w:rsidRPr="001C2DD8">
        <w:t>RFP SCHEDULE:</w:t>
      </w:r>
      <w:bookmarkEnd w:id="5"/>
      <w:bookmarkEnd w:id="6"/>
    </w:p>
    <w:p w14:paraId="420B4E74" w14:textId="77777777" w:rsidR="0019366B" w:rsidRPr="001C2DD8" w:rsidRDefault="0019366B" w:rsidP="0019366B">
      <w:r w:rsidRPr="001C2DD8">
        <w:t>The following timeline is provided for the Respondent’s scheduling information but is subject to change at the State’s discretion.</w:t>
      </w:r>
    </w:p>
    <w:tbl>
      <w:tblPr>
        <w:tblStyle w:val="TableGrid"/>
        <w:tblW w:w="9697" w:type="dxa"/>
        <w:tblInd w:w="108" w:type="dxa"/>
        <w:tblLook w:val="04A0" w:firstRow="1" w:lastRow="0" w:firstColumn="1" w:lastColumn="0" w:noHBand="0" w:noVBand="1"/>
      </w:tblPr>
      <w:tblGrid>
        <w:gridCol w:w="6187"/>
        <w:gridCol w:w="3510"/>
      </w:tblGrid>
      <w:tr w:rsidR="00E464C3" w:rsidRPr="001C2DD8" w14:paraId="0B4BC5A4" w14:textId="77777777" w:rsidTr="0090637B">
        <w:trPr>
          <w:trHeight w:val="368"/>
          <w:tblHeader/>
        </w:trPr>
        <w:tc>
          <w:tcPr>
            <w:tcW w:w="6187" w:type="dxa"/>
            <w:shd w:val="clear" w:color="auto" w:fill="D9D9D9" w:themeFill="background1" w:themeFillShade="D9"/>
            <w:vAlign w:val="center"/>
          </w:tcPr>
          <w:p w14:paraId="40A505C3" w14:textId="77777777" w:rsidR="00E464C3" w:rsidRPr="001C2DD8" w:rsidRDefault="00E464C3" w:rsidP="00F4224F">
            <w:pPr>
              <w:rPr>
                <w:rFonts w:eastAsia="Times New Roman" w:cs="Arial"/>
                <w:b/>
                <w:bCs/>
                <w:szCs w:val="24"/>
              </w:rPr>
            </w:pPr>
            <w:r w:rsidRPr="001C2DD8">
              <w:rPr>
                <w:rFonts w:eastAsia="Times New Roman" w:cs="Arial"/>
                <w:b/>
                <w:bCs/>
                <w:szCs w:val="24"/>
              </w:rPr>
              <w:t>Activity</w:t>
            </w:r>
          </w:p>
        </w:tc>
        <w:tc>
          <w:tcPr>
            <w:tcW w:w="3510" w:type="dxa"/>
            <w:shd w:val="clear" w:color="auto" w:fill="D9D9D9" w:themeFill="background1" w:themeFillShade="D9"/>
            <w:vAlign w:val="center"/>
          </w:tcPr>
          <w:p w14:paraId="15DAF092" w14:textId="77777777" w:rsidR="00E464C3" w:rsidRPr="001C2DD8" w:rsidRDefault="00E464C3" w:rsidP="00F4224F">
            <w:pPr>
              <w:rPr>
                <w:rFonts w:eastAsia="Times New Roman" w:cs="Arial"/>
                <w:b/>
                <w:bCs/>
                <w:szCs w:val="24"/>
              </w:rPr>
            </w:pPr>
            <w:r w:rsidRPr="001C2DD8">
              <w:rPr>
                <w:rFonts w:eastAsia="Times New Roman" w:cs="Arial"/>
                <w:b/>
                <w:bCs/>
                <w:szCs w:val="24"/>
              </w:rPr>
              <w:t>Date</w:t>
            </w:r>
          </w:p>
        </w:tc>
      </w:tr>
      <w:tr w:rsidR="0090637B" w:rsidRPr="001C2DD8" w14:paraId="0918F7FE" w14:textId="77777777" w:rsidTr="0090637B">
        <w:trPr>
          <w:trHeight w:val="359"/>
        </w:trPr>
        <w:tc>
          <w:tcPr>
            <w:tcW w:w="6187" w:type="dxa"/>
            <w:vAlign w:val="center"/>
          </w:tcPr>
          <w:p w14:paraId="2A5BB71F" w14:textId="3996AE5D" w:rsidR="0090637B" w:rsidRPr="001C2DD8" w:rsidRDefault="0090637B" w:rsidP="0090637B">
            <w:r w:rsidRPr="001C2DD8">
              <w:t>Request for Proposals Released</w:t>
            </w:r>
          </w:p>
        </w:tc>
        <w:tc>
          <w:tcPr>
            <w:tcW w:w="3510" w:type="dxa"/>
            <w:vAlign w:val="center"/>
          </w:tcPr>
          <w:p w14:paraId="1B8CF17D" w14:textId="62395294" w:rsidR="0090637B" w:rsidRPr="00F20364" w:rsidRDefault="0090637B" w:rsidP="0090637B">
            <w:pPr>
              <w:rPr>
                <w:highlight w:val="yellow"/>
              </w:rPr>
            </w:pPr>
            <w:r w:rsidRPr="007F0DC8">
              <w:t xml:space="preserve">August </w:t>
            </w:r>
            <w:r w:rsidR="004432EE">
              <w:t>21</w:t>
            </w:r>
            <w:r w:rsidRPr="007F0DC8">
              <w:t>, 2020</w:t>
            </w:r>
          </w:p>
        </w:tc>
      </w:tr>
      <w:tr w:rsidR="0090637B" w:rsidRPr="001C2DD8" w14:paraId="269921C9" w14:textId="77777777" w:rsidTr="0090637B">
        <w:trPr>
          <w:trHeight w:val="341"/>
        </w:trPr>
        <w:tc>
          <w:tcPr>
            <w:tcW w:w="6187" w:type="dxa"/>
            <w:vAlign w:val="center"/>
          </w:tcPr>
          <w:p w14:paraId="5AB0E58C" w14:textId="22E713F3" w:rsidR="0090637B" w:rsidRPr="00215EFF" w:rsidRDefault="0090637B" w:rsidP="0090637B">
            <w:r w:rsidRPr="003B6F0F">
              <w:t>RFP Questions and Requests for Clarification D</w:t>
            </w:r>
            <w:r>
              <w:t>eadline</w:t>
            </w:r>
          </w:p>
        </w:tc>
        <w:tc>
          <w:tcPr>
            <w:tcW w:w="3510" w:type="dxa"/>
            <w:vAlign w:val="center"/>
          </w:tcPr>
          <w:p w14:paraId="4F63113D" w14:textId="50D5A429" w:rsidR="0090637B" w:rsidRPr="00F20364" w:rsidRDefault="0090637B" w:rsidP="0090637B">
            <w:pPr>
              <w:rPr>
                <w:highlight w:val="yellow"/>
              </w:rPr>
            </w:pPr>
            <w:r w:rsidRPr="007F0DC8">
              <w:t>September 4, 2020</w:t>
            </w:r>
          </w:p>
        </w:tc>
      </w:tr>
      <w:tr w:rsidR="00187BF8" w:rsidRPr="001C2DD8" w14:paraId="51153764" w14:textId="77777777" w:rsidTr="0090637B">
        <w:trPr>
          <w:trHeight w:val="341"/>
        </w:trPr>
        <w:tc>
          <w:tcPr>
            <w:tcW w:w="6187" w:type="dxa"/>
            <w:vAlign w:val="center"/>
          </w:tcPr>
          <w:p w14:paraId="6FC60E87" w14:textId="4C413AA1" w:rsidR="00187BF8" w:rsidRPr="003B6F0F" w:rsidRDefault="00187BF8" w:rsidP="00187BF8">
            <w:r w:rsidRPr="00215EFF">
              <w:t>State Response to RFP Questions/Clarifications</w:t>
            </w:r>
          </w:p>
        </w:tc>
        <w:tc>
          <w:tcPr>
            <w:tcW w:w="3510" w:type="dxa"/>
            <w:vAlign w:val="center"/>
          </w:tcPr>
          <w:p w14:paraId="1C284CC1" w14:textId="4FBC08A4" w:rsidR="00187BF8" w:rsidRPr="007F0DC8" w:rsidRDefault="00163829" w:rsidP="00187BF8">
            <w:r>
              <w:t>September 14</w:t>
            </w:r>
            <w:r w:rsidR="00187BF8" w:rsidRPr="00215EFF">
              <w:t>, 2020</w:t>
            </w:r>
          </w:p>
        </w:tc>
      </w:tr>
      <w:tr w:rsidR="0090637B" w:rsidRPr="001C2DD8" w14:paraId="325C3B35" w14:textId="77777777" w:rsidTr="0090637B">
        <w:trPr>
          <w:trHeight w:val="359"/>
        </w:trPr>
        <w:tc>
          <w:tcPr>
            <w:tcW w:w="6187" w:type="dxa"/>
            <w:vAlign w:val="center"/>
          </w:tcPr>
          <w:p w14:paraId="49C0AD32" w14:textId="77777777" w:rsidR="0090637B" w:rsidRPr="001C2DD8" w:rsidRDefault="0090637B" w:rsidP="0090637B">
            <w:pPr>
              <w:rPr>
                <w:b/>
                <w:bCs/>
              </w:rPr>
            </w:pPr>
            <w:r w:rsidRPr="001C2DD8">
              <w:rPr>
                <w:b/>
                <w:bCs/>
              </w:rPr>
              <w:t>RFP Submittal Deadline</w:t>
            </w:r>
          </w:p>
        </w:tc>
        <w:tc>
          <w:tcPr>
            <w:tcW w:w="3510" w:type="dxa"/>
            <w:vAlign w:val="center"/>
          </w:tcPr>
          <w:p w14:paraId="7FC136B2" w14:textId="25F265B6" w:rsidR="0090637B" w:rsidRPr="00F20364" w:rsidRDefault="0090637B" w:rsidP="0090637B">
            <w:pPr>
              <w:rPr>
                <w:b/>
                <w:bCs/>
                <w:highlight w:val="yellow"/>
              </w:rPr>
            </w:pPr>
            <w:r w:rsidRPr="007F0DC8">
              <w:rPr>
                <w:b/>
                <w:bCs/>
              </w:rPr>
              <w:t xml:space="preserve">5:00 PM on October </w:t>
            </w:r>
            <w:r w:rsidR="00F22239">
              <w:rPr>
                <w:b/>
                <w:bCs/>
              </w:rPr>
              <w:t>30</w:t>
            </w:r>
            <w:r w:rsidRPr="007F0DC8">
              <w:rPr>
                <w:b/>
                <w:bCs/>
              </w:rPr>
              <w:t>, 2020</w:t>
            </w:r>
          </w:p>
        </w:tc>
      </w:tr>
      <w:tr w:rsidR="0090637B" w:rsidRPr="001C2DD8" w14:paraId="34B17B57" w14:textId="77777777" w:rsidTr="0090637B">
        <w:trPr>
          <w:trHeight w:val="350"/>
        </w:trPr>
        <w:tc>
          <w:tcPr>
            <w:tcW w:w="6187" w:type="dxa"/>
            <w:vAlign w:val="center"/>
          </w:tcPr>
          <w:p w14:paraId="17583381" w14:textId="77777777" w:rsidR="0090637B" w:rsidRPr="001C2DD8" w:rsidRDefault="0090637B" w:rsidP="0090637B">
            <w:r w:rsidRPr="001C2DD8">
              <w:t>Interviews Conducted (approximate)</w:t>
            </w:r>
          </w:p>
        </w:tc>
        <w:tc>
          <w:tcPr>
            <w:tcW w:w="3510" w:type="dxa"/>
            <w:vAlign w:val="center"/>
          </w:tcPr>
          <w:p w14:paraId="2DBC87C6" w14:textId="501E6EAF" w:rsidR="0090637B" w:rsidRPr="00F20364" w:rsidRDefault="0090637B" w:rsidP="0090637B">
            <w:pPr>
              <w:rPr>
                <w:highlight w:val="yellow"/>
              </w:rPr>
            </w:pPr>
            <w:r w:rsidRPr="007F0DC8">
              <w:t xml:space="preserve">Week of November </w:t>
            </w:r>
            <w:r w:rsidR="001D383B">
              <w:t>16</w:t>
            </w:r>
            <w:r w:rsidRPr="007F0DC8">
              <w:t>, 2020</w:t>
            </w:r>
          </w:p>
        </w:tc>
      </w:tr>
      <w:tr w:rsidR="0090637B" w:rsidRPr="001C2DD8" w14:paraId="75DC5D74" w14:textId="77777777" w:rsidTr="0090637B">
        <w:trPr>
          <w:trHeight w:val="341"/>
        </w:trPr>
        <w:tc>
          <w:tcPr>
            <w:tcW w:w="6187" w:type="dxa"/>
            <w:vAlign w:val="center"/>
          </w:tcPr>
          <w:p w14:paraId="17D58C3A" w14:textId="77777777" w:rsidR="0090637B" w:rsidRPr="001C2DD8" w:rsidRDefault="0090637B" w:rsidP="0090637B">
            <w:r w:rsidRPr="001C2DD8">
              <w:t>Selection of Qualified Developer (approximate)</w:t>
            </w:r>
          </w:p>
        </w:tc>
        <w:tc>
          <w:tcPr>
            <w:tcW w:w="3510" w:type="dxa"/>
            <w:vAlign w:val="center"/>
          </w:tcPr>
          <w:p w14:paraId="76715BD1" w14:textId="5A489119" w:rsidR="0090637B" w:rsidRPr="00F20364" w:rsidRDefault="001D383B" w:rsidP="0090637B">
            <w:pPr>
              <w:rPr>
                <w:highlight w:val="yellow"/>
              </w:rPr>
            </w:pPr>
            <w:r>
              <w:t>December</w:t>
            </w:r>
            <w:r w:rsidR="0090637B" w:rsidRPr="007F0DC8">
              <w:t xml:space="preserve"> 2020</w:t>
            </w:r>
          </w:p>
        </w:tc>
      </w:tr>
    </w:tbl>
    <w:p w14:paraId="05B2D5F7" w14:textId="11C937C4" w:rsidR="70A989F2" w:rsidRDefault="70A989F2"/>
    <w:p w14:paraId="21FA2726" w14:textId="77777777" w:rsidR="00E464C3" w:rsidRPr="001C2DD8" w:rsidRDefault="00E464C3" w:rsidP="00E464C3">
      <w:bookmarkStart w:id="7" w:name="_Toc20481694"/>
    </w:p>
    <w:p w14:paraId="14BCA7F6" w14:textId="195C9BB0" w:rsidR="00E464C3" w:rsidRPr="001C2DD8" w:rsidRDefault="00E464C3" w:rsidP="00E464C3">
      <w:pPr>
        <w:pStyle w:val="Heading1"/>
      </w:pPr>
      <w:bookmarkStart w:id="8" w:name="_Toc20721602"/>
      <w:r w:rsidRPr="001C2DD8">
        <w:t>DISCLAIMER</w:t>
      </w:r>
      <w:bookmarkEnd w:id="7"/>
      <w:bookmarkEnd w:id="8"/>
    </w:p>
    <w:p w14:paraId="248442F7" w14:textId="68E3D94E" w:rsidR="009919C0" w:rsidRDefault="00E464C3" w:rsidP="00E464C3">
      <w:pPr>
        <w:spacing w:after="360"/>
      </w:pPr>
      <w:r w:rsidRPr="001C2DD8">
        <w:t>The State obtained the information contained in this RFP from sources deemed reliable; however, the State makes no guarantees, warranties, or representations, nor expresses or implies any opinion concerning the accuracy or completeness of the information provided. It is furnished solely as an aid to Interested Parties. Interested Parties are responsible for undertaking all necessary investigation on and off the State Property to determine the suitability of the State Property for Interested Party’s intended use.</w:t>
      </w:r>
    </w:p>
    <w:p w14:paraId="1D9143D4" w14:textId="3FF6E826" w:rsidR="00E464C3" w:rsidRPr="001C2DD8" w:rsidRDefault="009919C0" w:rsidP="00463D5D">
      <w:r>
        <w:br w:type="page"/>
      </w:r>
    </w:p>
    <w:sdt>
      <w:sdtPr>
        <w:rPr>
          <w:rFonts w:ascii="Arial" w:eastAsiaTheme="minorHAnsi" w:hAnsi="Arial" w:cstheme="minorBidi"/>
          <w:color w:val="auto"/>
          <w:sz w:val="24"/>
          <w:szCs w:val="22"/>
        </w:rPr>
        <w:id w:val="-388724990"/>
        <w:docPartObj>
          <w:docPartGallery w:val="Table of Contents"/>
          <w:docPartUnique/>
        </w:docPartObj>
      </w:sdtPr>
      <w:sdtEndPr>
        <w:rPr>
          <w:b/>
          <w:bCs/>
          <w:noProof/>
        </w:rPr>
      </w:sdtEndPr>
      <w:sdtContent>
        <w:p w14:paraId="0109B2DC" w14:textId="77777777" w:rsidR="00E464C3" w:rsidRPr="00433776" w:rsidRDefault="00E464C3" w:rsidP="00E464C3">
          <w:pPr>
            <w:pStyle w:val="TOCHeading"/>
            <w:spacing w:after="240"/>
            <w:rPr>
              <w:rFonts w:ascii="Arial" w:hAnsi="Arial" w:cs="Arial"/>
              <w:color w:val="auto"/>
            </w:rPr>
          </w:pPr>
          <w:r w:rsidRPr="00433776">
            <w:rPr>
              <w:rFonts w:ascii="Arial" w:hAnsi="Arial" w:cs="Arial"/>
              <w:color w:val="auto"/>
            </w:rPr>
            <w:t>Table of Contents</w:t>
          </w:r>
        </w:p>
        <w:p w14:paraId="55E9CC11" w14:textId="0AE1C4EF" w:rsidR="00E464C3" w:rsidRPr="00433776" w:rsidRDefault="00E464C3" w:rsidP="00F07A52">
          <w:pPr>
            <w:pStyle w:val="TOC1"/>
            <w:rPr>
              <w:rFonts w:asciiTheme="minorHAnsi" w:eastAsiaTheme="minorEastAsia" w:hAnsiTheme="minorHAnsi"/>
              <w:noProof/>
              <w:sz w:val="22"/>
            </w:rPr>
          </w:pPr>
          <w:r w:rsidRPr="00433776">
            <w:fldChar w:fldCharType="begin"/>
          </w:r>
          <w:r w:rsidRPr="00433776">
            <w:instrText xml:space="preserve"> TOC \o "1-3" \h \z \u </w:instrText>
          </w:r>
          <w:r w:rsidRPr="00433776">
            <w:fldChar w:fldCharType="separate"/>
          </w:r>
          <w:hyperlink w:anchor="_Toc20721603" w:history="1">
            <w:r w:rsidRPr="00433776">
              <w:rPr>
                <w:rStyle w:val="Hyperlink"/>
                <w:noProof/>
                <w:color w:val="auto"/>
                <w:u w:val="none"/>
              </w:rPr>
              <w:t>INTRODUCTION</w:t>
            </w:r>
            <w:r w:rsidRPr="00433776">
              <w:rPr>
                <w:noProof/>
                <w:webHidden/>
              </w:rPr>
              <w:tab/>
            </w:r>
            <w:r w:rsidR="00F07A52" w:rsidRPr="00433776">
              <w:rPr>
                <w:noProof/>
                <w:webHidden/>
              </w:rPr>
              <w:t>6</w:t>
            </w:r>
          </w:hyperlink>
        </w:p>
        <w:p w14:paraId="05467941" w14:textId="124CB4DB" w:rsidR="00E464C3" w:rsidRPr="00433776" w:rsidRDefault="00C114EE" w:rsidP="00F07A52">
          <w:pPr>
            <w:pStyle w:val="TOC1"/>
            <w:rPr>
              <w:rFonts w:asciiTheme="minorHAnsi" w:eastAsiaTheme="minorEastAsia" w:hAnsiTheme="minorHAnsi"/>
              <w:noProof/>
              <w:sz w:val="22"/>
            </w:rPr>
          </w:pPr>
          <w:hyperlink w:anchor="_Toc20721604" w:history="1">
            <w:r w:rsidR="00E464C3" w:rsidRPr="00433776">
              <w:rPr>
                <w:rStyle w:val="Hyperlink"/>
                <w:noProof/>
                <w:color w:val="auto"/>
                <w:u w:val="none"/>
              </w:rPr>
              <w:t>1.</w:t>
            </w:r>
            <w:r w:rsidR="00F07A52" w:rsidRPr="00433776">
              <w:rPr>
                <w:rStyle w:val="Hyperlink"/>
                <w:noProof/>
                <w:color w:val="auto"/>
                <w:u w:val="none"/>
              </w:rPr>
              <w:t xml:space="preserve"> </w:t>
            </w:r>
            <w:r w:rsidR="00E464C3" w:rsidRPr="00433776">
              <w:rPr>
                <w:rStyle w:val="Hyperlink"/>
                <w:noProof/>
                <w:color w:val="auto"/>
                <w:u w:val="none"/>
              </w:rPr>
              <w:t>DEVELOPMENT OPPORTUNITY OVERVIEW</w:t>
            </w:r>
            <w:r w:rsidR="00F07A52" w:rsidRPr="00433776">
              <w:rPr>
                <w:rStyle w:val="Hyperlink"/>
                <w:noProof/>
                <w:color w:val="auto"/>
                <w:u w:val="none"/>
              </w:rPr>
              <w:t xml:space="preserve"> </w:t>
            </w:r>
            <w:r w:rsidR="00E464C3" w:rsidRPr="00433776">
              <w:rPr>
                <w:noProof/>
                <w:webHidden/>
              </w:rPr>
              <w:tab/>
            </w:r>
            <w:r w:rsidR="006B20BA" w:rsidRPr="00433776">
              <w:rPr>
                <w:noProof/>
                <w:webHidden/>
              </w:rPr>
              <w:t>7</w:t>
            </w:r>
          </w:hyperlink>
        </w:p>
        <w:p w14:paraId="7BA65441" w14:textId="10ED80D0" w:rsidR="00E464C3" w:rsidRPr="00433776" w:rsidRDefault="00C114EE" w:rsidP="00F07A52">
          <w:pPr>
            <w:pStyle w:val="TOC1"/>
            <w:rPr>
              <w:rFonts w:asciiTheme="minorHAnsi" w:eastAsiaTheme="minorEastAsia" w:hAnsiTheme="minorHAnsi"/>
              <w:noProof/>
              <w:sz w:val="22"/>
            </w:rPr>
          </w:pPr>
          <w:hyperlink w:anchor="_Toc20721605" w:history="1">
            <w:r w:rsidR="00E464C3" w:rsidRPr="00433776">
              <w:rPr>
                <w:rStyle w:val="Hyperlink"/>
                <w:noProof/>
                <w:color w:val="auto"/>
                <w:u w:val="none"/>
              </w:rPr>
              <w:t>2.</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DEVELOPMENT PRINCIPLES AND PARAMETERS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_Toc20721605 \h </w:instrText>
            </w:r>
            <w:r w:rsidR="00E464C3" w:rsidRPr="00433776">
              <w:rPr>
                <w:noProof/>
                <w:webHidden/>
              </w:rPr>
            </w:r>
            <w:r w:rsidR="00E464C3" w:rsidRPr="00433776">
              <w:rPr>
                <w:noProof/>
                <w:webHidden/>
              </w:rPr>
              <w:fldChar w:fldCharType="separate"/>
            </w:r>
            <w:r w:rsidR="00576E16">
              <w:rPr>
                <w:noProof/>
                <w:webHidden/>
              </w:rPr>
              <w:t>8</w:t>
            </w:r>
            <w:r w:rsidR="00E464C3" w:rsidRPr="00433776">
              <w:rPr>
                <w:noProof/>
                <w:webHidden/>
              </w:rPr>
              <w:fldChar w:fldCharType="end"/>
            </w:r>
          </w:hyperlink>
        </w:p>
        <w:p w14:paraId="285B9789" w14:textId="21D7D45D" w:rsidR="00E464C3" w:rsidRPr="00433776" w:rsidRDefault="00C114EE" w:rsidP="00F07A52">
          <w:pPr>
            <w:pStyle w:val="TOC1"/>
            <w:rPr>
              <w:rFonts w:asciiTheme="minorHAnsi" w:eastAsiaTheme="minorEastAsia" w:hAnsiTheme="minorHAnsi"/>
              <w:noProof/>
              <w:sz w:val="22"/>
            </w:rPr>
          </w:pPr>
          <w:hyperlink w:anchor="_Toc20721616" w:history="1">
            <w:r w:rsidR="00E464C3" w:rsidRPr="00433776">
              <w:rPr>
                <w:rStyle w:val="Hyperlink"/>
                <w:noProof/>
                <w:color w:val="auto"/>
                <w:u w:val="none"/>
              </w:rPr>
              <w:t>3.</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SITE CONDITIONS AND APPLICABLE LAND USE POLICIES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_Toc20721616 \h </w:instrText>
            </w:r>
            <w:r w:rsidR="00E464C3" w:rsidRPr="00433776">
              <w:rPr>
                <w:noProof/>
                <w:webHidden/>
              </w:rPr>
            </w:r>
            <w:r w:rsidR="00E464C3" w:rsidRPr="00433776">
              <w:rPr>
                <w:noProof/>
                <w:webHidden/>
              </w:rPr>
              <w:fldChar w:fldCharType="separate"/>
            </w:r>
            <w:r w:rsidR="00576E16">
              <w:rPr>
                <w:noProof/>
                <w:webHidden/>
              </w:rPr>
              <w:t>10</w:t>
            </w:r>
            <w:r w:rsidR="00E464C3" w:rsidRPr="00433776">
              <w:rPr>
                <w:noProof/>
                <w:webHidden/>
              </w:rPr>
              <w:fldChar w:fldCharType="end"/>
            </w:r>
          </w:hyperlink>
        </w:p>
        <w:p w14:paraId="5CD13171" w14:textId="008D5FE3" w:rsidR="00E464C3" w:rsidRPr="00433776" w:rsidRDefault="00C114EE" w:rsidP="00F07A52">
          <w:pPr>
            <w:pStyle w:val="TOC1"/>
            <w:rPr>
              <w:rFonts w:asciiTheme="minorHAnsi" w:eastAsiaTheme="minorEastAsia" w:hAnsiTheme="minorHAnsi"/>
              <w:noProof/>
              <w:sz w:val="22"/>
            </w:rPr>
          </w:pPr>
          <w:hyperlink w:anchor="_Toc20721617" w:history="1">
            <w:r w:rsidR="00E464C3" w:rsidRPr="00433776">
              <w:rPr>
                <w:rStyle w:val="Hyperlink"/>
                <w:noProof/>
                <w:color w:val="auto"/>
                <w:u w:val="none"/>
              </w:rPr>
              <w:t>4.</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DEVELOPER’S ROLE</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_Toc20721617 \h </w:instrText>
            </w:r>
            <w:r w:rsidR="00E464C3" w:rsidRPr="00433776">
              <w:rPr>
                <w:noProof/>
                <w:webHidden/>
              </w:rPr>
            </w:r>
            <w:r w:rsidR="00E464C3" w:rsidRPr="00433776">
              <w:rPr>
                <w:noProof/>
                <w:webHidden/>
              </w:rPr>
              <w:fldChar w:fldCharType="separate"/>
            </w:r>
            <w:r w:rsidR="00576E16">
              <w:rPr>
                <w:noProof/>
                <w:webHidden/>
              </w:rPr>
              <w:t>12</w:t>
            </w:r>
            <w:r w:rsidR="00E464C3" w:rsidRPr="00433776">
              <w:rPr>
                <w:noProof/>
                <w:webHidden/>
              </w:rPr>
              <w:fldChar w:fldCharType="end"/>
            </w:r>
          </w:hyperlink>
        </w:p>
        <w:p w14:paraId="6062B19D" w14:textId="17E39355" w:rsidR="00E464C3" w:rsidRPr="00433776" w:rsidRDefault="00C114EE" w:rsidP="00F07A52">
          <w:pPr>
            <w:pStyle w:val="TOC1"/>
            <w:rPr>
              <w:rFonts w:asciiTheme="minorHAnsi" w:eastAsiaTheme="minorEastAsia" w:hAnsiTheme="minorHAnsi"/>
              <w:noProof/>
              <w:sz w:val="22"/>
            </w:rPr>
          </w:pPr>
          <w:hyperlink w:anchor="_Toc20721618" w:history="1">
            <w:r w:rsidR="00E464C3" w:rsidRPr="00433776">
              <w:rPr>
                <w:rStyle w:val="Hyperlink"/>
                <w:noProof/>
                <w:color w:val="auto"/>
                <w:u w:val="none"/>
              </w:rPr>
              <w:t>5.</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TRANSACTIONAL TERMS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_Toc20721618 \h </w:instrText>
            </w:r>
            <w:r w:rsidR="00E464C3" w:rsidRPr="00433776">
              <w:rPr>
                <w:noProof/>
                <w:webHidden/>
              </w:rPr>
            </w:r>
            <w:r w:rsidR="00E464C3" w:rsidRPr="00433776">
              <w:rPr>
                <w:noProof/>
                <w:webHidden/>
              </w:rPr>
              <w:fldChar w:fldCharType="separate"/>
            </w:r>
            <w:r w:rsidR="00576E16">
              <w:rPr>
                <w:noProof/>
                <w:webHidden/>
              </w:rPr>
              <w:t>14</w:t>
            </w:r>
            <w:r w:rsidR="00E464C3" w:rsidRPr="00433776">
              <w:rPr>
                <w:noProof/>
                <w:webHidden/>
              </w:rPr>
              <w:fldChar w:fldCharType="end"/>
            </w:r>
          </w:hyperlink>
        </w:p>
        <w:p w14:paraId="1E16B085" w14:textId="2E0D9A22" w:rsidR="00E464C3" w:rsidRPr="00433776" w:rsidRDefault="00C114EE" w:rsidP="00F07A52">
          <w:pPr>
            <w:pStyle w:val="TOC1"/>
            <w:rPr>
              <w:rFonts w:asciiTheme="minorHAnsi" w:eastAsiaTheme="minorEastAsia" w:hAnsiTheme="minorHAnsi"/>
              <w:noProof/>
              <w:sz w:val="22"/>
            </w:rPr>
          </w:pPr>
          <w:hyperlink w:anchor="_Toc20721622" w:history="1">
            <w:r w:rsidR="00E464C3" w:rsidRPr="00433776">
              <w:rPr>
                <w:rStyle w:val="Hyperlink"/>
                <w:noProof/>
                <w:color w:val="auto"/>
                <w:u w:val="none"/>
              </w:rPr>
              <w:t>6.</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RFP SUBMITTAL REQUIREMENTS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_Toc20721622 \h </w:instrText>
            </w:r>
            <w:r w:rsidR="00E464C3" w:rsidRPr="00433776">
              <w:rPr>
                <w:noProof/>
                <w:webHidden/>
              </w:rPr>
            </w:r>
            <w:r w:rsidR="00E464C3" w:rsidRPr="00433776">
              <w:rPr>
                <w:noProof/>
                <w:webHidden/>
              </w:rPr>
              <w:fldChar w:fldCharType="separate"/>
            </w:r>
            <w:r w:rsidR="00576E16">
              <w:rPr>
                <w:noProof/>
                <w:webHidden/>
              </w:rPr>
              <w:t>16</w:t>
            </w:r>
            <w:r w:rsidR="00E464C3" w:rsidRPr="00433776">
              <w:rPr>
                <w:noProof/>
                <w:webHidden/>
              </w:rPr>
              <w:fldChar w:fldCharType="end"/>
            </w:r>
          </w:hyperlink>
        </w:p>
        <w:p w14:paraId="677E9C35" w14:textId="5B4DC8D5" w:rsidR="00E464C3" w:rsidRPr="00433776" w:rsidRDefault="00C114EE" w:rsidP="00315323">
          <w:pPr>
            <w:pStyle w:val="TOC2"/>
            <w:rPr>
              <w:rFonts w:asciiTheme="minorHAnsi" w:eastAsiaTheme="minorEastAsia" w:hAnsiTheme="minorHAnsi"/>
              <w:noProof/>
              <w:sz w:val="22"/>
            </w:rPr>
          </w:pPr>
          <w:hyperlink w:anchor="_Toc20721623" w:history="1">
            <w:r w:rsidR="00E464C3" w:rsidRPr="00433776">
              <w:rPr>
                <w:rStyle w:val="Hyperlink"/>
                <w:noProof/>
                <w:color w:val="auto"/>
                <w:u w:val="none"/>
              </w:rPr>
              <w:t>Proposal Guidelines and Format</w:t>
            </w:r>
            <w:r w:rsidR="00E464C3" w:rsidRPr="00433776">
              <w:rPr>
                <w:noProof/>
                <w:webHidden/>
              </w:rPr>
              <w:tab/>
            </w:r>
            <w:r w:rsidR="00576E16">
              <w:rPr>
                <w:noProof/>
                <w:webHidden/>
              </w:rPr>
              <w:t>16</w:t>
            </w:r>
          </w:hyperlink>
        </w:p>
        <w:p w14:paraId="7F3B7870" w14:textId="2F7857D6" w:rsidR="00E464C3" w:rsidRPr="00433776" w:rsidRDefault="00C114EE" w:rsidP="00315323">
          <w:pPr>
            <w:pStyle w:val="TOC3"/>
            <w:rPr>
              <w:rFonts w:asciiTheme="minorHAnsi" w:eastAsiaTheme="minorEastAsia" w:hAnsiTheme="minorHAnsi"/>
              <w:noProof/>
              <w:sz w:val="22"/>
            </w:rPr>
          </w:pPr>
          <w:hyperlink w:anchor="_Toc20721624" w:history="1">
            <w:r w:rsidR="00E464C3" w:rsidRPr="00433776">
              <w:rPr>
                <w:rStyle w:val="Hyperlink"/>
                <w:noProof/>
                <w:color w:val="auto"/>
                <w:u w:val="none"/>
              </w:rPr>
              <w:t>1.</w:t>
            </w:r>
            <w:r w:rsidR="00E464C3" w:rsidRPr="00433776">
              <w:rPr>
                <w:rFonts w:asciiTheme="minorHAnsi" w:eastAsiaTheme="minorEastAsia" w:hAnsiTheme="minorHAnsi"/>
                <w:noProof/>
                <w:sz w:val="22"/>
              </w:rPr>
              <w:tab/>
            </w:r>
            <w:r w:rsidR="00E464C3" w:rsidRPr="00433776">
              <w:rPr>
                <w:rStyle w:val="Hyperlink"/>
                <w:noProof/>
                <w:color w:val="auto"/>
                <w:u w:val="none"/>
              </w:rPr>
              <w:t>Cover Letter</w:t>
            </w:r>
            <w:r w:rsidR="00E464C3" w:rsidRPr="00433776">
              <w:rPr>
                <w:noProof/>
                <w:webHidden/>
              </w:rPr>
              <w:tab/>
            </w:r>
            <w:r w:rsidR="00576E16">
              <w:rPr>
                <w:noProof/>
                <w:webHidden/>
              </w:rPr>
              <w:t>16</w:t>
            </w:r>
          </w:hyperlink>
        </w:p>
        <w:p w14:paraId="27886311" w14:textId="70E605B9" w:rsidR="00E464C3" w:rsidRPr="00433776" w:rsidRDefault="00C114EE" w:rsidP="00315323">
          <w:pPr>
            <w:pStyle w:val="TOC3"/>
            <w:rPr>
              <w:rFonts w:asciiTheme="minorHAnsi" w:eastAsiaTheme="minorEastAsia" w:hAnsiTheme="minorHAnsi"/>
              <w:noProof/>
              <w:sz w:val="22"/>
            </w:rPr>
          </w:pPr>
          <w:hyperlink w:anchor="_Toc20721625" w:history="1">
            <w:r w:rsidR="00E464C3" w:rsidRPr="00433776">
              <w:rPr>
                <w:rStyle w:val="Hyperlink"/>
                <w:noProof/>
                <w:color w:val="auto"/>
                <w:u w:val="none"/>
              </w:rPr>
              <w:t>2.</w:t>
            </w:r>
            <w:r w:rsidR="00E464C3" w:rsidRPr="00433776">
              <w:rPr>
                <w:rFonts w:asciiTheme="minorHAnsi" w:eastAsiaTheme="minorEastAsia" w:hAnsiTheme="minorHAnsi"/>
                <w:noProof/>
                <w:sz w:val="22"/>
              </w:rPr>
              <w:tab/>
            </w:r>
            <w:r w:rsidR="00E464C3" w:rsidRPr="00433776">
              <w:rPr>
                <w:rStyle w:val="Hyperlink"/>
                <w:noProof/>
                <w:color w:val="auto"/>
                <w:u w:val="none"/>
              </w:rPr>
              <w:t>Development Entity</w:t>
            </w:r>
            <w:r w:rsidR="00E464C3" w:rsidRPr="00433776">
              <w:rPr>
                <w:noProof/>
                <w:webHidden/>
              </w:rPr>
              <w:tab/>
            </w:r>
            <w:r w:rsidR="00576E16">
              <w:rPr>
                <w:noProof/>
                <w:webHidden/>
              </w:rPr>
              <w:t>16</w:t>
            </w:r>
          </w:hyperlink>
        </w:p>
        <w:p w14:paraId="364D38C0" w14:textId="342CDA3E" w:rsidR="00E464C3" w:rsidRPr="00433776" w:rsidRDefault="00C114EE" w:rsidP="00315323">
          <w:pPr>
            <w:pStyle w:val="TOC3"/>
            <w:rPr>
              <w:rFonts w:asciiTheme="minorHAnsi" w:eastAsiaTheme="minorEastAsia" w:hAnsiTheme="minorHAnsi"/>
              <w:noProof/>
              <w:sz w:val="22"/>
            </w:rPr>
          </w:pPr>
          <w:hyperlink w:anchor="_Toc20721626" w:history="1">
            <w:r w:rsidR="00E464C3" w:rsidRPr="00433776">
              <w:rPr>
                <w:rStyle w:val="Hyperlink"/>
                <w:noProof/>
                <w:color w:val="auto"/>
                <w:u w:val="none"/>
              </w:rPr>
              <w:t>3.</w:t>
            </w:r>
            <w:r w:rsidR="00E464C3" w:rsidRPr="00433776">
              <w:rPr>
                <w:rFonts w:asciiTheme="minorHAnsi" w:eastAsiaTheme="minorEastAsia" w:hAnsiTheme="minorHAnsi"/>
                <w:noProof/>
                <w:sz w:val="22"/>
              </w:rPr>
              <w:tab/>
            </w:r>
            <w:r w:rsidR="00E464C3" w:rsidRPr="00433776">
              <w:rPr>
                <w:rStyle w:val="Hyperlink"/>
                <w:noProof/>
                <w:color w:val="auto"/>
                <w:u w:val="none"/>
              </w:rPr>
              <w:t>Proposed Development</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_Toc20721626 \h </w:instrText>
            </w:r>
            <w:r w:rsidR="00E464C3" w:rsidRPr="00433776">
              <w:rPr>
                <w:noProof/>
                <w:webHidden/>
              </w:rPr>
            </w:r>
            <w:r w:rsidR="00E464C3" w:rsidRPr="00433776">
              <w:rPr>
                <w:noProof/>
                <w:webHidden/>
              </w:rPr>
              <w:fldChar w:fldCharType="separate"/>
            </w:r>
            <w:r w:rsidR="00576E16">
              <w:rPr>
                <w:noProof/>
                <w:webHidden/>
              </w:rPr>
              <w:t>18</w:t>
            </w:r>
            <w:r w:rsidR="00E464C3" w:rsidRPr="00433776">
              <w:rPr>
                <w:noProof/>
                <w:webHidden/>
              </w:rPr>
              <w:fldChar w:fldCharType="end"/>
            </w:r>
          </w:hyperlink>
        </w:p>
        <w:p w14:paraId="4B86F2B8" w14:textId="71A4CDA0" w:rsidR="00E464C3" w:rsidRPr="00433776" w:rsidRDefault="00C114EE" w:rsidP="00315323">
          <w:pPr>
            <w:pStyle w:val="TOC3"/>
            <w:rPr>
              <w:rFonts w:asciiTheme="minorHAnsi" w:eastAsiaTheme="minorEastAsia" w:hAnsiTheme="minorHAnsi"/>
              <w:noProof/>
              <w:sz w:val="22"/>
            </w:rPr>
          </w:pPr>
          <w:hyperlink w:anchor="_Toc20721627" w:history="1">
            <w:r w:rsidR="00E464C3" w:rsidRPr="00433776">
              <w:rPr>
                <w:rStyle w:val="Hyperlink"/>
                <w:noProof/>
                <w:color w:val="auto"/>
                <w:u w:val="none"/>
              </w:rPr>
              <w:t>4.</w:t>
            </w:r>
            <w:r w:rsidR="00E464C3" w:rsidRPr="00433776">
              <w:rPr>
                <w:rFonts w:asciiTheme="minorHAnsi" w:eastAsiaTheme="minorEastAsia" w:hAnsiTheme="minorHAnsi"/>
                <w:noProof/>
                <w:sz w:val="22"/>
              </w:rPr>
              <w:tab/>
            </w:r>
            <w:r w:rsidR="00E464C3" w:rsidRPr="00433776">
              <w:rPr>
                <w:rStyle w:val="Hyperlink"/>
                <w:noProof/>
                <w:color w:val="auto"/>
                <w:u w:val="none"/>
              </w:rPr>
              <w:t>Financing Plan and Development Pro Forma</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_Toc20721627 \h </w:instrText>
            </w:r>
            <w:r w:rsidR="00E464C3" w:rsidRPr="00433776">
              <w:rPr>
                <w:noProof/>
                <w:webHidden/>
              </w:rPr>
            </w:r>
            <w:r w:rsidR="00E464C3" w:rsidRPr="00433776">
              <w:rPr>
                <w:noProof/>
                <w:webHidden/>
              </w:rPr>
              <w:fldChar w:fldCharType="separate"/>
            </w:r>
            <w:r w:rsidR="00576E16">
              <w:rPr>
                <w:noProof/>
                <w:webHidden/>
              </w:rPr>
              <w:t>19</w:t>
            </w:r>
            <w:r w:rsidR="00E464C3" w:rsidRPr="00433776">
              <w:rPr>
                <w:noProof/>
                <w:webHidden/>
              </w:rPr>
              <w:fldChar w:fldCharType="end"/>
            </w:r>
          </w:hyperlink>
        </w:p>
        <w:p w14:paraId="131A55F0" w14:textId="7B5AA5EB" w:rsidR="00E464C3" w:rsidRPr="00433776" w:rsidRDefault="00C114EE" w:rsidP="00F07A52">
          <w:pPr>
            <w:pStyle w:val="TOC1"/>
            <w:rPr>
              <w:rFonts w:asciiTheme="minorHAnsi" w:eastAsiaTheme="minorEastAsia" w:hAnsiTheme="minorHAnsi"/>
              <w:noProof/>
              <w:sz w:val="22"/>
            </w:rPr>
          </w:pPr>
          <w:hyperlink w:anchor="_Toc20721628" w:history="1">
            <w:r w:rsidR="00E464C3" w:rsidRPr="00433776">
              <w:rPr>
                <w:rStyle w:val="Hyperlink"/>
                <w:noProof/>
                <w:color w:val="auto"/>
                <w:u w:val="none"/>
              </w:rPr>
              <w:t>7.</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EVALUATION PROCESS</w:t>
            </w:r>
            <w:r w:rsidR="00E464C3" w:rsidRPr="00433776">
              <w:rPr>
                <w:noProof/>
                <w:webHidden/>
              </w:rPr>
              <w:tab/>
            </w:r>
            <w:r w:rsidR="00C52ADE" w:rsidRPr="00433776">
              <w:rPr>
                <w:noProof/>
                <w:webHidden/>
              </w:rPr>
              <w:t>2</w:t>
            </w:r>
            <w:r w:rsidR="00576E16">
              <w:rPr>
                <w:noProof/>
                <w:webHidden/>
              </w:rPr>
              <w:t>1</w:t>
            </w:r>
          </w:hyperlink>
        </w:p>
        <w:p w14:paraId="535B3969" w14:textId="4993BB07" w:rsidR="00E464C3" w:rsidRPr="00433776" w:rsidRDefault="00C114EE" w:rsidP="00F07A52">
          <w:pPr>
            <w:pStyle w:val="TOC1"/>
            <w:rPr>
              <w:rFonts w:asciiTheme="minorHAnsi" w:eastAsiaTheme="minorEastAsia" w:hAnsiTheme="minorHAnsi"/>
              <w:noProof/>
              <w:sz w:val="22"/>
            </w:rPr>
          </w:pPr>
          <w:hyperlink w:anchor="_Toc20721636" w:history="1">
            <w:r w:rsidR="00E464C3" w:rsidRPr="00433776">
              <w:rPr>
                <w:rStyle w:val="Hyperlink"/>
                <w:noProof/>
                <w:color w:val="auto"/>
                <w:u w:val="none"/>
              </w:rPr>
              <w:t>8.</w:t>
            </w:r>
            <w:r w:rsidR="00F07A52" w:rsidRPr="00433776">
              <w:rPr>
                <w:rFonts w:asciiTheme="minorHAnsi" w:eastAsiaTheme="minorEastAsia" w:hAnsiTheme="minorHAnsi"/>
                <w:noProof/>
                <w:sz w:val="22"/>
              </w:rPr>
              <w:t xml:space="preserve"> </w:t>
            </w:r>
            <w:r w:rsidR="00150AC4" w:rsidRPr="00433776">
              <w:rPr>
                <w:rStyle w:val="Hyperlink"/>
                <w:noProof/>
                <w:color w:val="auto"/>
                <w:u w:val="none"/>
              </w:rPr>
              <w:t>EVALUATION CRITERIA</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_Toc20721636 \h </w:instrText>
            </w:r>
            <w:r w:rsidR="00E464C3" w:rsidRPr="00433776">
              <w:rPr>
                <w:noProof/>
                <w:webHidden/>
              </w:rPr>
            </w:r>
            <w:r w:rsidR="00E464C3" w:rsidRPr="00433776">
              <w:rPr>
                <w:noProof/>
                <w:webHidden/>
              </w:rPr>
              <w:fldChar w:fldCharType="separate"/>
            </w:r>
            <w:r w:rsidR="00576E16">
              <w:rPr>
                <w:noProof/>
                <w:webHidden/>
              </w:rPr>
              <w:t>22</w:t>
            </w:r>
            <w:r w:rsidR="00E464C3" w:rsidRPr="00433776">
              <w:rPr>
                <w:noProof/>
                <w:webHidden/>
              </w:rPr>
              <w:fldChar w:fldCharType="end"/>
            </w:r>
          </w:hyperlink>
        </w:p>
        <w:p w14:paraId="6DB65386" w14:textId="5CABE780" w:rsidR="00E464C3" w:rsidRPr="00433776" w:rsidRDefault="00C114EE" w:rsidP="00E664C1">
          <w:pPr>
            <w:pStyle w:val="TOC2"/>
            <w:numPr>
              <w:ilvl w:val="0"/>
              <w:numId w:val="26"/>
            </w:numPr>
            <w:ind w:left="810"/>
            <w:rPr>
              <w:rFonts w:asciiTheme="minorHAnsi" w:eastAsiaTheme="minorEastAsia" w:hAnsiTheme="minorHAnsi"/>
              <w:noProof/>
              <w:sz w:val="22"/>
            </w:rPr>
          </w:pPr>
          <w:hyperlink w:anchor="_Toc20721637" w:history="1">
            <w:r w:rsidR="00E464C3" w:rsidRPr="00433776">
              <w:rPr>
                <w:rStyle w:val="Hyperlink"/>
                <w:noProof/>
                <w:color w:val="auto"/>
                <w:u w:val="none"/>
              </w:rPr>
              <w:t>Affordability</w:t>
            </w:r>
            <w:r w:rsidR="00150AC4" w:rsidRPr="00433776">
              <w:rPr>
                <w:rStyle w:val="Hyperlink"/>
                <w:noProof/>
                <w:color w:val="auto"/>
                <w:u w:val="none"/>
              </w:rPr>
              <w:t xml:space="preserve"> and Market Context</w:t>
            </w:r>
            <w:r w:rsidR="00E464C3" w:rsidRPr="00433776">
              <w:rPr>
                <w:rStyle w:val="Hyperlink"/>
                <w:noProof/>
                <w:color w:val="auto"/>
                <w:u w:val="none"/>
              </w:rPr>
              <w:t xml:space="preserve">: </w:t>
            </w:r>
            <w:r w:rsidR="00150AC4" w:rsidRPr="00433776">
              <w:rPr>
                <w:rStyle w:val="Hyperlink"/>
                <w:noProof/>
                <w:color w:val="auto"/>
                <w:u w:val="none"/>
              </w:rPr>
              <w:t>200</w:t>
            </w:r>
            <w:r w:rsidR="00E464C3" w:rsidRPr="00433776">
              <w:rPr>
                <w:rStyle w:val="Hyperlink"/>
                <w:noProof/>
                <w:color w:val="auto"/>
                <w:u w:val="none"/>
              </w:rPr>
              <w:t xml:space="preserve">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_Toc20721637 \h </w:instrText>
            </w:r>
            <w:r w:rsidR="00E464C3" w:rsidRPr="00433776">
              <w:rPr>
                <w:noProof/>
                <w:webHidden/>
              </w:rPr>
            </w:r>
            <w:r w:rsidR="00E464C3" w:rsidRPr="00433776">
              <w:rPr>
                <w:noProof/>
                <w:webHidden/>
              </w:rPr>
              <w:fldChar w:fldCharType="separate"/>
            </w:r>
            <w:r w:rsidR="00576E16">
              <w:rPr>
                <w:noProof/>
                <w:webHidden/>
              </w:rPr>
              <w:t>22</w:t>
            </w:r>
            <w:r w:rsidR="00E464C3" w:rsidRPr="00433776">
              <w:rPr>
                <w:noProof/>
                <w:webHidden/>
              </w:rPr>
              <w:fldChar w:fldCharType="end"/>
            </w:r>
          </w:hyperlink>
        </w:p>
        <w:p w14:paraId="06AF3F7B" w14:textId="76DE4C6E" w:rsidR="00E464C3" w:rsidRPr="00433776" w:rsidRDefault="00C114EE" w:rsidP="00E664C1">
          <w:pPr>
            <w:pStyle w:val="TOC2"/>
            <w:numPr>
              <w:ilvl w:val="0"/>
              <w:numId w:val="26"/>
            </w:numPr>
            <w:ind w:left="810"/>
            <w:rPr>
              <w:rFonts w:asciiTheme="minorHAnsi" w:eastAsiaTheme="minorEastAsia" w:hAnsiTheme="minorHAnsi"/>
              <w:noProof/>
              <w:sz w:val="22"/>
            </w:rPr>
          </w:pPr>
          <w:hyperlink w:anchor="_Toc20721638" w:history="1">
            <w:r w:rsidR="00E464C3" w:rsidRPr="00433776">
              <w:rPr>
                <w:rStyle w:val="Hyperlink"/>
                <w:noProof/>
                <w:color w:val="auto"/>
                <w:u w:val="none"/>
              </w:rPr>
              <w:t xml:space="preserve">Financial Offer and Feasibility: </w:t>
            </w:r>
            <w:r w:rsidR="00593BBE">
              <w:rPr>
                <w:rStyle w:val="Hyperlink"/>
                <w:noProof/>
                <w:color w:val="auto"/>
                <w:u w:val="none"/>
              </w:rPr>
              <w:t>175</w:t>
            </w:r>
            <w:r w:rsidR="00E464C3" w:rsidRPr="00433776">
              <w:rPr>
                <w:rStyle w:val="Hyperlink"/>
                <w:noProof/>
                <w:color w:val="auto"/>
                <w:u w:val="none"/>
              </w:rPr>
              <w:t xml:space="preserve">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_Toc20721638 \h </w:instrText>
            </w:r>
            <w:r w:rsidR="00E464C3" w:rsidRPr="00433776">
              <w:rPr>
                <w:noProof/>
                <w:webHidden/>
              </w:rPr>
            </w:r>
            <w:r w:rsidR="00E464C3" w:rsidRPr="00433776">
              <w:rPr>
                <w:noProof/>
                <w:webHidden/>
              </w:rPr>
              <w:fldChar w:fldCharType="separate"/>
            </w:r>
            <w:r w:rsidR="00576E16">
              <w:rPr>
                <w:noProof/>
                <w:webHidden/>
              </w:rPr>
              <w:t>23</w:t>
            </w:r>
            <w:r w:rsidR="00E464C3" w:rsidRPr="00433776">
              <w:rPr>
                <w:noProof/>
                <w:webHidden/>
              </w:rPr>
              <w:fldChar w:fldCharType="end"/>
            </w:r>
          </w:hyperlink>
        </w:p>
        <w:p w14:paraId="0C2318A5" w14:textId="0013925E" w:rsidR="00E464C3" w:rsidRPr="00433776" w:rsidRDefault="00C114EE" w:rsidP="00E664C1">
          <w:pPr>
            <w:pStyle w:val="TOC2"/>
            <w:numPr>
              <w:ilvl w:val="0"/>
              <w:numId w:val="26"/>
            </w:numPr>
            <w:ind w:left="810"/>
            <w:rPr>
              <w:rFonts w:asciiTheme="minorHAnsi" w:eastAsiaTheme="minorEastAsia" w:hAnsiTheme="minorHAnsi"/>
              <w:noProof/>
              <w:sz w:val="22"/>
            </w:rPr>
          </w:pPr>
          <w:hyperlink w:anchor="_Toc20721639" w:history="1">
            <w:r w:rsidR="00E464C3" w:rsidRPr="00433776">
              <w:rPr>
                <w:rStyle w:val="Hyperlink"/>
                <w:noProof/>
                <w:color w:val="auto"/>
                <w:u w:val="none"/>
              </w:rPr>
              <w:t xml:space="preserve">Financial Offer and Feasibility: </w:t>
            </w:r>
            <w:r w:rsidR="00150AC4" w:rsidRPr="00433776">
              <w:rPr>
                <w:rStyle w:val="Hyperlink"/>
                <w:noProof/>
                <w:color w:val="auto"/>
                <w:u w:val="none"/>
              </w:rPr>
              <w:t>15</w:t>
            </w:r>
            <w:r w:rsidR="00E464C3" w:rsidRPr="00433776">
              <w:rPr>
                <w:rStyle w:val="Hyperlink"/>
                <w:noProof/>
                <w:color w:val="auto"/>
                <w:u w:val="none"/>
              </w:rPr>
              <w:t>0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_Toc20721639 \h </w:instrText>
            </w:r>
            <w:r w:rsidR="00E464C3" w:rsidRPr="00433776">
              <w:rPr>
                <w:noProof/>
                <w:webHidden/>
              </w:rPr>
            </w:r>
            <w:r w:rsidR="00E464C3" w:rsidRPr="00433776">
              <w:rPr>
                <w:noProof/>
                <w:webHidden/>
              </w:rPr>
              <w:fldChar w:fldCharType="separate"/>
            </w:r>
            <w:r w:rsidR="00576E16">
              <w:rPr>
                <w:noProof/>
                <w:webHidden/>
              </w:rPr>
              <w:t>24</w:t>
            </w:r>
            <w:r w:rsidR="00E464C3" w:rsidRPr="00433776">
              <w:rPr>
                <w:noProof/>
                <w:webHidden/>
              </w:rPr>
              <w:fldChar w:fldCharType="end"/>
            </w:r>
          </w:hyperlink>
        </w:p>
        <w:p w14:paraId="397525F1" w14:textId="09644C3B" w:rsidR="00E464C3" w:rsidRPr="00433776" w:rsidRDefault="00C114EE" w:rsidP="00E664C1">
          <w:pPr>
            <w:pStyle w:val="TOC2"/>
            <w:numPr>
              <w:ilvl w:val="0"/>
              <w:numId w:val="26"/>
            </w:numPr>
            <w:ind w:left="810"/>
            <w:rPr>
              <w:rFonts w:asciiTheme="minorHAnsi" w:eastAsiaTheme="minorEastAsia" w:hAnsiTheme="minorHAnsi"/>
              <w:noProof/>
              <w:sz w:val="22"/>
            </w:rPr>
          </w:pPr>
          <w:hyperlink w:anchor="_Toc20721640" w:history="1">
            <w:r w:rsidR="00E464C3" w:rsidRPr="00433776">
              <w:rPr>
                <w:rStyle w:val="Hyperlink"/>
                <w:noProof/>
                <w:color w:val="auto"/>
                <w:u w:val="none"/>
              </w:rPr>
              <w:t xml:space="preserve">Development Program: </w:t>
            </w:r>
            <w:r w:rsidR="00593BBE">
              <w:rPr>
                <w:rStyle w:val="Hyperlink"/>
                <w:noProof/>
                <w:color w:val="auto"/>
                <w:u w:val="none"/>
              </w:rPr>
              <w:t>300</w:t>
            </w:r>
            <w:r w:rsidR="00E464C3" w:rsidRPr="00433776">
              <w:rPr>
                <w:rStyle w:val="Hyperlink"/>
                <w:noProof/>
                <w:color w:val="auto"/>
                <w:u w:val="none"/>
              </w:rPr>
              <w:t xml:space="preserve">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_Toc20721640 \h </w:instrText>
            </w:r>
            <w:r w:rsidR="00E464C3" w:rsidRPr="00433776">
              <w:rPr>
                <w:noProof/>
                <w:webHidden/>
              </w:rPr>
            </w:r>
            <w:r w:rsidR="00E464C3" w:rsidRPr="00433776">
              <w:rPr>
                <w:noProof/>
                <w:webHidden/>
              </w:rPr>
              <w:fldChar w:fldCharType="separate"/>
            </w:r>
            <w:r w:rsidR="00576E16">
              <w:rPr>
                <w:noProof/>
                <w:webHidden/>
              </w:rPr>
              <w:t>24</w:t>
            </w:r>
            <w:r w:rsidR="00E464C3" w:rsidRPr="00433776">
              <w:rPr>
                <w:noProof/>
                <w:webHidden/>
              </w:rPr>
              <w:fldChar w:fldCharType="end"/>
            </w:r>
          </w:hyperlink>
        </w:p>
        <w:p w14:paraId="5E3D6AA3" w14:textId="1746EC5A" w:rsidR="00E464C3" w:rsidRPr="00433776" w:rsidRDefault="00C114EE" w:rsidP="00E664C1">
          <w:pPr>
            <w:pStyle w:val="TOC2"/>
            <w:numPr>
              <w:ilvl w:val="0"/>
              <w:numId w:val="26"/>
            </w:numPr>
            <w:ind w:left="810"/>
            <w:rPr>
              <w:rFonts w:asciiTheme="minorHAnsi" w:eastAsiaTheme="minorEastAsia" w:hAnsiTheme="minorHAnsi"/>
              <w:noProof/>
              <w:sz w:val="22"/>
            </w:rPr>
          </w:pPr>
          <w:hyperlink w:anchor="_Toc20721641" w:history="1">
            <w:r w:rsidR="00E464C3" w:rsidRPr="00433776">
              <w:rPr>
                <w:rStyle w:val="Hyperlink"/>
                <w:noProof/>
                <w:color w:val="auto"/>
                <w:u w:val="none"/>
              </w:rPr>
              <w:t xml:space="preserve">Community Benefit: </w:t>
            </w:r>
            <w:r w:rsidR="00E464C3" w:rsidRPr="009919C0">
              <w:rPr>
                <w:rStyle w:val="Hyperlink"/>
                <w:noProof/>
                <w:color w:val="auto"/>
                <w:u w:val="none"/>
              </w:rPr>
              <w:t>1</w:t>
            </w:r>
            <w:r w:rsidR="00150AC4" w:rsidRPr="009919C0">
              <w:rPr>
                <w:rStyle w:val="Hyperlink"/>
                <w:noProof/>
                <w:color w:val="auto"/>
                <w:u w:val="none"/>
              </w:rPr>
              <w:t>75</w:t>
            </w:r>
            <w:r w:rsidR="00E464C3" w:rsidRPr="00433776">
              <w:rPr>
                <w:rStyle w:val="Hyperlink"/>
                <w:noProof/>
                <w:color w:val="auto"/>
                <w:u w:val="none"/>
              </w:rPr>
              <w:t xml:space="preserve">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_Toc20721641 \h </w:instrText>
            </w:r>
            <w:r w:rsidR="00E464C3" w:rsidRPr="00433776">
              <w:rPr>
                <w:noProof/>
                <w:webHidden/>
              </w:rPr>
            </w:r>
            <w:r w:rsidR="00E464C3" w:rsidRPr="00433776">
              <w:rPr>
                <w:noProof/>
                <w:webHidden/>
              </w:rPr>
              <w:fldChar w:fldCharType="separate"/>
            </w:r>
            <w:r w:rsidR="00576E16">
              <w:rPr>
                <w:noProof/>
                <w:webHidden/>
              </w:rPr>
              <w:t>25</w:t>
            </w:r>
            <w:r w:rsidR="00E464C3" w:rsidRPr="00433776">
              <w:rPr>
                <w:noProof/>
                <w:webHidden/>
              </w:rPr>
              <w:fldChar w:fldCharType="end"/>
            </w:r>
          </w:hyperlink>
        </w:p>
        <w:p w14:paraId="7530D21E" w14:textId="373DDBE1" w:rsidR="00E464C3" w:rsidRPr="001C2DD8" w:rsidRDefault="00E464C3" w:rsidP="00E464C3">
          <w:r w:rsidRPr="00433776">
            <w:rPr>
              <w:b/>
              <w:bCs/>
              <w:noProof/>
            </w:rPr>
            <w:fldChar w:fldCharType="end"/>
          </w:r>
        </w:p>
      </w:sdtContent>
    </w:sdt>
    <w:p w14:paraId="6CF9C01B" w14:textId="77777777" w:rsidR="00E464C3" w:rsidRPr="002F75A0" w:rsidRDefault="00E464C3" w:rsidP="00E464C3">
      <w:r w:rsidRPr="002F75A0">
        <w:t>EXHIBITS</w:t>
      </w:r>
    </w:p>
    <w:p w14:paraId="444BCBB6" w14:textId="77777777" w:rsidR="00E464C3" w:rsidRPr="002F75A0" w:rsidRDefault="00E464C3" w:rsidP="00E664C1">
      <w:pPr>
        <w:pStyle w:val="ListParagraph"/>
        <w:numPr>
          <w:ilvl w:val="0"/>
          <w:numId w:val="24"/>
        </w:numPr>
      </w:pPr>
      <w:r w:rsidRPr="002F75A0">
        <w:t>Executive Order EO N-06-19</w:t>
      </w:r>
    </w:p>
    <w:p w14:paraId="2AD2E15B" w14:textId="3FAEE1BC" w:rsidR="00E464C3" w:rsidRPr="002F75A0" w:rsidRDefault="00E464C3" w:rsidP="00E664C1">
      <w:pPr>
        <w:pStyle w:val="ListParagraph"/>
        <w:numPr>
          <w:ilvl w:val="0"/>
          <w:numId w:val="24"/>
        </w:numPr>
      </w:pPr>
      <w:r w:rsidRPr="002F75A0">
        <w:t xml:space="preserve">Government Code </w:t>
      </w:r>
      <w:r w:rsidR="002745D0" w:rsidRPr="002F75A0">
        <w:t>S</w:t>
      </w:r>
      <w:r w:rsidRPr="002F75A0">
        <w:t>ection 14671.2</w:t>
      </w:r>
    </w:p>
    <w:p w14:paraId="13F404F4" w14:textId="6B0FFDC8" w:rsidR="00E464C3" w:rsidRPr="002F75A0" w:rsidRDefault="00E464C3" w:rsidP="00E664C1">
      <w:pPr>
        <w:pStyle w:val="ListParagraph"/>
        <w:numPr>
          <w:ilvl w:val="0"/>
          <w:numId w:val="24"/>
        </w:numPr>
      </w:pPr>
      <w:r w:rsidRPr="002F75A0">
        <w:t>Site Analysis and Concept</w:t>
      </w:r>
      <w:r w:rsidR="00DB407B" w:rsidRPr="002F75A0">
        <w:t xml:space="preserve"> </w:t>
      </w:r>
    </w:p>
    <w:p w14:paraId="5F87D019" w14:textId="618134A5" w:rsidR="002F75A0" w:rsidRPr="002F75A0" w:rsidRDefault="002F75A0" w:rsidP="00E664C1">
      <w:pPr>
        <w:pStyle w:val="ListParagraph"/>
        <w:numPr>
          <w:ilvl w:val="0"/>
          <w:numId w:val="24"/>
        </w:numPr>
      </w:pPr>
      <w:r w:rsidRPr="002F75A0">
        <w:t>Planning and Zoning Requirements</w:t>
      </w:r>
    </w:p>
    <w:p w14:paraId="3F5373FD" w14:textId="41C2D91D" w:rsidR="004B1673" w:rsidRPr="002F75A0" w:rsidRDefault="00F129BE" w:rsidP="00E664C1">
      <w:pPr>
        <w:pStyle w:val="ListParagraph"/>
        <w:numPr>
          <w:ilvl w:val="0"/>
          <w:numId w:val="24"/>
        </w:numPr>
      </w:pPr>
      <w:r w:rsidRPr="002F75A0">
        <w:t xml:space="preserve">Phase I </w:t>
      </w:r>
      <w:r w:rsidR="002F75A0" w:rsidRPr="002F75A0">
        <w:t>Environmental</w:t>
      </w:r>
      <w:r w:rsidRPr="002F75A0">
        <w:t xml:space="preserve"> Assessment</w:t>
      </w:r>
    </w:p>
    <w:p w14:paraId="136EB366" w14:textId="77777777" w:rsidR="00E464C3" w:rsidRPr="002F75A0" w:rsidRDefault="00E464C3" w:rsidP="00E664C1">
      <w:pPr>
        <w:pStyle w:val="ListParagraph"/>
        <w:numPr>
          <w:ilvl w:val="0"/>
          <w:numId w:val="24"/>
        </w:numPr>
      </w:pPr>
      <w:r w:rsidRPr="002F75A0">
        <w:t>Preliminary Civil Study</w:t>
      </w:r>
    </w:p>
    <w:p w14:paraId="18E510B8" w14:textId="77777777" w:rsidR="00E464C3" w:rsidRPr="002F75A0" w:rsidRDefault="00E464C3" w:rsidP="00E664C1">
      <w:pPr>
        <w:pStyle w:val="ListParagraph"/>
        <w:numPr>
          <w:ilvl w:val="0"/>
          <w:numId w:val="24"/>
        </w:numPr>
      </w:pPr>
      <w:r w:rsidRPr="002F75A0">
        <w:t>Preliminary Geotechnical Study</w:t>
      </w:r>
    </w:p>
    <w:p w14:paraId="4C76D76D" w14:textId="5538A2D7" w:rsidR="002745D0" w:rsidRPr="002F75A0" w:rsidRDefault="00F129BE" w:rsidP="00E664C1">
      <w:pPr>
        <w:pStyle w:val="ListParagraph"/>
        <w:numPr>
          <w:ilvl w:val="0"/>
          <w:numId w:val="24"/>
        </w:numPr>
      </w:pPr>
      <w:r w:rsidRPr="002F75A0">
        <w:t xml:space="preserve">Preliminary </w:t>
      </w:r>
      <w:r w:rsidR="002F75A0" w:rsidRPr="002F75A0">
        <w:t>Title Reports</w:t>
      </w:r>
    </w:p>
    <w:p w14:paraId="721A9D9A" w14:textId="44FC68EA" w:rsidR="00CE31F7" w:rsidRPr="00D24FA8" w:rsidRDefault="00DC4286" w:rsidP="00D24FA8">
      <w:pPr>
        <w:pStyle w:val="ListParagraph"/>
        <w:numPr>
          <w:ilvl w:val="0"/>
          <w:numId w:val="24"/>
        </w:numPr>
      </w:pPr>
      <w:r>
        <w:t>City Housing and Community Development</w:t>
      </w:r>
      <w:r w:rsidR="002745D0" w:rsidRPr="002F75A0">
        <w:t xml:space="preserve"> Plans</w:t>
      </w:r>
    </w:p>
    <w:p w14:paraId="29CBA241" w14:textId="77777777" w:rsidR="004B1673" w:rsidRPr="001C2DD8" w:rsidRDefault="004B1673" w:rsidP="0016366D">
      <w:pPr>
        <w:pStyle w:val="ListParagraph"/>
      </w:pPr>
    </w:p>
    <w:p w14:paraId="1020876A" w14:textId="77777777" w:rsidR="00E464C3" w:rsidRPr="001C2DD8" w:rsidRDefault="00E464C3" w:rsidP="00E464C3">
      <w:r w:rsidRPr="001C2DD8">
        <w:lastRenderedPageBreak/>
        <w:t>ATTACHMENTS</w:t>
      </w:r>
    </w:p>
    <w:p w14:paraId="4AF7B0F1" w14:textId="1BB0ABE6" w:rsidR="00E464C3" w:rsidRPr="001C2DD8" w:rsidRDefault="00E464C3" w:rsidP="00E664C1">
      <w:pPr>
        <w:pStyle w:val="ListParagraph"/>
        <w:numPr>
          <w:ilvl w:val="0"/>
          <w:numId w:val="8"/>
        </w:numPr>
      </w:pPr>
      <w:r w:rsidRPr="001C2DD8">
        <w:t>Ground Lease and Regulatory Agreement Template*</w:t>
      </w:r>
    </w:p>
    <w:p w14:paraId="63BF4E60" w14:textId="566FA01B" w:rsidR="00DB407B" w:rsidRPr="001C2DD8" w:rsidRDefault="00DB407B" w:rsidP="00E664C1">
      <w:pPr>
        <w:pStyle w:val="ListParagraph"/>
        <w:numPr>
          <w:ilvl w:val="0"/>
          <w:numId w:val="8"/>
        </w:numPr>
      </w:pPr>
      <w:r w:rsidRPr="001C2DD8">
        <w:t>Exclusive Negotiation Agreement</w:t>
      </w:r>
      <w:r w:rsidR="007A5540" w:rsidRPr="001C2DD8">
        <w:t xml:space="preserve"> Template</w:t>
      </w:r>
      <w:r w:rsidRPr="001C2DD8">
        <w:t>*</w:t>
      </w:r>
    </w:p>
    <w:p w14:paraId="1B4BF9AD" w14:textId="2440D380" w:rsidR="00E464C3" w:rsidRPr="001C2DD8" w:rsidRDefault="00E464C3" w:rsidP="0016366D">
      <w:pPr>
        <w:spacing w:before="100" w:beforeAutospacing="1"/>
      </w:pPr>
      <w:r w:rsidRPr="001C2DD8">
        <w:t>*The Ground Lease</w:t>
      </w:r>
      <w:r w:rsidR="00DB407B" w:rsidRPr="001C2DD8">
        <w:t>,</w:t>
      </w:r>
      <w:r w:rsidRPr="001C2DD8">
        <w:t xml:space="preserve"> Regulatory Agreement</w:t>
      </w:r>
      <w:r w:rsidR="007A5540" w:rsidRPr="001C2DD8">
        <w:t>,</w:t>
      </w:r>
      <w:r w:rsidRPr="001C2DD8">
        <w:t xml:space="preserve"> </w:t>
      </w:r>
      <w:r w:rsidR="00DB407B" w:rsidRPr="001C2DD8">
        <w:t xml:space="preserve">and </w:t>
      </w:r>
      <w:r w:rsidR="006B274C" w:rsidRPr="001C2DD8">
        <w:t>Exclusive Negotiation Agreement</w:t>
      </w:r>
      <w:r w:rsidR="00DB407B" w:rsidRPr="001C2DD8">
        <w:t xml:space="preserve"> </w:t>
      </w:r>
      <w:r w:rsidRPr="001C2DD8">
        <w:t>included in attachments are templates and may be modified</w:t>
      </w:r>
      <w:r w:rsidR="004A2224">
        <w:t xml:space="preserve"> by the State</w:t>
      </w:r>
      <w:r w:rsidRPr="001C2DD8">
        <w:t xml:space="preserve"> prior to signing the lease.</w:t>
      </w:r>
    </w:p>
    <w:p w14:paraId="1D18F4DA" w14:textId="77777777" w:rsidR="00836594" w:rsidRPr="001C2DD8" w:rsidRDefault="00836594">
      <w:pPr>
        <w:rPr>
          <w:b/>
          <w:bCs/>
          <w:sz w:val="28"/>
          <w:szCs w:val="24"/>
        </w:rPr>
      </w:pPr>
      <w:bookmarkStart w:id="9" w:name="_Toc20481695"/>
      <w:bookmarkStart w:id="10" w:name="_Toc20721603"/>
      <w:r w:rsidRPr="001C2DD8">
        <w:br w:type="page"/>
      </w:r>
    </w:p>
    <w:p w14:paraId="4CB61972" w14:textId="18C129D3" w:rsidR="00E464C3" w:rsidRPr="001C2DD8" w:rsidRDefault="00E464C3" w:rsidP="00E464C3">
      <w:pPr>
        <w:pStyle w:val="Heading1"/>
      </w:pPr>
      <w:r w:rsidRPr="001C2DD8">
        <w:lastRenderedPageBreak/>
        <w:t>INTRODUCTION</w:t>
      </w:r>
      <w:bookmarkEnd w:id="9"/>
      <w:bookmarkEnd w:id="10"/>
    </w:p>
    <w:p w14:paraId="79DD381C" w14:textId="10F27936" w:rsidR="00F4224F" w:rsidRPr="001C2DD8" w:rsidRDefault="00F4224F" w:rsidP="00F4224F">
      <w:pPr>
        <w:spacing w:after="360"/>
      </w:pPr>
      <w:r w:rsidRPr="001C2DD8">
        <w:t>Executive Order N-06-19 (EO) (see Exhibit A) was signed by Governor Gavin Newsom on January 15, 2019 to address the housing affordability crisis that is facing the State of California. Governor Newsom ordered the Department of General Services (DGS) and the Department of Housing and Community Development (HCD), (the “State”), to identify and prioritize excess state-owned property and aggressively pursue the goals of affordable, sustainable, innovative, feasible, and cost-effective housing projects.</w:t>
      </w:r>
    </w:p>
    <w:p w14:paraId="0443F5D4" w14:textId="615481F9" w:rsidR="00E01D42" w:rsidRDefault="00F4224F" w:rsidP="00E01D42">
      <w:r w:rsidRPr="001C2DD8">
        <w:t xml:space="preserve">The State is pleased to issue this Request for </w:t>
      </w:r>
      <w:r w:rsidR="00A37DE9" w:rsidRPr="001C2DD8">
        <w:t xml:space="preserve">Proposals </w:t>
      </w:r>
      <w:r w:rsidRPr="001C2DD8">
        <w:t>(RF</w:t>
      </w:r>
      <w:r w:rsidR="00A37DE9" w:rsidRPr="001C2DD8">
        <w:t>P</w:t>
      </w:r>
      <w:r w:rsidRPr="001C2DD8">
        <w:t xml:space="preserve">) </w:t>
      </w:r>
      <w:r w:rsidR="00E01D42">
        <w:t>for respondents capable of developing affordable housing on two state-owned properties located in the City of San Francisco, California</w:t>
      </w:r>
      <w:r w:rsidR="007436E8">
        <w:t xml:space="preserve"> (the “City”)</w:t>
      </w:r>
      <w:r w:rsidR="00E01D42">
        <w:t xml:space="preserve"> that will be consistent with and help fulfill state, regional, and city goals, including affordability and feasibility. Projects must include a minimum of 50 percent </w:t>
      </w:r>
      <w:r w:rsidR="00A50B87">
        <w:t>deed-</w:t>
      </w:r>
      <w:r w:rsidR="00E01D42">
        <w:t>restricted affordable housing units, consistent with Government Code section 14671.2.</w:t>
      </w:r>
    </w:p>
    <w:p w14:paraId="01F46B21" w14:textId="025F6FC9" w:rsidR="00E01D42" w:rsidRDefault="00E01D42" w:rsidP="00E01D42">
      <w:r>
        <w:t>It is the intention of the State to collaborate with the City and its Mayor’s Office of Housing and Community Development (MOHCD) in its selection of a development team and creation of a development program.</w:t>
      </w:r>
    </w:p>
    <w:p w14:paraId="5CAAD894" w14:textId="209E701E" w:rsidR="00F4224F" w:rsidRPr="001C2DD8" w:rsidRDefault="00F4224F" w:rsidP="00E01D42">
      <w:r w:rsidRPr="001C2DD8">
        <w:t xml:space="preserve">At the conclusion of the RFP process, the State intends to enter into </w:t>
      </w:r>
      <w:r w:rsidR="00921DFA" w:rsidRPr="001C2DD8">
        <w:t>an</w:t>
      </w:r>
      <w:r w:rsidRPr="001C2DD8">
        <w:t xml:space="preserve"> </w:t>
      </w:r>
      <w:r w:rsidR="00A37DE9" w:rsidRPr="001C2DD8">
        <w:t>Exclusive Negotiation Agreement</w:t>
      </w:r>
      <w:r w:rsidRPr="001C2DD8">
        <w:t xml:space="preserve"> (</w:t>
      </w:r>
      <w:r w:rsidR="00A37DE9" w:rsidRPr="001C2DD8">
        <w:t>ENA</w:t>
      </w:r>
      <w:r w:rsidRPr="001C2DD8">
        <w:t>) with the Respondent whose qualifications and development proposal the State deems best suited to achieve the objectives described in the RFP. Successful completion of negotiations will lead to the execution of a low-cost, long-term ground lease and regulatory agreement with a maximum term of 99 years.</w:t>
      </w:r>
    </w:p>
    <w:p w14:paraId="36F9C8B8" w14:textId="039C3D89" w:rsidR="00470023" w:rsidRPr="001C2DD8" w:rsidRDefault="00470023">
      <w:r w:rsidRPr="001C2DD8">
        <w:br w:type="page"/>
      </w:r>
    </w:p>
    <w:p w14:paraId="364DCBAE" w14:textId="040BDCB1" w:rsidR="00D868F9" w:rsidRDefault="00E464C3" w:rsidP="00E664C1">
      <w:pPr>
        <w:pStyle w:val="Heading1"/>
        <w:numPr>
          <w:ilvl w:val="0"/>
          <w:numId w:val="11"/>
        </w:numPr>
      </w:pPr>
      <w:bookmarkStart w:id="11" w:name="_Toc20721604"/>
      <w:r w:rsidRPr="001C2DD8">
        <w:lastRenderedPageBreak/>
        <w:t>DEVELOPMENT OPPORTUNITY OVERVIEW</w:t>
      </w:r>
      <w:bookmarkEnd w:id="11"/>
    </w:p>
    <w:p w14:paraId="444F913D" w14:textId="50FA073C" w:rsidR="00E721F2" w:rsidRDefault="00E721F2" w:rsidP="00E721F2">
      <w:r>
        <w:t xml:space="preserve">The State is seeking proposals for development of affordable housing on </w:t>
      </w:r>
      <w:r w:rsidR="00E664C1">
        <w:t xml:space="preserve">two </w:t>
      </w:r>
      <w:r>
        <w:t xml:space="preserve">excess state-owned </w:t>
      </w:r>
      <w:r w:rsidR="00E664C1">
        <w:t>properties</w:t>
      </w:r>
      <w:r>
        <w:t xml:space="preserve"> that will be consistent with state and city</w:t>
      </w:r>
      <w:r w:rsidR="00A54FB6">
        <w:t xml:space="preserve"> housing</w:t>
      </w:r>
      <w:r>
        <w:t xml:space="preserve"> goals, including affordability and feasibility. </w:t>
      </w:r>
    </w:p>
    <w:p w14:paraId="0BD0F522" w14:textId="77DFFA59" w:rsidR="0097177B" w:rsidRDefault="00E721F2" w:rsidP="00E721F2">
      <w:r>
        <w:t>The subject propert</w:t>
      </w:r>
      <w:r w:rsidR="00E664C1">
        <w:t>ies</w:t>
      </w:r>
      <w:r w:rsidR="000E644D">
        <w:t xml:space="preserve"> (the “Sites”)</w:t>
      </w:r>
      <w:r>
        <w:t xml:space="preserve"> </w:t>
      </w:r>
      <w:r w:rsidR="00E664C1">
        <w:t xml:space="preserve">are </w:t>
      </w:r>
      <w:r>
        <w:t xml:space="preserve">located </w:t>
      </w:r>
      <w:r w:rsidR="00DD019A">
        <w:t xml:space="preserve">on the north side of Turk Street, and on the north side of Golden Gate Avenue, between Franklin </w:t>
      </w:r>
      <w:r w:rsidR="00846004">
        <w:t>Street and Gough Street in San Francisco, California</w:t>
      </w:r>
      <w:r w:rsidR="000E644D">
        <w:t>.</w:t>
      </w:r>
      <w:r w:rsidR="00846004">
        <w:t xml:space="preserve"> The Sites are</w:t>
      </w:r>
      <w:r w:rsidR="00106830">
        <w:t xml:space="preserve"> on the border of</w:t>
      </w:r>
      <w:r w:rsidR="00846004">
        <w:t xml:space="preserve"> the </w:t>
      </w:r>
      <w:r w:rsidR="000D523C">
        <w:t>Downtown</w:t>
      </w:r>
      <w:r w:rsidR="0095432C">
        <w:t xml:space="preserve"> and </w:t>
      </w:r>
      <w:r w:rsidR="000D523C">
        <w:t xml:space="preserve">Civic Center </w:t>
      </w:r>
      <w:r w:rsidR="0095432C">
        <w:t xml:space="preserve">and Market and Octavia </w:t>
      </w:r>
      <w:r w:rsidR="000D523C">
        <w:t>neighborhood</w:t>
      </w:r>
      <w:r w:rsidR="0095432C">
        <w:t>s</w:t>
      </w:r>
      <w:r w:rsidR="0093542F">
        <w:t xml:space="preserve"> and </w:t>
      </w:r>
      <w:r w:rsidR="00AD70E2">
        <w:t>at the north end of</w:t>
      </w:r>
      <w:r w:rsidR="0093542F">
        <w:t xml:space="preserve"> the </w:t>
      </w:r>
      <w:r w:rsidR="00C22E7F">
        <w:t>Market and Octavia</w:t>
      </w:r>
      <w:r w:rsidR="0097177B">
        <w:t xml:space="preserve"> Area</w:t>
      </w:r>
      <w:r w:rsidR="00C22E7F">
        <w:t xml:space="preserve"> </w:t>
      </w:r>
      <w:r w:rsidR="00D4360A">
        <w:t>Plan.</w:t>
      </w:r>
      <w:r w:rsidR="004939C5">
        <w:t xml:space="preserve"> </w:t>
      </w:r>
      <w:r w:rsidR="006B1C71" w:rsidRPr="006B1C71">
        <w:t>It has excellent access to city and regional public transit</w:t>
      </w:r>
      <w:r w:rsidR="006E0642">
        <w:t>.</w:t>
      </w:r>
    </w:p>
    <w:p w14:paraId="071B0AB0" w14:textId="7C8E4367" w:rsidR="00971681" w:rsidRDefault="00F105E7" w:rsidP="00971681">
      <w:r>
        <w:t xml:space="preserve">Well-planned, </w:t>
      </w:r>
      <w:r w:rsidR="00971681">
        <w:t xml:space="preserve">new development will strengthen and enhance the neighborhood. With the removal of the Central Freeway and construction of the new Octavia Boulevard, there is a strong desire here to repair damage done in past decades and realize its full potential as a vibrant urban place. There is potential for new mixed-use development, including a significant amount of new housing. </w:t>
      </w:r>
    </w:p>
    <w:p w14:paraId="07FDF5FC" w14:textId="20AC74B2" w:rsidR="006E0642" w:rsidRDefault="00F01C5D" w:rsidP="00E721F2">
      <w:r>
        <w:t>A</w:t>
      </w:r>
      <w:r w:rsidR="00DE3063">
        <w:t xml:space="preserve"> recent</w:t>
      </w:r>
      <w:r>
        <w:t xml:space="preserve"> amendment to the</w:t>
      </w:r>
      <w:r w:rsidR="00542390">
        <w:t xml:space="preserve"> Market and Octavia Area Plan</w:t>
      </w:r>
      <w:r>
        <w:t xml:space="preserve"> seeks to</w:t>
      </w:r>
      <w:r w:rsidR="00D4360A" w:rsidRPr="00D4360A">
        <w:t xml:space="preserve"> </w:t>
      </w:r>
      <w:r w:rsidR="00D4360A">
        <w:t>examine</w:t>
      </w:r>
      <w:r w:rsidR="00D4360A" w:rsidRPr="00D4360A">
        <w:t xml:space="preserve"> potential opportunities to better ensure the area’s growth supports the City’s goals for housing, transportation, and the public realm through zoning and policy refinements.</w:t>
      </w:r>
    </w:p>
    <w:p w14:paraId="6D99CCCB" w14:textId="130599DF" w:rsidR="00D868F9" w:rsidRPr="00F15D61" w:rsidRDefault="00D4360A">
      <w:r>
        <w:t xml:space="preserve">For more information on </w:t>
      </w:r>
      <w:r w:rsidR="00395662">
        <w:t xml:space="preserve">the area plan </w:t>
      </w:r>
      <w:r w:rsidR="0001549A">
        <w:t>and other housing and community development initiatives</w:t>
      </w:r>
      <w:r w:rsidR="003F56F2">
        <w:t xml:space="preserve">, please refer to </w:t>
      </w:r>
      <w:r w:rsidR="00395662">
        <w:t xml:space="preserve">Exhibit I. </w:t>
      </w:r>
      <w:r w:rsidR="00E664C1">
        <w:br w:type="page"/>
      </w:r>
    </w:p>
    <w:p w14:paraId="1CD7F10A" w14:textId="4330476A" w:rsidR="00E464C3" w:rsidRPr="001C2DD8" w:rsidRDefault="00E464C3" w:rsidP="00E664C1">
      <w:pPr>
        <w:pStyle w:val="Heading1"/>
        <w:numPr>
          <w:ilvl w:val="0"/>
          <w:numId w:val="11"/>
        </w:numPr>
      </w:pPr>
      <w:bookmarkStart w:id="12" w:name="_Toc20721605"/>
      <w:r w:rsidRPr="001C2DD8">
        <w:lastRenderedPageBreak/>
        <w:t>DEVELOPMENT PRINCIPLES AND PARAMETERS</w:t>
      </w:r>
      <w:bookmarkEnd w:id="12"/>
    </w:p>
    <w:p w14:paraId="1C2E5E1C" w14:textId="77777777" w:rsidR="00F4224F" w:rsidRPr="001C2DD8" w:rsidRDefault="00F4224F" w:rsidP="00F4224F">
      <w:r w:rsidRPr="001C2DD8">
        <w:t>The lack of affordable housing across California is a matter of vital statewide importance and the State is working to expand housing opportunities through a new level of innovation and cooperation between the public and private sectors. To help solve the affordable housing crisis, the State is seeking knowledgeable, financially sound, and experienced providers of affordable housing.</w:t>
      </w:r>
    </w:p>
    <w:p w14:paraId="18A1FB22" w14:textId="77777777" w:rsidR="008039A9" w:rsidRPr="00264368" w:rsidRDefault="00F4224F" w:rsidP="00264368">
      <w:pPr>
        <w:pStyle w:val="BodyText"/>
        <w:spacing w:before="199" w:line="276" w:lineRule="auto"/>
        <w:ind w:right="674"/>
        <w:rPr>
          <w:rFonts w:eastAsiaTheme="minorHAnsi" w:cstheme="minorBidi"/>
          <w:sz w:val="24"/>
        </w:rPr>
      </w:pPr>
      <w:r w:rsidRPr="00264368">
        <w:rPr>
          <w:rFonts w:eastAsiaTheme="minorHAnsi" w:cstheme="minorBidi"/>
          <w:sz w:val="24"/>
        </w:rPr>
        <w:t xml:space="preserve">The State is seeking </w:t>
      </w:r>
      <w:r w:rsidR="005D49E4" w:rsidRPr="00264368">
        <w:rPr>
          <w:rFonts w:eastAsiaTheme="minorHAnsi" w:cstheme="minorBidi"/>
          <w:sz w:val="24"/>
        </w:rPr>
        <w:t xml:space="preserve">proposals </w:t>
      </w:r>
      <w:r w:rsidRPr="00264368">
        <w:rPr>
          <w:rFonts w:eastAsiaTheme="minorHAnsi" w:cstheme="minorBidi"/>
          <w:sz w:val="24"/>
        </w:rPr>
        <w:t xml:space="preserve">from Respondents </w:t>
      </w:r>
      <w:r w:rsidR="008039A9" w:rsidRPr="00264368">
        <w:rPr>
          <w:rFonts w:eastAsiaTheme="minorHAnsi" w:cstheme="minorBidi"/>
          <w:sz w:val="24"/>
        </w:rPr>
        <w:t>who can support meeting the goals of the EO, including the provision of housing affordable to lower income households, and will creatively adhere to the following principles. These are not requirements but are intended to make the State’s desired expectations clear and guide the project from solicitation through construction.</w:t>
      </w:r>
    </w:p>
    <w:p w14:paraId="192BF92E" w14:textId="77777777" w:rsidR="008039A9" w:rsidRDefault="008039A9" w:rsidP="00E664C1">
      <w:pPr>
        <w:pStyle w:val="ListParagraph"/>
        <w:widowControl w:val="0"/>
        <w:numPr>
          <w:ilvl w:val="0"/>
          <w:numId w:val="27"/>
        </w:numPr>
        <w:tabs>
          <w:tab w:val="left" w:pos="820"/>
          <w:tab w:val="left" w:pos="821"/>
        </w:tabs>
        <w:autoSpaceDE w:val="0"/>
        <w:autoSpaceDN w:val="0"/>
        <w:spacing w:before="202" w:after="0" w:line="273" w:lineRule="auto"/>
        <w:ind w:right="653"/>
        <w:contextualSpacing w:val="0"/>
      </w:pPr>
      <w:r>
        <w:rPr>
          <w:b/>
          <w:i/>
        </w:rPr>
        <w:t xml:space="preserve">Affordability: </w:t>
      </w:r>
      <w:r>
        <w:t>Maximize the affordability on site, including depth of affordability as well as percentage of units that are affordable (accounting for size differences between units with different bedroom</w:t>
      </w:r>
      <w:r>
        <w:rPr>
          <w:spacing w:val="-5"/>
        </w:rPr>
        <w:t xml:space="preserve"> </w:t>
      </w:r>
      <w:r>
        <w:t>counts);</w:t>
      </w:r>
    </w:p>
    <w:p w14:paraId="47032B88" w14:textId="77777777" w:rsidR="008039A9" w:rsidRDefault="008039A9" w:rsidP="00E664C1">
      <w:pPr>
        <w:pStyle w:val="ListParagraph"/>
        <w:widowControl w:val="0"/>
        <w:numPr>
          <w:ilvl w:val="0"/>
          <w:numId w:val="27"/>
        </w:numPr>
        <w:tabs>
          <w:tab w:val="left" w:pos="820"/>
          <w:tab w:val="left" w:pos="821"/>
        </w:tabs>
        <w:autoSpaceDE w:val="0"/>
        <w:autoSpaceDN w:val="0"/>
        <w:spacing w:before="3" w:after="0"/>
        <w:ind w:right="641"/>
        <w:contextualSpacing w:val="0"/>
      </w:pPr>
      <w:r>
        <w:rPr>
          <w:b/>
          <w:i/>
        </w:rPr>
        <w:t xml:space="preserve">Innovative Housing and Construction Types: </w:t>
      </w:r>
      <w:r>
        <w:t>Catalyze and incubate innovative models for construction (such as modular or prefabrication),</w:t>
      </w:r>
      <w:r>
        <w:rPr>
          <w:spacing w:val="-23"/>
        </w:rPr>
        <w:t xml:space="preserve"> </w:t>
      </w:r>
      <w:r>
        <w:t xml:space="preserve">financing, and workforce development—recognizing that design and construction quality should not be comprised. Innovative Housing and Construction is desirable, but </w:t>
      </w:r>
      <w:r>
        <w:rPr>
          <w:i/>
        </w:rPr>
        <w:t xml:space="preserve">not </w:t>
      </w:r>
      <w:r>
        <w:t>a strict</w:t>
      </w:r>
      <w:r>
        <w:rPr>
          <w:spacing w:val="-3"/>
        </w:rPr>
        <w:t xml:space="preserve"> </w:t>
      </w:r>
      <w:r>
        <w:t>requirement;</w:t>
      </w:r>
    </w:p>
    <w:p w14:paraId="5FA9E7BB" w14:textId="77777777" w:rsidR="008039A9" w:rsidRDefault="008039A9" w:rsidP="00E664C1">
      <w:pPr>
        <w:pStyle w:val="ListParagraph"/>
        <w:widowControl w:val="0"/>
        <w:numPr>
          <w:ilvl w:val="0"/>
          <w:numId w:val="27"/>
        </w:numPr>
        <w:tabs>
          <w:tab w:val="left" w:pos="820"/>
          <w:tab w:val="left" w:pos="821"/>
        </w:tabs>
        <w:autoSpaceDE w:val="0"/>
        <w:autoSpaceDN w:val="0"/>
        <w:spacing w:after="0"/>
        <w:ind w:right="707"/>
        <w:contextualSpacing w:val="0"/>
      </w:pPr>
      <w:r>
        <w:rPr>
          <w:b/>
          <w:i/>
        </w:rPr>
        <w:t xml:space="preserve">Efficiency: </w:t>
      </w:r>
      <w:r>
        <w:t>Identify a strategy for delivering on the timing goals for the EO (i.e., feasibility of breaking ground within two years of entering the lease and regulatory agreement and completing units within three years) and employing several time saving measures. Efficiency of delivery also recognizes that deeper affordability may need multiple funding sources which are available through different and competitive funding cycles and Notices of Funding Availability (NOFAs);</w:t>
      </w:r>
    </w:p>
    <w:p w14:paraId="142BDD48" w14:textId="77777777" w:rsidR="008039A9" w:rsidRDefault="008039A9" w:rsidP="00E664C1">
      <w:pPr>
        <w:pStyle w:val="ListParagraph"/>
        <w:widowControl w:val="0"/>
        <w:numPr>
          <w:ilvl w:val="0"/>
          <w:numId w:val="27"/>
        </w:numPr>
        <w:tabs>
          <w:tab w:val="left" w:pos="820"/>
          <w:tab w:val="left" w:pos="821"/>
        </w:tabs>
        <w:autoSpaceDE w:val="0"/>
        <w:autoSpaceDN w:val="0"/>
        <w:spacing w:after="0" w:line="273" w:lineRule="auto"/>
        <w:ind w:right="946"/>
        <w:contextualSpacing w:val="0"/>
      </w:pPr>
      <w:r>
        <w:rPr>
          <w:b/>
          <w:i/>
        </w:rPr>
        <w:t xml:space="preserve">Accessibility: </w:t>
      </w:r>
      <w:r>
        <w:t>As part of providing for accessible housing for all Californians, Respondents are encouraged to incorporate cost-effective design approaches consistent with universal design principles and/or related local</w:t>
      </w:r>
      <w:r>
        <w:rPr>
          <w:spacing w:val="-15"/>
        </w:rPr>
        <w:t xml:space="preserve"> </w:t>
      </w:r>
      <w:r>
        <w:t>ordinances;</w:t>
      </w:r>
    </w:p>
    <w:p w14:paraId="71D4DFA8" w14:textId="77777777" w:rsidR="008039A9" w:rsidRDefault="008039A9" w:rsidP="00E664C1">
      <w:pPr>
        <w:pStyle w:val="ListParagraph"/>
        <w:widowControl w:val="0"/>
        <w:numPr>
          <w:ilvl w:val="0"/>
          <w:numId w:val="27"/>
        </w:numPr>
        <w:tabs>
          <w:tab w:val="left" w:pos="820"/>
          <w:tab w:val="left" w:pos="821"/>
        </w:tabs>
        <w:autoSpaceDE w:val="0"/>
        <w:autoSpaceDN w:val="0"/>
        <w:spacing w:after="0"/>
        <w:ind w:right="713"/>
        <w:contextualSpacing w:val="0"/>
      </w:pPr>
      <w:r>
        <w:rPr>
          <w:b/>
          <w:i/>
        </w:rPr>
        <w:t xml:space="preserve">Sustainability: </w:t>
      </w:r>
      <w:r>
        <w:t>Reflect the state’s emphasis on sustainable construction, including the use of recycled products, commitments to low energy use, building electrification, and/or the use of renewable construction materials, such as</w:t>
      </w:r>
      <w:r>
        <w:rPr>
          <w:spacing w:val="-31"/>
        </w:rPr>
        <w:t xml:space="preserve"> </w:t>
      </w:r>
      <w:r>
        <w:t>mass timber as recognized through approved guidelines by the California Building Officials (CALBO) and the California Building Standards</w:t>
      </w:r>
      <w:r>
        <w:rPr>
          <w:spacing w:val="-10"/>
        </w:rPr>
        <w:t xml:space="preserve"> </w:t>
      </w:r>
      <w:r>
        <w:t>Commission;</w:t>
      </w:r>
    </w:p>
    <w:p w14:paraId="6F06D6C7" w14:textId="512B91EC" w:rsidR="008039A9" w:rsidRDefault="008039A9" w:rsidP="00E664C1">
      <w:pPr>
        <w:pStyle w:val="ListParagraph"/>
        <w:widowControl w:val="0"/>
        <w:numPr>
          <w:ilvl w:val="0"/>
          <w:numId w:val="27"/>
        </w:numPr>
        <w:tabs>
          <w:tab w:val="left" w:pos="820"/>
          <w:tab w:val="left" w:pos="821"/>
        </w:tabs>
        <w:autoSpaceDE w:val="0"/>
        <w:autoSpaceDN w:val="0"/>
        <w:spacing w:after="0" w:line="273" w:lineRule="auto"/>
        <w:ind w:right="1014"/>
        <w:contextualSpacing w:val="0"/>
      </w:pPr>
      <w:r>
        <w:rPr>
          <w:b/>
          <w:i/>
        </w:rPr>
        <w:t xml:space="preserve">Development Costs: </w:t>
      </w:r>
      <w:r>
        <w:t xml:space="preserve">Pursue cost reducing measures such as impact fee program waivers or reductions, innovative housing types (e.g., </w:t>
      </w:r>
      <w:r>
        <w:lastRenderedPageBreak/>
        <w:t>modular</w:t>
      </w:r>
      <w:r w:rsidR="00DD1373">
        <w:t xml:space="preserve"> or other prefabricated systems</w:t>
      </w:r>
      <w:r>
        <w:t>), and other measures while maintaining a high-quality design that complements</w:t>
      </w:r>
      <w:r>
        <w:rPr>
          <w:spacing w:val="-25"/>
        </w:rPr>
        <w:t xml:space="preserve"> </w:t>
      </w:r>
      <w:r>
        <w:t>the neighborhood;</w:t>
      </w:r>
    </w:p>
    <w:p w14:paraId="679A507C" w14:textId="77777777" w:rsidR="008039A9" w:rsidRDefault="008039A9" w:rsidP="008F2700">
      <w:pPr>
        <w:pStyle w:val="ListParagraph"/>
        <w:widowControl w:val="0"/>
        <w:numPr>
          <w:ilvl w:val="0"/>
          <w:numId w:val="27"/>
        </w:numPr>
        <w:tabs>
          <w:tab w:val="left" w:pos="820"/>
          <w:tab w:val="left" w:pos="821"/>
        </w:tabs>
        <w:autoSpaceDE w:val="0"/>
        <w:autoSpaceDN w:val="0"/>
        <w:spacing w:after="0" w:line="273" w:lineRule="auto"/>
        <w:contextualSpacing w:val="0"/>
      </w:pPr>
      <w:r>
        <w:rPr>
          <w:b/>
          <w:i/>
        </w:rPr>
        <w:t xml:space="preserve">Outreach: </w:t>
      </w:r>
      <w:r>
        <w:t>Facilitate meaningful public participation consistent with the Ralph M. Brown Act, if applicable, and other strategies to engage the community throughout the development</w:t>
      </w:r>
      <w:r>
        <w:rPr>
          <w:spacing w:val="-3"/>
        </w:rPr>
        <w:t xml:space="preserve"> </w:t>
      </w:r>
      <w:r>
        <w:t>process;</w:t>
      </w:r>
    </w:p>
    <w:p w14:paraId="260EA434" w14:textId="1E569CE4" w:rsidR="008039A9" w:rsidRDefault="008039A9" w:rsidP="00E664C1">
      <w:pPr>
        <w:pStyle w:val="ListParagraph"/>
        <w:widowControl w:val="0"/>
        <w:numPr>
          <w:ilvl w:val="0"/>
          <w:numId w:val="27"/>
        </w:numPr>
        <w:tabs>
          <w:tab w:val="left" w:pos="820"/>
          <w:tab w:val="left" w:pos="821"/>
        </w:tabs>
        <w:autoSpaceDE w:val="0"/>
        <w:autoSpaceDN w:val="0"/>
        <w:spacing w:before="2" w:after="0"/>
        <w:contextualSpacing w:val="0"/>
      </w:pPr>
      <w:r>
        <w:rPr>
          <w:b/>
          <w:i/>
        </w:rPr>
        <w:t xml:space="preserve">Partnership and Collaboration: </w:t>
      </w:r>
      <w:r>
        <w:t xml:space="preserve">Seek creative partnerships with the City and stakeholders, including </w:t>
      </w:r>
      <w:r w:rsidR="00040D6C">
        <w:t>alignment with</w:t>
      </w:r>
      <w:r>
        <w:t xml:space="preserve"> the City’s housing and community and economic development goals and existing resources and opportunities such as the availability of services, transportation, and</w:t>
      </w:r>
      <w:r>
        <w:rPr>
          <w:spacing w:val="-25"/>
        </w:rPr>
        <w:t xml:space="preserve"> </w:t>
      </w:r>
      <w:r>
        <w:t>amenities and planned city-sponsored improvements;</w:t>
      </w:r>
      <w:r>
        <w:rPr>
          <w:spacing w:val="-6"/>
        </w:rPr>
        <w:t xml:space="preserve"> </w:t>
      </w:r>
      <w:r>
        <w:t>and</w:t>
      </w:r>
    </w:p>
    <w:p w14:paraId="1ABE1BBC" w14:textId="77777777" w:rsidR="008039A9" w:rsidRDefault="008039A9" w:rsidP="00E664C1">
      <w:pPr>
        <w:pStyle w:val="ListParagraph"/>
        <w:widowControl w:val="0"/>
        <w:numPr>
          <w:ilvl w:val="0"/>
          <w:numId w:val="27"/>
        </w:numPr>
        <w:tabs>
          <w:tab w:val="left" w:pos="820"/>
          <w:tab w:val="left" w:pos="821"/>
        </w:tabs>
        <w:autoSpaceDE w:val="0"/>
        <w:autoSpaceDN w:val="0"/>
        <w:spacing w:after="0" w:line="271" w:lineRule="auto"/>
        <w:contextualSpacing w:val="0"/>
      </w:pPr>
      <w:r>
        <w:rPr>
          <w:b/>
          <w:i/>
        </w:rPr>
        <w:t xml:space="preserve">State Planning Priorities: </w:t>
      </w:r>
      <w:r>
        <w:t>Maximize land resources and efficient land</w:t>
      </w:r>
      <w:r>
        <w:rPr>
          <w:spacing w:val="-23"/>
        </w:rPr>
        <w:t xml:space="preserve"> </w:t>
      </w:r>
      <w:r>
        <w:t>use patterns by developing as densely as</w:t>
      </w:r>
      <w:r>
        <w:rPr>
          <w:spacing w:val="-9"/>
        </w:rPr>
        <w:t xml:space="preserve"> </w:t>
      </w:r>
      <w:r>
        <w:t>feasible.</w:t>
      </w:r>
    </w:p>
    <w:p w14:paraId="4E2436AB" w14:textId="7D96AE19" w:rsidR="005F03F6" w:rsidRPr="001C2DD8" w:rsidRDefault="00DE7FBF" w:rsidP="00D868F9">
      <w:r>
        <w:br w:type="page"/>
      </w:r>
    </w:p>
    <w:p w14:paraId="700BF171" w14:textId="4A43ACE4" w:rsidR="00E464C3" w:rsidRPr="001C2DD8" w:rsidRDefault="00E464C3" w:rsidP="00E664C1">
      <w:pPr>
        <w:pStyle w:val="Heading1"/>
        <w:numPr>
          <w:ilvl w:val="0"/>
          <w:numId w:val="11"/>
        </w:numPr>
      </w:pPr>
      <w:bookmarkStart w:id="13" w:name="_Toc20721616"/>
      <w:r w:rsidRPr="001C2DD8">
        <w:lastRenderedPageBreak/>
        <w:t>SITE CONDITIONS AND APPLICABLE LAND USE POLICIES</w:t>
      </w:r>
      <w:bookmarkEnd w:id="13"/>
    </w:p>
    <w:p w14:paraId="4380B9D1" w14:textId="015CBB5A" w:rsidR="007F081A" w:rsidRPr="009F4905" w:rsidRDefault="007F081A" w:rsidP="00D868F9">
      <w:pPr>
        <w:pStyle w:val="BodyText"/>
        <w:spacing w:before="248" w:line="276" w:lineRule="auto"/>
        <w:rPr>
          <w:rFonts w:eastAsiaTheme="minorHAnsi" w:cstheme="minorBidi"/>
          <w:sz w:val="24"/>
        </w:rPr>
      </w:pPr>
      <w:r w:rsidRPr="009F4905">
        <w:rPr>
          <w:rFonts w:eastAsiaTheme="minorHAnsi" w:cstheme="minorBidi"/>
          <w:sz w:val="24"/>
        </w:rPr>
        <w:t xml:space="preserve">The </w:t>
      </w:r>
      <w:r>
        <w:rPr>
          <w:rFonts w:eastAsiaTheme="minorHAnsi" w:cstheme="minorBidi"/>
          <w:sz w:val="24"/>
        </w:rPr>
        <w:t>Site</w:t>
      </w:r>
      <w:r w:rsidR="00A27168">
        <w:rPr>
          <w:rFonts w:eastAsiaTheme="minorHAnsi" w:cstheme="minorBidi"/>
          <w:sz w:val="24"/>
        </w:rPr>
        <w:t>s</w:t>
      </w:r>
      <w:r>
        <w:rPr>
          <w:rFonts w:eastAsiaTheme="minorHAnsi" w:cstheme="minorBidi"/>
          <w:sz w:val="24"/>
        </w:rPr>
        <w:t xml:space="preserve"> </w:t>
      </w:r>
      <w:r w:rsidR="00D868F9">
        <w:rPr>
          <w:rFonts w:eastAsiaTheme="minorHAnsi" w:cstheme="minorBidi"/>
          <w:sz w:val="24"/>
        </w:rPr>
        <w:t xml:space="preserve">include two </w:t>
      </w:r>
      <w:r w:rsidR="006A2E28">
        <w:rPr>
          <w:rFonts w:eastAsiaTheme="minorHAnsi" w:cstheme="minorBidi"/>
          <w:sz w:val="24"/>
        </w:rPr>
        <w:t>separate parcels</w:t>
      </w:r>
      <w:r w:rsidR="008A7293" w:rsidRPr="009F4905">
        <w:rPr>
          <w:rFonts w:eastAsiaTheme="minorHAnsi" w:cstheme="minorBidi"/>
          <w:sz w:val="24"/>
        </w:rPr>
        <w:t xml:space="preserve"> </w:t>
      </w:r>
      <w:r w:rsidRPr="009F4905">
        <w:rPr>
          <w:rFonts w:eastAsiaTheme="minorHAnsi" w:cstheme="minorBidi"/>
          <w:sz w:val="24"/>
        </w:rPr>
        <w:t>located at</w:t>
      </w:r>
      <w:r w:rsidR="00D868F9">
        <w:rPr>
          <w:rFonts w:eastAsiaTheme="minorHAnsi" w:cstheme="minorBidi"/>
          <w:sz w:val="24"/>
        </w:rPr>
        <w:t xml:space="preserve"> the</w:t>
      </w:r>
      <w:r w:rsidRPr="009F4905">
        <w:rPr>
          <w:rFonts w:eastAsiaTheme="minorHAnsi" w:cstheme="minorBidi"/>
          <w:sz w:val="24"/>
        </w:rPr>
        <w:t xml:space="preserve"> Northwest corner of Golden Gate Avenue and Franklin Street and 850 Turk Street, mid-block between Gough and Franklin in San Francisco, California.</w:t>
      </w:r>
    </w:p>
    <w:p w14:paraId="6C3BA830" w14:textId="7AFE9E0E" w:rsidR="007F081A" w:rsidRPr="009F4905" w:rsidRDefault="008A53E5" w:rsidP="00D868F9">
      <w:pPr>
        <w:pStyle w:val="BodyText"/>
        <w:spacing w:before="248" w:line="276" w:lineRule="auto"/>
        <w:rPr>
          <w:rFonts w:eastAsiaTheme="minorHAnsi" w:cstheme="minorBidi"/>
          <w:sz w:val="24"/>
        </w:rPr>
      </w:pPr>
      <w:r>
        <w:rPr>
          <w:rFonts w:eastAsiaTheme="minorHAnsi" w:cstheme="minorBidi"/>
          <w:sz w:val="24"/>
        </w:rPr>
        <w:t xml:space="preserve">Currently, </w:t>
      </w:r>
      <w:r w:rsidR="00C901E1">
        <w:rPr>
          <w:rFonts w:eastAsiaTheme="minorHAnsi" w:cstheme="minorBidi"/>
          <w:sz w:val="24"/>
        </w:rPr>
        <w:t xml:space="preserve">the </w:t>
      </w:r>
      <w:r w:rsidR="007F081A" w:rsidRPr="009F4905">
        <w:rPr>
          <w:rFonts w:eastAsiaTheme="minorHAnsi" w:cstheme="minorBidi"/>
          <w:sz w:val="24"/>
        </w:rPr>
        <w:t>California Employment Development Department (EDD) parking lots are sited at both locations along with a public parking lot that is state-owned and situated immediate to north of the EDD parking lot on the northside of Golden Gate Avenue.</w:t>
      </w:r>
    </w:p>
    <w:p w14:paraId="4AFCC43A" w14:textId="3ADE02F5" w:rsidR="007F081A" w:rsidRPr="009F4905" w:rsidRDefault="007F081A" w:rsidP="00D868F9">
      <w:pPr>
        <w:pStyle w:val="BodyText"/>
        <w:spacing w:before="248" w:line="276" w:lineRule="auto"/>
        <w:rPr>
          <w:rFonts w:eastAsiaTheme="minorHAnsi" w:cstheme="minorBidi"/>
          <w:sz w:val="24"/>
        </w:rPr>
      </w:pPr>
      <w:r w:rsidRPr="009F4905">
        <w:rPr>
          <w:rFonts w:eastAsiaTheme="minorHAnsi" w:cstheme="minorBidi"/>
          <w:sz w:val="24"/>
        </w:rPr>
        <w:t xml:space="preserve">The Golden Gate </w:t>
      </w:r>
      <w:r w:rsidR="00787455">
        <w:rPr>
          <w:rFonts w:eastAsiaTheme="minorHAnsi" w:cstheme="minorBidi"/>
          <w:sz w:val="24"/>
        </w:rPr>
        <w:t>property</w:t>
      </w:r>
      <w:r w:rsidR="00787455" w:rsidRPr="009F4905">
        <w:rPr>
          <w:rFonts w:eastAsiaTheme="minorHAnsi" w:cstheme="minorBidi"/>
          <w:sz w:val="24"/>
        </w:rPr>
        <w:t xml:space="preserve"> </w:t>
      </w:r>
      <w:r w:rsidRPr="009F4905">
        <w:rPr>
          <w:rFonts w:eastAsiaTheme="minorHAnsi" w:cstheme="minorBidi"/>
          <w:sz w:val="24"/>
        </w:rPr>
        <w:t>is comprised of two asphalt paved, fenced</w:t>
      </w:r>
      <w:r w:rsidR="00EC6B5B">
        <w:rPr>
          <w:rFonts w:eastAsiaTheme="minorHAnsi" w:cstheme="minorBidi"/>
          <w:sz w:val="24"/>
        </w:rPr>
        <w:t>,</w:t>
      </w:r>
      <w:r w:rsidRPr="009F4905">
        <w:rPr>
          <w:rFonts w:eastAsiaTheme="minorHAnsi" w:cstheme="minorBidi"/>
          <w:sz w:val="24"/>
        </w:rPr>
        <w:t xml:space="preserve"> and striped surface parking lots while the Turk </w:t>
      </w:r>
      <w:r w:rsidR="00787455">
        <w:rPr>
          <w:rFonts w:eastAsiaTheme="minorHAnsi" w:cstheme="minorBidi"/>
          <w:sz w:val="24"/>
        </w:rPr>
        <w:t>property</w:t>
      </w:r>
      <w:r w:rsidR="00787455" w:rsidRPr="009F4905">
        <w:rPr>
          <w:rFonts w:eastAsiaTheme="minorHAnsi" w:cstheme="minorBidi"/>
          <w:sz w:val="24"/>
        </w:rPr>
        <w:t xml:space="preserve"> </w:t>
      </w:r>
      <w:r w:rsidRPr="009F4905">
        <w:rPr>
          <w:rFonts w:eastAsiaTheme="minorHAnsi" w:cstheme="minorBidi"/>
          <w:sz w:val="24"/>
        </w:rPr>
        <w:t>is improved with street-grade carports and an above-grade parking lot accessed by a ramp with parking above the carports.</w:t>
      </w:r>
    </w:p>
    <w:p w14:paraId="5D8363FF" w14:textId="5B99AEEF" w:rsidR="007F081A" w:rsidRPr="009F4905" w:rsidRDefault="007F081A" w:rsidP="00D868F9">
      <w:pPr>
        <w:pStyle w:val="BodyText"/>
        <w:spacing w:before="248" w:line="276" w:lineRule="auto"/>
        <w:rPr>
          <w:rFonts w:eastAsiaTheme="minorHAnsi" w:cstheme="minorBidi"/>
          <w:sz w:val="24"/>
        </w:rPr>
      </w:pPr>
      <w:r w:rsidRPr="009F4905">
        <w:rPr>
          <w:rFonts w:eastAsiaTheme="minorHAnsi" w:cstheme="minorBidi"/>
          <w:sz w:val="24"/>
        </w:rPr>
        <w:t>The project must replace the</w:t>
      </w:r>
      <w:r w:rsidR="00EF5917">
        <w:rPr>
          <w:rFonts w:eastAsiaTheme="minorHAnsi" w:cstheme="minorBidi"/>
          <w:sz w:val="24"/>
        </w:rPr>
        <w:t xml:space="preserve"> </w:t>
      </w:r>
      <w:r w:rsidRPr="009F4905">
        <w:rPr>
          <w:rFonts w:eastAsiaTheme="minorHAnsi" w:cstheme="minorBidi"/>
          <w:sz w:val="24"/>
        </w:rPr>
        <w:t xml:space="preserve">existing EDD parking at either the Golden Gate or the Turk </w:t>
      </w:r>
      <w:r w:rsidR="008A7293">
        <w:rPr>
          <w:rFonts w:eastAsiaTheme="minorHAnsi" w:cstheme="minorBidi"/>
          <w:sz w:val="24"/>
        </w:rPr>
        <w:t>properties</w:t>
      </w:r>
      <w:r w:rsidR="008A7293" w:rsidRPr="009F4905">
        <w:rPr>
          <w:rFonts w:eastAsiaTheme="minorHAnsi" w:cstheme="minorBidi"/>
          <w:sz w:val="24"/>
        </w:rPr>
        <w:t xml:space="preserve"> </w:t>
      </w:r>
      <w:r w:rsidRPr="009F4905">
        <w:rPr>
          <w:rFonts w:eastAsiaTheme="minorHAnsi" w:cstheme="minorBidi"/>
          <w:sz w:val="24"/>
        </w:rPr>
        <w:t>to make the two sites available for development.</w:t>
      </w:r>
      <w:r w:rsidR="009F35F4">
        <w:rPr>
          <w:rFonts w:eastAsiaTheme="minorHAnsi" w:cstheme="minorBidi"/>
          <w:sz w:val="24"/>
        </w:rPr>
        <w:t xml:space="preserve"> </w:t>
      </w:r>
      <w:r w:rsidR="001F7A7B">
        <w:rPr>
          <w:rFonts w:eastAsiaTheme="minorHAnsi" w:cstheme="minorBidi"/>
          <w:sz w:val="24"/>
        </w:rPr>
        <w:t xml:space="preserve">No more than </w:t>
      </w:r>
      <w:r w:rsidR="00207435">
        <w:rPr>
          <w:rFonts w:eastAsiaTheme="minorHAnsi" w:cstheme="minorBidi"/>
          <w:sz w:val="24"/>
        </w:rPr>
        <w:t>104</w:t>
      </w:r>
      <w:r w:rsidR="009F35F4">
        <w:rPr>
          <w:rFonts w:eastAsiaTheme="minorHAnsi" w:cstheme="minorBidi"/>
          <w:sz w:val="24"/>
        </w:rPr>
        <w:t xml:space="preserve"> replacement parking sp</w:t>
      </w:r>
      <w:r w:rsidR="001F7A7B">
        <w:rPr>
          <w:rFonts w:eastAsiaTheme="minorHAnsi" w:cstheme="minorBidi"/>
          <w:sz w:val="24"/>
        </w:rPr>
        <w:t>aces are expected.</w:t>
      </w:r>
    </w:p>
    <w:p w14:paraId="5C81EB83" w14:textId="4AF0B370" w:rsidR="007F081A" w:rsidRDefault="007F081A" w:rsidP="00D868F9">
      <w:pPr>
        <w:pStyle w:val="BodyText"/>
        <w:spacing w:before="248" w:line="276" w:lineRule="auto"/>
        <w:rPr>
          <w:rFonts w:eastAsiaTheme="minorHAnsi" w:cstheme="minorBidi"/>
          <w:sz w:val="24"/>
        </w:rPr>
      </w:pPr>
      <w:r w:rsidRPr="009F4905">
        <w:rPr>
          <w:rFonts w:eastAsiaTheme="minorHAnsi" w:cstheme="minorBidi"/>
          <w:sz w:val="24"/>
        </w:rPr>
        <w:t>The Site development could potentially qualify for ministerial approvals from the Planning Department through S</w:t>
      </w:r>
      <w:r w:rsidR="00F10205">
        <w:rPr>
          <w:rFonts w:eastAsiaTheme="minorHAnsi" w:cstheme="minorBidi"/>
          <w:sz w:val="24"/>
        </w:rPr>
        <w:t>enate Bill 3</w:t>
      </w:r>
      <w:r w:rsidRPr="009F4905">
        <w:rPr>
          <w:rFonts w:eastAsiaTheme="minorHAnsi" w:cstheme="minorBidi"/>
          <w:sz w:val="24"/>
        </w:rPr>
        <w:t xml:space="preserve">5, which may be used in conjunction with the State Density Bonus Program or the </w:t>
      </w:r>
      <w:r w:rsidR="00571C06">
        <w:rPr>
          <w:rFonts w:eastAsiaTheme="minorHAnsi" w:cstheme="minorBidi"/>
          <w:sz w:val="24"/>
        </w:rPr>
        <w:t xml:space="preserve">local </w:t>
      </w:r>
      <w:r w:rsidRPr="009F4905">
        <w:rPr>
          <w:rFonts w:eastAsiaTheme="minorHAnsi" w:cstheme="minorBidi"/>
          <w:sz w:val="24"/>
        </w:rPr>
        <w:t>Affordable Housing Density Bonus Program.</w:t>
      </w:r>
    </w:p>
    <w:p w14:paraId="0958A1E5" w14:textId="77777777" w:rsidR="00D868F9" w:rsidRPr="009F4905" w:rsidRDefault="00D868F9" w:rsidP="00D868F9">
      <w:pPr>
        <w:pStyle w:val="BodyText"/>
        <w:spacing w:line="276" w:lineRule="auto"/>
        <w:rPr>
          <w:rFonts w:eastAsiaTheme="minorHAnsi" w:cstheme="minorBidi"/>
          <w:sz w:val="24"/>
        </w:rPr>
      </w:pPr>
    </w:p>
    <w:p w14:paraId="7F34FA1F" w14:textId="233A9198" w:rsidR="007F081A" w:rsidRPr="00D868F9" w:rsidRDefault="007F081A" w:rsidP="00D868F9">
      <w:pPr>
        <w:pStyle w:val="BodyText"/>
        <w:rPr>
          <w:rFonts w:eastAsiaTheme="minorHAnsi" w:cstheme="minorBidi"/>
          <w:b/>
          <w:bCs/>
          <w:sz w:val="24"/>
        </w:rPr>
      </w:pPr>
      <w:r w:rsidRPr="00D868F9">
        <w:rPr>
          <w:rFonts w:eastAsiaTheme="minorHAnsi" w:cstheme="minorBidi"/>
          <w:b/>
          <w:bCs/>
          <w:sz w:val="24"/>
        </w:rPr>
        <w:t>Turk Street</w:t>
      </w:r>
    </w:p>
    <w:p w14:paraId="2E6C68EE" w14:textId="77777777" w:rsidR="007F081A" w:rsidRPr="00F202E0" w:rsidRDefault="007F081A" w:rsidP="00D868F9">
      <w:pPr>
        <w:pStyle w:val="BodyText"/>
        <w:spacing w:before="4"/>
        <w:rPr>
          <w:rFonts w:eastAsiaTheme="minorHAnsi" w:cstheme="minorBidi"/>
          <w:sz w:val="24"/>
          <w:highlight w:val="yellow"/>
        </w:rPr>
      </w:pPr>
    </w:p>
    <w:p w14:paraId="10023B12" w14:textId="77777777" w:rsidR="007F081A" w:rsidRPr="00D868F9" w:rsidRDefault="007F081A" w:rsidP="00D868F9">
      <w:pPr>
        <w:pStyle w:val="BodyText"/>
        <w:rPr>
          <w:rFonts w:eastAsiaTheme="minorHAnsi" w:cstheme="minorBidi"/>
          <w:sz w:val="24"/>
        </w:rPr>
      </w:pPr>
      <w:r w:rsidRPr="00D868F9">
        <w:rPr>
          <w:rFonts w:eastAsiaTheme="minorHAnsi" w:cstheme="minorBidi"/>
          <w:sz w:val="24"/>
        </w:rPr>
        <w:t>Per the Market and Octavia Area Plan, the height limitation for the Turk Street site is 80- feet.</w:t>
      </w:r>
    </w:p>
    <w:p w14:paraId="40A0D564" w14:textId="77777777" w:rsidR="007F081A" w:rsidRPr="00D868F9" w:rsidRDefault="007F081A" w:rsidP="00D868F9">
      <w:pPr>
        <w:pStyle w:val="BodyText"/>
        <w:spacing w:before="5"/>
        <w:rPr>
          <w:rFonts w:eastAsiaTheme="minorHAnsi" w:cstheme="minorBidi"/>
          <w:sz w:val="24"/>
        </w:rPr>
      </w:pPr>
    </w:p>
    <w:p w14:paraId="75272B7A" w14:textId="77777777" w:rsidR="007F081A" w:rsidRPr="00D868F9" w:rsidRDefault="007F081A" w:rsidP="00D868F9">
      <w:pPr>
        <w:pStyle w:val="BodyText"/>
        <w:spacing w:before="1"/>
        <w:rPr>
          <w:rFonts w:eastAsiaTheme="minorHAnsi" w:cstheme="minorBidi"/>
          <w:sz w:val="24"/>
        </w:rPr>
      </w:pPr>
      <w:r w:rsidRPr="00D868F9">
        <w:rPr>
          <w:rFonts w:eastAsiaTheme="minorHAnsi" w:cstheme="minorBidi"/>
          <w:sz w:val="24"/>
        </w:rPr>
        <w:t>The maximum dwelling unit density allowed for Turk is one unit per 200 square feet of lot area, which equals 95 units for this 18,906 SF lot.</w:t>
      </w:r>
    </w:p>
    <w:p w14:paraId="7ABBD277" w14:textId="77777777" w:rsidR="007F081A" w:rsidRPr="00D868F9" w:rsidRDefault="007F081A" w:rsidP="00D868F9">
      <w:pPr>
        <w:pStyle w:val="BodyText"/>
        <w:spacing w:before="2"/>
        <w:rPr>
          <w:rFonts w:eastAsiaTheme="minorHAnsi" w:cstheme="minorBidi"/>
          <w:sz w:val="24"/>
        </w:rPr>
      </w:pPr>
    </w:p>
    <w:p w14:paraId="128615D8" w14:textId="14EA16F7" w:rsidR="007F081A" w:rsidRPr="00D868F9" w:rsidRDefault="007F081A" w:rsidP="00D868F9">
      <w:pPr>
        <w:pStyle w:val="BodyText"/>
        <w:rPr>
          <w:rFonts w:eastAsiaTheme="minorHAnsi" w:cstheme="minorBidi"/>
          <w:sz w:val="24"/>
        </w:rPr>
      </w:pPr>
      <w:r w:rsidRPr="00D868F9">
        <w:rPr>
          <w:rFonts w:eastAsiaTheme="minorHAnsi" w:cstheme="minorBidi"/>
          <w:sz w:val="24"/>
        </w:rPr>
        <w:t xml:space="preserve">Greater density or height could be achieved </w:t>
      </w:r>
      <w:r w:rsidR="0073060A" w:rsidRPr="00D868F9">
        <w:rPr>
          <w:rFonts w:eastAsiaTheme="minorHAnsi" w:cstheme="minorBidi"/>
          <w:sz w:val="24"/>
        </w:rPr>
        <w:t>with</w:t>
      </w:r>
      <w:r w:rsidRPr="00D868F9">
        <w:rPr>
          <w:rFonts w:eastAsiaTheme="minorHAnsi" w:cstheme="minorBidi"/>
          <w:sz w:val="24"/>
        </w:rPr>
        <w:t xml:space="preserve"> the State Density Bonus Program or the Affordable Housing Density Bonus Program.</w:t>
      </w:r>
    </w:p>
    <w:p w14:paraId="3D00C7A0" w14:textId="77777777" w:rsidR="007F081A" w:rsidRPr="00F202E0" w:rsidRDefault="007F081A" w:rsidP="00D868F9">
      <w:pPr>
        <w:pStyle w:val="BodyText"/>
        <w:rPr>
          <w:rFonts w:eastAsiaTheme="minorHAnsi" w:cstheme="minorBidi"/>
          <w:sz w:val="24"/>
          <w:highlight w:val="yellow"/>
        </w:rPr>
      </w:pPr>
    </w:p>
    <w:p w14:paraId="5FF5E0B4" w14:textId="6473F013" w:rsidR="007F081A" w:rsidRPr="002B3930" w:rsidRDefault="007F081A" w:rsidP="002B3930">
      <w:pPr>
        <w:pStyle w:val="BodyText"/>
        <w:rPr>
          <w:rFonts w:eastAsiaTheme="minorHAnsi" w:cstheme="minorBidi"/>
          <w:b/>
          <w:bCs/>
          <w:sz w:val="24"/>
        </w:rPr>
      </w:pPr>
      <w:r w:rsidRPr="00D868F9">
        <w:rPr>
          <w:rFonts w:eastAsiaTheme="minorHAnsi" w:cstheme="minorBidi"/>
          <w:b/>
          <w:bCs/>
          <w:sz w:val="24"/>
        </w:rPr>
        <w:t>Golden Gate Avenue</w:t>
      </w:r>
    </w:p>
    <w:p w14:paraId="628DF61C" w14:textId="735A4CAD" w:rsidR="007F081A" w:rsidRPr="00D868F9" w:rsidRDefault="007F081A" w:rsidP="002B3930">
      <w:pPr>
        <w:pStyle w:val="BodyText"/>
        <w:spacing w:before="248" w:line="276" w:lineRule="auto"/>
        <w:rPr>
          <w:rFonts w:eastAsiaTheme="minorHAnsi" w:cstheme="minorBidi"/>
          <w:sz w:val="24"/>
        </w:rPr>
      </w:pPr>
      <w:r w:rsidRPr="00D868F9">
        <w:rPr>
          <w:rFonts w:eastAsiaTheme="minorHAnsi" w:cstheme="minorBidi"/>
          <w:sz w:val="24"/>
        </w:rPr>
        <w:t>Per the Market and Octavia Area Plan, the height limitation for the Golden Gate site varies by parcel, with the maximum height allowed at 120-feet.</w:t>
      </w:r>
    </w:p>
    <w:p w14:paraId="28646214" w14:textId="6AE018D9" w:rsidR="007F081A" w:rsidRPr="00D868F9" w:rsidRDefault="007F081A" w:rsidP="002B3930">
      <w:pPr>
        <w:pStyle w:val="BodyText"/>
        <w:spacing w:before="248" w:line="276" w:lineRule="auto"/>
        <w:rPr>
          <w:rFonts w:eastAsiaTheme="minorHAnsi" w:cstheme="minorBidi"/>
          <w:sz w:val="24"/>
        </w:rPr>
      </w:pPr>
      <w:r w:rsidRPr="00D868F9">
        <w:rPr>
          <w:rFonts w:eastAsiaTheme="minorHAnsi" w:cstheme="minorBidi"/>
          <w:sz w:val="24"/>
        </w:rPr>
        <w:t xml:space="preserve">A conditional use is required for development of a 10,000 SF lot and above and the Golden Gate lot is 29,700 SF (aggregate of 4 parcels). The City also has the following dwelling unit mix requirements (does not apply for 100 percent affordable project or may be waived with a conditional use authority if a mixed income project): No less than 40 percent of total number of dwelling units on site shall contain at least 2 bedrooms; no </w:t>
      </w:r>
      <w:r w:rsidRPr="00D868F9">
        <w:rPr>
          <w:rFonts w:eastAsiaTheme="minorHAnsi" w:cstheme="minorBidi"/>
          <w:sz w:val="24"/>
        </w:rPr>
        <w:lastRenderedPageBreak/>
        <w:t xml:space="preserve">less than 30 percent of total number of units shall contain at least 3 bedrooms. A waiver for the dwelling unit mix requirements may also be waived </w:t>
      </w:r>
      <w:r w:rsidR="00ED68D8" w:rsidRPr="00D868F9">
        <w:rPr>
          <w:rFonts w:eastAsiaTheme="minorHAnsi" w:cstheme="minorBidi"/>
          <w:sz w:val="24"/>
        </w:rPr>
        <w:t>using</w:t>
      </w:r>
      <w:r w:rsidRPr="00D868F9">
        <w:rPr>
          <w:rFonts w:eastAsiaTheme="minorHAnsi" w:cstheme="minorBidi"/>
          <w:sz w:val="24"/>
        </w:rPr>
        <w:t xml:space="preserve"> SB-35.</w:t>
      </w:r>
    </w:p>
    <w:p w14:paraId="2E134EC4" w14:textId="77777777" w:rsidR="007F081A" w:rsidRPr="00F202E0" w:rsidRDefault="007F081A" w:rsidP="007F081A">
      <w:pPr>
        <w:pStyle w:val="BodyText"/>
        <w:rPr>
          <w:rFonts w:eastAsiaTheme="minorHAnsi" w:cstheme="minorBidi"/>
          <w:sz w:val="24"/>
          <w:highlight w:val="yellow"/>
        </w:rPr>
      </w:pPr>
    </w:p>
    <w:p w14:paraId="35C18334" w14:textId="77777777" w:rsidR="007F081A" w:rsidRPr="00F202E0" w:rsidRDefault="007F081A" w:rsidP="007F081A">
      <w:pPr>
        <w:pStyle w:val="BodyText"/>
        <w:spacing w:before="1"/>
        <w:rPr>
          <w:rFonts w:eastAsiaTheme="minorHAnsi" w:cstheme="minorBidi"/>
          <w:sz w:val="24"/>
          <w:highlight w:val="yellow"/>
        </w:rPr>
      </w:pPr>
    </w:p>
    <w:tbl>
      <w:tblPr>
        <w:tblW w:w="94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080"/>
        <w:gridCol w:w="1620"/>
        <w:gridCol w:w="988"/>
        <w:gridCol w:w="2697"/>
        <w:gridCol w:w="1394"/>
      </w:tblGrid>
      <w:tr w:rsidR="007F081A" w:rsidRPr="00D868F9" w14:paraId="610EFE59" w14:textId="77777777" w:rsidTr="00507851">
        <w:trPr>
          <w:trHeight w:val="834"/>
        </w:trPr>
        <w:tc>
          <w:tcPr>
            <w:tcW w:w="1706" w:type="dxa"/>
            <w:tcBorders>
              <w:bottom w:val="single" w:sz="4" w:space="0" w:color="auto"/>
            </w:tcBorders>
          </w:tcPr>
          <w:p w14:paraId="5BD33F1A" w14:textId="77777777" w:rsidR="007F081A" w:rsidRPr="00DD2952" w:rsidRDefault="007F081A" w:rsidP="00574B5A">
            <w:pPr>
              <w:pStyle w:val="TableParagraph"/>
              <w:rPr>
                <w:rFonts w:eastAsiaTheme="minorHAnsi" w:cstheme="minorBidi"/>
                <w:b/>
                <w:bCs/>
                <w:sz w:val="24"/>
                <w:lang w:bidi="ar-SA"/>
              </w:rPr>
            </w:pPr>
            <w:r w:rsidRPr="00DD2952">
              <w:rPr>
                <w:rFonts w:eastAsiaTheme="minorHAnsi" w:cstheme="minorBidi"/>
                <w:b/>
                <w:bCs/>
                <w:sz w:val="24"/>
                <w:lang w:bidi="ar-SA"/>
              </w:rPr>
              <w:t>Site</w:t>
            </w:r>
          </w:p>
        </w:tc>
        <w:tc>
          <w:tcPr>
            <w:tcW w:w="1080" w:type="dxa"/>
            <w:tcBorders>
              <w:bottom w:val="single" w:sz="4" w:space="0" w:color="auto"/>
            </w:tcBorders>
          </w:tcPr>
          <w:p w14:paraId="5228A0C9" w14:textId="77777777" w:rsidR="007F081A" w:rsidRPr="00DD2952" w:rsidRDefault="007F081A" w:rsidP="00574B5A">
            <w:pPr>
              <w:pStyle w:val="TableParagraph"/>
              <w:ind w:left="105"/>
              <w:rPr>
                <w:rFonts w:eastAsiaTheme="minorHAnsi" w:cstheme="minorBidi"/>
                <w:b/>
                <w:bCs/>
                <w:sz w:val="24"/>
                <w:lang w:bidi="ar-SA"/>
              </w:rPr>
            </w:pPr>
            <w:r w:rsidRPr="00DD2952">
              <w:rPr>
                <w:rFonts w:eastAsiaTheme="minorHAnsi" w:cstheme="minorBidi"/>
                <w:b/>
                <w:bCs/>
                <w:sz w:val="24"/>
                <w:lang w:bidi="ar-SA"/>
              </w:rPr>
              <w:t>Control</w:t>
            </w:r>
          </w:p>
        </w:tc>
        <w:tc>
          <w:tcPr>
            <w:tcW w:w="1620" w:type="dxa"/>
            <w:tcBorders>
              <w:bottom w:val="single" w:sz="4" w:space="0" w:color="auto"/>
            </w:tcBorders>
          </w:tcPr>
          <w:p w14:paraId="7BAD1EC6" w14:textId="77777777" w:rsidR="007F081A" w:rsidRPr="00DD2952" w:rsidRDefault="007F081A" w:rsidP="00574B5A">
            <w:pPr>
              <w:pStyle w:val="TableParagraph"/>
              <w:ind w:left="106"/>
              <w:rPr>
                <w:rFonts w:eastAsiaTheme="minorHAnsi" w:cstheme="minorBidi"/>
                <w:b/>
                <w:bCs/>
                <w:sz w:val="24"/>
                <w:lang w:bidi="ar-SA"/>
              </w:rPr>
            </w:pPr>
            <w:r w:rsidRPr="00DD2952">
              <w:rPr>
                <w:rFonts w:eastAsiaTheme="minorHAnsi" w:cstheme="minorBidi"/>
                <w:b/>
                <w:bCs/>
                <w:sz w:val="24"/>
                <w:lang w:bidi="ar-SA"/>
              </w:rPr>
              <w:t>APN No.</w:t>
            </w:r>
          </w:p>
        </w:tc>
        <w:tc>
          <w:tcPr>
            <w:tcW w:w="988" w:type="dxa"/>
            <w:tcBorders>
              <w:bottom w:val="single" w:sz="4" w:space="0" w:color="auto"/>
            </w:tcBorders>
          </w:tcPr>
          <w:p w14:paraId="3B829761" w14:textId="77777777" w:rsidR="007F081A" w:rsidRPr="00DD2952" w:rsidRDefault="007F081A" w:rsidP="00574B5A">
            <w:pPr>
              <w:pStyle w:val="TableParagraph"/>
              <w:ind w:left="106"/>
              <w:rPr>
                <w:rFonts w:eastAsiaTheme="minorHAnsi" w:cstheme="minorBidi"/>
                <w:b/>
                <w:bCs/>
                <w:sz w:val="24"/>
                <w:lang w:bidi="ar-SA"/>
              </w:rPr>
            </w:pPr>
            <w:r w:rsidRPr="00DD2952">
              <w:rPr>
                <w:rFonts w:eastAsiaTheme="minorHAnsi" w:cstheme="minorBidi"/>
                <w:b/>
                <w:bCs/>
                <w:sz w:val="24"/>
                <w:lang w:bidi="ar-SA"/>
              </w:rPr>
              <w:t>Acres*</w:t>
            </w:r>
          </w:p>
        </w:tc>
        <w:tc>
          <w:tcPr>
            <w:tcW w:w="2697" w:type="dxa"/>
            <w:tcBorders>
              <w:bottom w:val="single" w:sz="4" w:space="0" w:color="auto"/>
            </w:tcBorders>
          </w:tcPr>
          <w:p w14:paraId="1BF62B0C" w14:textId="77777777" w:rsidR="007F081A" w:rsidRPr="00DD2952" w:rsidRDefault="007F081A" w:rsidP="00574B5A">
            <w:pPr>
              <w:pStyle w:val="TableParagraph"/>
              <w:ind w:left="109"/>
              <w:rPr>
                <w:rFonts w:eastAsiaTheme="minorHAnsi" w:cstheme="minorBidi"/>
                <w:b/>
                <w:bCs/>
                <w:sz w:val="24"/>
                <w:lang w:bidi="ar-SA"/>
              </w:rPr>
            </w:pPr>
            <w:r w:rsidRPr="00DD2952">
              <w:rPr>
                <w:rFonts w:eastAsiaTheme="minorHAnsi" w:cstheme="minorBidi"/>
                <w:b/>
                <w:bCs/>
                <w:sz w:val="24"/>
                <w:lang w:bidi="ar-SA"/>
              </w:rPr>
              <w:t>Zoning</w:t>
            </w:r>
          </w:p>
        </w:tc>
        <w:tc>
          <w:tcPr>
            <w:tcW w:w="1394" w:type="dxa"/>
            <w:tcBorders>
              <w:bottom w:val="single" w:sz="4" w:space="0" w:color="auto"/>
            </w:tcBorders>
          </w:tcPr>
          <w:p w14:paraId="4DDE37C9" w14:textId="77777777" w:rsidR="007F081A" w:rsidRPr="00DD2952" w:rsidRDefault="007F081A" w:rsidP="00574B5A">
            <w:pPr>
              <w:pStyle w:val="TableParagraph"/>
              <w:spacing w:line="276" w:lineRule="auto"/>
              <w:ind w:left="113" w:right="384"/>
              <w:rPr>
                <w:rFonts w:eastAsiaTheme="minorHAnsi" w:cstheme="minorBidi"/>
                <w:b/>
                <w:bCs/>
                <w:sz w:val="24"/>
                <w:lang w:bidi="ar-SA"/>
              </w:rPr>
            </w:pPr>
            <w:r w:rsidRPr="00DD2952">
              <w:rPr>
                <w:rFonts w:eastAsiaTheme="minorHAnsi" w:cstheme="minorBidi"/>
                <w:b/>
                <w:bCs/>
                <w:sz w:val="24"/>
                <w:lang w:bidi="ar-SA"/>
              </w:rPr>
              <w:t>Current Use</w:t>
            </w:r>
          </w:p>
        </w:tc>
      </w:tr>
      <w:tr w:rsidR="007F081A" w:rsidRPr="00D868F9" w14:paraId="547D6D7B" w14:textId="77777777" w:rsidTr="00507851">
        <w:trPr>
          <w:trHeight w:val="1552"/>
        </w:trPr>
        <w:tc>
          <w:tcPr>
            <w:tcW w:w="1706" w:type="dxa"/>
            <w:tcBorders>
              <w:top w:val="single" w:sz="4" w:space="0" w:color="auto"/>
              <w:left w:val="single" w:sz="4" w:space="0" w:color="auto"/>
              <w:bottom w:val="single" w:sz="4" w:space="0" w:color="auto"/>
              <w:right w:val="single" w:sz="4" w:space="0" w:color="auto"/>
            </w:tcBorders>
          </w:tcPr>
          <w:p w14:paraId="17407E7E" w14:textId="77777777" w:rsidR="007F081A" w:rsidRPr="00D868F9" w:rsidRDefault="007F081A" w:rsidP="00574B5A">
            <w:pPr>
              <w:pStyle w:val="TableParagraph"/>
              <w:rPr>
                <w:rFonts w:eastAsiaTheme="minorHAnsi" w:cstheme="minorBidi"/>
                <w:sz w:val="24"/>
                <w:lang w:bidi="ar-SA"/>
              </w:rPr>
            </w:pPr>
            <w:r w:rsidRPr="00D868F9">
              <w:rPr>
                <w:rFonts w:eastAsiaTheme="minorHAnsi" w:cstheme="minorBidi"/>
                <w:sz w:val="24"/>
                <w:lang w:bidi="ar-SA"/>
              </w:rPr>
              <w:t>Turk Street</w:t>
            </w:r>
          </w:p>
        </w:tc>
        <w:tc>
          <w:tcPr>
            <w:tcW w:w="1080" w:type="dxa"/>
            <w:tcBorders>
              <w:top w:val="single" w:sz="4" w:space="0" w:color="auto"/>
              <w:left w:val="single" w:sz="4" w:space="0" w:color="auto"/>
              <w:bottom w:val="single" w:sz="4" w:space="0" w:color="auto"/>
              <w:right w:val="single" w:sz="4" w:space="0" w:color="auto"/>
            </w:tcBorders>
          </w:tcPr>
          <w:p w14:paraId="2041594E" w14:textId="77777777" w:rsidR="007F081A" w:rsidRPr="00D868F9" w:rsidRDefault="007F081A" w:rsidP="00574B5A">
            <w:pPr>
              <w:pStyle w:val="TableParagraph"/>
              <w:ind w:left="105"/>
              <w:rPr>
                <w:rFonts w:eastAsiaTheme="minorHAnsi" w:cstheme="minorBidi"/>
                <w:sz w:val="24"/>
                <w:lang w:bidi="ar-SA"/>
              </w:rPr>
            </w:pPr>
            <w:r w:rsidRPr="00D868F9">
              <w:rPr>
                <w:rFonts w:eastAsiaTheme="minorHAnsi" w:cstheme="minorBidi"/>
                <w:sz w:val="24"/>
                <w:lang w:bidi="ar-SA"/>
              </w:rPr>
              <w:t>EDD</w:t>
            </w:r>
          </w:p>
        </w:tc>
        <w:tc>
          <w:tcPr>
            <w:tcW w:w="1620" w:type="dxa"/>
            <w:tcBorders>
              <w:top w:val="single" w:sz="4" w:space="0" w:color="auto"/>
              <w:left w:val="single" w:sz="4" w:space="0" w:color="auto"/>
              <w:bottom w:val="single" w:sz="4" w:space="0" w:color="auto"/>
              <w:right w:val="single" w:sz="4" w:space="0" w:color="auto"/>
            </w:tcBorders>
          </w:tcPr>
          <w:p w14:paraId="060BBB4A" w14:textId="77777777" w:rsidR="007F081A" w:rsidRPr="00D868F9" w:rsidRDefault="007F081A" w:rsidP="00574B5A">
            <w:pPr>
              <w:pStyle w:val="TableParagraph"/>
              <w:ind w:left="106"/>
              <w:rPr>
                <w:rFonts w:eastAsiaTheme="minorHAnsi" w:cstheme="minorBidi"/>
                <w:sz w:val="24"/>
                <w:lang w:bidi="ar-SA"/>
              </w:rPr>
            </w:pPr>
            <w:r w:rsidRPr="00D868F9">
              <w:rPr>
                <w:rFonts w:eastAsiaTheme="minorHAnsi" w:cstheme="minorBidi"/>
                <w:sz w:val="24"/>
                <w:lang w:bidi="ar-SA"/>
              </w:rPr>
              <w:t>0744-006</w:t>
            </w:r>
          </w:p>
        </w:tc>
        <w:tc>
          <w:tcPr>
            <w:tcW w:w="988" w:type="dxa"/>
            <w:tcBorders>
              <w:top w:val="single" w:sz="4" w:space="0" w:color="auto"/>
              <w:left w:val="single" w:sz="4" w:space="0" w:color="auto"/>
              <w:bottom w:val="single" w:sz="4" w:space="0" w:color="auto"/>
              <w:right w:val="single" w:sz="4" w:space="0" w:color="auto"/>
            </w:tcBorders>
          </w:tcPr>
          <w:p w14:paraId="0B1CB0F8" w14:textId="77777777" w:rsidR="007F081A" w:rsidRPr="00D868F9" w:rsidRDefault="007F081A" w:rsidP="00574B5A">
            <w:pPr>
              <w:pStyle w:val="TableParagraph"/>
              <w:ind w:left="106"/>
              <w:rPr>
                <w:rFonts w:eastAsiaTheme="minorHAnsi" w:cstheme="minorBidi"/>
                <w:sz w:val="24"/>
                <w:lang w:bidi="ar-SA"/>
              </w:rPr>
            </w:pPr>
            <w:r w:rsidRPr="00D868F9">
              <w:rPr>
                <w:rFonts w:eastAsiaTheme="minorHAnsi" w:cstheme="minorBidi"/>
                <w:sz w:val="24"/>
                <w:lang w:bidi="ar-SA"/>
              </w:rPr>
              <w:t>0.433</w:t>
            </w:r>
          </w:p>
        </w:tc>
        <w:tc>
          <w:tcPr>
            <w:tcW w:w="2697" w:type="dxa"/>
            <w:tcBorders>
              <w:top w:val="single" w:sz="4" w:space="0" w:color="auto"/>
              <w:left w:val="single" w:sz="4" w:space="0" w:color="auto"/>
              <w:bottom w:val="single" w:sz="4" w:space="0" w:color="auto"/>
              <w:right w:val="single" w:sz="4" w:space="0" w:color="auto"/>
            </w:tcBorders>
          </w:tcPr>
          <w:p w14:paraId="66BDDE94" w14:textId="77777777" w:rsidR="007F081A" w:rsidRPr="00D868F9" w:rsidRDefault="007F081A" w:rsidP="00574B5A">
            <w:pPr>
              <w:pStyle w:val="TableParagraph"/>
              <w:spacing w:line="448" w:lineRule="auto"/>
              <w:ind w:left="109" w:right="1385"/>
              <w:rPr>
                <w:rFonts w:eastAsiaTheme="minorHAnsi" w:cstheme="minorBidi"/>
                <w:sz w:val="24"/>
                <w:lang w:bidi="ar-SA"/>
              </w:rPr>
            </w:pPr>
            <w:r w:rsidRPr="00D868F9">
              <w:rPr>
                <w:rFonts w:eastAsiaTheme="minorHAnsi" w:cstheme="minorBidi"/>
                <w:sz w:val="24"/>
                <w:lang w:bidi="ar-SA"/>
              </w:rPr>
              <w:t>Residential RM-4</w:t>
            </w:r>
          </w:p>
          <w:p w14:paraId="1D10AE5B" w14:textId="77777777" w:rsidR="007F081A" w:rsidRPr="00D868F9" w:rsidRDefault="007F081A" w:rsidP="00574B5A">
            <w:pPr>
              <w:pStyle w:val="TableParagraph"/>
              <w:spacing w:before="2"/>
              <w:ind w:left="109"/>
              <w:rPr>
                <w:rFonts w:eastAsiaTheme="minorHAnsi" w:cstheme="minorBidi"/>
                <w:sz w:val="24"/>
                <w:lang w:bidi="ar-SA"/>
              </w:rPr>
            </w:pPr>
            <w:r w:rsidRPr="00D868F9">
              <w:rPr>
                <w:rFonts w:eastAsiaTheme="minorHAnsi" w:cstheme="minorBidi"/>
                <w:sz w:val="24"/>
                <w:lang w:bidi="ar-SA"/>
              </w:rPr>
              <w:t>218 du/acre</w:t>
            </w:r>
          </w:p>
        </w:tc>
        <w:tc>
          <w:tcPr>
            <w:tcW w:w="1394" w:type="dxa"/>
            <w:tcBorders>
              <w:top w:val="single" w:sz="4" w:space="0" w:color="auto"/>
              <w:left w:val="single" w:sz="4" w:space="0" w:color="auto"/>
              <w:bottom w:val="single" w:sz="4" w:space="0" w:color="auto"/>
              <w:right w:val="single" w:sz="4" w:space="0" w:color="auto"/>
            </w:tcBorders>
          </w:tcPr>
          <w:p w14:paraId="23FDA3B0" w14:textId="77777777" w:rsidR="007F081A" w:rsidRPr="00D868F9" w:rsidRDefault="007F081A" w:rsidP="00574B5A">
            <w:pPr>
              <w:pStyle w:val="TableParagraph"/>
              <w:ind w:left="113"/>
              <w:rPr>
                <w:rFonts w:eastAsiaTheme="minorHAnsi" w:cstheme="minorBidi"/>
                <w:sz w:val="24"/>
                <w:lang w:bidi="ar-SA"/>
              </w:rPr>
            </w:pPr>
            <w:r w:rsidRPr="00D868F9">
              <w:rPr>
                <w:rFonts w:eastAsiaTheme="minorHAnsi" w:cstheme="minorBidi"/>
                <w:sz w:val="24"/>
                <w:lang w:bidi="ar-SA"/>
              </w:rPr>
              <w:t>parking</w:t>
            </w:r>
          </w:p>
        </w:tc>
      </w:tr>
      <w:tr w:rsidR="00507851" w:rsidRPr="00D868F9" w14:paraId="786F2914" w14:textId="77777777" w:rsidTr="00507851">
        <w:trPr>
          <w:trHeight w:val="1351"/>
        </w:trPr>
        <w:tc>
          <w:tcPr>
            <w:tcW w:w="1706" w:type="dxa"/>
            <w:tcBorders>
              <w:top w:val="single" w:sz="4" w:space="0" w:color="auto"/>
              <w:left w:val="single" w:sz="4" w:space="0" w:color="auto"/>
              <w:bottom w:val="single" w:sz="4" w:space="0" w:color="auto"/>
              <w:right w:val="single" w:sz="4" w:space="0" w:color="auto"/>
            </w:tcBorders>
          </w:tcPr>
          <w:p w14:paraId="6ADDD9A7" w14:textId="77777777" w:rsidR="00507851" w:rsidRPr="00D868F9" w:rsidRDefault="00507851" w:rsidP="00574B5A">
            <w:pPr>
              <w:pStyle w:val="TableParagraph"/>
              <w:spacing w:line="448" w:lineRule="auto"/>
              <w:ind w:right="141"/>
              <w:rPr>
                <w:rFonts w:eastAsiaTheme="minorHAnsi" w:cstheme="minorBidi"/>
                <w:sz w:val="24"/>
                <w:lang w:bidi="ar-SA"/>
              </w:rPr>
            </w:pPr>
            <w:r w:rsidRPr="00D868F9">
              <w:rPr>
                <w:rFonts w:eastAsiaTheme="minorHAnsi" w:cstheme="minorBidi"/>
                <w:sz w:val="24"/>
                <w:lang w:bidi="ar-SA"/>
              </w:rPr>
              <w:t>Golden Gate/ Franklin</w:t>
            </w:r>
          </w:p>
        </w:tc>
        <w:tc>
          <w:tcPr>
            <w:tcW w:w="1080" w:type="dxa"/>
            <w:tcBorders>
              <w:top w:val="single" w:sz="4" w:space="0" w:color="auto"/>
              <w:left w:val="single" w:sz="4" w:space="0" w:color="auto"/>
              <w:bottom w:val="single" w:sz="4" w:space="0" w:color="auto"/>
              <w:right w:val="single" w:sz="4" w:space="0" w:color="auto"/>
            </w:tcBorders>
          </w:tcPr>
          <w:p w14:paraId="5BF3D0EE" w14:textId="77777777" w:rsidR="00507851" w:rsidRPr="00D868F9" w:rsidRDefault="00507851" w:rsidP="00574B5A">
            <w:pPr>
              <w:pStyle w:val="TableParagraph"/>
              <w:ind w:left="105"/>
              <w:rPr>
                <w:rFonts w:eastAsiaTheme="minorHAnsi" w:cstheme="minorBidi"/>
                <w:sz w:val="24"/>
                <w:lang w:bidi="ar-SA"/>
              </w:rPr>
            </w:pPr>
            <w:r w:rsidRPr="00D868F9">
              <w:rPr>
                <w:rFonts w:eastAsiaTheme="minorHAnsi" w:cstheme="minorBidi"/>
                <w:sz w:val="24"/>
                <w:lang w:bidi="ar-SA"/>
              </w:rPr>
              <w:t>EDD</w:t>
            </w:r>
          </w:p>
        </w:tc>
        <w:tc>
          <w:tcPr>
            <w:tcW w:w="1620" w:type="dxa"/>
            <w:tcBorders>
              <w:top w:val="single" w:sz="4" w:space="0" w:color="auto"/>
              <w:left w:val="single" w:sz="4" w:space="0" w:color="auto"/>
              <w:bottom w:val="single" w:sz="4" w:space="0" w:color="auto"/>
              <w:right w:val="single" w:sz="4" w:space="0" w:color="auto"/>
            </w:tcBorders>
          </w:tcPr>
          <w:p w14:paraId="33A31EA4" w14:textId="77777777" w:rsidR="00507851" w:rsidRPr="00D868F9" w:rsidRDefault="00507851" w:rsidP="00574B5A">
            <w:pPr>
              <w:pStyle w:val="TableParagraph"/>
              <w:ind w:left="106"/>
              <w:rPr>
                <w:rFonts w:eastAsiaTheme="minorHAnsi" w:cstheme="minorBidi"/>
                <w:sz w:val="24"/>
                <w:lang w:bidi="ar-SA"/>
              </w:rPr>
            </w:pPr>
            <w:r w:rsidRPr="00D868F9">
              <w:rPr>
                <w:rFonts w:eastAsiaTheme="minorHAnsi" w:cstheme="minorBidi"/>
                <w:sz w:val="24"/>
                <w:lang w:bidi="ar-SA"/>
              </w:rPr>
              <w:t>0761-</w:t>
            </w:r>
          </w:p>
          <w:p w14:paraId="13DB4DCD" w14:textId="77777777" w:rsidR="00507851" w:rsidRPr="00D868F9" w:rsidRDefault="00507851" w:rsidP="00574B5A">
            <w:pPr>
              <w:pStyle w:val="TableParagraph"/>
              <w:spacing w:before="41"/>
              <w:ind w:left="106"/>
              <w:rPr>
                <w:rFonts w:eastAsiaTheme="minorHAnsi" w:cstheme="minorBidi"/>
                <w:sz w:val="24"/>
                <w:lang w:bidi="ar-SA"/>
              </w:rPr>
            </w:pPr>
            <w:r w:rsidRPr="00D868F9">
              <w:rPr>
                <w:rFonts w:eastAsiaTheme="minorHAnsi" w:cstheme="minorBidi"/>
                <w:sz w:val="24"/>
                <w:lang w:bidi="ar-SA"/>
              </w:rPr>
              <w:t>002,003,022</w:t>
            </w:r>
          </w:p>
        </w:tc>
        <w:tc>
          <w:tcPr>
            <w:tcW w:w="988" w:type="dxa"/>
            <w:tcBorders>
              <w:top w:val="single" w:sz="4" w:space="0" w:color="auto"/>
              <w:left w:val="single" w:sz="4" w:space="0" w:color="auto"/>
              <w:bottom w:val="single" w:sz="4" w:space="0" w:color="auto"/>
              <w:right w:val="single" w:sz="4" w:space="0" w:color="auto"/>
            </w:tcBorders>
          </w:tcPr>
          <w:p w14:paraId="5F446B3E" w14:textId="77777777" w:rsidR="00507851" w:rsidRPr="00D868F9" w:rsidRDefault="00507851" w:rsidP="00574B5A">
            <w:pPr>
              <w:pStyle w:val="TableParagraph"/>
              <w:ind w:left="106"/>
              <w:rPr>
                <w:rFonts w:eastAsiaTheme="minorHAnsi" w:cstheme="minorBidi"/>
                <w:sz w:val="24"/>
                <w:lang w:bidi="ar-SA"/>
              </w:rPr>
            </w:pPr>
            <w:r w:rsidRPr="00D868F9">
              <w:rPr>
                <w:rFonts w:eastAsiaTheme="minorHAnsi" w:cstheme="minorBidi"/>
                <w:sz w:val="24"/>
                <w:lang w:bidi="ar-SA"/>
              </w:rPr>
              <w:t>0.293</w:t>
            </w:r>
          </w:p>
        </w:tc>
        <w:tc>
          <w:tcPr>
            <w:tcW w:w="2697" w:type="dxa"/>
            <w:tcBorders>
              <w:top w:val="single" w:sz="4" w:space="0" w:color="auto"/>
              <w:left w:val="single" w:sz="4" w:space="0" w:color="auto"/>
              <w:bottom w:val="single" w:sz="4" w:space="0" w:color="auto"/>
              <w:right w:val="single" w:sz="4" w:space="0" w:color="auto"/>
            </w:tcBorders>
          </w:tcPr>
          <w:p w14:paraId="5ED30516" w14:textId="77777777" w:rsidR="00507851" w:rsidRPr="00D868F9" w:rsidRDefault="00507851" w:rsidP="00574B5A">
            <w:pPr>
              <w:pStyle w:val="TableParagraph"/>
              <w:spacing w:line="276" w:lineRule="auto"/>
              <w:ind w:left="109" w:right="130"/>
              <w:rPr>
                <w:rFonts w:eastAsiaTheme="minorHAnsi" w:cstheme="minorBidi"/>
                <w:sz w:val="24"/>
                <w:lang w:bidi="ar-SA"/>
              </w:rPr>
            </w:pPr>
            <w:r w:rsidRPr="00D868F9">
              <w:rPr>
                <w:rFonts w:eastAsiaTheme="minorHAnsi" w:cstheme="minorBidi"/>
                <w:sz w:val="24"/>
                <w:lang w:bidi="ar-SA"/>
              </w:rPr>
              <w:t>Moderate Commercial, Neigh. Transit: NCT-3;</w:t>
            </w:r>
          </w:p>
          <w:p w14:paraId="6076F57B" w14:textId="77777777" w:rsidR="00507851" w:rsidRPr="00D868F9" w:rsidRDefault="00507851" w:rsidP="00574B5A">
            <w:pPr>
              <w:pStyle w:val="TableParagraph"/>
              <w:spacing w:before="199"/>
              <w:ind w:left="109"/>
              <w:rPr>
                <w:rFonts w:eastAsiaTheme="minorHAnsi" w:cstheme="minorBidi"/>
                <w:sz w:val="24"/>
                <w:lang w:bidi="ar-SA"/>
              </w:rPr>
            </w:pPr>
            <w:r w:rsidRPr="00D868F9">
              <w:rPr>
                <w:rFonts w:eastAsiaTheme="minorHAnsi" w:cstheme="minorBidi"/>
                <w:sz w:val="24"/>
                <w:lang w:bidi="ar-SA"/>
              </w:rPr>
              <w:t>No density limit</w:t>
            </w:r>
          </w:p>
        </w:tc>
        <w:tc>
          <w:tcPr>
            <w:tcW w:w="1394" w:type="dxa"/>
            <w:tcBorders>
              <w:top w:val="single" w:sz="4" w:space="0" w:color="auto"/>
              <w:left w:val="single" w:sz="4" w:space="0" w:color="auto"/>
              <w:right w:val="single" w:sz="4" w:space="0" w:color="auto"/>
            </w:tcBorders>
          </w:tcPr>
          <w:p w14:paraId="4EB45D61" w14:textId="2B499C75" w:rsidR="00507851" w:rsidRPr="00D868F9" w:rsidRDefault="00507851" w:rsidP="00574B5A">
            <w:pPr>
              <w:pStyle w:val="TableParagraph"/>
              <w:spacing w:before="195" w:line="234" w:lineRule="exact"/>
              <w:ind w:left="113"/>
              <w:rPr>
                <w:rFonts w:eastAsiaTheme="minorHAnsi" w:cstheme="minorBidi"/>
                <w:sz w:val="24"/>
                <w:lang w:bidi="ar-SA"/>
              </w:rPr>
            </w:pPr>
            <w:r w:rsidRPr="00D868F9">
              <w:rPr>
                <w:rFonts w:eastAsiaTheme="minorHAnsi" w:cstheme="minorBidi"/>
                <w:sz w:val="24"/>
                <w:lang w:bidi="ar-SA"/>
              </w:rPr>
              <w:t>parking</w:t>
            </w:r>
          </w:p>
        </w:tc>
      </w:tr>
      <w:tr w:rsidR="007F081A" w:rsidRPr="00D868F9" w14:paraId="248E6DCB" w14:textId="77777777" w:rsidTr="00C114EE">
        <w:trPr>
          <w:trHeight w:val="1331"/>
        </w:trPr>
        <w:tc>
          <w:tcPr>
            <w:tcW w:w="1706" w:type="dxa"/>
            <w:tcBorders>
              <w:top w:val="single" w:sz="4" w:space="0" w:color="auto"/>
              <w:left w:val="single" w:sz="4" w:space="0" w:color="auto"/>
              <w:bottom w:val="single" w:sz="4" w:space="0" w:color="auto"/>
              <w:right w:val="single" w:sz="4" w:space="0" w:color="auto"/>
            </w:tcBorders>
          </w:tcPr>
          <w:p w14:paraId="5FBFF58C" w14:textId="77777777" w:rsidR="007F081A" w:rsidRPr="00D868F9" w:rsidRDefault="007F081A" w:rsidP="00574B5A">
            <w:pPr>
              <w:pStyle w:val="TableParagraph"/>
              <w:rPr>
                <w:rFonts w:eastAsiaTheme="minorHAnsi" w:cstheme="minorBidi"/>
                <w:sz w:val="24"/>
                <w:lang w:bidi="ar-SA"/>
              </w:rPr>
            </w:pPr>
            <w:r w:rsidRPr="00D868F9">
              <w:rPr>
                <w:rFonts w:eastAsiaTheme="minorHAnsi" w:cstheme="minorBidi"/>
                <w:sz w:val="24"/>
                <w:lang w:bidi="ar-SA"/>
              </w:rPr>
              <w:t>Golden Gate</w:t>
            </w:r>
          </w:p>
        </w:tc>
        <w:tc>
          <w:tcPr>
            <w:tcW w:w="1080" w:type="dxa"/>
            <w:tcBorders>
              <w:top w:val="single" w:sz="4" w:space="0" w:color="auto"/>
              <w:left w:val="single" w:sz="4" w:space="0" w:color="auto"/>
              <w:bottom w:val="single" w:sz="4" w:space="0" w:color="auto"/>
              <w:right w:val="single" w:sz="4" w:space="0" w:color="auto"/>
            </w:tcBorders>
          </w:tcPr>
          <w:p w14:paraId="623BE103" w14:textId="77777777" w:rsidR="007F081A" w:rsidRPr="00D868F9" w:rsidRDefault="007F081A" w:rsidP="00574B5A">
            <w:pPr>
              <w:pStyle w:val="TableParagraph"/>
              <w:ind w:left="105"/>
              <w:rPr>
                <w:rFonts w:eastAsiaTheme="minorHAnsi" w:cstheme="minorBidi"/>
                <w:sz w:val="24"/>
                <w:lang w:bidi="ar-SA"/>
              </w:rPr>
            </w:pPr>
            <w:r w:rsidRPr="00D868F9">
              <w:rPr>
                <w:rFonts w:eastAsiaTheme="minorHAnsi" w:cstheme="minorBidi"/>
                <w:sz w:val="24"/>
                <w:lang w:bidi="ar-SA"/>
              </w:rPr>
              <w:t>DGS</w:t>
            </w:r>
          </w:p>
        </w:tc>
        <w:tc>
          <w:tcPr>
            <w:tcW w:w="1620" w:type="dxa"/>
            <w:tcBorders>
              <w:top w:val="single" w:sz="4" w:space="0" w:color="auto"/>
              <w:left w:val="single" w:sz="4" w:space="0" w:color="auto"/>
              <w:bottom w:val="single" w:sz="4" w:space="0" w:color="auto"/>
              <w:right w:val="single" w:sz="4" w:space="0" w:color="auto"/>
            </w:tcBorders>
          </w:tcPr>
          <w:p w14:paraId="2E34122C" w14:textId="77777777" w:rsidR="007F081A" w:rsidRPr="00D868F9" w:rsidRDefault="007F081A" w:rsidP="00574B5A">
            <w:pPr>
              <w:pStyle w:val="TableParagraph"/>
              <w:ind w:left="106"/>
              <w:rPr>
                <w:rFonts w:eastAsiaTheme="minorHAnsi" w:cstheme="minorBidi"/>
                <w:sz w:val="24"/>
                <w:lang w:bidi="ar-SA"/>
              </w:rPr>
            </w:pPr>
            <w:r w:rsidRPr="00D868F9">
              <w:rPr>
                <w:rFonts w:eastAsiaTheme="minorHAnsi" w:cstheme="minorBidi"/>
                <w:sz w:val="24"/>
                <w:lang w:bidi="ar-SA"/>
              </w:rPr>
              <w:t>0761-062</w:t>
            </w:r>
          </w:p>
        </w:tc>
        <w:tc>
          <w:tcPr>
            <w:tcW w:w="988" w:type="dxa"/>
            <w:tcBorders>
              <w:top w:val="single" w:sz="4" w:space="0" w:color="auto"/>
              <w:left w:val="single" w:sz="4" w:space="0" w:color="auto"/>
              <w:bottom w:val="single" w:sz="4" w:space="0" w:color="auto"/>
              <w:right w:val="single" w:sz="4" w:space="0" w:color="auto"/>
            </w:tcBorders>
          </w:tcPr>
          <w:p w14:paraId="1EA9F2E9" w14:textId="77777777" w:rsidR="007F081A" w:rsidRPr="00D868F9" w:rsidRDefault="007F081A" w:rsidP="00574B5A">
            <w:pPr>
              <w:pStyle w:val="TableParagraph"/>
              <w:ind w:left="106"/>
              <w:rPr>
                <w:rFonts w:eastAsiaTheme="minorHAnsi" w:cstheme="minorBidi"/>
                <w:sz w:val="24"/>
                <w:lang w:bidi="ar-SA"/>
              </w:rPr>
            </w:pPr>
            <w:r w:rsidRPr="00D868F9">
              <w:rPr>
                <w:rFonts w:eastAsiaTheme="minorHAnsi" w:cstheme="minorBidi"/>
                <w:sz w:val="24"/>
                <w:lang w:bidi="ar-SA"/>
              </w:rPr>
              <w:t>0.387</w:t>
            </w:r>
          </w:p>
        </w:tc>
        <w:tc>
          <w:tcPr>
            <w:tcW w:w="2697" w:type="dxa"/>
            <w:tcBorders>
              <w:top w:val="single" w:sz="4" w:space="0" w:color="auto"/>
              <w:left w:val="single" w:sz="4" w:space="0" w:color="auto"/>
              <w:bottom w:val="single" w:sz="4" w:space="0" w:color="auto"/>
              <w:right w:val="single" w:sz="4" w:space="0" w:color="auto"/>
            </w:tcBorders>
          </w:tcPr>
          <w:p w14:paraId="78D88EB6" w14:textId="77777777" w:rsidR="007F081A" w:rsidRPr="00D868F9" w:rsidRDefault="007F081A" w:rsidP="00574B5A">
            <w:pPr>
              <w:pStyle w:val="TableParagraph"/>
              <w:spacing w:line="276" w:lineRule="auto"/>
              <w:ind w:left="109" w:right="130"/>
              <w:rPr>
                <w:rFonts w:eastAsiaTheme="minorHAnsi" w:cstheme="minorBidi"/>
                <w:sz w:val="24"/>
                <w:lang w:bidi="ar-SA"/>
              </w:rPr>
            </w:pPr>
            <w:r w:rsidRPr="00D868F9">
              <w:rPr>
                <w:rFonts w:eastAsiaTheme="minorHAnsi" w:cstheme="minorBidi"/>
                <w:sz w:val="24"/>
                <w:lang w:bidi="ar-SA"/>
              </w:rPr>
              <w:t>Moderate Commercial, Neigh. Transit: NCT-3;</w:t>
            </w:r>
          </w:p>
          <w:p w14:paraId="26E7D38E" w14:textId="77777777" w:rsidR="007F081A" w:rsidRPr="00D868F9" w:rsidRDefault="007F081A" w:rsidP="00574B5A">
            <w:pPr>
              <w:pStyle w:val="TableParagraph"/>
              <w:spacing w:before="200"/>
              <w:ind w:left="109"/>
              <w:rPr>
                <w:rFonts w:eastAsiaTheme="minorHAnsi" w:cstheme="minorBidi"/>
                <w:sz w:val="24"/>
                <w:lang w:bidi="ar-SA"/>
              </w:rPr>
            </w:pPr>
            <w:r w:rsidRPr="00D868F9">
              <w:rPr>
                <w:rFonts w:eastAsiaTheme="minorHAnsi" w:cstheme="minorBidi"/>
                <w:sz w:val="24"/>
                <w:lang w:bidi="ar-SA"/>
              </w:rPr>
              <w:t>No density limit</w:t>
            </w:r>
          </w:p>
        </w:tc>
        <w:tc>
          <w:tcPr>
            <w:tcW w:w="1394" w:type="dxa"/>
            <w:tcBorders>
              <w:top w:val="single" w:sz="4" w:space="0" w:color="auto"/>
              <w:left w:val="single" w:sz="4" w:space="0" w:color="auto"/>
              <w:bottom w:val="single" w:sz="4" w:space="0" w:color="auto"/>
              <w:right w:val="single" w:sz="4" w:space="0" w:color="auto"/>
            </w:tcBorders>
          </w:tcPr>
          <w:p w14:paraId="26ABB6BE" w14:textId="5212138E" w:rsidR="007F081A" w:rsidRPr="00D868F9" w:rsidRDefault="00507851" w:rsidP="00574B5A">
            <w:pPr>
              <w:pStyle w:val="TableParagraph"/>
              <w:ind w:left="0"/>
              <w:rPr>
                <w:rFonts w:eastAsiaTheme="minorHAnsi" w:cstheme="minorBidi"/>
                <w:sz w:val="24"/>
                <w:lang w:bidi="ar-SA"/>
              </w:rPr>
            </w:pPr>
            <w:r>
              <w:rPr>
                <w:rFonts w:eastAsiaTheme="minorHAnsi" w:cstheme="minorBidi"/>
                <w:sz w:val="24"/>
                <w:lang w:bidi="ar-SA"/>
              </w:rPr>
              <w:t>parking</w:t>
            </w:r>
          </w:p>
        </w:tc>
        <w:bookmarkStart w:id="14" w:name="_GoBack"/>
        <w:bookmarkEnd w:id="14"/>
      </w:tr>
    </w:tbl>
    <w:p w14:paraId="0FB87F1D" w14:textId="4423F00B" w:rsidR="00594652" w:rsidRPr="00D868F9" w:rsidRDefault="00D868F9" w:rsidP="006B661A">
      <w:pPr>
        <w:ind w:left="100"/>
      </w:pPr>
      <w:r>
        <w:rPr>
          <w:noProof/>
        </w:rPr>
        <w:drawing>
          <wp:inline distT="0" distB="0" distL="0" distR="0" wp14:anchorId="085100AE" wp14:editId="0A4119EF">
            <wp:extent cx="5995035" cy="3730625"/>
            <wp:effectExtent l="0" t="0" r="5715" b="3175"/>
            <wp:docPr id="1" name="image5.jpeg" descr="Site map of San Francisco parcel locations for the Affordable Housing project. Highlighting the locations listed in the table abo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95035" cy="3730625"/>
                    </a:xfrm>
                    <a:prstGeom prst="rect">
                      <a:avLst/>
                    </a:prstGeom>
                  </pic:spPr>
                </pic:pic>
              </a:graphicData>
            </a:graphic>
          </wp:inline>
        </w:drawing>
      </w:r>
      <w:r w:rsidR="007F081A" w:rsidRPr="00D868F9">
        <w:t>*</w:t>
      </w:r>
      <w:r>
        <w:t xml:space="preserve">Source: </w:t>
      </w:r>
      <w:r w:rsidR="007F081A" w:rsidRPr="00D868F9">
        <w:t>San Francisco Assessor</w:t>
      </w:r>
      <w:r w:rsidR="00E664C1">
        <w:br w:type="page"/>
      </w:r>
    </w:p>
    <w:p w14:paraId="25F9B7D7" w14:textId="36386FCF" w:rsidR="00E464C3" w:rsidRPr="001C2DD8" w:rsidRDefault="00E464C3" w:rsidP="00E664C1">
      <w:pPr>
        <w:pStyle w:val="Heading1"/>
        <w:numPr>
          <w:ilvl w:val="0"/>
          <w:numId w:val="11"/>
        </w:numPr>
      </w:pPr>
      <w:bookmarkStart w:id="15" w:name="_Toc20721617"/>
      <w:r w:rsidRPr="001C2DD8">
        <w:lastRenderedPageBreak/>
        <w:t>DEVELOPER’S ROLE</w:t>
      </w:r>
      <w:bookmarkEnd w:id="15"/>
    </w:p>
    <w:p w14:paraId="780E8526" w14:textId="3FFC6996" w:rsidR="00E464C3" w:rsidRPr="001C2DD8" w:rsidRDefault="00E464C3" w:rsidP="00E464C3">
      <w:r w:rsidRPr="001C2DD8">
        <w:t>Upon approval and execution of a</w:t>
      </w:r>
      <w:r w:rsidR="007A5540" w:rsidRPr="001C2DD8">
        <w:t xml:space="preserve">n </w:t>
      </w:r>
      <w:r w:rsidR="00B92350" w:rsidRPr="001C2DD8">
        <w:t>Exclusive Negotiati</w:t>
      </w:r>
      <w:r w:rsidR="006845DB" w:rsidRPr="001C2DD8">
        <w:t>on</w:t>
      </w:r>
      <w:r w:rsidR="00B92350" w:rsidRPr="001C2DD8">
        <w:t xml:space="preserve"> Agreement (ENA)</w:t>
      </w:r>
      <w:r w:rsidR="00AE64A7">
        <w:t xml:space="preserve"> with the State</w:t>
      </w:r>
      <w:r w:rsidRPr="001C2DD8">
        <w:t xml:space="preserve">, the selected </w:t>
      </w:r>
      <w:r w:rsidR="00F57522" w:rsidRPr="001C2DD8">
        <w:t>Respondent</w:t>
      </w:r>
      <w:r w:rsidRPr="001C2DD8">
        <w:t xml:space="preserve"> shall be responsible for all </w:t>
      </w:r>
      <w:r w:rsidR="00B33007">
        <w:t>on-site</w:t>
      </w:r>
      <w:r w:rsidRPr="001C2DD8">
        <w:t xml:space="preserve"> and </w:t>
      </w:r>
      <w:r w:rsidR="00B33007">
        <w:t>off-site</w:t>
      </w:r>
      <w:r w:rsidRPr="001C2DD8">
        <w:t xml:space="preserve"> costs and expenses associated with the development,</w:t>
      </w:r>
      <w:r w:rsidR="001E1755">
        <w:t xml:space="preserve"> site security and maintenance,</w:t>
      </w:r>
      <w:r w:rsidRPr="001C2DD8">
        <w:t xml:space="preserve"> construction, ownership, management, and operation of the proposed project, including but not limited to, planning, design, </w:t>
      </w:r>
      <w:r w:rsidR="00A262E2">
        <w:t xml:space="preserve">environmental clearance, </w:t>
      </w:r>
      <w:r w:rsidRPr="001C2DD8">
        <w:t xml:space="preserve">entitlement, permit fees, utility charges, operation, and management expenses, as more specifically set forth in the </w:t>
      </w:r>
      <w:r w:rsidR="00511BB0" w:rsidRPr="001C2DD8">
        <w:t xml:space="preserve">ENA </w:t>
      </w:r>
      <w:r w:rsidRPr="001C2DD8">
        <w:t>and in accordance with the following requirements:</w:t>
      </w:r>
    </w:p>
    <w:p w14:paraId="6016FF09" w14:textId="448196A7"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accept the </w:t>
      </w:r>
      <w:r w:rsidR="00AB0647">
        <w:t>Site</w:t>
      </w:r>
      <w:r w:rsidRPr="001C2DD8">
        <w:t xml:space="preserve"> in its present state and condition, as-is, without any express or implied warranties;</w:t>
      </w:r>
    </w:p>
    <w:p w14:paraId="6D42DC66" w14:textId="27BDCF82" w:rsidR="00E464C3" w:rsidRPr="001C2DD8" w:rsidRDefault="00E464C3" w:rsidP="002C6860">
      <w:pPr>
        <w:pStyle w:val="ListParagraph"/>
        <w:numPr>
          <w:ilvl w:val="0"/>
          <w:numId w:val="1"/>
        </w:numPr>
      </w:pPr>
      <w:r w:rsidRPr="001C2DD8">
        <w:t xml:space="preserve">The selected </w:t>
      </w:r>
      <w:r w:rsidR="00F57522" w:rsidRPr="00D868F9">
        <w:t>Respondent</w:t>
      </w:r>
      <w:r w:rsidRPr="00D868F9">
        <w:t xml:space="preserve"> shall enter into a low-cost, long-term ground lease and regulatory agreement, similar in form to Attachment A;</w:t>
      </w:r>
    </w:p>
    <w:p w14:paraId="6F2D03D2" w14:textId="1BEDAE6B" w:rsidR="00505D42" w:rsidRPr="001C2DD8" w:rsidRDefault="00E464C3" w:rsidP="004A2DFD">
      <w:pPr>
        <w:pStyle w:val="ListParagraph"/>
        <w:numPr>
          <w:ilvl w:val="0"/>
          <w:numId w:val="1"/>
        </w:numPr>
      </w:pPr>
      <w:r w:rsidRPr="001C2DD8">
        <w:t xml:space="preserve">The selected </w:t>
      </w:r>
      <w:r w:rsidR="00F57522" w:rsidRPr="001C2DD8">
        <w:t>Respondent</w:t>
      </w:r>
      <w:r w:rsidRPr="001C2DD8">
        <w:t xml:space="preserve"> shall be responsible for obtaining any and all approvals such as land use entitlement, zoning and/or subdivision approvals</w:t>
      </w:r>
      <w:r w:rsidR="005B040C">
        <w:t>,</w:t>
      </w:r>
      <w:r w:rsidRPr="001C2DD8">
        <w:t xml:space="preserve"> and all necessary building, grading, and construction permits required for the proposed project;</w:t>
      </w:r>
    </w:p>
    <w:p w14:paraId="716013D2" w14:textId="6D35F806"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agree to follow Chapter 11a and 11b of the California Building Code;</w:t>
      </w:r>
    </w:p>
    <w:p w14:paraId="0DE55AED" w14:textId="5BF1C98E" w:rsidR="00E464C3" w:rsidRPr="001C2DD8" w:rsidRDefault="00E464C3" w:rsidP="002C6860">
      <w:pPr>
        <w:pStyle w:val="ListParagraph"/>
        <w:numPr>
          <w:ilvl w:val="0"/>
          <w:numId w:val="1"/>
        </w:numPr>
      </w:pPr>
      <w:r w:rsidRPr="001C2DD8">
        <w:t xml:space="preserve">DGS shall serve as the lead agency under the California Environmental Quality Act (CEQA). The selected </w:t>
      </w:r>
      <w:r w:rsidR="00F57522" w:rsidRPr="001C2DD8">
        <w:t>Respondent</w:t>
      </w:r>
      <w:r w:rsidRPr="001C2DD8">
        <w:t xml:space="preserve"> shall be responsible for assisting DGS with CEQA compliance, including exploring the applicability of streamlining and exemption provisions, and the preparation of any necessary environmental documents. The cost of </w:t>
      </w:r>
      <w:r w:rsidR="001813BA">
        <w:t>all required environmental review</w:t>
      </w:r>
      <w:r w:rsidR="00B02040">
        <w:t xml:space="preserve"> and</w:t>
      </w:r>
      <w:r w:rsidRPr="001C2DD8">
        <w:t xml:space="preserve"> compliance shall be the responsibility of the selected </w:t>
      </w:r>
      <w:r w:rsidR="00F57522" w:rsidRPr="001C2DD8">
        <w:t>Respondent</w:t>
      </w:r>
      <w:r w:rsidRPr="001C2DD8">
        <w:t xml:space="preserve"> (Note: If selected </w:t>
      </w:r>
      <w:r w:rsidR="00F57522" w:rsidRPr="001C2DD8">
        <w:t>Respondent</w:t>
      </w:r>
      <w:r w:rsidRPr="001C2DD8">
        <w:t xml:space="preserve"> seeks any federal subsidy or funding, they shall also be responsible for facilitating compliance with the National Environmental Policy Act, NEPA); </w:t>
      </w:r>
    </w:p>
    <w:p w14:paraId="32DDDE7C" w14:textId="61B672DF"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be responsible for payment of the applicable local agency development mitigation fees and </w:t>
      </w:r>
      <w:r w:rsidR="00B33007">
        <w:t>off-site</w:t>
      </w:r>
      <w:r w:rsidRPr="001C2DD8">
        <w:t xml:space="preserve"> facilities fees (the selected </w:t>
      </w:r>
      <w:r w:rsidR="00F57522" w:rsidRPr="001C2DD8">
        <w:t>Respondent</w:t>
      </w:r>
      <w:r w:rsidRPr="001C2DD8">
        <w:t xml:space="preserve"> should pursue fee waivers and other streamlining opportunities where appropriate);</w:t>
      </w:r>
    </w:p>
    <w:p w14:paraId="04AD1138" w14:textId="31020DA8"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be responsible for efforts towards meeting expectations and milestones as outlined in this RFP and the EO;</w:t>
      </w:r>
    </w:p>
    <w:p w14:paraId="7E7A4078" w14:textId="3C3AAE09" w:rsidR="00E464C3" w:rsidRPr="001C2DD8" w:rsidRDefault="00E464C3" w:rsidP="002C6860">
      <w:pPr>
        <w:pStyle w:val="ListParagraph"/>
        <w:numPr>
          <w:ilvl w:val="0"/>
          <w:numId w:val="1"/>
        </w:numPr>
      </w:pPr>
      <w:r w:rsidRPr="001C2DD8">
        <w:t xml:space="preserve">Building on the pre-selection due diligence led by the State, the selected </w:t>
      </w:r>
      <w:r w:rsidR="00F57522" w:rsidRPr="001C2DD8">
        <w:t>Respondent</w:t>
      </w:r>
      <w:r w:rsidRPr="001C2DD8">
        <w:t xml:space="preserve"> shall submit evidence of market demand for the type of units being proposed, investigate the need for </w:t>
      </w:r>
      <w:r w:rsidR="00B33007">
        <w:t>on-site</w:t>
      </w:r>
      <w:r w:rsidRPr="001C2DD8">
        <w:t xml:space="preserve"> and </w:t>
      </w:r>
      <w:r w:rsidR="00B33007">
        <w:t>off-site</w:t>
      </w:r>
      <w:r w:rsidRPr="001C2DD8">
        <w:t xml:space="preserve"> improvements including infrastructure to service the proposed project, and further describe the feasibility of breaking ground </w:t>
      </w:r>
      <w:r w:rsidR="005E6F92">
        <w:t xml:space="preserve">and </w:t>
      </w:r>
      <w:r w:rsidRPr="001C2DD8">
        <w:t xml:space="preserve">completing construction </w:t>
      </w:r>
      <w:r w:rsidR="005E6F92">
        <w:t xml:space="preserve">in </w:t>
      </w:r>
      <w:r w:rsidR="006D61CD">
        <w:t>an</w:t>
      </w:r>
      <w:r w:rsidR="0053010C">
        <w:t xml:space="preserve"> efficient and</w:t>
      </w:r>
      <w:r w:rsidR="006D61CD">
        <w:t xml:space="preserve"> </w:t>
      </w:r>
      <w:r w:rsidR="005E6F92">
        <w:t>exped</w:t>
      </w:r>
      <w:r w:rsidR="006D61CD">
        <w:t xml:space="preserve">ited </w:t>
      </w:r>
      <w:r w:rsidR="00795A25">
        <w:t>manner</w:t>
      </w:r>
      <w:r w:rsidRPr="001C2DD8">
        <w:t>;</w:t>
      </w:r>
    </w:p>
    <w:p w14:paraId="33084577" w14:textId="136E3CA1" w:rsidR="00E464C3" w:rsidRPr="001C2DD8" w:rsidRDefault="00E464C3" w:rsidP="002C6860">
      <w:pPr>
        <w:pStyle w:val="ListParagraph"/>
        <w:numPr>
          <w:ilvl w:val="0"/>
          <w:numId w:val="1"/>
        </w:numPr>
      </w:pPr>
      <w:r w:rsidRPr="001C2DD8">
        <w:lastRenderedPageBreak/>
        <w:t xml:space="preserve">The selected </w:t>
      </w:r>
      <w:r w:rsidR="00F57522" w:rsidRPr="001C2DD8">
        <w:t>Respondent</w:t>
      </w:r>
      <w:r w:rsidRPr="001C2DD8">
        <w:t xml:space="preserve"> shall be responsible for </w:t>
      </w:r>
      <w:r w:rsidR="00422A1F">
        <w:t xml:space="preserve">the security and </w:t>
      </w:r>
      <w:r w:rsidRPr="001C2DD8">
        <w:t>maintenance of the proposed project;</w:t>
      </w:r>
    </w:p>
    <w:p w14:paraId="5F5DA219" w14:textId="7C2EEEF1"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be responsible for ensuring that there are no inconsistencies between their response to this RFP and any existing and applicable affordable housing programs that the selected </w:t>
      </w:r>
      <w:r w:rsidR="00F57522" w:rsidRPr="001C2DD8">
        <w:t>Respondent</w:t>
      </w:r>
      <w:r w:rsidRPr="001C2DD8">
        <w:t xml:space="preserve"> is planning to utilize for additional funding. If there are any inconsistencies between the requirements of this RFP and other program requirements, the more restrictive requirement shall control; </w:t>
      </w:r>
    </w:p>
    <w:p w14:paraId="2821C403" w14:textId="0424048F" w:rsidR="008A638B" w:rsidRDefault="00E464C3" w:rsidP="000835F1">
      <w:pPr>
        <w:pStyle w:val="ListParagraph"/>
        <w:numPr>
          <w:ilvl w:val="0"/>
          <w:numId w:val="1"/>
        </w:numPr>
        <w:spacing w:before="240"/>
      </w:pPr>
      <w:r w:rsidRPr="001C2DD8">
        <w:t xml:space="preserve">The selected </w:t>
      </w:r>
      <w:r w:rsidR="00F57522" w:rsidRPr="001C2DD8">
        <w:t>Respondent</w:t>
      </w:r>
      <w:r w:rsidRPr="001C2DD8">
        <w:t xml:space="preserve"> must employ a variety of outreach methods to ensure all segments of the community are included in all stages of the development process, including on an ongoing basis. </w:t>
      </w:r>
      <w:r w:rsidR="00F57522" w:rsidRPr="001C2DD8">
        <w:t>Respondent</w:t>
      </w:r>
      <w:r w:rsidRPr="001C2DD8">
        <w:t>s are encouraged to reach out and involve various local community organizations to gain support for the proposed affordable housing project and respond to community/neighborhood concerns where appropriate throughout the project construction and property management.</w:t>
      </w:r>
      <w:r w:rsidR="001813BA">
        <w:t xml:space="preserve"> </w:t>
      </w:r>
      <w:r w:rsidR="00D412E7">
        <w:t>Respondents also must conduct affirmative marketing to households least likely to apply</w:t>
      </w:r>
      <w:r w:rsidR="00ED0790">
        <w:t>; and</w:t>
      </w:r>
    </w:p>
    <w:p w14:paraId="46ECF223" w14:textId="1AD9A4EF" w:rsidR="007D50D9" w:rsidRPr="007D50D9" w:rsidRDefault="007D50D9" w:rsidP="007D50D9">
      <w:pPr>
        <w:pStyle w:val="ListParagraph"/>
        <w:numPr>
          <w:ilvl w:val="0"/>
          <w:numId w:val="1"/>
        </w:numPr>
        <w:autoSpaceDE w:val="0"/>
        <w:autoSpaceDN w:val="0"/>
        <w:rPr>
          <w:rFonts w:cs="Arial"/>
          <w:color w:val="000000"/>
          <w:szCs w:val="24"/>
        </w:rPr>
      </w:pPr>
      <w:r>
        <w:rPr>
          <w:rFonts w:cs="Arial"/>
          <w:color w:val="000000"/>
          <w:szCs w:val="24"/>
        </w:rPr>
        <w:t>The selected Respondent</w:t>
      </w:r>
      <w:r w:rsidRPr="007D50D9">
        <w:rPr>
          <w:rFonts w:cs="Arial"/>
          <w:color w:val="000000"/>
          <w:szCs w:val="24"/>
        </w:rPr>
        <w:t xml:space="preserve"> shall adopt a written non-discrimination policy requiring that no person shall, on the grounds of race, color, religion, sex, gender, gender identity, gender expression, sexual orientation, marital status, national origin, ancestry, familial status, source of income, disability, age, medical condition, genetic information, citizenship, primary language, immigration status (except where explicitly prohibited by federal law), arbitrary characteristics, and all other classes of individuals protected from discrimination under federal or state fair housing laws, individuals perceived to be a member of any of the preceding classes, or any individual or person associated with any of the preceding classes be excluded from participation in, be denied the benefits of, or be subjected to discrimination under, any program or activity funded in whole or in part with program funds made available pursuant to this subchapter. </w:t>
      </w:r>
      <w:r w:rsidR="00921F4C">
        <w:rPr>
          <w:rFonts w:cs="Arial"/>
          <w:color w:val="000000"/>
          <w:szCs w:val="24"/>
        </w:rPr>
        <w:t xml:space="preserve">The selected Respondent </w:t>
      </w:r>
      <w:r w:rsidRPr="007D50D9">
        <w:rPr>
          <w:rFonts w:cs="Arial"/>
          <w:color w:val="000000"/>
          <w:szCs w:val="24"/>
        </w:rPr>
        <w:t>shall comply with the requirements contained in the Americans with Disabilities Act, the Fair Housing Amendments Act, the California Fair Employment and Housing Act, the Unruh Act, Government Code Section 11135, Section 504 of the Rehabilitation Act, and regulations promulgated pursuant to those statutes, including 24 C.F.R. Part 100, 24 C.F.R. Part 8, and 28 C.F.R. Part 35, in all of the Sponsor’s activities.</w:t>
      </w:r>
    </w:p>
    <w:p w14:paraId="523537B1" w14:textId="48C52B5B" w:rsidR="00F135AC" w:rsidRPr="001C2DD8" w:rsidRDefault="00F135AC" w:rsidP="00F135AC">
      <w:r>
        <w:br w:type="page"/>
      </w:r>
    </w:p>
    <w:p w14:paraId="46A630BE" w14:textId="70B51709" w:rsidR="00E464C3" w:rsidRPr="001C2DD8" w:rsidRDefault="00E464C3" w:rsidP="00E664C1">
      <w:pPr>
        <w:pStyle w:val="Heading1"/>
        <w:numPr>
          <w:ilvl w:val="0"/>
          <w:numId w:val="11"/>
        </w:numPr>
      </w:pPr>
      <w:bookmarkStart w:id="16" w:name="_Toc20721618"/>
      <w:r w:rsidRPr="001C2DD8">
        <w:lastRenderedPageBreak/>
        <w:t>TRANSACTIONAL TERMS</w:t>
      </w:r>
      <w:bookmarkEnd w:id="16"/>
    </w:p>
    <w:p w14:paraId="70A8BAD8" w14:textId="798E7337" w:rsidR="00E464C3" w:rsidRPr="001C2DD8" w:rsidRDefault="00E464C3" w:rsidP="00E464C3">
      <w:pPr>
        <w:pStyle w:val="Heading2"/>
      </w:pPr>
      <w:bookmarkStart w:id="17" w:name="_Toc20721619"/>
      <w:r w:rsidRPr="001C2DD8">
        <w:t>Predevelopment process</w:t>
      </w:r>
      <w:bookmarkEnd w:id="17"/>
    </w:p>
    <w:p w14:paraId="1414D7CC" w14:textId="77777777" w:rsidR="00E464C3" w:rsidRPr="001C2DD8" w:rsidRDefault="00E464C3" w:rsidP="00E464C3">
      <w:r w:rsidRPr="001C2DD8">
        <w:t>The predevelopment process includes:</w:t>
      </w:r>
    </w:p>
    <w:p w14:paraId="7EA7732A" w14:textId="52169E43" w:rsidR="00E464C3" w:rsidRPr="001C2DD8" w:rsidRDefault="00E464C3" w:rsidP="002C6860">
      <w:pPr>
        <w:pStyle w:val="ListParagraph"/>
        <w:numPr>
          <w:ilvl w:val="0"/>
          <w:numId w:val="2"/>
        </w:numPr>
      </w:pPr>
      <w:r w:rsidRPr="001C2DD8">
        <w:t xml:space="preserve">Meeting all milestones identified in the </w:t>
      </w:r>
      <w:r w:rsidR="00511BB0" w:rsidRPr="001C2DD8">
        <w:t>ENA</w:t>
      </w:r>
      <w:r w:rsidRPr="001C2DD8">
        <w:t>;</w:t>
      </w:r>
    </w:p>
    <w:p w14:paraId="78FA0C17" w14:textId="34B5E818" w:rsidR="00E464C3" w:rsidRPr="001C2DD8" w:rsidRDefault="00E464C3" w:rsidP="002C6860">
      <w:pPr>
        <w:pStyle w:val="ListParagraph"/>
        <w:numPr>
          <w:ilvl w:val="0"/>
          <w:numId w:val="2"/>
        </w:numPr>
      </w:pPr>
      <w:r w:rsidRPr="001C2DD8">
        <w:t>Developing project management tools or trackers to share with State (</w:t>
      </w:r>
      <w:r w:rsidR="00F80D0C">
        <w:t xml:space="preserve">with special attention to EO goal </w:t>
      </w:r>
      <w:r w:rsidR="00F80D0C" w:rsidRPr="00A4450B">
        <w:t>of breaking ground within two years of entering the lease</w:t>
      </w:r>
      <w:r w:rsidR="00F80D0C">
        <w:t xml:space="preserve"> and regulatory agreement</w:t>
      </w:r>
      <w:r w:rsidR="00F80D0C" w:rsidRPr="00A4450B">
        <w:t xml:space="preserve"> and completing units within three years</w:t>
      </w:r>
      <w:r w:rsidRPr="001C2DD8">
        <w:t>);</w:t>
      </w:r>
    </w:p>
    <w:p w14:paraId="2BAEB5AF" w14:textId="64157E7A" w:rsidR="00E464C3" w:rsidRPr="001C2DD8" w:rsidRDefault="00AD0229" w:rsidP="002C6860">
      <w:pPr>
        <w:pStyle w:val="ListParagraph"/>
        <w:numPr>
          <w:ilvl w:val="0"/>
          <w:numId w:val="2"/>
        </w:numPr>
      </w:pPr>
      <w:r>
        <w:t>Delivering</w:t>
      </w:r>
      <w:r w:rsidR="00E464C3" w:rsidRPr="001C2DD8">
        <w:t xml:space="preserve"> a </w:t>
      </w:r>
      <w:r w:rsidR="00EF276F">
        <w:t xml:space="preserve">community engagement </w:t>
      </w:r>
      <w:r w:rsidR="00E464C3" w:rsidRPr="001C2DD8">
        <w:t>plan</w:t>
      </w:r>
      <w:r w:rsidR="001813BA">
        <w:t xml:space="preserve"> </w:t>
      </w:r>
      <w:r w:rsidR="00E464C3" w:rsidRPr="001C2DD8">
        <w:t>to engage local stakeholders, city staff, neighborhood</w:t>
      </w:r>
      <w:r>
        <w:t xml:space="preserve"> representatives</w:t>
      </w:r>
      <w:r w:rsidR="00E464C3" w:rsidRPr="001C2DD8">
        <w:t>, social service providers, etc. to gauge support, build relationships, and leverage existing resources;</w:t>
      </w:r>
    </w:p>
    <w:p w14:paraId="687CC0A1" w14:textId="66F13C14" w:rsidR="00E464C3" w:rsidRDefault="00E464C3" w:rsidP="002C6860">
      <w:pPr>
        <w:pStyle w:val="ListParagraph"/>
        <w:numPr>
          <w:ilvl w:val="0"/>
          <w:numId w:val="2"/>
        </w:numPr>
      </w:pPr>
      <w:r w:rsidRPr="001C2DD8">
        <w:t>Refining architectural plans for entitlement submittal;</w:t>
      </w:r>
    </w:p>
    <w:p w14:paraId="4F9AA94D" w14:textId="4722188F" w:rsidR="00C910E5" w:rsidRPr="00C910E5" w:rsidRDefault="00C910E5" w:rsidP="002C6860">
      <w:pPr>
        <w:pStyle w:val="ListParagraph"/>
        <w:numPr>
          <w:ilvl w:val="0"/>
          <w:numId w:val="2"/>
        </w:numPr>
      </w:pPr>
      <w:r w:rsidRPr="00C910E5">
        <w:t>Survey and mapping tasks related to assembling relevant land parcels;</w:t>
      </w:r>
    </w:p>
    <w:p w14:paraId="14F6DA53" w14:textId="68C09684" w:rsidR="00E464C3" w:rsidRDefault="00E464C3" w:rsidP="002C6860">
      <w:pPr>
        <w:pStyle w:val="ListParagraph"/>
        <w:numPr>
          <w:ilvl w:val="0"/>
          <w:numId w:val="2"/>
        </w:numPr>
      </w:pPr>
      <w:r w:rsidRPr="001C2DD8">
        <w:t>Obtaining land use entitlements and environmental clearances;</w:t>
      </w:r>
    </w:p>
    <w:p w14:paraId="3F5B3E10" w14:textId="3A96B376" w:rsidR="001A3DB1" w:rsidRPr="001C2DD8" w:rsidRDefault="001A3DB1" w:rsidP="002C6860">
      <w:pPr>
        <w:pStyle w:val="ListParagraph"/>
        <w:numPr>
          <w:ilvl w:val="0"/>
          <w:numId w:val="2"/>
        </w:numPr>
      </w:pPr>
      <w:r>
        <w:t>Securing utility infrastructure service and building permits;</w:t>
      </w:r>
    </w:p>
    <w:p w14:paraId="5D2262F7" w14:textId="77777777" w:rsidR="00E464C3" w:rsidRPr="001C2DD8" w:rsidRDefault="00E464C3" w:rsidP="002C6860">
      <w:pPr>
        <w:pStyle w:val="ListParagraph"/>
        <w:numPr>
          <w:ilvl w:val="0"/>
          <w:numId w:val="2"/>
        </w:numPr>
      </w:pPr>
      <w:r w:rsidRPr="001C2DD8">
        <w:t xml:space="preserve">Developing a finance plan and applying for financing; </w:t>
      </w:r>
    </w:p>
    <w:p w14:paraId="0B3B7C25" w14:textId="77777777" w:rsidR="00E464C3" w:rsidRPr="001C2DD8" w:rsidRDefault="00E464C3" w:rsidP="002C6860">
      <w:pPr>
        <w:pStyle w:val="ListParagraph"/>
        <w:numPr>
          <w:ilvl w:val="0"/>
          <w:numId w:val="2"/>
        </w:numPr>
      </w:pPr>
      <w:r w:rsidRPr="001C2DD8">
        <w:t>Finalizing development team, including general contractor; and</w:t>
      </w:r>
    </w:p>
    <w:p w14:paraId="041645D3" w14:textId="77777777" w:rsidR="00E464C3" w:rsidRPr="001C2DD8" w:rsidRDefault="00E464C3" w:rsidP="002C6860">
      <w:pPr>
        <w:pStyle w:val="ListParagraph"/>
        <w:numPr>
          <w:ilvl w:val="0"/>
          <w:numId w:val="2"/>
        </w:numPr>
      </w:pPr>
      <w:r w:rsidRPr="001C2DD8">
        <w:t>Any other investigation or due diligence to prepare for development as requested by DGS or HCD.</w:t>
      </w:r>
    </w:p>
    <w:p w14:paraId="747DC281" w14:textId="77777777" w:rsidR="0082334C" w:rsidRPr="001C2DD8" w:rsidRDefault="0082334C" w:rsidP="0082334C">
      <w:pPr>
        <w:rPr>
          <w:b/>
          <w:bCs/>
          <w:i/>
          <w:iCs/>
        </w:rPr>
      </w:pPr>
      <w:bookmarkStart w:id="18" w:name="_Toc20721621"/>
      <w:r w:rsidRPr="001C2DD8">
        <w:rPr>
          <w:b/>
          <w:bCs/>
          <w:i/>
          <w:iCs/>
        </w:rPr>
        <w:t>Land Transaction</w:t>
      </w:r>
    </w:p>
    <w:p w14:paraId="179BCFD1" w14:textId="7D60E401" w:rsidR="0082334C" w:rsidRPr="001C2DD8" w:rsidRDefault="0082334C" w:rsidP="0082334C">
      <w:r w:rsidRPr="001C2DD8">
        <w:t>The State Property is owned by the State and will remain under State ownership. The selected Respondent will enter into a development agreement for a low-cost, long-term ground lease transaction (e.g., $1 annually) and agrees to accept the State Property in its present state and condition, as-is. The selected Respondent also agrees to reimburse the State for the cost of administering the lease, as provided for in Government Code section 14671.2.</w:t>
      </w:r>
    </w:p>
    <w:p w14:paraId="4F804FA1" w14:textId="77777777" w:rsidR="0082334C" w:rsidRPr="001C2DD8" w:rsidRDefault="0082334C" w:rsidP="0082334C">
      <w:r w:rsidRPr="001C2DD8">
        <w:t xml:space="preserve">For general lease terms and regulatory agreement terms, please refer to </w:t>
      </w:r>
      <w:r w:rsidRPr="00CF5D4F">
        <w:t>Attachment A</w:t>
      </w:r>
      <w:r w:rsidRPr="001C2DD8">
        <w:t xml:space="preserve"> for the ground lease and regulatory agreement template.</w:t>
      </w:r>
    </w:p>
    <w:p w14:paraId="06D2D077" w14:textId="639DD1BD" w:rsidR="00E464C3" w:rsidRPr="001C2DD8" w:rsidRDefault="00E464C3" w:rsidP="00E464C3">
      <w:pPr>
        <w:pStyle w:val="Heading2"/>
      </w:pPr>
      <w:r w:rsidRPr="001C2DD8">
        <w:t>Affordable Housing Restrictions</w:t>
      </w:r>
      <w:bookmarkEnd w:id="18"/>
    </w:p>
    <w:p w14:paraId="60941EEC" w14:textId="36DFB641" w:rsidR="00E464C3" w:rsidRPr="001C2DD8" w:rsidRDefault="00E464C3" w:rsidP="00E464C3">
      <w:r w:rsidRPr="00F15D61">
        <w:t>Project proposals must include a minimum of 50 percent restricted affordable housing units, consistent with Government Code section 14671.2.</w:t>
      </w:r>
    </w:p>
    <w:p w14:paraId="2D733EB1" w14:textId="69AF286E" w:rsidR="00E464C3" w:rsidRPr="001C2DD8" w:rsidRDefault="00E464C3" w:rsidP="00E464C3">
      <w:bookmarkStart w:id="19" w:name="_Hlk35533375"/>
      <w:r w:rsidRPr="001C2DD8">
        <w:t xml:space="preserve">Project proposals that </w:t>
      </w:r>
      <w:r w:rsidR="00486E77">
        <w:t>show</w:t>
      </w:r>
      <w:r w:rsidR="00486E77" w:rsidRPr="001C2DD8">
        <w:t xml:space="preserve"> </w:t>
      </w:r>
      <w:r w:rsidR="00250A6A">
        <w:t>a commit</w:t>
      </w:r>
      <w:r w:rsidR="00A97328">
        <w:t>ment to</w:t>
      </w:r>
      <w:r w:rsidRPr="001C2DD8">
        <w:t xml:space="preserve"> </w:t>
      </w:r>
      <w:r w:rsidR="00486E77">
        <w:t xml:space="preserve">100 percent </w:t>
      </w:r>
      <w:r w:rsidRPr="001C2DD8">
        <w:t xml:space="preserve">affordable units, significantly deeper targeting, and/or special needs components with units affordable to very low- and/or extremely low-income households are encouraged. When considering affordability levels, </w:t>
      </w:r>
      <w:r w:rsidR="00F57522" w:rsidRPr="001C2DD8">
        <w:t>Respondent</w:t>
      </w:r>
      <w:r w:rsidRPr="001C2DD8">
        <w:t xml:space="preserve">s should focus on meeting the EO goals of affordability </w:t>
      </w:r>
      <w:r w:rsidRPr="001C2DD8">
        <w:lastRenderedPageBreak/>
        <w:t>and feasibility</w:t>
      </w:r>
      <w:r w:rsidR="006B7291">
        <w:t xml:space="preserve"> and</w:t>
      </w:r>
      <w:r w:rsidR="002F0C40">
        <w:t xml:space="preserve"> meeting</w:t>
      </w:r>
      <w:r w:rsidR="006B7291">
        <w:t xml:space="preserve"> local housing needs</w:t>
      </w:r>
      <w:r w:rsidRPr="001C2DD8">
        <w:t xml:space="preserve">. </w:t>
      </w:r>
      <w:bookmarkEnd w:id="19"/>
      <w:r w:rsidRPr="001C2DD8">
        <w:t xml:space="preserve">Per Health and Safety Code section 50093, income levels are </w:t>
      </w:r>
      <w:r w:rsidRPr="00BC77D3">
        <w:t>defined using the income limits published annually by HCD for very low-, low-, and moderate-income households.</w:t>
      </w:r>
      <w:r w:rsidR="00EF7759" w:rsidRPr="00BC77D3">
        <w:t xml:space="preserve"> Respondents should note that San Francisco publishes income limits which differ in their statistical basis from th</w:t>
      </w:r>
      <w:r w:rsidR="00BC77D3" w:rsidRPr="00BC77D3">
        <w:t>is</w:t>
      </w:r>
      <w:r w:rsidR="00EF7759" w:rsidRPr="00BC77D3">
        <w:t xml:space="preserve"> Statute. In order to provide transparency, Respondents will be asked to describe the income restrictions to stakeholders in terms of the locally published income limits (e.g.</w:t>
      </w:r>
      <w:r w:rsidR="00975E64">
        <w:t>,</w:t>
      </w:r>
      <w:r w:rsidR="00EF7759" w:rsidRPr="00BC77D3">
        <w:t xml:space="preserve"> provide an equivalency when referencing AMI limits. For example, in 2020, 50</w:t>
      </w:r>
      <w:r w:rsidR="00BC77D3" w:rsidRPr="00BC77D3">
        <w:t xml:space="preserve"> percent</w:t>
      </w:r>
      <w:r w:rsidR="00EF7759" w:rsidRPr="00BC77D3">
        <w:t xml:space="preserve"> AMI per the State statute is equivalent to 64</w:t>
      </w:r>
      <w:r w:rsidR="00BC77D3" w:rsidRPr="00BC77D3">
        <w:t xml:space="preserve"> percent</w:t>
      </w:r>
      <w:r w:rsidR="00EF7759" w:rsidRPr="00BC77D3">
        <w:t xml:space="preserve"> MOHCD AMI, and the unit restrictions for that unit would be referred to as 50</w:t>
      </w:r>
      <w:r w:rsidR="00BC77D3" w:rsidRPr="00BC77D3">
        <w:t xml:space="preserve"> percent</w:t>
      </w:r>
      <w:r w:rsidR="00EF7759" w:rsidRPr="00BC77D3">
        <w:t xml:space="preserve"> AMI/64</w:t>
      </w:r>
      <w:r w:rsidR="00BC77D3" w:rsidRPr="00BC77D3">
        <w:t xml:space="preserve"> percent</w:t>
      </w:r>
      <w:r w:rsidR="00EF7759" w:rsidRPr="00BC77D3">
        <w:t xml:space="preserve"> MOHCD AMI when written or described.) A link to the MOHCD published income limits </w:t>
      </w:r>
      <w:r w:rsidR="00BC77D3" w:rsidRPr="00BC77D3">
        <w:t>can be</w:t>
      </w:r>
      <w:r w:rsidR="00EF7759" w:rsidRPr="00BC77D3">
        <w:t xml:space="preserve"> found here: </w:t>
      </w:r>
      <w:hyperlink r:id="rId16" w:history="1">
        <w:r w:rsidR="00AE333C">
          <w:rPr>
            <w:rStyle w:val="Hyperlink"/>
          </w:rPr>
          <w:t>https://sfmohcd.org/ami-levels</w:t>
        </w:r>
      </w:hyperlink>
      <w:r w:rsidR="00EF7759" w:rsidRPr="00BC77D3">
        <w:t>.</w:t>
      </w:r>
    </w:p>
    <w:p w14:paraId="1FADDAFF" w14:textId="43139117" w:rsidR="00F135AC" w:rsidRDefault="00E464C3" w:rsidP="00E464C3">
      <w:pPr>
        <w:rPr>
          <w:b/>
          <w:bCs/>
        </w:rPr>
      </w:pPr>
      <w:r w:rsidRPr="001C2DD8">
        <w:rPr>
          <w:b/>
          <w:bCs/>
        </w:rPr>
        <w:t xml:space="preserve">NOTE: </w:t>
      </w:r>
      <w:r w:rsidR="00EA55C5">
        <w:rPr>
          <w:b/>
          <w:bCs/>
        </w:rPr>
        <w:t>The EO</w:t>
      </w:r>
      <w:r w:rsidRPr="001C2DD8">
        <w:rPr>
          <w:b/>
          <w:bCs/>
        </w:rPr>
        <w:t xml:space="preserve"> require</w:t>
      </w:r>
      <w:r w:rsidR="00EA55C5">
        <w:rPr>
          <w:b/>
          <w:bCs/>
        </w:rPr>
        <w:t>s</w:t>
      </w:r>
      <w:r w:rsidRPr="001C2DD8">
        <w:rPr>
          <w:b/>
          <w:bCs/>
        </w:rPr>
        <w:t xml:space="preserve"> the payment of state prevailing wage on any construction project</w:t>
      </w:r>
      <w:r w:rsidR="00EA55C5">
        <w:rPr>
          <w:b/>
          <w:bCs/>
        </w:rPr>
        <w:t>.</w:t>
      </w:r>
    </w:p>
    <w:p w14:paraId="2D02FE5D" w14:textId="7B0CA077" w:rsidR="006F1044" w:rsidRPr="001C2DD8" w:rsidRDefault="00F135AC" w:rsidP="00E464C3">
      <w:pPr>
        <w:rPr>
          <w:b/>
          <w:bCs/>
        </w:rPr>
      </w:pPr>
      <w:r>
        <w:rPr>
          <w:b/>
          <w:bCs/>
        </w:rPr>
        <w:br w:type="page"/>
      </w:r>
    </w:p>
    <w:p w14:paraId="7EA03437" w14:textId="6B37AA4C" w:rsidR="00E464C3" w:rsidRPr="001C2DD8" w:rsidRDefault="00E464C3" w:rsidP="00E664C1">
      <w:pPr>
        <w:pStyle w:val="Heading1"/>
        <w:numPr>
          <w:ilvl w:val="0"/>
          <w:numId w:val="11"/>
        </w:numPr>
      </w:pPr>
      <w:bookmarkStart w:id="20" w:name="_Toc20721622"/>
      <w:r w:rsidRPr="001C2DD8">
        <w:lastRenderedPageBreak/>
        <w:t>RFP SUBMITTAL REQUIREMENTS</w:t>
      </w:r>
      <w:bookmarkEnd w:id="20"/>
    </w:p>
    <w:p w14:paraId="63002D45" w14:textId="27D90E7F" w:rsidR="00E464C3" w:rsidRDefault="00E464C3" w:rsidP="00E464C3">
      <w:pPr>
        <w:pStyle w:val="ListParagraph"/>
        <w:spacing w:after="0"/>
        <w:ind w:left="0"/>
        <w:rPr>
          <w:rFonts w:cs="Arial"/>
          <w:szCs w:val="24"/>
        </w:rPr>
      </w:pPr>
      <w:r w:rsidRPr="001C2DD8">
        <w:rPr>
          <w:rFonts w:cs="Arial"/>
          <w:szCs w:val="24"/>
        </w:rPr>
        <w:t xml:space="preserve">The proposal must be sufficiently detailed and descriptive in the State’s sole discretion to assess the viability of the proposal. </w:t>
      </w:r>
    </w:p>
    <w:p w14:paraId="4D0DF846" w14:textId="77777777" w:rsidR="00CC549A" w:rsidRPr="001C2DD8" w:rsidRDefault="00CC549A" w:rsidP="00E464C3">
      <w:pPr>
        <w:pStyle w:val="ListParagraph"/>
        <w:spacing w:after="0"/>
        <w:ind w:left="0"/>
        <w:rPr>
          <w:rFonts w:cs="Arial"/>
          <w:szCs w:val="24"/>
        </w:rPr>
      </w:pPr>
    </w:p>
    <w:p w14:paraId="44277413" w14:textId="0CC35F7F" w:rsidR="006871EE" w:rsidRDefault="006871EE" w:rsidP="006871EE">
      <w:pPr>
        <w:pStyle w:val="ListParagraph"/>
        <w:spacing w:after="240"/>
        <w:ind w:left="0"/>
        <w:rPr>
          <w:rFonts w:cs="Arial"/>
          <w:szCs w:val="24"/>
        </w:rPr>
      </w:pPr>
      <w:bookmarkStart w:id="21" w:name="_Toc20721623"/>
      <w:r w:rsidRPr="001C2DD8">
        <w:rPr>
          <w:rFonts w:cs="Arial"/>
          <w:szCs w:val="24"/>
        </w:rPr>
        <w:t>The submitted proposals must meet all requirements outlined in this RFP</w:t>
      </w:r>
      <w:r w:rsidR="00DF7A1E">
        <w:rPr>
          <w:rFonts w:cs="Arial"/>
          <w:szCs w:val="24"/>
        </w:rPr>
        <w:t xml:space="preserve"> and</w:t>
      </w:r>
      <w:r w:rsidRPr="001C2DD8">
        <w:rPr>
          <w:rFonts w:cs="Arial"/>
          <w:szCs w:val="24"/>
        </w:rPr>
        <w:t xml:space="preserve"> </w:t>
      </w:r>
      <w:r w:rsidR="00DF7A1E">
        <w:rPr>
          <w:rFonts w:cs="Arial"/>
          <w:szCs w:val="24"/>
        </w:rPr>
        <w:t>o</w:t>
      </w:r>
      <w:r w:rsidRPr="001C2DD8">
        <w:rPr>
          <w:rFonts w:cs="Arial"/>
          <w:szCs w:val="24"/>
        </w:rPr>
        <w:t xml:space="preserve">nly </w:t>
      </w:r>
      <w:r w:rsidR="00820A7B">
        <w:rPr>
          <w:rFonts w:cs="Arial"/>
          <w:szCs w:val="24"/>
        </w:rPr>
        <w:t>those</w:t>
      </w:r>
      <w:r w:rsidRPr="001C2DD8">
        <w:rPr>
          <w:rFonts w:cs="Arial"/>
          <w:szCs w:val="24"/>
        </w:rPr>
        <w:t xml:space="preserve"> that meet all </w:t>
      </w:r>
      <w:r w:rsidR="00820A7B">
        <w:rPr>
          <w:rFonts w:cs="Arial"/>
          <w:szCs w:val="24"/>
        </w:rPr>
        <w:t>requirements</w:t>
      </w:r>
      <w:r w:rsidRPr="001C2DD8">
        <w:rPr>
          <w:rFonts w:cs="Arial"/>
          <w:szCs w:val="24"/>
        </w:rPr>
        <w:t xml:space="preserve"> will be scored. The State reserves the right to make its selection based on its sole and absolute discretion. In addition, the State reserves the right to reject any or all proposals at any time for any reason.</w:t>
      </w:r>
    </w:p>
    <w:p w14:paraId="1704666C" w14:textId="4BC223EF" w:rsidR="00E464C3" w:rsidRPr="001C2DD8" w:rsidRDefault="00E464C3" w:rsidP="00E464C3">
      <w:pPr>
        <w:pStyle w:val="Heading2"/>
      </w:pPr>
      <w:r w:rsidRPr="001C2DD8">
        <w:t>Proposal Guidelines and Format</w:t>
      </w:r>
      <w:bookmarkEnd w:id="21"/>
    </w:p>
    <w:p w14:paraId="1ED9F2E3" w14:textId="5BF46771" w:rsidR="00E464C3" w:rsidRPr="001C2DD8" w:rsidRDefault="00E464C3" w:rsidP="00E464C3">
      <w:pPr>
        <w:spacing w:after="0"/>
        <w:rPr>
          <w:rFonts w:cs="Arial"/>
          <w:szCs w:val="24"/>
        </w:rPr>
      </w:pPr>
      <w:r w:rsidRPr="001C2DD8">
        <w:rPr>
          <w:rFonts w:cs="Arial"/>
          <w:szCs w:val="24"/>
        </w:rPr>
        <w:t xml:space="preserve">The following guidelines are provided for standardizing the preparation and submission of proposals. The intent is to assist </w:t>
      </w:r>
      <w:r w:rsidR="00F57522" w:rsidRPr="001C2DD8">
        <w:rPr>
          <w:rFonts w:cs="Arial"/>
          <w:szCs w:val="24"/>
        </w:rPr>
        <w:t>Respondent</w:t>
      </w:r>
      <w:r w:rsidRPr="001C2DD8">
        <w:rPr>
          <w:rFonts w:cs="Arial"/>
          <w:szCs w:val="24"/>
        </w:rPr>
        <w:t>s in the preparation of their submissions and to assist the State by simplifying the review process and providing standards for comparison of submissions.</w:t>
      </w:r>
    </w:p>
    <w:p w14:paraId="2A47A40A" w14:textId="77777777" w:rsidR="00E464C3" w:rsidRPr="001C2DD8" w:rsidRDefault="00E464C3" w:rsidP="00E464C3">
      <w:pPr>
        <w:spacing w:after="0"/>
        <w:rPr>
          <w:rFonts w:cs="Arial"/>
          <w:szCs w:val="24"/>
        </w:rPr>
      </w:pPr>
    </w:p>
    <w:p w14:paraId="196CE89B" w14:textId="5F2D0624" w:rsidR="00E464C3" w:rsidRPr="001C2DD8" w:rsidRDefault="00E464C3" w:rsidP="00E464C3">
      <w:pPr>
        <w:spacing w:after="0"/>
        <w:rPr>
          <w:rFonts w:cs="Arial"/>
          <w:szCs w:val="24"/>
        </w:rPr>
      </w:pPr>
      <w:r w:rsidRPr="001C2DD8">
        <w:rPr>
          <w:rFonts w:cs="Arial"/>
          <w:szCs w:val="24"/>
        </w:rPr>
        <w:t xml:space="preserve">Statements submitted in response to this RFP shall include a complete response to the requirements in this section in the order presented below. Statements should be a straightforward delineation of the </w:t>
      </w:r>
      <w:r w:rsidR="00F57522" w:rsidRPr="001C2DD8">
        <w:rPr>
          <w:rFonts w:cs="Arial"/>
          <w:szCs w:val="24"/>
        </w:rPr>
        <w:t>Respondent</w:t>
      </w:r>
      <w:r w:rsidRPr="001C2DD8">
        <w:rPr>
          <w:rFonts w:cs="Arial"/>
          <w:szCs w:val="24"/>
        </w:rPr>
        <w:t>’s capability to satisfy the principles, parameters, and requirements of this RFP and should not contain redundancies and conflicting statements.</w:t>
      </w:r>
    </w:p>
    <w:p w14:paraId="0224350A" w14:textId="77777777" w:rsidR="00E464C3" w:rsidRPr="0029596C" w:rsidRDefault="00E464C3" w:rsidP="00E464C3">
      <w:pPr>
        <w:spacing w:after="0"/>
        <w:rPr>
          <w:rFonts w:cs="Arial"/>
          <w:szCs w:val="24"/>
        </w:rPr>
      </w:pPr>
    </w:p>
    <w:p w14:paraId="05B2118B" w14:textId="402F263E" w:rsidR="0043505E" w:rsidRPr="0029596C" w:rsidRDefault="0043505E" w:rsidP="0043505E">
      <w:pPr>
        <w:spacing w:after="0"/>
        <w:rPr>
          <w:rFonts w:cs="Arial"/>
        </w:rPr>
      </w:pPr>
      <w:r w:rsidRPr="0029596C">
        <w:rPr>
          <w:rFonts w:cs="Arial"/>
        </w:rPr>
        <w:t xml:space="preserve">Respondents shall submit </w:t>
      </w:r>
      <w:r w:rsidRPr="0029596C">
        <w:rPr>
          <w:rFonts w:cs="Arial"/>
          <w:b/>
        </w:rPr>
        <w:t>an electronic copy of their proposal via email</w:t>
      </w:r>
      <w:r w:rsidRPr="0029596C">
        <w:rPr>
          <w:rFonts w:cs="Arial"/>
        </w:rPr>
        <w:t xml:space="preserve"> </w:t>
      </w:r>
      <w:r w:rsidRPr="0029596C">
        <w:rPr>
          <w:rFonts w:cs="Arial"/>
          <w:b/>
          <w:bCs/>
          <w:u w:val="single"/>
        </w:rPr>
        <w:t>and</w:t>
      </w:r>
      <w:r w:rsidRPr="0029596C">
        <w:rPr>
          <w:rFonts w:cs="Arial"/>
        </w:rPr>
        <w:t xml:space="preserve"> </w:t>
      </w:r>
      <w:r w:rsidR="0029596C" w:rsidRPr="0029596C">
        <w:rPr>
          <w:rFonts w:cs="Arial"/>
          <w:b/>
          <w:bCs/>
        </w:rPr>
        <w:t>a</w:t>
      </w:r>
      <w:r w:rsidR="0029596C">
        <w:rPr>
          <w:rFonts w:cs="Arial"/>
        </w:rPr>
        <w:t xml:space="preserve"> </w:t>
      </w:r>
      <w:r w:rsidR="1850C38A" w:rsidRPr="0029596C">
        <w:rPr>
          <w:rFonts w:cs="Arial"/>
          <w:b/>
          <w:bCs/>
        </w:rPr>
        <w:t>Box.com link</w:t>
      </w:r>
      <w:r w:rsidR="1850C38A" w:rsidRPr="0029596C">
        <w:rPr>
          <w:rFonts w:cs="Arial"/>
        </w:rPr>
        <w:t xml:space="preserve">.  </w:t>
      </w:r>
      <w:r w:rsidRPr="0029596C">
        <w:rPr>
          <w:rFonts w:cs="Arial"/>
        </w:rPr>
        <w:t xml:space="preserve"> </w:t>
      </w:r>
    </w:p>
    <w:p w14:paraId="2852257B" w14:textId="77777777" w:rsidR="00E464C3" w:rsidRPr="001C2DD8" w:rsidRDefault="00E464C3" w:rsidP="00E464C3">
      <w:pPr>
        <w:spacing w:after="0"/>
        <w:rPr>
          <w:rFonts w:cs="Arial"/>
          <w:szCs w:val="24"/>
        </w:rPr>
      </w:pPr>
    </w:p>
    <w:p w14:paraId="0CCACED4" w14:textId="77777777" w:rsidR="00B15898" w:rsidRDefault="00B15898" w:rsidP="00B15898">
      <w:pPr>
        <w:rPr>
          <w:rFonts w:cs="Arial"/>
          <w:szCs w:val="24"/>
        </w:rPr>
      </w:pPr>
      <w:bookmarkStart w:id="22" w:name="_Toc20721628"/>
      <w:r>
        <w:rPr>
          <w:rFonts w:cs="Arial"/>
          <w:szCs w:val="24"/>
        </w:rPr>
        <w:t>Proposals shall contain the following information in the order listed:</w:t>
      </w:r>
    </w:p>
    <w:p w14:paraId="5B6D498B" w14:textId="77777777" w:rsidR="00B15898" w:rsidRDefault="00B15898" w:rsidP="00123628">
      <w:pPr>
        <w:pStyle w:val="Heading3Numbered"/>
        <w:spacing w:after="240"/>
        <w:ind w:left="360"/>
      </w:pPr>
      <w:bookmarkStart w:id="23" w:name="_Toc20721624"/>
      <w:r>
        <w:t>Cover Letter</w:t>
      </w:r>
      <w:bookmarkEnd w:id="23"/>
    </w:p>
    <w:p w14:paraId="0AAB51FC" w14:textId="77777777" w:rsidR="00B15898" w:rsidRDefault="00B15898" w:rsidP="00123628">
      <w:pPr>
        <w:pStyle w:val="ListParagraph"/>
        <w:ind w:left="0"/>
        <w:rPr>
          <w:rFonts w:cs="Arial"/>
          <w:szCs w:val="24"/>
        </w:rPr>
      </w:pPr>
      <w:r>
        <w:rPr>
          <w:rFonts w:cs="Arial"/>
          <w:szCs w:val="24"/>
        </w:rPr>
        <w:t xml:space="preserve">The cover letter shall include information about the Respondent, name, and contact information of the person designated to act as the primary contact. The cover letter must include a statement of acceptance of all the requirements and conditions in this RFP, and that the signer has full authority to bind the Respondent. </w:t>
      </w:r>
    </w:p>
    <w:p w14:paraId="6974E704" w14:textId="77777777" w:rsidR="00B15898" w:rsidRDefault="00B15898" w:rsidP="00123628">
      <w:pPr>
        <w:pStyle w:val="Heading3Numbered"/>
        <w:spacing w:after="240"/>
        <w:ind w:left="360"/>
      </w:pPr>
      <w:bookmarkStart w:id="24" w:name="_Toc20721625"/>
      <w:r>
        <w:t>Development Entity</w:t>
      </w:r>
      <w:bookmarkEnd w:id="24"/>
    </w:p>
    <w:p w14:paraId="44CF86AE" w14:textId="42906536" w:rsidR="00B15898" w:rsidRPr="00613FF2" w:rsidRDefault="00B15898" w:rsidP="00123628">
      <w:pPr>
        <w:pStyle w:val="Style1"/>
        <w:numPr>
          <w:ilvl w:val="0"/>
          <w:numId w:val="0"/>
        </w:numPr>
        <w:spacing w:before="0" w:line="276" w:lineRule="auto"/>
        <w:jc w:val="left"/>
        <w:rPr>
          <w:b w:val="0"/>
          <w:bCs/>
        </w:rPr>
      </w:pPr>
      <w:r w:rsidRPr="00613FF2">
        <w:rPr>
          <w:b w:val="0"/>
          <w:bCs/>
        </w:rPr>
        <w:t xml:space="preserve">The </w:t>
      </w:r>
      <w:r>
        <w:rPr>
          <w:b w:val="0"/>
          <w:bCs/>
        </w:rPr>
        <w:t>Respondent</w:t>
      </w:r>
      <w:r w:rsidRPr="00613FF2">
        <w:rPr>
          <w:b w:val="0"/>
          <w:bCs/>
        </w:rPr>
        <w:t xml:space="preserve"> shall address the following elements regarding the</w:t>
      </w:r>
      <w:r w:rsidR="00063B3A">
        <w:rPr>
          <w:b w:val="0"/>
          <w:bCs/>
        </w:rPr>
        <w:t>ir</w:t>
      </w:r>
      <w:r w:rsidRPr="00613FF2">
        <w:rPr>
          <w:b w:val="0"/>
          <w:bCs/>
        </w:rPr>
        <w:t xml:space="preserve"> capacity to develop the State Property as proposed. In addition to the requirements set forth in </w:t>
      </w:r>
      <w:r w:rsidRPr="00CF685E">
        <w:rPr>
          <w:b w:val="0"/>
          <w:bCs/>
        </w:rPr>
        <w:t>the Evaluation Criteria, provide</w:t>
      </w:r>
      <w:r w:rsidRPr="00613FF2">
        <w:rPr>
          <w:b w:val="0"/>
          <w:bCs/>
        </w:rPr>
        <w:t xml:space="preserve"> concise and specific responses.</w:t>
      </w:r>
    </w:p>
    <w:p w14:paraId="686E8F36" w14:textId="77777777" w:rsidR="00B15898" w:rsidRDefault="00B15898" w:rsidP="00123628">
      <w:pPr>
        <w:pStyle w:val="Heading4"/>
        <w:tabs>
          <w:tab w:val="clear" w:pos="360"/>
        </w:tabs>
        <w:ind w:left="1080" w:hanging="360"/>
      </w:pPr>
      <w:r w:rsidRPr="00681DE1">
        <w:t xml:space="preserve">Organization </w:t>
      </w:r>
    </w:p>
    <w:p w14:paraId="146901CB" w14:textId="15D7ABDD" w:rsidR="00AB5485" w:rsidRPr="00AB5485" w:rsidRDefault="00AB5485" w:rsidP="00AB5485">
      <w:pPr>
        <w:pStyle w:val="Heading4"/>
        <w:numPr>
          <w:ilvl w:val="0"/>
          <w:numId w:val="0"/>
        </w:numPr>
        <w:ind w:left="1440"/>
        <w:rPr>
          <w:rFonts w:cstheme="minorBidi"/>
          <w:b w:val="0"/>
          <w:bCs w:val="0"/>
          <w:szCs w:val="22"/>
        </w:rPr>
      </w:pPr>
      <w:r w:rsidRPr="00AB5485">
        <w:rPr>
          <w:rFonts w:cstheme="minorBidi"/>
          <w:b w:val="0"/>
          <w:bCs w:val="0"/>
          <w:szCs w:val="22"/>
        </w:rPr>
        <w:lastRenderedPageBreak/>
        <w:t xml:space="preserve">Identify and describe the </w:t>
      </w:r>
      <w:r w:rsidR="007C17F6">
        <w:rPr>
          <w:rFonts w:cstheme="minorBidi"/>
          <w:b w:val="0"/>
          <w:bCs w:val="0"/>
          <w:szCs w:val="22"/>
        </w:rPr>
        <w:t>principals</w:t>
      </w:r>
      <w:r w:rsidRPr="00AB5485">
        <w:rPr>
          <w:rFonts w:cstheme="minorBidi"/>
          <w:b w:val="0"/>
          <w:bCs w:val="0"/>
          <w:szCs w:val="22"/>
        </w:rPr>
        <w:t xml:space="preserve">, including any joint ventures or limited partners, and entity type (corporation, partnership, LLC, etc.) that would enter into the lease, regulatory agreement, and other agreements with the State. </w:t>
      </w:r>
    </w:p>
    <w:p w14:paraId="1B768A29" w14:textId="77777777" w:rsidR="00AB5485" w:rsidRPr="00AB5485" w:rsidRDefault="00AB5485" w:rsidP="00AB5485">
      <w:pPr>
        <w:pStyle w:val="Heading4"/>
        <w:numPr>
          <w:ilvl w:val="0"/>
          <w:numId w:val="0"/>
        </w:numPr>
        <w:ind w:left="1440"/>
        <w:rPr>
          <w:rFonts w:cstheme="minorBidi"/>
          <w:b w:val="0"/>
          <w:bCs w:val="0"/>
          <w:szCs w:val="22"/>
        </w:rPr>
      </w:pPr>
      <w:r w:rsidRPr="00AB5485">
        <w:rPr>
          <w:rFonts w:cstheme="minorBidi"/>
          <w:b w:val="0"/>
          <w:bCs w:val="0"/>
          <w:szCs w:val="22"/>
        </w:rPr>
        <w:tab/>
      </w:r>
      <w:r w:rsidRPr="00AB5485">
        <w:rPr>
          <w:rFonts w:cstheme="minorBidi"/>
          <w:b w:val="0"/>
          <w:bCs w:val="0"/>
          <w:szCs w:val="22"/>
        </w:rPr>
        <w:tab/>
      </w:r>
    </w:p>
    <w:p w14:paraId="5EA83FDE" w14:textId="6BA49BC9"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 xml:space="preserve">Include descriptions of other firms relevant to the Project’s development, construction and management including but not limited to the management company, </w:t>
      </w:r>
      <w:r>
        <w:rPr>
          <w:rFonts w:cstheme="minorBidi"/>
          <w:b w:val="0"/>
          <w:bCs w:val="0"/>
          <w:szCs w:val="22"/>
        </w:rPr>
        <w:t xml:space="preserve">service providers if applicable, </w:t>
      </w:r>
      <w:r w:rsidR="0061794C">
        <w:rPr>
          <w:rFonts w:cstheme="minorBidi"/>
          <w:b w:val="0"/>
          <w:bCs w:val="0"/>
          <w:szCs w:val="22"/>
        </w:rPr>
        <w:t xml:space="preserve">architect, </w:t>
      </w:r>
      <w:r w:rsidRPr="00AB5485">
        <w:rPr>
          <w:rFonts w:cstheme="minorBidi"/>
          <w:b w:val="0"/>
          <w:bCs w:val="0"/>
          <w:szCs w:val="22"/>
        </w:rPr>
        <w:t xml:space="preserve">engineers, contractors, and experience working together and on similar projects. </w:t>
      </w:r>
    </w:p>
    <w:p w14:paraId="77A71830" w14:textId="77777777" w:rsidR="00F31DF9" w:rsidRDefault="00F31DF9" w:rsidP="00F31DF9">
      <w:pPr>
        <w:pStyle w:val="Heading4"/>
        <w:numPr>
          <w:ilvl w:val="0"/>
          <w:numId w:val="0"/>
        </w:numPr>
        <w:ind w:left="1440"/>
        <w:rPr>
          <w:rFonts w:cstheme="minorBidi"/>
          <w:b w:val="0"/>
          <w:bCs w:val="0"/>
          <w:szCs w:val="22"/>
        </w:rPr>
      </w:pPr>
    </w:p>
    <w:p w14:paraId="26A855F7" w14:textId="376C46D1" w:rsidR="00F31DF9" w:rsidRPr="00DB55AC" w:rsidRDefault="00F31DF9" w:rsidP="00F31DF9">
      <w:pPr>
        <w:ind w:left="1440"/>
      </w:pPr>
      <w:r w:rsidRPr="00AB5485">
        <w:t xml:space="preserve">Identify key development team members, including the architect and engineer, their resumes, and their roles and responsibilities for the Project. </w:t>
      </w:r>
    </w:p>
    <w:p w14:paraId="22F6B85A" w14:textId="77777777"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 xml:space="preserve">Identify the principal in charge, project manager, and legal counsel. </w:t>
      </w:r>
    </w:p>
    <w:p w14:paraId="6E0B2371" w14:textId="77777777"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 xml:space="preserve"> </w:t>
      </w:r>
    </w:p>
    <w:p w14:paraId="3C5BA295" w14:textId="77777777"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 xml:space="preserve">Identify key team members and provide an organizational chart showing roles, responsibilities, resumes, and availability to implement the project as proposed. </w:t>
      </w:r>
    </w:p>
    <w:p w14:paraId="227903C6" w14:textId="77777777"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ab/>
      </w:r>
      <w:r w:rsidRPr="00AB5485">
        <w:rPr>
          <w:rFonts w:cstheme="minorBidi"/>
          <w:b w:val="0"/>
          <w:bCs w:val="0"/>
          <w:szCs w:val="22"/>
        </w:rPr>
        <w:tab/>
      </w:r>
    </w:p>
    <w:p w14:paraId="17928E03" w14:textId="77777777" w:rsidR="00F31DF9"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Identify any and all litigation that ha</w:t>
      </w:r>
      <w:r>
        <w:rPr>
          <w:rFonts w:cstheme="minorBidi"/>
          <w:b w:val="0"/>
          <w:bCs w:val="0"/>
          <w:szCs w:val="22"/>
        </w:rPr>
        <w:t>s</w:t>
      </w:r>
      <w:r w:rsidRPr="00AB5485">
        <w:rPr>
          <w:rFonts w:cstheme="minorBidi"/>
          <w:b w:val="0"/>
          <w:bCs w:val="0"/>
          <w:szCs w:val="22"/>
        </w:rPr>
        <w:t xml:space="preserve"> settled or </w:t>
      </w:r>
      <w:r>
        <w:rPr>
          <w:rFonts w:cstheme="minorBidi"/>
          <w:b w:val="0"/>
          <w:bCs w:val="0"/>
          <w:szCs w:val="22"/>
        </w:rPr>
        <w:t>is</w:t>
      </w:r>
      <w:r w:rsidRPr="00AB5485">
        <w:rPr>
          <w:rFonts w:cstheme="minorBidi"/>
          <w:b w:val="0"/>
          <w:bCs w:val="0"/>
          <w:szCs w:val="22"/>
        </w:rPr>
        <w:t xml:space="preserve"> ongoing, for the previous five (5) years facing the </w:t>
      </w:r>
      <w:r>
        <w:rPr>
          <w:rFonts w:cstheme="minorBidi"/>
          <w:b w:val="0"/>
          <w:bCs w:val="0"/>
          <w:szCs w:val="22"/>
        </w:rPr>
        <w:t>Respondent</w:t>
      </w:r>
      <w:r w:rsidRPr="00AB5485">
        <w:rPr>
          <w:rFonts w:cstheme="minorBidi"/>
          <w:b w:val="0"/>
          <w:bCs w:val="0"/>
          <w:szCs w:val="22"/>
        </w:rPr>
        <w:t xml:space="preserve">, its principals, and partners. Identify any and all investigations by the State or federal agencies that have settled or are ongoing, for the previous five (5) years facing the </w:t>
      </w:r>
      <w:r>
        <w:rPr>
          <w:rFonts w:cstheme="minorBidi"/>
          <w:b w:val="0"/>
          <w:bCs w:val="0"/>
          <w:szCs w:val="22"/>
        </w:rPr>
        <w:t>Respondent</w:t>
      </w:r>
      <w:r w:rsidRPr="00AB5485">
        <w:rPr>
          <w:rFonts w:cstheme="minorBidi"/>
          <w:b w:val="0"/>
          <w:bCs w:val="0"/>
          <w:szCs w:val="22"/>
        </w:rPr>
        <w:t xml:space="preserve">, its principals, and partners. This also includes identifying if </w:t>
      </w:r>
      <w:r>
        <w:rPr>
          <w:rFonts w:cstheme="minorBidi"/>
          <w:b w:val="0"/>
          <w:bCs w:val="0"/>
          <w:szCs w:val="22"/>
        </w:rPr>
        <w:t>Respondent</w:t>
      </w:r>
      <w:r w:rsidRPr="00AB5485">
        <w:rPr>
          <w:rFonts w:cstheme="minorBidi"/>
          <w:b w:val="0"/>
          <w:bCs w:val="0"/>
          <w:szCs w:val="22"/>
        </w:rPr>
        <w:t xml:space="preserve"> has had any mortgage foreclosure proceedings, loan </w:t>
      </w:r>
      <w:r>
        <w:rPr>
          <w:rFonts w:cstheme="minorBidi"/>
          <w:b w:val="0"/>
          <w:bCs w:val="0"/>
          <w:szCs w:val="22"/>
        </w:rPr>
        <w:t>Respondent</w:t>
      </w:r>
      <w:r w:rsidRPr="00AB5485">
        <w:rPr>
          <w:rFonts w:cstheme="minorBidi"/>
          <w:b w:val="0"/>
          <w:bCs w:val="0"/>
          <w:szCs w:val="22"/>
        </w:rPr>
        <w:t xml:space="preserve">, if </w:t>
      </w:r>
      <w:r>
        <w:rPr>
          <w:rFonts w:cstheme="minorBidi"/>
          <w:b w:val="0"/>
          <w:bCs w:val="0"/>
          <w:szCs w:val="22"/>
        </w:rPr>
        <w:t>Respondent</w:t>
      </w:r>
      <w:r w:rsidRPr="00AB5485">
        <w:rPr>
          <w:rFonts w:cstheme="minorBidi"/>
          <w:b w:val="0"/>
          <w:bCs w:val="0"/>
          <w:szCs w:val="22"/>
        </w:rPr>
        <w:t xml:space="preserve"> has declared bankruptcy, if the </w:t>
      </w:r>
      <w:r>
        <w:rPr>
          <w:rFonts w:cstheme="minorBidi"/>
          <w:b w:val="0"/>
          <w:bCs w:val="0"/>
          <w:szCs w:val="22"/>
        </w:rPr>
        <w:t>Respondent</w:t>
      </w:r>
      <w:r w:rsidRPr="00AB5485">
        <w:rPr>
          <w:rFonts w:cstheme="minorBidi"/>
          <w:b w:val="0"/>
          <w:bCs w:val="0"/>
          <w:szCs w:val="22"/>
        </w:rPr>
        <w:t xml:space="preserve"> or any member of the proposal has been convicted of fraud, larceny, forgery, money laundering, or tax evasion. </w:t>
      </w:r>
    </w:p>
    <w:p w14:paraId="142451B0" w14:textId="77777777" w:rsidR="00DE4A5C" w:rsidRPr="000B4CEF" w:rsidRDefault="00DE4A5C" w:rsidP="00DE4A5C">
      <w:pPr>
        <w:spacing w:after="0"/>
        <w:rPr>
          <w:sz w:val="4"/>
          <w:szCs w:val="2"/>
        </w:rPr>
      </w:pPr>
    </w:p>
    <w:p w14:paraId="3CABBC66" w14:textId="77777777" w:rsidR="00B15898" w:rsidRPr="00AF0F4F" w:rsidRDefault="00B15898" w:rsidP="00123628">
      <w:pPr>
        <w:pStyle w:val="Heading4"/>
        <w:tabs>
          <w:tab w:val="clear" w:pos="360"/>
        </w:tabs>
        <w:spacing w:before="240"/>
        <w:ind w:left="1080" w:hanging="360"/>
      </w:pPr>
      <w:r>
        <w:t>Examples of Relevant Projects</w:t>
      </w:r>
    </w:p>
    <w:p w14:paraId="07702188" w14:textId="571865A2" w:rsidR="00B400A3" w:rsidRDefault="00B400A3" w:rsidP="00B400A3">
      <w:pPr>
        <w:pStyle w:val="ListParagraph"/>
        <w:spacing w:after="0"/>
        <w:rPr>
          <w:rFonts w:cs="Arial"/>
          <w:szCs w:val="24"/>
        </w:rPr>
      </w:pPr>
      <w:r w:rsidRPr="00221C1B">
        <w:rPr>
          <w:rFonts w:cs="Arial"/>
          <w:szCs w:val="24"/>
        </w:rPr>
        <w:t>Provide details of at least three (3)</w:t>
      </w:r>
      <w:r w:rsidR="00FB660B">
        <w:rPr>
          <w:rFonts w:cs="Arial"/>
          <w:szCs w:val="24"/>
        </w:rPr>
        <w:t xml:space="preserve"> completed</w:t>
      </w:r>
      <w:r w:rsidRPr="00221C1B">
        <w:rPr>
          <w:rFonts w:cs="Arial"/>
          <w:szCs w:val="24"/>
        </w:rPr>
        <w:t xml:space="preserve"> </w:t>
      </w:r>
      <w:r w:rsidRPr="00221C1B">
        <w:rPr>
          <w:rFonts w:cs="Arial"/>
          <w:szCs w:val="24"/>
          <w:u w:val="single"/>
        </w:rPr>
        <w:t>comparable</w:t>
      </w:r>
      <w:r w:rsidRPr="00221C1B">
        <w:rPr>
          <w:rFonts w:cs="Arial"/>
          <w:szCs w:val="24"/>
        </w:rPr>
        <w:t xml:space="preserve"> projects</w:t>
      </w:r>
      <w:r w:rsidR="00FB660B">
        <w:rPr>
          <w:rFonts w:cs="Arial"/>
          <w:szCs w:val="24"/>
        </w:rPr>
        <w:t xml:space="preserve"> </w:t>
      </w:r>
      <w:r w:rsidR="000F3134">
        <w:rPr>
          <w:rFonts w:cs="Arial"/>
          <w:szCs w:val="24"/>
        </w:rPr>
        <w:t xml:space="preserve">completed </w:t>
      </w:r>
      <w:r w:rsidRPr="00221C1B">
        <w:rPr>
          <w:rFonts w:cs="Arial"/>
          <w:szCs w:val="24"/>
        </w:rPr>
        <w:t>by the principals of the development team and their roles. Comparable projects are defined as new construction affordable and/or mixed income developments comparable in size and scope to this Project. This information should include project description, location, date completed, density, population served, number of units, structure of public/private partnerships, financing, service providers, any special circumstances (i.e., phased development, specific plan, public amenities, etc.), and management issues. It should be noted that these are the minimum requirements, but proposals will be scored according to Section 7320(b)(3)(D) of the Multifamily Housing Program guidelines</w:t>
      </w:r>
      <w:r w:rsidR="00C7717E">
        <w:rPr>
          <w:rFonts w:cs="Arial"/>
          <w:szCs w:val="24"/>
        </w:rPr>
        <w:t>:</w:t>
      </w:r>
    </w:p>
    <w:p w14:paraId="1774E1CD" w14:textId="7A072C2B" w:rsidR="00C7717E" w:rsidRDefault="00C7717E" w:rsidP="00B400A3">
      <w:pPr>
        <w:pStyle w:val="ListParagraph"/>
        <w:spacing w:after="0"/>
        <w:rPr>
          <w:rFonts w:cs="Arial"/>
          <w:szCs w:val="24"/>
        </w:rPr>
      </w:pPr>
    </w:p>
    <w:p w14:paraId="00365E64" w14:textId="2E64D443" w:rsidR="00C7717E" w:rsidRPr="00C3276F" w:rsidRDefault="00C3276F" w:rsidP="00B400A3">
      <w:pPr>
        <w:pStyle w:val="ListParagraph"/>
        <w:spacing w:after="0"/>
        <w:rPr>
          <w:rFonts w:cs="Arial"/>
          <w:i/>
          <w:iCs/>
          <w:szCs w:val="24"/>
          <w:highlight w:val="yellow"/>
        </w:rPr>
      </w:pPr>
      <w:r w:rsidRPr="00C3276F">
        <w:rPr>
          <w:i/>
          <w:iCs/>
          <w:sz w:val="23"/>
          <w:szCs w:val="23"/>
        </w:rPr>
        <w:t>Four points will be awarded for each Project completed in the five years preceding the application due date, and two points will be awarded for each Project completed in the five years preceding that period, up to a maximum of 20 points.</w:t>
      </w:r>
    </w:p>
    <w:p w14:paraId="2ECD5FA0" w14:textId="77777777" w:rsidR="00711B48" w:rsidRPr="003A1086" w:rsidRDefault="00711B48" w:rsidP="00A813A7">
      <w:pPr>
        <w:pStyle w:val="ListParagraph"/>
        <w:spacing w:after="0"/>
        <w:rPr>
          <w:rFonts w:cs="Arial"/>
          <w:szCs w:val="24"/>
          <w:highlight w:val="yellow"/>
        </w:rPr>
      </w:pPr>
    </w:p>
    <w:p w14:paraId="4AAD2BEA" w14:textId="0EB78DAF" w:rsidR="00383BF8" w:rsidRDefault="00383BF8" w:rsidP="00383BF8">
      <w:pPr>
        <w:pStyle w:val="ListParagraph"/>
        <w:spacing w:after="0"/>
        <w:rPr>
          <w:rFonts w:cs="Arial"/>
          <w:szCs w:val="24"/>
        </w:rPr>
      </w:pPr>
      <w:r w:rsidRPr="00C607FE">
        <w:rPr>
          <w:rFonts w:cs="Arial"/>
          <w:szCs w:val="24"/>
        </w:rPr>
        <w:t>Please provide references for each comparable project, including contact name, title, organization name and address, and current telephone number and email addresses.</w:t>
      </w:r>
    </w:p>
    <w:p w14:paraId="32C33017" w14:textId="0518C112" w:rsidR="00FE1A72" w:rsidRDefault="00FE1A72" w:rsidP="00383BF8">
      <w:pPr>
        <w:pStyle w:val="ListParagraph"/>
        <w:spacing w:after="0"/>
        <w:rPr>
          <w:rFonts w:cs="Arial"/>
          <w:szCs w:val="24"/>
        </w:rPr>
      </w:pPr>
    </w:p>
    <w:p w14:paraId="21B3736F" w14:textId="03E0E9B9" w:rsidR="00FE1A72" w:rsidRDefault="00FE1A72" w:rsidP="00383BF8">
      <w:pPr>
        <w:pStyle w:val="ListParagraph"/>
        <w:spacing w:after="0"/>
        <w:rPr>
          <w:rFonts w:cs="Arial"/>
          <w:szCs w:val="24"/>
        </w:rPr>
      </w:pPr>
      <w:r>
        <w:rPr>
          <w:rFonts w:cs="Arial"/>
          <w:szCs w:val="24"/>
        </w:rPr>
        <w:t>Please include the following</w:t>
      </w:r>
      <w:r w:rsidR="00B9516B">
        <w:rPr>
          <w:rFonts w:cs="Arial"/>
          <w:szCs w:val="24"/>
        </w:rPr>
        <w:t>:</w:t>
      </w:r>
    </w:p>
    <w:p w14:paraId="5126933F" w14:textId="11438107" w:rsidR="00383BF8" w:rsidRDefault="00383BF8" w:rsidP="00C26BBE">
      <w:pPr>
        <w:pStyle w:val="ListParagraph"/>
        <w:spacing w:after="0"/>
        <w:ind w:left="0"/>
        <w:rPr>
          <w:rFonts w:cs="Arial"/>
          <w:szCs w:val="24"/>
        </w:rPr>
      </w:pPr>
    </w:p>
    <w:p w14:paraId="38A4A218" w14:textId="2AB17B2A" w:rsidR="00C26BBE" w:rsidRDefault="00FE1A72" w:rsidP="00C26BBE">
      <w:pPr>
        <w:pStyle w:val="ListParagraph"/>
        <w:numPr>
          <w:ilvl w:val="0"/>
          <w:numId w:val="30"/>
        </w:numPr>
        <w:ind w:left="1080"/>
      </w:pPr>
      <w:r>
        <w:t>D</w:t>
      </w:r>
      <w:r w:rsidR="00F80381" w:rsidRPr="00FE1A72">
        <w:t>etails about participation in public-private joint development partnerships</w:t>
      </w:r>
    </w:p>
    <w:p w14:paraId="0B67DDB7" w14:textId="75CED13F" w:rsidR="00C26BBE" w:rsidRPr="00C26BBE" w:rsidRDefault="00C26BBE" w:rsidP="00C26BBE">
      <w:pPr>
        <w:pStyle w:val="ListParagraph"/>
        <w:numPr>
          <w:ilvl w:val="0"/>
          <w:numId w:val="30"/>
        </w:numPr>
        <w:ind w:left="1080"/>
      </w:pPr>
      <w:r>
        <w:t>D</w:t>
      </w:r>
      <w:r w:rsidR="00F80381" w:rsidRPr="00C26BBE">
        <w:rPr>
          <w:rFonts w:cs="Arial"/>
          <w:szCs w:val="24"/>
        </w:rPr>
        <w:t>etails on previous or pending development projects in San Francisco</w:t>
      </w:r>
    </w:p>
    <w:p w14:paraId="013F0644" w14:textId="1A3E59AC" w:rsidR="00F80381" w:rsidRPr="00C26BBE" w:rsidRDefault="00F80381" w:rsidP="00C26BBE">
      <w:pPr>
        <w:pStyle w:val="ListParagraph"/>
        <w:numPr>
          <w:ilvl w:val="0"/>
          <w:numId w:val="30"/>
        </w:numPr>
        <w:ind w:left="1080"/>
      </w:pPr>
      <w:r w:rsidRPr="00C26BBE">
        <w:rPr>
          <w:rFonts w:cs="Arial"/>
          <w:szCs w:val="24"/>
        </w:rPr>
        <w:t xml:space="preserve">Include developer qualifications </w:t>
      </w:r>
      <w:r w:rsidRPr="00FE1A72">
        <w:t>that are adherent to the Low-Income Housing Tax Credit program or other state or federal funding programs</w:t>
      </w:r>
    </w:p>
    <w:p w14:paraId="79FFF68C" w14:textId="6D842ED6" w:rsidR="00B15898" w:rsidRPr="00AF0F4F" w:rsidRDefault="00B15898" w:rsidP="00123628">
      <w:pPr>
        <w:pStyle w:val="Heading4"/>
        <w:tabs>
          <w:tab w:val="clear" w:pos="360"/>
        </w:tabs>
        <w:spacing w:before="240"/>
        <w:ind w:left="1080" w:hanging="360"/>
      </w:pPr>
      <w:r>
        <w:t xml:space="preserve">Financial Capability </w:t>
      </w:r>
    </w:p>
    <w:p w14:paraId="6BA263D9" w14:textId="77777777" w:rsidR="00B15898" w:rsidRDefault="00B15898" w:rsidP="00123628">
      <w:pPr>
        <w:pStyle w:val="Style1"/>
        <w:numPr>
          <w:ilvl w:val="0"/>
          <w:numId w:val="0"/>
        </w:numPr>
        <w:spacing w:before="0" w:after="0" w:line="276" w:lineRule="auto"/>
        <w:ind w:left="720"/>
        <w:rPr>
          <w:b w:val="0"/>
        </w:rPr>
      </w:pPr>
      <w:r>
        <w:rPr>
          <w:b w:val="0"/>
        </w:rPr>
        <w:t xml:space="preserve">The State wants assurances that the proposed entity has the financial capability to complete the proposed transaction. Respondents shall provide the last three years of audited financial statements, including a recent balance sheet and income statement of the proposed entity. </w:t>
      </w:r>
    </w:p>
    <w:p w14:paraId="4FDD79F0" w14:textId="77777777" w:rsidR="00B15898" w:rsidRDefault="00B15898" w:rsidP="00123628">
      <w:pPr>
        <w:pStyle w:val="Style1"/>
        <w:numPr>
          <w:ilvl w:val="0"/>
          <w:numId w:val="0"/>
        </w:numPr>
        <w:spacing w:before="0" w:after="0" w:line="276" w:lineRule="auto"/>
        <w:ind w:left="720"/>
        <w:rPr>
          <w:b w:val="0"/>
        </w:rPr>
      </w:pPr>
    </w:p>
    <w:p w14:paraId="7E9BBAA2" w14:textId="77777777" w:rsidR="00B15898" w:rsidRDefault="00B15898" w:rsidP="00123628">
      <w:pPr>
        <w:pStyle w:val="Style1"/>
        <w:numPr>
          <w:ilvl w:val="0"/>
          <w:numId w:val="0"/>
        </w:numPr>
        <w:spacing w:before="0" w:after="0" w:line="276" w:lineRule="auto"/>
        <w:ind w:left="720"/>
        <w:rPr>
          <w:b w:val="0"/>
        </w:rPr>
      </w:pPr>
      <w:r>
        <w:rPr>
          <w:b w:val="0"/>
        </w:rPr>
        <w:t>All documents submitted in response to this RFP will become the property of the State of California and are subject to review or release to the public under the California Public Records Act, Government Code section 6250 et seq., unless the State in its sole and absolute discretion determines there is a legal basis for exemption. Any document submitted which has been marked “confidential” or “Proprietary” will not be accepted.</w:t>
      </w:r>
    </w:p>
    <w:p w14:paraId="352A6E76" w14:textId="66457B55" w:rsidR="002876B5" w:rsidRPr="00107545" w:rsidRDefault="002876B5" w:rsidP="002876B5">
      <w:pPr>
        <w:pStyle w:val="Heading4"/>
        <w:tabs>
          <w:tab w:val="clear" w:pos="360"/>
        </w:tabs>
        <w:spacing w:before="240"/>
        <w:ind w:left="1080" w:hanging="360"/>
      </w:pPr>
      <w:r w:rsidRPr="00107545">
        <w:t>Project Capacity</w:t>
      </w:r>
    </w:p>
    <w:p w14:paraId="0F9AB3F6" w14:textId="7A7E7AB2" w:rsidR="002876B5" w:rsidRDefault="00362099" w:rsidP="00362099">
      <w:pPr>
        <w:pStyle w:val="Style1"/>
        <w:numPr>
          <w:ilvl w:val="0"/>
          <w:numId w:val="0"/>
        </w:numPr>
        <w:spacing w:before="0" w:after="0" w:line="276" w:lineRule="auto"/>
        <w:ind w:left="720"/>
        <w:rPr>
          <w:b w:val="0"/>
        </w:rPr>
      </w:pPr>
      <w:r w:rsidRPr="00107545">
        <w:rPr>
          <w:b w:val="0"/>
        </w:rPr>
        <w:t xml:space="preserve">The State wants assurances that the proposed entity has the capacity to complete the proposed transaction. Respondents shall address their current capacity and why they </w:t>
      </w:r>
      <w:r w:rsidR="00C024BE">
        <w:rPr>
          <w:b w:val="0"/>
        </w:rPr>
        <w:t>can take</w:t>
      </w:r>
      <w:r w:rsidRPr="00107545">
        <w:rPr>
          <w:b w:val="0"/>
        </w:rPr>
        <w:t xml:space="preserve"> on this project</w:t>
      </w:r>
      <w:r>
        <w:rPr>
          <w:b w:val="0"/>
        </w:rPr>
        <w:t xml:space="preserve">, including detail on specific staff assignments and workload.  </w:t>
      </w:r>
    </w:p>
    <w:p w14:paraId="3753DFE0" w14:textId="77777777" w:rsidR="00B15898" w:rsidRDefault="00B15898" w:rsidP="00E664C1">
      <w:pPr>
        <w:pStyle w:val="Heading3Numbered"/>
        <w:numPr>
          <w:ilvl w:val="0"/>
          <w:numId w:val="16"/>
        </w:numPr>
        <w:spacing w:before="240" w:after="240"/>
      </w:pPr>
      <w:bookmarkStart w:id="25" w:name="_Toc20721626"/>
      <w:r>
        <w:t>Proposed Development</w:t>
      </w:r>
      <w:bookmarkEnd w:id="25"/>
    </w:p>
    <w:p w14:paraId="27C05424" w14:textId="77777777" w:rsidR="00B15898" w:rsidRPr="00AF0F4F" w:rsidRDefault="00B15898" w:rsidP="00E664C1">
      <w:pPr>
        <w:pStyle w:val="Heading4"/>
        <w:numPr>
          <w:ilvl w:val="0"/>
          <w:numId w:val="10"/>
        </w:numPr>
        <w:ind w:left="1080"/>
      </w:pPr>
      <w:r>
        <w:t>Summary</w:t>
      </w:r>
    </w:p>
    <w:p w14:paraId="1868B2A9" w14:textId="7534D170" w:rsidR="00B15898" w:rsidRDefault="00B15898" w:rsidP="00324103">
      <w:pPr>
        <w:tabs>
          <w:tab w:val="left" w:pos="1440"/>
        </w:tabs>
        <w:spacing w:after="0"/>
        <w:ind w:left="720"/>
        <w:rPr>
          <w:rFonts w:cs="Arial"/>
          <w:szCs w:val="24"/>
        </w:rPr>
      </w:pPr>
      <w:r w:rsidRPr="00613FF2">
        <w:rPr>
          <w:bCs/>
        </w:rPr>
        <w:t xml:space="preserve">In addition to the requirements set forth in </w:t>
      </w:r>
      <w:r w:rsidRPr="00CF685E">
        <w:rPr>
          <w:bCs/>
        </w:rPr>
        <w:t xml:space="preserve">the Evaluation Criteria, </w:t>
      </w:r>
      <w:r>
        <w:rPr>
          <w:rFonts w:cs="Arial"/>
          <w:szCs w:val="24"/>
        </w:rPr>
        <w:t xml:space="preserve">the proposal should include a detailed and cohesive description describing the proposed Project, including at a minimum and as appropriate the development concept for </w:t>
      </w:r>
      <w:r>
        <w:rPr>
          <w:rFonts w:cs="Arial"/>
          <w:szCs w:val="24"/>
        </w:rPr>
        <w:lastRenderedPageBreak/>
        <w:t xml:space="preserve">the site, proposed building square footage, building height, number of stories, number of units, size of units, total parking spaces, proposed rents, </w:t>
      </w:r>
      <w:r w:rsidR="00750D23">
        <w:rPr>
          <w:rFonts w:cs="Arial"/>
          <w:szCs w:val="24"/>
        </w:rPr>
        <w:t xml:space="preserve">resident </w:t>
      </w:r>
      <w:r>
        <w:rPr>
          <w:rFonts w:cs="Arial"/>
          <w:szCs w:val="24"/>
        </w:rPr>
        <w:t>incomes</w:t>
      </w:r>
      <w:r w:rsidR="00750D23">
        <w:rPr>
          <w:rFonts w:cs="Arial"/>
          <w:szCs w:val="24"/>
        </w:rPr>
        <w:t>, resident amenities</w:t>
      </w:r>
      <w:r w:rsidR="00CA77F8">
        <w:rPr>
          <w:rFonts w:cs="Arial"/>
          <w:szCs w:val="24"/>
        </w:rPr>
        <w:t xml:space="preserve">, and any </w:t>
      </w:r>
      <w:r w:rsidR="00A25A23">
        <w:rPr>
          <w:rFonts w:cs="Arial"/>
          <w:szCs w:val="24"/>
        </w:rPr>
        <w:t xml:space="preserve">other </w:t>
      </w:r>
      <w:r w:rsidR="00CA77F8">
        <w:rPr>
          <w:rFonts w:cs="Arial"/>
          <w:szCs w:val="24"/>
        </w:rPr>
        <w:t xml:space="preserve">mixed uses </w:t>
      </w:r>
      <w:r w:rsidR="0008320F">
        <w:rPr>
          <w:rFonts w:cs="Arial"/>
          <w:szCs w:val="24"/>
        </w:rPr>
        <w:t xml:space="preserve">or features </w:t>
      </w:r>
      <w:r w:rsidR="00A25A23">
        <w:rPr>
          <w:rFonts w:cs="Arial"/>
          <w:szCs w:val="24"/>
        </w:rPr>
        <w:t>that meet the development principles</w:t>
      </w:r>
      <w:r w:rsidR="00BC7C7E">
        <w:rPr>
          <w:rFonts w:cs="Arial"/>
          <w:szCs w:val="24"/>
        </w:rPr>
        <w:t xml:space="preserve"> and statutory authority</w:t>
      </w:r>
      <w:r w:rsidR="00A25A23">
        <w:rPr>
          <w:rFonts w:cs="Arial"/>
          <w:szCs w:val="24"/>
        </w:rPr>
        <w:t xml:space="preserve">. </w:t>
      </w:r>
    </w:p>
    <w:p w14:paraId="039ABF1C" w14:textId="77777777" w:rsidR="00B15898" w:rsidRPr="00AF0F4F" w:rsidRDefault="00B15898" w:rsidP="00E664C1">
      <w:pPr>
        <w:pStyle w:val="Heading4"/>
        <w:numPr>
          <w:ilvl w:val="0"/>
          <w:numId w:val="10"/>
        </w:numPr>
        <w:spacing w:before="240"/>
        <w:ind w:left="1080"/>
      </w:pPr>
      <w:r>
        <w:t>Project Design</w:t>
      </w:r>
    </w:p>
    <w:p w14:paraId="62A2541C" w14:textId="783E8B01" w:rsidR="00B15898" w:rsidRDefault="00B15898" w:rsidP="00324103">
      <w:pPr>
        <w:spacing w:after="0"/>
        <w:ind w:left="720"/>
        <w:rPr>
          <w:rFonts w:cs="Arial"/>
          <w:szCs w:val="24"/>
        </w:rPr>
      </w:pPr>
      <w:r>
        <w:rPr>
          <w:rFonts w:cs="Arial"/>
          <w:szCs w:val="24"/>
        </w:rPr>
        <w:t xml:space="preserve">The proposal shall provide a site plan, building elevations, and rendering of the proposed development that are specific to the </w:t>
      </w:r>
      <w:r w:rsidR="00B31F70">
        <w:rPr>
          <w:rFonts w:cs="Arial"/>
          <w:szCs w:val="24"/>
        </w:rPr>
        <w:t>Site.</w:t>
      </w:r>
      <w:r>
        <w:rPr>
          <w:rFonts w:cs="Arial"/>
          <w:szCs w:val="24"/>
        </w:rPr>
        <w:t xml:space="preserve">  </w:t>
      </w:r>
    </w:p>
    <w:p w14:paraId="0881A632" w14:textId="77777777" w:rsidR="00B15898" w:rsidRDefault="00B15898" w:rsidP="00324103">
      <w:pPr>
        <w:pStyle w:val="ListParagraph"/>
        <w:spacing w:after="0"/>
        <w:rPr>
          <w:rFonts w:cs="Arial"/>
          <w:szCs w:val="24"/>
        </w:rPr>
      </w:pPr>
    </w:p>
    <w:p w14:paraId="70D16E7B" w14:textId="01EE3049" w:rsidR="00B15898" w:rsidRDefault="00B15898" w:rsidP="00324103">
      <w:pPr>
        <w:spacing w:after="0"/>
        <w:ind w:left="720"/>
        <w:rPr>
          <w:rFonts w:cs="Arial"/>
          <w:szCs w:val="24"/>
        </w:rPr>
      </w:pPr>
      <w:r>
        <w:rPr>
          <w:rFonts w:cs="Arial"/>
          <w:szCs w:val="24"/>
        </w:rPr>
        <w:t xml:space="preserve">The site plan should illustrate the proposed development concept for the </w:t>
      </w:r>
      <w:r w:rsidR="00D732D1">
        <w:rPr>
          <w:rFonts w:cs="Arial"/>
          <w:szCs w:val="24"/>
        </w:rPr>
        <w:t>Site</w:t>
      </w:r>
      <w:r>
        <w:rPr>
          <w:rFonts w:cs="Arial"/>
          <w:szCs w:val="24"/>
        </w:rPr>
        <w:t>, including proposed building(s) footprint, proposed open spaces and landscape design concept(s), parking</w:t>
      </w:r>
      <w:r w:rsidR="00B25DCE">
        <w:rPr>
          <w:rFonts w:cs="Arial"/>
          <w:szCs w:val="24"/>
        </w:rPr>
        <w:t>,</w:t>
      </w:r>
      <w:r>
        <w:rPr>
          <w:rFonts w:cs="Arial"/>
          <w:szCs w:val="24"/>
        </w:rPr>
        <w:t xml:space="preserve"> </w:t>
      </w:r>
      <w:r w:rsidR="00A15E24">
        <w:rPr>
          <w:rFonts w:cs="Arial"/>
          <w:szCs w:val="24"/>
        </w:rPr>
        <w:t xml:space="preserve">and </w:t>
      </w:r>
      <w:r>
        <w:rPr>
          <w:rFonts w:cs="Arial"/>
          <w:szCs w:val="24"/>
        </w:rPr>
        <w:t>vehicular and pedestrian access</w:t>
      </w:r>
      <w:r w:rsidRPr="00F4224F">
        <w:rPr>
          <w:rFonts w:cs="Arial"/>
          <w:szCs w:val="24"/>
        </w:rPr>
        <w:t xml:space="preserve"> </w:t>
      </w:r>
      <w:r>
        <w:rPr>
          <w:rFonts w:cs="Arial"/>
          <w:szCs w:val="24"/>
        </w:rPr>
        <w:t xml:space="preserve">that are specific to the </w:t>
      </w:r>
      <w:r w:rsidR="00761C81">
        <w:rPr>
          <w:rFonts w:cs="Arial"/>
          <w:szCs w:val="24"/>
        </w:rPr>
        <w:t>Site</w:t>
      </w:r>
      <w:r w:rsidR="00DB2735">
        <w:rPr>
          <w:rFonts w:cs="Arial"/>
          <w:szCs w:val="24"/>
        </w:rPr>
        <w:t>.</w:t>
      </w:r>
    </w:p>
    <w:p w14:paraId="446D7DC4" w14:textId="77777777" w:rsidR="00721DB8" w:rsidRDefault="00721DB8" w:rsidP="00721DB8">
      <w:pPr>
        <w:spacing w:after="0"/>
        <w:rPr>
          <w:rFonts w:cs="Arial"/>
          <w:szCs w:val="24"/>
        </w:rPr>
      </w:pPr>
    </w:p>
    <w:p w14:paraId="377EAB09" w14:textId="77777777" w:rsidR="00721DB8" w:rsidRDefault="00721DB8" w:rsidP="00721DB8">
      <w:pPr>
        <w:spacing w:after="0"/>
        <w:ind w:left="720"/>
        <w:rPr>
          <w:rFonts w:cs="Arial"/>
          <w:szCs w:val="24"/>
        </w:rPr>
      </w:pPr>
      <w:r>
        <w:rPr>
          <w:rFonts w:cs="Arial"/>
          <w:szCs w:val="24"/>
        </w:rPr>
        <w:t>A ground floor plan should show proposed ground floor usage (e.g., common areas, management office space, apartment units, etc.). Additionally, a roof plan should illustrate any rooftop amenities, or illustrate pertinent features or anticipated screening of equipment.</w:t>
      </w:r>
    </w:p>
    <w:p w14:paraId="11744227" w14:textId="77777777" w:rsidR="00721DB8" w:rsidRPr="00AF0F4F" w:rsidRDefault="00721DB8" w:rsidP="00721DB8">
      <w:pPr>
        <w:spacing w:after="0"/>
        <w:ind w:left="720"/>
        <w:rPr>
          <w:rFonts w:cs="Arial"/>
          <w:szCs w:val="24"/>
        </w:rPr>
      </w:pPr>
    </w:p>
    <w:p w14:paraId="4E43DF56" w14:textId="741AE86E" w:rsidR="00E02FAB" w:rsidRDefault="00E02FAB" w:rsidP="00721DB8">
      <w:pPr>
        <w:spacing w:after="0"/>
        <w:ind w:left="720"/>
        <w:rPr>
          <w:rFonts w:cs="Arial"/>
          <w:szCs w:val="24"/>
        </w:rPr>
      </w:pPr>
      <w:r>
        <w:t xml:space="preserve">Respondents must at least submit the front </w:t>
      </w:r>
      <w:r w:rsidR="007B3F3F">
        <w:t xml:space="preserve">elevation </w:t>
      </w:r>
      <w:r>
        <w:t>(e.g., street view) of the property. Other views are welcome but not required</w:t>
      </w:r>
      <w:r w:rsidR="001E02B2">
        <w:t>.</w:t>
      </w:r>
    </w:p>
    <w:p w14:paraId="79159625" w14:textId="77777777" w:rsidR="00721DB8" w:rsidRPr="00AF0F4F" w:rsidRDefault="00721DB8" w:rsidP="00721DB8">
      <w:pPr>
        <w:pStyle w:val="Heading4"/>
        <w:numPr>
          <w:ilvl w:val="0"/>
          <w:numId w:val="10"/>
        </w:numPr>
        <w:spacing w:before="240"/>
        <w:ind w:left="1080"/>
      </w:pPr>
      <w:r>
        <w:t>Schedule</w:t>
      </w:r>
    </w:p>
    <w:p w14:paraId="4C2DFAF5" w14:textId="720D486F" w:rsidR="00721DB8" w:rsidRDefault="00721DB8" w:rsidP="00721DB8">
      <w:pPr>
        <w:spacing w:after="0"/>
        <w:ind w:left="720"/>
        <w:rPr>
          <w:rFonts w:cs="Arial"/>
          <w:szCs w:val="24"/>
        </w:rPr>
      </w:pPr>
      <w:r>
        <w:rPr>
          <w:rFonts w:cs="Arial"/>
          <w:szCs w:val="24"/>
        </w:rPr>
        <w:t xml:space="preserve">Respondents shall provide a detailed project development schedule through completion that contains time and performance </w:t>
      </w:r>
      <w:r w:rsidR="00ED68D8">
        <w:rPr>
          <w:rFonts w:cs="Arial"/>
          <w:szCs w:val="24"/>
        </w:rPr>
        <w:t>benchmarks and</w:t>
      </w:r>
      <w:r>
        <w:rPr>
          <w:rFonts w:cs="Arial"/>
          <w:szCs w:val="24"/>
        </w:rPr>
        <w:t xml:space="preserve"> include all predevelopment activities and any plans for phased development. The proposal shall provide a narrative and graphical schedule of all phases of development including, but not limited to, securing of financing, formulation of development concepts, community outreach, environmental review, entitlements, design, environmental reviews, planning reviews, construction, modular processes, marketing, and resident selection(s).</w:t>
      </w:r>
    </w:p>
    <w:p w14:paraId="7AE3D55F" w14:textId="77777777" w:rsidR="00B15898" w:rsidRPr="00681DE1" w:rsidRDefault="00B15898" w:rsidP="00324103">
      <w:pPr>
        <w:pStyle w:val="Heading4"/>
        <w:tabs>
          <w:tab w:val="clear" w:pos="360"/>
        </w:tabs>
        <w:spacing w:before="240"/>
        <w:ind w:left="1080" w:hanging="360"/>
      </w:pPr>
      <w:r w:rsidRPr="00681DE1">
        <w:t>Additional Benefits</w:t>
      </w:r>
    </w:p>
    <w:p w14:paraId="117D9B05" w14:textId="40424AF3" w:rsidR="00B15898" w:rsidRDefault="00B15898" w:rsidP="00324103">
      <w:pPr>
        <w:spacing w:after="0"/>
        <w:ind w:left="720"/>
        <w:rPr>
          <w:rFonts w:cs="Arial"/>
          <w:szCs w:val="24"/>
        </w:rPr>
      </w:pPr>
      <w:r>
        <w:rPr>
          <w:rFonts w:cs="Arial"/>
          <w:szCs w:val="24"/>
        </w:rPr>
        <w:t xml:space="preserve">Include a description of any additional potential benefits offered by the proposal. Examples of additional benefits can include amount of open space, sustainability, amenities, </w:t>
      </w:r>
      <w:r w:rsidR="00B33007">
        <w:rPr>
          <w:rFonts w:cs="Arial"/>
          <w:szCs w:val="24"/>
        </w:rPr>
        <w:t>on-site</w:t>
      </w:r>
      <w:r>
        <w:rPr>
          <w:rFonts w:cs="Arial"/>
          <w:szCs w:val="24"/>
        </w:rPr>
        <w:t xml:space="preserve"> services, etc.</w:t>
      </w:r>
      <w:r w:rsidR="00566B1B">
        <w:rPr>
          <w:rFonts w:cs="Arial"/>
          <w:szCs w:val="24"/>
        </w:rPr>
        <w:t xml:space="preserve"> </w:t>
      </w:r>
    </w:p>
    <w:p w14:paraId="1ED67482" w14:textId="2744CA2E" w:rsidR="00123628" w:rsidRPr="00AF0F4F" w:rsidRDefault="00B15898" w:rsidP="00E664C1">
      <w:pPr>
        <w:pStyle w:val="Heading3Numbered"/>
        <w:numPr>
          <w:ilvl w:val="0"/>
          <w:numId w:val="16"/>
        </w:numPr>
        <w:spacing w:before="240" w:after="240"/>
      </w:pPr>
      <w:bookmarkStart w:id="26" w:name="_Toc20721627"/>
      <w:r>
        <w:t>Financing Plan and Development Pro Forma</w:t>
      </w:r>
      <w:bookmarkEnd w:id="26"/>
      <w:r>
        <w:t xml:space="preserve"> </w:t>
      </w:r>
    </w:p>
    <w:p w14:paraId="4CEB96CD" w14:textId="11B01804" w:rsidR="002753AF" w:rsidRDefault="00B15898" w:rsidP="002753AF">
      <w:pPr>
        <w:pStyle w:val="ListParagraph"/>
        <w:spacing w:after="0"/>
        <w:ind w:left="0"/>
        <w:rPr>
          <w:rFonts w:cs="Arial"/>
          <w:szCs w:val="24"/>
        </w:rPr>
      </w:pPr>
      <w:r>
        <w:rPr>
          <w:rFonts w:cs="Arial"/>
          <w:szCs w:val="24"/>
        </w:rPr>
        <w:t xml:space="preserve">The Respondent shall include a detailed development pro forma that estimates the total development costs. </w:t>
      </w:r>
      <w:r w:rsidR="002753AF">
        <w:rPr>
          <w:rFonts w:cs="Arial"/>
          <w:szCs w:val="24"/>
        </w:rPr>
        <w:t xml:space="preserve">The development pro forma shall include a detailed sources and uses of funds statement covering all project costs from design and construction through </w:t>
      </w:r>
      <w:r w:rsidR="002753AF">
        <w:rPr>
          <w:rFonts w:cs="Arial"/>
          <w:szCs w:val="24"/>
        </w:rPr>
        <w:lastRenderedPageBreak/>
        <w:t xml:space="preserve">stabilized operations, including all hard and soft costs, and shall provide evidence </w:t>
      </w:r>
      <w:r w:rsidR="00C709AA">
        <w:rPr>
          <w:rFonts w:cs="Arial"/>
          <w:szCs w:val="24"/>
        </w:rPr>
        <w:t>(e.g., letters of support</w:t>
      </w:r>
      <w:r w:rsidR="00760C61">
        <w:rPr>
          <w:rFonts w:cs="Arial"/>
          <w:szCs w:val="24"/>
        </w:rPr>
        <w:t xml:space="preserve">) </w:t>
      </w:r>
      <w:r w:rsidR="002753AF">
        <w:rPr>
          <w:rFonts w:cs="Arial"/>
          <w:szCs w:val="24"/>
        </w:rPr>
        <w:t>of sufficient funding sources to meet project development requirements, including construction and permanent financing, and Developer’s equity requirements.</w:t>
      </w:r>
    </w:p>
    <w:p w14:paraId="05050EF8" w14:textId="77777777" w:rsidR="002753AF" w:rsidRDefault="002753AF" w:rsidP="002753AF">
      <w:pPr>
        <w:pStyle w:val="ListParagraph"/>
        <w:spacing w:after="0"/>
        <w:ind w:left="0"/>
        <w:rPr>
          <w:rFonts w:cs="Arial"/>
          <w:szCs w:val="24"/>
        </w:rPr>
      </w:pPr>
    </w:p>
    <w:p w14:paraId="2E1BE110" w14:textId="7B4212A8" w:rsidR="002753AF" w:rsidRDefault="002753AF" w:rsidP="002753AF">
      <w:pPr>
        <w:pStyle w:val="ListParagraph"/>
        <w:spacing w:after="0"/>
        <w:ind w:left="0"/>
        <w:rPr>
          <w:rFonts w:cs="Arial"/>
          <w:szCs w:val="24"/>
        </w:rPr>
      </w:pPr>
      <w:r>
        <w:rPr>
          <w:rFonts w:cs="Arial"/>
          <w:szCs w:val="24"/>
        </w:rPr>
        <w:t xml:space="preserve">The development pro forma should identify important underlying assumptions that govern the cash flows, including, but not necessarily limited to gross income, the amounts and frequency of loan repayments (all sources), annual rent increases, occupancy levels, operating costs as a percent of revenue, timing, amounts of replacement costs and the Project’s anticipated cash flows </w:t>
      </w:r>
      <w:r>
        <w:t>over a period of 30 years from project initiation</w:t>
      </w:r>
      <w:r>
        <w:rPr>
          <w:rFonts w:cs="Arial"/>
          <w:szCs w:val="24"/>
        </w:rPr>
        <w:t xml:space="preserve">. The Respondent must confirm the cost estimates in the development pro forma include payment of California prevailing wages. The development pro forma must include a calculation of the return on investment to the Developer and include interest rate assumptions for all sources of debt and equity. </w:t>
      </w:r>
    </w:p>
    <w:p w14:paraId="7E95F9A7" w14:textId="77777777" w:rsidR="002753AF" w:rsidRDefault="002753AF" w:rsidP="002753AF">
      <w:pPr>
        <w:pStyle w:val="ListParagraph"/>
        <w:spacing w:after="0"/>
        <w:ind w:left="0"/>
        <w:rPr>
          <w:rFonts w:cs="Arial"/>
          <w:szCs w:val="24"/>
        </w:rPr>
      </w:pPr>
    </w:p>
    <w:p w14:paraId="522BE98D" w14:textId="24F9051D" w:rsidR="00FC5028" w:rsidRDefault="002753AF" w:rsidP="002753AF">
      <w:pPr>
        <w:pStyle w:val="ListParagraph"/>
        <w:spacing w:after="0"/>
        <w:ind w:left="0"/>
        <w:rPr>
          <w:rFonts w:cs="Arial"/>
          <w:szCs w:val="24"/>
        </w:rPr>
      </w:pPr>
      <w:r>
        <w:rPr>
          <w:rFonts w:cs="Arial"/>
          <w:szCs w:val="24"/>
        </w:rPr>
        <w:t>Developers</w:t>
      </w:r>
      <w:r w:rsidRPr="00EB4A44">
        <w:rPr>
          <w:rFonts w:cs="Arial"/>
          <w:szCs w:val="24"/>
        </w:rPr>
        <w:t xml:space="preserve"> </w:t>
      </w:r>
      <w:r w:rsidR="00733EDE">
        <w:rPr>
          <w:rFonts w:cs="Arial"/>
          <w:szCs w:val="24"/>
        </w:rPr>
        <w:t>should, when possible,</w:t>
      </w:r>
      <w:r w:rsidR="00E96FA6">
        <w:rPr>
          <w:rFonts w:cs="Arial"/>
          <w:szCs w:val="24"/>
        </w:rPr>
        <w:t xml:space="preserve"> consider</w:t>
      </w:r>
      <w:r w:rsidRPr="00EB4A44">
        <w:rPr>
          <w:rFonts w:cs="Arial"/>
          <w:szCs w:val="24"/>
        </w:rPr>
        <w:t xml:space="preserve"> the City’s underwriting standards </w:t>
      </w:r>
      <w:r w:rsidR="00A049CE">
        <w:rPr>
          <w:rFonts w:cs="Arial"/>
          <w:szCs w:val="24"/>
        </w:rPr>
        <w:t xml:space="preserve">for alignment with City housing goals </w:t>
      </w:r>
      <w:r w:rsidRPr="00EB4A44">
        <w:rPr>
          <w:rFonts w:cs="Arial"/>
          <w:szCs w:val="24"/>
        </w:rPr>
        <w:t>(</w:t>
      </w:r>
      <w:hyperlink r:id="rId17" w:history="1">
        <w:r w:rsidR="003828EB" w:rsidRPr="0022183F">
          <w:rPr>
            <w:rStyle w:val="Hyperlink"/>
          </w:rPr>
          <w:t>https://sfmohcd.org/sites/default/files/UGs-%20NPLH%20Edition%20Final%20June%2017%202019_0.pdf</w:t>
        </w:r>
      </w:hyperlink>
      <w:r w:rsidRPr="00EB4A44">
        <w:rPr>
          <w:rFonts w:cs="Arial"/>
          <w:szCs w:val="24"/>
        </w:rPr>
        <w:t xml:space="preserve">) </w:t>
      </w:r>
    </w:p>
    <w:p w14:paraId="49BDA540" w14:textId="77777777" w:rsidR="00FC5028" w:rsidRDefault="00FC5028" w:rsidP="00123628">
      <w:pPr>
        <w:pStyle w:val="ListParagraph"/>
        <w:spacing w:after="0"/>
        <w:ind w:left="0"/>
        <w:rPr>
          <w:rFonts w:cs="Arial"/>
          <w:szCs w:val="24"/>
        </w:rPr>
      </w:pPr>
    </w:p>
    <w:p w14:paraId="4164B905" w14:textId="7C379ED1" w:rsidR="00F135AC" w:rsidRDefault="00FC5028" w:rsidP="00123628">
      <w:pPr>
        <w:pStyle w:val="ListParagraph"/>
        <w:spacing w:after="0"/>
        <w:ind w:left="0"/>
        <w:rPr>
          <w:rFonts w:cs="Arial"/>
          <w:b/>
          <w:bCs/>
          <w:szCs w:val="24"/>
        </w:rPr>
      </w:pPr>
      <w:r w:rsidRPr="00FC5028">
        <w:rPr>
          <w:rFonts w:cs="Arial"/>
          <w:b/>
          <w:bCs/>
          <w:szCs w:val="24"/>
        </w:rPr>
        <w:t xml:space="preserve">Respondents shall include </w:t>
      </w:r>
      <w:r w:rsidR="00B15898" w:rsidRPr="00FC5028">
        <w:rPr>
          <w:rFonts w:cs="Arial"/>
          <w:b/>
          <w:bCs/>
          <w:szCs w:val="24"/>
        </w:rPr>
        <w:t>a working electronic copy(ies) of the financial model(s) for the project in Microsoft Excel format.</w:t>
      </w:r>
    </w:p>
    <w:p w14:paraId="0A51B91F" w14:textId="5EA391EF" w:rsidR="00B15898" w:rsidRPr="00FC5028" w:rsidRDefault="00F135AC" w:rsidP="00F135AC">
      <w:pPr>
        <w:rPr>
          <w:rFonts w:cs="Arial"/>
          <w:b/>
          <w:bCs/>
          <w:szCs w:val="24"/>
        </w:rPr>
      </w:pPr>
      <w:r>
        <w:rPr>
          <w:rFonts w:cs="Arial"/>
          <w:b/>
          <w:bCs/>
          <w:szCs w:val="24"/>
        </w:rPr>
        <w:br w:type="page"/>
      </w:r>
    </w:p>
    <w:p w14:paraId="75A694AB" w14:textId="5C4199CD" w:rsidR="00E464C3" w:rsidRPr="001C2DD8" w:rsidRDefault="00E464C3" w:rsidP="00E664C1">
      <w:pPr>
        <w:pStyle w:val="Heading1"/>
        <w:numPr>
          <w:ilvl w:val="0"/>
          <w:numId w:val="17"/>
        </w:numPr>
        <w:spacing w:before="240"/>
      </w:pPr>
      <w:r w:rsidRPr="001C2DD8">
        <w:lastRenderedPageBreak/>
        <w:t>EVALUATION PROCESS</w:t>
      </w:r>
      <w:bookmarkEnd w:id="22"/>
    </w:p>
    <w:p w14:paraId="1F2C9675" w14:textId="20C277C8" w:rsidR="00E464C3" w:rsidRPr="001C2DD8" w:rsidRDefault="00E464C3" w:rsidP="00E664C1">
      <w:pPr>
        <w:pStyle w:val="Heading2"/>
        <w:numPr>
          <w:ilvl w:val="0"/>
          <w:numId w:val="12"/>
        </w:numPr>
        <w:spacing w:before="120" w:after="120"/>
        <w:rPr>
          <w:u w:val="single"/>
        </w:rPr>
      </w:pPr>
      <w:bookmarkStart w:id="27" w:name="_Toc20721630"/>
      <w:r w:rsidRPr="001C2DD8">
        <w:t>Submittal of Questions and Requests for Clarification</w:t>
      </w:r>
      <w:bookmarkEnd w:id="27"/>
    </w:p>
    <w:p w14:paraId="0C94CDC4" w14:textId="25D2322B" w:rsidR="00E464C3" w:rsidRPr="001C2DD8" w:rsidRDefault="00E464C3" w:rsidP="003A14A4">
      <w:pPr>
        <w:spacing w:after="0"/>
        <w:ind w:left="360"/>
        <w:rPr>
          <w:rFonts w:cs="Arial"/>
        </w:rPr>
      </w:pPr>
      <w:r w:rsidRPr="1454406D">
        <w:rPr>
          <w:rFonts w:cs="Arial"/>
        </w:rPr>
        <w:t>Any questions or requests for clarification regarding this solicitation should be in email</w:t>
      </w:r>
      <w:r w:rsidR="00753985" w:rsidRPr="1454406D">
        <w:rPr>
          <w:rFonts w:cs="Arial"/>
        </w:rPr>
        <w:t xml:space="preserve"> to</w:t>
      </w:r>
      <w:r w:rsidRPr="1454406D">
        <w:rPr>
          <w:rFonts w:cs="Arial"/>
        </w:rPr>
        <w:t xml:space="preserve"> </w:t>
      </w:r>
      <w:hyperlink r:id="rId18" w:history="1">
        <w:r w:rsidR="00753985" w:rsidRPr="00581032">
          <w:rPr>
            <w:rStyle w:val="Hyperlink"/>
            <w:rFonts w:cs="Arial"/>
          </w:rPr>
          <w:t>jonathan.heim@dgs.ca.gov</w:t>
        </w:r>
      </w:hyperlink>
      <w:r w:rsidR="00753985" w:rsidRPr="00581032">
        <w:rPr>
          <w:rFonts w:cs="Arial"/>
        </w:rPr>
        <w:t xml:space="preserve"> and </w:t>
      </w:r>
      <w:hyperlink r:id="rId19" w:history="1">
        <w:r w:rsidR="003A14A4" w:rsidRPr="009C3824">
          <w:rPr>
            <w:rStyle w:val="Hyperlink"/>
            <w:rFonts w:cs="Arial"/>
          </w:rPr>
          <w:t>mehgie.tabar@hcd.ca.gov</w:t>
        </w:r>
      </w:hyperlink>
      <w:r w:rsidR="00443A41" w:rsidRPr="00581032">
        <w:rPr>
          <w:rFonts w:cs="Arial"/>
        </w:rPr>
        <w:t>.</w:t>
      </w:r>
      <w:r w:rsidRPr="00581032">
        <w:rPr>
          <w:rFonts w:cs="Arial"/>
        </w:rPr>
        <w:t xml:space="preserve"> All questions must be received by </w:t>
      </w:r>
      <w:r w:rsidR="00581032" w:rsidRPr="00581032">
        <w:rPr>
          <w:rFonts w:cs="Arial"/>
        </w:rPr>
        <w:t>September 4</w:t>
      </w:r>
      <w:r w:rsidR="000653CE" w:rsidRPr="00581032">
        <w:rPr>
          <w:rFonts w:cs="Arial"/>
        </w:rPr>
        <w:t>, 2020</w:t>
      </w:r>
      <w:r w:rsidR="008A1B10" w:rsidRPr="00581032">
        <w:rPr>
          <w:rFonts w:cs="Arial"/>
        </w:rPr>
        <w:t xml:space="preserve"> by</w:t>
      </w:r>
      <w:r w:rsidR="008A1B10" w:rsidRPr="1454406D">
        <w:rPr>
          <w:rFonts w:cs="Arial"/>
        </w:rPr>
        <w:t xml:space="preserve"> 5</w:t>
      </w:r>
      <w:r w:rsidR="00AF7D33" w:rsidRPr="1454406D">
        <w:rPr>
          <w:rFonts w:cs="Arial"/>
        </w:rPr>
        <w:t>:00 PM</w:t>
      </w:r>
      <w:r w:rsidR="000653CE" w:rsidRPr="1454406D">
        <w:rPr>
          <w:rFonts w:cs="Arial"/>
        </w:rPr>
        <w:t xml:space="preserve"> </w:t>
      </w:r>
      <w:r w:rsidRPr="1454406D">
        <w:rPr>
          <w:rFonts w:cs="Arial"/>
        </w:rPr>
        <w:t xml:space="preserve">in order to ensure their timely response well in advance of the RFP deadline. </w:t>
      </w:r>
    </w:p>
    <w:p w14:paraId="43A681B7" w14:textId="77777777" w:rsidR="00E464C3" w:rsidRPr="001C2DD8" w:rsidRDefault="00E464C3" w:rsidP="00E664C1">
      <w:pPr>
        <w:pStyle w:val="Heading2"/>
        <w:numPr>
          <w:ilvl w:val="0"/>
          <w:numId w:val="12"/>
        </w:numPr>
        <w:spacing w:before="120" w:after="120"/>
        <w:rPr>
          <w:u w:val="single"/>
        </w:rPr>
      </w:pPr>
      <w:bookmarkStart w:id="28" w:name="_Toc20721631"/>
      <w:r w:rsidRPr="001C2DD8">
        <w:t>Selection Process</w:t>
      </w:r>
      <w:bookmarkEnd w:id="28"/>
      <w:r w:rsidRPr="001C2DD8">
        <w:rPr>
          <w:u w:val="single"/>
        </w:rPr>
        <w:t xml:space="preserve"> </w:t>
      </w:r>
    </w:p>
    <w:p w14:paraId="3C8C8065" w14:textId="0B280BE2" w:rsidR="00324103" w:rsidRDefault="00E464C3" w:rsidP="00AF3350">
      <w:pPr>
        <w:pStyle w:val="ListParagraph"/>
        <w:spacing w:after="0"/>
        <w:ind w:left="360"/>
        <w:rPr>
          <w:rFonts w:cs="Arial"/>
          <w:bCs/>
          <w:szCs w:val="24"/>
        </w:rPr>
      </w:pPr>
      <w:r w:rsidRPr="001C2DD8">
        <w:rPr>
          <w:rFonts w:cs="Arial"/>
          <w:bCs/>
          <w:szCs w:val="24"/>
        </w:rPr>
        <w:t>The proposal must be completely responsive to the RFP. Incomplete proposals will be deemed as nonresponsive and will be rejected. DGS and HCD reserve the right to reject any or all proposals submitted, and no representation is made hereby that any contract will be awarded pursuant to this RFP or otherwise.</w:t>
      </w:r>
    </w:p>
    <w:p w14:paraId="4F315C3A" w14:textId="6FFEEC37" w:rsidR="00324103" w:rsidRPr="0083400F" w:rsidRDefault="00324103" w:rsidP="00E664C1">
      <w:pPr>
        <w:pStyle w:val="Heading3Numbered"/>
        <w:numPr>
          <w:ilvl w:val="0"/>
          <w:numId w:val="20"/>
        </w:numPr>
        <w:spacing w:before="240" w:after="120"/>
        <w:ind w:left="806"/>
      </w:pPr>
      <w:bookmarkStart w:id="29" w:name="_Toc20721632"/>
      <w:r w:rsidRPr="0083400F">
        <w:t>Committee</w:t>
      </w:r>
      <w:bookmarkEnd w:id="29"/>
    </w:p>
    <w:p w14:paraId="33ABF171" w14:textId="46EBA6A9" w:rsidR="00324103" w:rsidRDefault="00324103" w:rsidP="00324103">
      <w:pPr>
        <w:pStyle w:val="ListParagraph"/>
        <w:spacing w:after="0"/>
        <w:rPr>
          <w:rFonts w:cs="Arial"/>
          <w:szCs w:val="24"/>
        </w:rPr>
      </w:pPr>
      <w:r>
        <w:rPr>
          <w:rFonts w:cs="Arial"/>
          <w:szCs w:val="24"/>
        </w:rPr>
        <w:t xml:space="preserve">Following the submission deadline, DGS and HCD will establish a </w:t>
      </w:r>
      <w:r w:rsidR="001078AC">
        <w:rPr>
          <w:rFonts w:cs="Arial"/>
          <w:szCs w:val="24"/>
        </w:rPr>
        <w:t xml:space="preserve">technical </w:t>
      </w:r>
      <w:r>
        <w:rPr>
          <w:rFonts w:cs="Arial"/>
          <w:szCs w:val="24"/>
        </w:rPr>
        <w:t>review committee</w:t>
      </w:r>
      <w:r w:rsidR="003D4438">
        <w:rPr>
          <w:rFonts w:cs="Arial"/>
          <w:szCs w:val="24"/>
        </w:rPr>
        <w:t xml:space="preserve">, including </w:t>
      </w:r>
      <w:r w:rsidR="00AD67A1">
        <w:rPr>
          <w:rFonts w:cs="Arial"/>
          <w:szCs w:val="24"/>
        </w:rPr>
        <w:t>local agencies</w:t>
      </w:r>
      <w:r w:rsidR="003D4438">
        <w:rPr>
          <w:rFonts w:cs="Arial"/>
          <w:szCs w:val="24"/>
        </w:rPr>
        <w:t>,</w:t>
      </w:r>
      <w:r w:rsidR="001078AC">
        <w:rPr>
          <w:rFonts w:cs="Arial"/>
          <w:szCs w:val="24"/>
        </w:rPr>
        <w:t xml:space="preserve"> </w:t>
      </w:r>
      <w:r w:rsidRPr="00E93EC1">
        <w:rPr>
          <w:rFonts w:cs="Arial"/>
          <w:bCs/>
          <w:szCs w:val="24"/>
        </w:rPr>
        <w:t>to</w:t>
      </w:r>
      <w:r>
        <w:rPr>
          <w:rFonts w:cs="Arial"/>
          <w:szCs w:val="24"/>
        </w:rPr>
        <w:t xml:space="preserve"> evaluate the proposals. The proposals will be reviewed for completeness and responsiveness to the requirements of this RFP. </w:t>
      </w:r>
    </w:p>
    <w:p w14:paraId="665A43C1" w14:textId="0780BD08" w:rsidR="00324103" w:rsidRPr="00AF0F4F" w:rsidRDefault="00324103" w:rsidP="00E664C1">
      <w:pPr>
        <w:pStyle w:val="Heading3Numbered"/>
        <w:numPr>
          <w:ilvl w:val="0"/>
          <w:numId w:val="20"/>
        </w:numPr>
        <w:spacing w:before="240" w:after="120"/>
      </w:pPr>
      <w:bookmarkStart w:id="30" w:name="_Toc20721633"/>
      <w:r w:rsidRPr="00E93EC1">
        <w:t>Interview</w:t>
      </w:r>
      <w:bookmarkEnd w:id="30"/>
    </w:p>
    <w:p w14:paraId="2FE63CCC" w14:textId="77777777" w:rsidR="00324103" w:rsidRPr="00E93EC1" w:rsidRDefault="00324103" w:rsidP="00324103">
      <w:pPr>
        <w:spacing w:after="0"/>
        <w:ind w:left="720"/>
        <w:rPr>
          <w:rFonts w:cs="Arial"/>
          <w:szCs w:val="24"/>
        </w:rPr>
      </w:pPr>
      <w:r>
        <w:rPr>
          <w:rFonts w:cs="Arial"/>
          <w:szCs w:val="24"/>
        </w:rPr>
        <w:t xml:space="preserve">Following the written evaluation, the State may conduct oral interviews with one or more teams to further understand team qualifications and/or project concept, if needed. </w:t>
      </w:r>
    </w:p>
    <w:p w14:paraId="2EB7375A" w14:textId="784974B0" w:rsidR="00324103" w:rsidRPr="00AF0F4F" w:rsidRDefault="00324103" w:rsidP="00324103">
      <w:pPr>
        <w:pStyle w:val="Heading3Numbered"/>
        <w:spacing w:before="240" w:after="120"/>
      </w:pPr>
      <w:bookmarkStart w:id="31" w:name="_Toc20721634"/>
      <w:r w:rsidRPr="00E93EC1">
        <w:t>Selection</w:t>
      </w:r>
      <w:bookmarkEnd w:id="31"/>
    </w:p>
    <w:p w14:paraId="3B1A4AE8" w14:textId="60E14B5F" w:rsidR="00324103" w:rsidRPr="00A45C7F" w:rsidRDefault="00324103" w:rsidP="00A45C7F">
      <w:pPr>
        <w:pStyle w:val="ListParagraph"/>
        <w:spacing w:after="0"/>
        <w:rPr>
          <w:rFonts w:cs="Arial"/>
          <w:szCs w:val="24"/>
        </w:rPr>
      </w:pPr>
      <w:r>
        <w:rPr>
          <w:rFonts w:cs="Arial"/>
          <w:szCs w:val="24"/>
        </w:rPr>
        <w:t>Upon selecting a proposal, the State intends to issue a</w:t>
      </w:r>
      <w:r w:rsidR="00315323">
        <w:rPr>
          <w:rFonts w:cs="Arial"/>
          <w:szCs w:val="24"/>
        </w:rPr>
        <w:t>n ENA</w:t>
      </w:r>
      <w:r>
        <w:rPr>
          <w:rFonts w:cs="Arial"/>
          <w:szCs w:val="24"/>
        </w:rPr>
        <w:t xml:space="preserve"> with the selected </w:t>
      </w:r>
      <w:r w:rsidR="007A0081">
        <w:rPr>
          <w:rFonts w:cs="Arial"/>
          <w:szCs w:val="24"/>
        </w:rPr>
        <w:t>Respondent</w:t>
      </w:r>
      <w:r w:rsidR="00C86754">
        <w:rPr>
          <w:rFonts w:cs="Arial"/>
          <w:szCs w:val="24"/>
        </w:rPr>
        <w:t xml:space="preserve"> </w:t>
      </w:r>
      <w:r>
        <w:rPr>
          <w:rFonts w:cs="Arial"/>
          <w:szCs w:val="24"/>
        </w:rPr>
        <w:t xml:space="preserve">who, at the sole discretion of the State, poses the best opportunity for the State to meet its objectives as set forth in this RFP. </w:t>
      </w:r>
    </w:p>
    <w:p w14:paraId="78DE09BD" w14:textId="6573DFF2" w:rsidR="00E464C3" w:rsidRPr="001C2DD8" w:rsidRDefault="00E464C3" w:rsidP="00E464C3">
      <w:pPr>
        <w:pStyle w:val="H2nostyle"/>
        <w:spacing w:before="240"/>
        <w:rPr>
          <w:sz w:val="24"/>
        </w:rPr>
      </w:pPr>
      <w:bookmarkStart w:id="32" w:name="_Toc20721635"/>
      <w:r w:rsidRPr="001C2DD8">
        <w:rPr>
          <w:sz w:val="24"/>
        </w:rPr>
        <w:t>Submittal Deadline &amp; Address for</w:t>
      </w:r>
      <w:r w:rsidRPr="001C2DD8">
        <w:rPr>
          <w:spacing w:val="-9"/>
          <w:sz w:val="24"/>
        </w:rPr>
        <w:t xml:space="preserve"> </w:t>
      </w:r>
      <w:r w:rsidRPr="001C2DD8">
        <w:rPr>
          <w:sz w:val="24"/>
        </w:rPr>
        <w:t>Submittals</w:t>
      </w:r>
      <w:bookmarkEnd w:id="32"/>
    </w:p>
    <w:p w14:paraId="79289D68" w14:textId="0030D02E" w:rsidR="00E464C3" w:rsidRPr="001C2DD8" w:rsidRDefault="00E464C3" w:rsidP="00E464C3">
      <w:pPr>
        <w:tabs>
          <w:tab w:val="left" w:pos="3700"/>
        </w:tabs>
        <w:ind w:left="647"/>
        <w:rPr>
          <w:rFonts w:cs="Arial"/>
          <w:b/>
          <w:szCs w:val="24"/>
        </w:rPr>
      </w:pPr>
      <w:r w:rsidRPr="001C2DD8">
        <w:rPr>
          <w:rFonts w:cs="Arial"/>
          <w:b/>
          <w:szCs w:val="24"/>
        </w:rPr>
        <w:t>Submittal</w:t>
      </w:r>
      <w:r w:rsidRPr="001C2DD8">
        <w:rPr>
          <w:rFonts w:cs="Arial"/>
          <w:b/>
          <w:spacing w:val="-2"/>
          <w:szCs w:val="24"/>
        </w:rPr>
        <w:t xml:space="preserve"> </w:t>
      </w:r>
      <w:r w:rsidRPr="001C2DD8">
        <w:rPr>
          <w:rFonts w:cs="Arial"/>
          <w:b/>
          <w:szCs w:val="24"/>
        </w:rPr>
        <w:t>Deadline:</w:t>
      </w:r>
      <w:r w:rsidRPr="001C2DD8">
        <w:rPr>
          <w:rFonts w:cs="Arial"/>
          <w:b/>
          <w:szCs w:val="24"/>
        </w:rPr>
        <w:tab/>
      </w:r>
      <w:r w:rsidR="003D4A59" w:rsidRPr="00432118">
        <w:rPr>
          <w:rFonts w:cs="Arial"/>
          <w:b/>
          <w:szCs w:val="24"/>
          <w:u w:val="single"/>
        </w:rPr>
        <w:t xml:space="preserve">October </w:t>
      </w:r>
      <w:r w:rsidR="00BB5576">
        <w:rPr>
          <w:rFonts w:cs="Arial"/>
          <w:b/>
          <w:szCs w:val="24"/>
          <w:u w:val="single"/>
        </w:rPr>
        <w:t>30</w:t>
      </w:r>
      <w:r w:rsidR="000653CE" w:rsidRPr="00432118">
        <w:rPr>
          <w:rFonts w:cs="Arial"/>
          <w:b/>
          <w:szCs w:val="24"/>
          <w:u w:val="single"/>
        </w:rPr>
        <w:t>, 2020 at</w:t>
      </w:r>
      <w:r w:rsidR="000653CE" w:rsidRPr="001C2DD8">
        <w:rPr>
          <w:rFonts w:cs="Arial"/>
          <w:b/>
          <w:szCs w:val="24"/>
          <w:u w:val="single"/>
        </w:rPr>
        <w:t xml:space="preserve"> 5</w:t>
      </w:r>
      <w:r w:rsidR="00324103">
        <w:rPr>
          <w:rFonts w:cs="Arial"/>
          <w:b/>
          <w:szCs w:val="24"/>
          <w:u w:val="single"/>
        </w:rPr>
        <w:t>:00</w:t>
      </w:r>
      <w:r w:rsidR="000653CE" w:rsidRPr="001C2DD8">
        <w:rPr>
          <w:rFonts w:cs="Arial"/>
          <w:b/>
          <w:szCs w:val="24"/>
          <w:u w:val="single"/>
        </w:rPr>
        <w:t xml:space="preserve"> </w:t>
      </w:r>
      <w:r w:rsidR="001C2DD8" w:rsidRPr="001C2DD8">
        <w:rPr>
          <w:rFonts w:cs="Arial"/>
          <w:b/>
          <w:szCs w:val="24"/>
          <w:u w:val="single"/>
        </w:rPr>
        <w:t>PM PT</w:t>
      </w:r>
    </w:p>
    <w:p w14:paraId="28E08556" w14:textId="292E9D95" w:rsidR="000062B1" w:rsidRDefault="00B62DAE" w:rsidP="000062B1">
      <w:pPr>
        <w:tabs>
          <w:tab w:val="left" w:pos="3700"/>
        </w:tabs>
        <w:spacing w:after="0"/>
        <w:ind w:left="647"/>
        <w:rPr>
          <w:rFonts w:cs="Arial"/>
          <w:b/>
          <w:szCs w:val="24"/>
        </w:rPr>
      </w:pPr>
      <w:r>
        <w:rPr>
          <w:rFonts w:cs="Arial"/>
          <w:b/>
          <w:szCs w:val="24"/>
        </w:rPr>
        <w:t>Method for</w:t>
      </w:r>
      <w:r w:rsidR="00E464C3" w:rsidRPr="001C2DD8">
        <w:rPr>
          <w:rFonts w:cs="Arial"/>
          <w:b/>
          <w:spacing w:val="-1"/>
          <w:szCs w:val="24"/>
        </w:rPr>
        <w:t xml:space="preserve"> </w:t>
      </w:r>
      <w:r w:rsidR="00E464C3" w:rsidRPr="001C2DD8">
        <w:rPr>
          <w:rFonts w:cs="Arial"/>
          <w:b/>
          <w:szCs w:val="24"/>
        </w:rPr>
        <w:t>Submittals:</w:t>
      </w:r>
      <w:r w:rsidR="00E464C3" w:rsidRPr="001C2DD8">
        <w:rPr>
          <w:rFonts w:cs="Arial"/>
          <w:b/>
          <w:szCs w:val="24"/>
        </w:rPr>
        <w:tab/>
      </w:r>
      <w:r w:rsidR="000062B1" w:rsidRPr="000062B1">
        <w:rPr>
          <w:rFonts w:cs="Arial"/>
          <w:b/>
          <w:szCs w:val="24"/>
        </w:rPr>
        <w:t>Email Jon Heim</w:t>
      </w:r>
      <w:r w:rsidR="000062B1">
        <w:rPr>
          <w:rFonts w:cs="Arial"/>
          <w:b/>
          <w:szCs w:val="24"/>
        </w:rPr>
        <w:t xml:space="preserve"> at</w:t>
      </w:r>
      <w:r w:rsidR="000062B1" w:rsidRPr="000062B1">
        <w:rPr>
          <w:rFonts w:cs="Arial"/>
          <w:b/>
          <w:szCs w:val="24"/>
        </w:rPr>
        <w:t xml:space="preserve"> </w:t>
      </w:r>
      <w:hyperlink r:id="rId20" w:history="1">
        <w:r w:rsidR="000062B1" w:rsidRPr="00AC6CAF">
          <w:rPr>
            <w:rStyle w:val="Hyperlink"/>
            <w:rFonts w:cs="Arial"/>
            <w:b/>
            <w:szCs w:val="24"/>
          </w:rPr>
          <w:t>jonathan.heim@dgs.ca.gov</w:t>
        </w:r>
      </w:hyperlink>
    </w:p>
    <w:p w14:paraId="20F0A5D2" w14:textId="6DEDA655" w:rsidR="00E464C3" w:rsidRDefault="00256EC6" w:rsidP="00B62DAE">
      <w:pPr>
        <w:tabs>
          <w:tab w:val="left" w:pos="3700"/>
        </w:tabs>
        <w:spacing w:after="0"/>
        <w:ind w:left="647"/>
        <w:rPr>
          <w:rFonts w:cs="Arial"/>
          <w:b/>
          <w:szCs w:val="24"/>
        </w:rPr>
      </w:pPr>
      <w:r>
        <w:rPr>
          <w:rFonts w:cs="Arial"/>
          <w:b/>
          <w:szCs w:val="24"/>
        </w:rPr>
        <w:tab/>
      </w:r>
      <w:r w:rsidRPr="00B62DAE">
        <w:rPr>
          <w:rFonts w:cs="Arial"/>
          <w:b/>
          <w:szCs w:val="24"/>
          <w:u w:val="single"/>
        </w:rPr>
        <w:t>a</w:t>
      </w:r>
      <w:r w:rsidR="000062B1" w:rsidRPr="00B62DAE">
        <w:rPr>
          <w:rFonts w:cs="Arial"/>
          <w:b/>
          <w:szCs w:val="24"/>
          <w:u w:val="single"/>
        </w:rPr>
        <w:t>nd</w:t>
      </w:r>
      <w:r w:rsidR="00EA038D" w:rsidRPr="003A14A4">
        <w:rPr>
          <w:rFonts w:cs="Arial"/>
          <w:b/>
          <w:szCs w:val="24"/>
        </w:rPr>
        <w:t xml:space="preserve"> </w:t>
      </w:r>
      <w:r w:rsidR="00EA038D">
        <w:rPr>
          <w:rFonts w:cs="Arial"/>
          <w:b/>
          <w:szCs w:val="24"/>
        </w:rPr>
        <w:t>u</w:t>
      </w:r>
      <w:r w:rsidR="000062B1" w:rsidRPr="000062B1">
        <w:rPr>
          <w:rFonts w:cs="Arial"/>
          <w:b/>
          <w:szCs w:val="24"/>
        </w:rPr>
        <w:t>pload to Box.com</w:t>
      </w:r>
      <w:r w:rsidR="00EA038D">
        <w:rPr>
          <w:rFonts w:cs="Arial"/>
          <w:b/>
          <w:szCs w:val="24"/>
        </w:rPr>
        <w:t xml:space="preserve"> </w:t>
      </w:r>
      <w:r>
        <w:rPr>
          <w:rFonts w:cs="Arial"/>
          <w:b/>
          <w:szCs w:val="24"/>
        </w:rPr>
        <w:t>with</w:t>
      </w:r>
      <w:r w:rsidR="00EA038D">
        <w:rPr>
          <w:rFonts w:cs="Arial"/>
          <w:b/>
          <w:szCs w:val="24"/>
        </w:rPr>
        <w:t xml:space="preserve"> link to Jon Heim</w:t>
      </w:r>
      <w:r w:rsidR="000062B1" w:rsidRPr="000062B1">
        <w:rPr>
          <w:rFonts w:cs="Arial"/>
          <w:b/>
          <w:szCs w:val="24"/>
        </w:rPr>
        <w:t xml:space="preserve"> </w:t>
      </w:r>
    </w:p>
    <w:p w14:paraId="5112EF22" w14:textId="5E6CC6B0" w:rsidR="00014024" w:rsidRDefault="00014024">
      <w:pPr>
        <w:rPr>
          <w:rFonts w:cs="Arial"/>
          <w:b/>
          <w:szCs w:val="24"/>
          <w:u w:val="single"/>
        </w:rPr>
      </w:pPr>
      <w:r>
        <w:rPr>
          <w:rFonts w:cs="Arial"/>
          <w:b/>
          <w:szCs w:val="24"/>
          <w:u w:val="single"/>
        </w:rPr>
        <w:br w:type="page"/>
      </w:r>
    </w:p>
    <w:p w14:paraId="0E0F37E4" w14:textId="77777777" w:rsidR="00014024" w:rsidRPr="001C2DD8" w:rsidRDefault="00014024" w:rsidP="00014024">
      <w:pPr>
        <w:tabs>
          <w:tab w:val="left" w:pos="3700"/>
        </w:tabs>
        <w:spacing w:after="0"/>
        <w:rPr>
          <w:rFonts w:cs="Arial"/>
          <w:b/>
          <w:szCs w:val="24"/>
        </w:rPr>
      </w:pPr>
    </w:p>
    <w:p w14:paraId="2BB90D19" w14:textId="77777777" w:rsidR="00E464C3" w:rsidRPr="001C2DD8" w:rsidRDefault="00E464C3" w:rsidP="00E664C1">
      <w:pPr>
        <w:pStyle w:val="Heading1"/>
        <w:numPr>
          <w:ilvl w:val="0"/>
          <w:numId w:val="17"/>
        </w:numPr>
        <w:spacing w:before="120" w:after="120"/>
      </w:pPr>
      <w:bookmarkStart w:id="33" w:name="_Toc20721636"/>
      <w:r w:rsidRPr="001C2DD8">
        <w:t>EVALUATION CRITERIA</w:t>
      </w:r>
      <w:bookmarkEnd w:id="33"/>
    </w:p>
    <w:p w14:paraId="010867F9" w14:textId="78B3A151" w:rsidR="008A1B10" w:rsidRPr="001C2DD8" w:rsidRDefault="00E464C3" w:rsidP="006E029F">
      <w:pPr>
        <w:ind w:left="100"/>
      </w:pPr>
      <w:r w:rsidRPr="001C2DD8">
        <w:t xml:space="preserve">Proposals will be evaluated by the </w:t>
      </w:r>
      <w:r w:rsidR="00F57522" w:rsidRPr="001C2DD8">
        <w:t>Respondent</w:t>
      </w:r>
      <w:r w:rsidRPr="001C2DD8">
        <w:t>’s ability to satisfy the development principles and parameters (</w:t>
      </w:r>
      <w:r w:rsidR="00196192">
        <w:t>see</w:t>
      </w:r>
      <w:r w:rsidRPr="001C2DD8">
        <w:t xml:space="preserve"> Section 2) and meet all RFP submittal requirements (</w:t>
      </w:r>
      <w:r w:rsidR="00196192">
        <w:t>see</w:t>
      </w:r>
      <w:r w:rsidRPr="001C2DD8">
        <w:t xml:space="preserve"> Section 6). </w:t>
      </w:r>
    </w:p>
    <w:tbl>
      <w:tblPr>
        <w:tblStyle w:val="GridTable1Light"/>
        <w:tblW w:w="9355" w:type="dxa"/>
        <w:tblLook w:val="04A0" w:firstRow="1" w:lastRow="0" w:firstColumn="1" w:lastColumn="0" w:noHBand="0" w:noVBand="1"/>
      </w:tblPr>
      <w:tblGrid>
        <w:gridCol w:w="781"/>
        <w:gridCol w:w="6437"/>
        <w:gridCol w:w="2137"/>
      </w:tblGrid>
      <w:tr w:rsidR="00E464C3" w:rsidRPr="001C2DD8" w14:paraId="1E9F7E03" w14:textId="77777777" w:rsidTr="00F4308A">
        <w:trPr>
          <w:cnfStyle w:val="100000000000" w:firstRow="1" w:lastRow="0" w:firstColumn="0" w:lastColumn="0" w:oddVBand="0" w:evenVBand="0" w:oddHBand="0" w:evenHBand="0" w:firstRowFirstColumn="0" w:firstRowLastColumn="0" w:lastRowFirstColumn="0" w:lastRowLastColumn="0"/>
          <w:trHeight w:val="440"/>
          <w:tblHeader/>
        </w:trPr>
        <w:tc>
          <w:tcPr>
            <w:cnfStyle w:val="001000000000" w:firstRow="0" w:lastRow="0" w:firstColumn="1" w:lastColumn="0" w:oddVBand="0" w:evenVBand="0" w:oddHBand="0" w:evenHBand="0" w:firstRowFirstColumn="0" w:firstRowLastColumn="0" w:lastRowFirstColumn="0" w:lastRowLastColumn="0"/>
            <w:tcW w:w="781" w:type="dxa"/>
            <w:shd w:val="clear" w:color="auto" w:fill="A6A6A6" w:themeFill="background1" w:themeFillShade="A6"/>
            <w:noWrap/>
            <w:vAlign w:val="center"/>
            <w:hideMark/>
          </w:tcPr>
          <w:p w14:paraId="0BFF242B" w14:textId="77777777" w:rsidR="00E464C3" w:rsidRPr="00F4308A" w:rsidRDefault="00E464C3" w:rsidP="00F4224F">
            <w:pPr>
              <w:rPr>
                <w:rFonts w:eastAsia="Times New Roman" w:cs="Arial"/>
                <w:bCs w:val="0"/>
                <w:szCs w:val="24"/>
              </w:rPr>
            </w:pPr>
            <w:bookmarkStart w:id="34" w:name="_Hlk35013153"/>
            <w:r w:rsidRPr="00F4308A">
              <w:rPr>
                <w:rFonts w:eastAsia="Times New Roman" w:cs="Arial"/>
                <w:bCs w:val="0"/>
                <w:szCs w:val="24"/>
              </w:rPr>
              <w:t>No.</w:t>
            </w:r>
          </w:p>
        </w:tc>
        <w:tc>
          <w:tcPr>
            <w:tcW w:w="6437" w:type="dxa"/>
            <w:shd w:val="clear" w:color="auto" w:fill="A6A6A6" w:themeFill="background1" w:themeFillShade="A6"/>
            <w:noWrap/>
            <w:vAlign w:val="center"/>
            <w:hideMark/>
          </w:tcPr>
          <w:p w14:paraId="561B49E1" w14:textId="77777777" w:rsidR="00E464C3" w:rsidRPr="00F4308A" w:rsidRDefault="00E464C3" w:rsidP="00F4224F">
            <w:pPr>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F4308A">
              <w:rPr>
                <w:rFonts w:eastAsia="Times New Roman" w:cs="Arial"/>
                <w:bCs w:val="0"/>
                <w:szCs w:val="24"/>
              </w:rPr>
              <w:t>Criterion</w:t>
            </w:r>
          </w:p>
        </w:tc>
        <w:tc>
          <w:tcPr>
            <w:tcW w:w="2137" w:type="dxa"/>
            <w:shd w:val="clear" w:color="auto" w:fill="A6A6A6" w:themeFill="background1" w:themeFillShade="A6"/>
            <w:vAlign w:val="center"/>
            <w:hideMark/>
          </w:tcPr>
          <w:p w14:paraId="6FEE28C8" w14:textId="77777777" w:rsidR="00E464C3" w:rsidRPr="00F4308A" w:rsidRDefault="00E464C3" w:rsidP="00F4224F">
            <w:pPr>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F4308A">
              <w:rPr>
                <w:rFonts w:eastAsia="Times New Roman" w:cs="Arial"/>
                <w:bCs w:val="0"/>
                <w:szCs w:val="24"/>
              </w:rPr>
              <w:t>Maximum Points</w:t>
            </w:r>
          </w:p>
        </w:tc>
      </w:tr>
      <w:tr w:rsidR="001C2DD8" w:rsidRPr="001C2DD8" w14:paraId="7E515E7C"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shd w:val="clear" w:color="auto" w:fill="D9D9D9" w:themeFill="background1" w:themeFillShade="D9"/>
            <w:noWrap/>
            <w:vAlign w:val="center"/>
            <w:hideMark/>
          </w:tcPr>
          <w:p w14:paraId="67B20E95" w14:textId="77777777" w:rsidR="00E464C3" w:rsidRPr="00324103" w:rsidRDefault="00E464C3" w:rsidP="00F4224F">
            <w:pPr>
              <w:jc w:val="center"/>
              <w:rPr>
                <w:rFonts w:eastAsia="Times New Roman" w:cs="Arial"/>
                <w:b w:val="0"/>
                <w:szCs w:val="24"/>
              </w:rPr>
            </w:pPr>
            <w:r w:rsidRPr="00324103">
              <w:rPr>
                <w:rFonts w:eastAsia="Times New Roman" w:cs="Arial"/>
                <w:szCs w:val="24"/>
              </w:rPr>
              <w:t>1</w:t>
            </w:r>
          </w:p>
        </w:tc>
        <w:tc>
          <w:tcPr>
            <w:tcW w:w="6437" w:type="dxa"/>
            <w:shd w:val="clear" w:color="auto" w:fill="D9D9D9" w:themeFill="background1" w:themeFillShade="D9"/>
            <w:noWrap/>
            <w:vAlign w:val="center"/>
            <w:hideMark/>
          </w:tcPr>
          <w:p w14:paraId="34E64DA2" w14:textId="43215912" w:rsidR="00E464C3" w:rsidRPr="001A12D4" w:rsidRDefault="00E464C3" w:rsidP="00F4224F">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Affordability</w:t>
            </w:r>
            <w:r w:rsidR="00DD75C9" w:rsidRPr="001A12D4">
              <w:rPr>
                <w:rFonts w:eastAsia="Times New Roman" w:cs="Arial"/>
                <w:b/>
                <w:bCs/>
                <w:szCs w:val="24"/>
              </w:rPr>
              <w:t xml:space="preserve"> and Market Context</w:t>
            </w:r>
          </w:p>
        </w:tc>
        <w:tc>
          <w:tcPr>
            <w:tcW w:w="2137" w:type="dxa"/>
            <w:shd w:val="clear" w:color="auto" w:fill="D9D9D9" w:themeFill="background1" w:themeFillShade="D9"/>
            <w:noWrap/>
            <w:vAlign w:val="center"/>
            <w:hideMark/>
          </w:tcPr>
          <w:p w14:paraId="023D2216" w14:textId="4AE09D71" w:rsidR="00E464C3" w:rsidRPr="001A12D4" w:rsidRDefault="00806A7D" w:rsidP="00F4224F">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200</w:t>
            </w:r>
          </w:p>
        </w:tc>
      </w:tr>
      <w:tr w:rsidR="00AC74B7" w:rsidRPr="001C2DD8" w14:paraId="2A3A528D" w14:textId="77777777" w:rsidTr="00F4224F">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2E6972DF" w14:textId="77777777" w:rsidR="00AC74B7" w:rsidRPr="00324103" w:rsidRDefault="00AC74B7" w:rsidP="00F4224F">
            <w:pPr>
              <w:jc w:val="center"/>
              <w:rPr>
                <w:rFonts w:eastAsia="Times New Roman" w:cs="Arial"/>
                <w:szCs w:val="24"/>
              </w:rPr>
            </w:pPr>
          </w:p>
        </w:tc>
        <w:tc>
          <w:tcPr>
            <w:tcW w:w="6437" w:type="dxa"/>
            <w:noWrap/>
            <w:vAlign w:val="center"/>
          </w:tcPr>
          <w:p w14:paraId="1E68A38A" w14:textId="5E0CC13D" w:rsidR="00AC74B7" w:rsidRPr="001F3DDF" w:rsidRDefault="006C6964" w:rsidP="001F3DDF">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00337C1D" w:rsidRPr="001F3DDF">
              <w:rPr>
                <w:rFonts w:eastAsia="Times New Roman" w:cs="Arial"/>
                <w:i/>
                <w:iCs/>
                <w:szCs w:val="24"/>
              </w:rPr>
              <w:t>Points</w:t>
            </w:r>
          </w:p>
        </w:tc>
        <w:tc>
          <w:tcPr>
            <w:tcW w:w="2137" w:type="dxa"/>
            <w:noWrap/>
            <w:vAlign w:val="center"/>
          </w:tcPr>
          <w:p w14:paraId="2F56A666" w14:textId="220011B7" w:rsidR="00337C1D" w:rsidRPr="001F3DDF" w:rsidRDefault="006C6964" w:rsidP="00337C1D">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w:t>
            </w:r>
            <w:r w:rsidR="001F3DDF" w:rsidRPr="001F3DDF">
              <w:rPr>
                <w:rFonts w:eastAsia="Times New Roman" w:cs="Arial"/>
                <w:i/>
                <w:iCs/>
                <w:szCs w:val="24"/>
              </w:rPr>
              <w:t>50</w:t>
            </w:r>
          </w:p>
        </w:tc>
      </w:tr>
      <w:tr w:rsidR="006C6964" w:rsidRPr="001C2DD8" w14:paraId="74301A1B" w14:textId="77777777" w:rsidTr="00F4224F">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3FFCCB53" w14:textId="77777777" w:rsidR="006C6964" w:rsidRPr="00324103" w:rsidRDefault="006C6964" w:rsidP="006C6964">
            <w:pPr>
              <w:jc w:val="center"/>
              <w:rPr>
                <w:rFonts w:eastAsia="Times New Roman" w:cs="Arial"/>
                <w:szCs w:val="24"/>
              </w:rPr>
            </w:pPr>
          </w:p>
        </w:tc>
        <w:tc>
          <w:tcPr>
            <w:tcW w:w="6437" w:type="dxa"/>
            <w:noWrap/>
            <w:vAlign w:val="center"/>
          </w:tcPr>
          <w:p w14:paraId="60111833" w14:textId="38C91BC7" w:rsidR="006C6964" w:rsidRPr="001F3DDF" w:rsidRDefault="006C696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noWrap/>
            <w:vAlign w:val="center"/>
          </w:tcPr>
          <w:p w14:paraId="0ADA4FB2" w14:textId="163B816E" w:rsidR="006C6964" w:rsidRPr="001F3DDF"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50</w:t>
            </w:r>
          </w:p>
        </w:tc>
      </w:tr>
      <w:tr w:rsidR="006C6964" w:rsidRPr="001C2DD8" w14:paraId="2146FBD3"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shd w:val="clear" w:color="auto" w:fill="D9D9D9" w:themeFill="background1" w:themeFillShade="D9"/>
            <w:noWrap/>
            <w:vAlign w:val="center"/>
            <w:hideMark/>
          </w:tcPr>
          <w:p w14:paraId="12A2B99B" w14:textId="77777777" w:rsidR="006C6964" w:rsidRPr="00324103" w:rsidRDefault="006C6964" w:rsidP="006C6964">
            <w:pPr>
              <w:jc w:val="center"/>
              <w:rPr>
                <w:rFonts w:eastAsia="Times New Roman" w:cs="Arial"/>
                <w:b w:val="0"/>
                <w:szCs w:val="24"/>
              </w:rPr>
            </w:pPr>
            <w:r w:rsidRPr="00324103">
              <w:rPr>
                <w:rFonts w:eastAsia="Times New Roman" w:cs="Arial"/>
                <w:szCs w:val="24"/>
              </w:rPr>
              <w:t>2</w:t>
            </w:r>
          </w:p>
        </w:tc>
        <w:tc>
          <w:tcPr>
            <w:tcW w:w="6437" w:type="dxa"/>
            <w:shd w:val="clear" w:color="auto" w:fill="D9D9D9" w:themeFill="background1" w:themeFillShade="D9"/>
            <w:noWrap/>
            <w:vAlign w:val="center"/>
            <w:hideMark/>
          </w:tcPr>
          <w:p w14:paraId="07B731C6" w14:textId="77777777" w:rsidR="006C6964" w:rsidRPr="001A12D4" w:rsidRDefault="006C6964" w:rsidP="006C6964">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Financial Offer and Feasibility</w:t>
            </w:r>
          </w:p>
        </w:tc>
        <w:tc>
          <w:tcPr>
            <w:tcW w:w="2137" w:type="dxa"/>
            <w:shd w:val="clear" w:color="auto" w:fill="D9D9D9" w:themeFill="background1" w:themeFillShade="D9"/>
            <w:noWrap/>
            <w:vAlign w:val="center"/>
            <w:hideMark/>
          </w:tcPr>
          <w:p w14:paraId="19FD30D4" w14:textId="75B3B022" w:rsidR="006C6964" w:rsidRPr="001A12D4" w:rsidRDefault="009C2570"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Pr>
                <w:rFonts w:eastAsia="Times New Roman" w:cs="Arial"/>
                <w:b/>
                <w:bCs/>
                <w:szCs w:val="24"/>
              </w:rPr>
              <w:t>1</w:t>
            </w:r>
            <w:r w:rsidR="002D098E">
              <w:rPr>
                <w:rFonts w:eastAsia="Times New Roman" w:cs="Arial"/>
                <w:b/>
                <w:bCs/>
                <w:szCs w:val="24"/>
              </w:rPr>
              <w:t>7</w:t>
            </w:r>
            <w:r w:rsidR="001F2A2B">
              <w:rPr>
                <w:rFonts w:eastAsia="Times New Roman" w:cs="Arial"/>
                <w:b/>
                <w:bCs/>
                <w:szCs w:val="24"/>
              </w:rPr>
              <w:t>5</w:t>
            </w:r>
          </w:p>
        </w:tc>
      </w:tr>
      <w:tr w:rsidR="00A0410E" w:rsidRPr="001C2DD8" w14:paraId="2CB6FA30" w14:textId="77777777" w:rsidTr="00574B5A">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3C995D1A" w14:textId="77777777" w:rsidR="00A0410E" w:rsidRPr="00324103" w:rsidRDefault="00A0410E" w:rsidP="006C6964">
            <w:pPr>
              <w:jc w:val="center"/>
              <w:rPr>
                <w:rFonts w:eastAsia="Times New Roman" w:cs="Arial"/>
                <w:szCs w:val="24"/>
              </w:rPr>
            </w:pPr>
          </w:p>
        </w:tc>
        <w:tc>
          <w:tcPr>
            <w:tcW w:w="6437" w:type="dxa"/>
            <w:noWrap/>
            <w:vAlign w:val="center"/>
          </w:tcPr>
          <w:p w14:paraId="6295837D" w14:textId="7F05DFCF" w:rsidR="00A0410E" w:rsidRPr="001F3DDF" w:rsidRDefault="001A12D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noWrap/>
            <w:vAlign w:val="center"/>
          </w:tcPr>
          <w:p w14:paraId="1CE23278" w14:textId="17FE25FB" w:rsidR="00A0410E" w:rsidRPr="001F3DDF" w:rsidRDefault="001A12D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w:t>
            </w:r>
            <w:r w:rsidR="009C2570">
              <w:rPr>
                <w:rFonts w:eastAsia="Times New Roman" w:cs="Arial"/>
                <w:i/>
                <w:iCs/>
                <w:szCs w:val="24"/>
              </w:rPr>
              <w:t>2</w:t>
            </w:r>
            <w:r>
              <w:rPr>
                <w:rFonts w:eastAsia="Times New Roman" w:cs="Arial"/>
                <w:i/>
                <w:iCs/>
                <w:szCs w:val="24"/>
              </w:rPr>
              <w:t>5</w:t>
            </w:r>
          </w:p>
        </w:tc>
      </w:tr>
      <w:tr w:rsidR="006C6964" w:rsidRPr="001C2DD8" w14:paraId="531B1D7B" w14:textId="77777777" w:rsidTr="00574B5A">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182188A0" w14:textId="77777777" w:rsidR="006C6964" w:rsidRPr="00324103" w:rsidRDefault="006C6964" w:rsidP="006C6964">
            <w:pPr>
              <w:jc w:val="center"/>
              <w:rPr>
                <w:rFonts w:eastAsia="Times New Roman" w:cs="Arial"/>
                <w:szCs w:val="24"/>
              </w:rPr>
            </w:pPr>
          </w:p>
        </w:tc>
        <w:tc>
          <w:tcPr>
            <w:tcW w:w="6437" w:type="dxa"/>
            <w:noWrap/>
            <w:vAlign w:val="center"/>
          </w:tcPr>
          <w:p w14:paraId="59832017" w14:textId="7954CDCA" w:rsidR="006C6964" w:rsidRPr="001F3DDF" w:rsidRDefault="006C696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noWrap/>
            <w:vAlign w:val="center"/>
          </w:tcPr>
          <w:p w14:paraId="1672F484" w14:textId="495E5607" w:rsidR="006C6964" w:rsidRPr="001F3DDF" w:rsidRDefault="002D098E"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50</w:t>
            </w:r>
          </w:p>
        </w:tc>
      </w:tr>
      <w:tr w:rsidR="006C6964" w:rsidRPr="001C2DD8" w14:paraId="1F9BDCC5"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shd w:val="clear" w:color="auto" w:fill="D9D9D9" w:themeFill="background1" w:themeFillShade="D9"/>
            <w:noWrap/>
            <w:vAlign w:val="center"/>
          </w:tcPr>
          <w:p w14:paraId="3B379A14" w14:textId="77777777" w:rsidR="006C6964" w:rsidRPr="00324103" w:rsidRDefault="006C6964" w:rsidP="006C6964">
            <w:pPr>
              <w:jc w:val="center"/>
              <w:rPr>
                <w:rFonts w:eastAsia="Times New Roman" w:cs="Arial"/>
                <w:b w:val="0"/>
                <w:szCs w:val="24"/>
              </w:rPr>
            </w:pPr>
            <w:r w:rsidRPr="00324103">
              <w:rPr>
                <w:rFonts w:eastAsia="Times New Roman" w:cs="Arial"/>
                <w:szCs w:val="24"/>
              </w:rPr>
              <w:t>3</w:t>
            </w:r>
          </w:p>
        </w:tc>
        <w:tc>
          <w:tcPr>
            <w:tcW w:w="6437" w:type="dxa"/>
            <w:shd w:val="clear" w:color="auto" w:fill="D9D9D9" w:themeFill="background1" w:themeFillShade="D9"/>
            <w:noWrap/>
            <w:vAlign w:val="center"/>
          </w:tcPr>
          <w:p w14:paraId="5F1ED598" w14:textId="77777777" w:rsidR="006C6964" w:rsidRPr="001A12D4" w:rsidRDefault="006C6964" w:rsidP="006C6964">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 xml:space="preserve">Development Experience </w:t>
            </w:r>
          </w:p>
        </w:tc>
        <w:tc>
          <w:tcPr>
            <w:tcW w:w="2137" w:type="dxa"/>
            <w:shd w:val="clear" w:color="auto" w:fill="D9D9D9" w:themeFill="background1" w:themeFillShade="D9"/>
            <w:noWrap/>
            <w:vAlign w:val="center"/>
          </w:tcPr>
          <w:p w14:paraId="3CF50A60" w14:textId="15340156" w:rsidR="006C6964" w:rsidRPr="001A12D4"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150</w:t>
            </w:r>
          </w:p>
        </w:tc>
      </w:tr>
      <w:tr w:rsidR="00A0410E" w:rsidRPr="001C2DD8" w14:paraId="7FFDF1A0" w14:textId="77777777" w:rsidTr="00F4224F">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3222CD46" w14:textId="77777777" w:rsidR="00A0410E" w:rsidRPr="00324103" w:rsidRDefault="00A0410E" w:rsidP="006C6964">
            <w:pPr>
              <w:jc w:val="center"/>
              <w:rPr>
                <w:rFonts w:eastAsia="Times New Roman" w:cs="Arial"/>
                <w:szCs w:val="24"/>
              </w:rPr>
            </w:pPr>
          </w:p>
        </w:tc>
        <w:tc>
          <w:tcPr>
            <w:tcW w:w="6437" w:type="dxa"/>
            <w:noWrap/>
            <w:vAlign w:val="center"/>
          </w:tcPr>
          <w:p w14:paraId="7C29C194" w14:textId="1F6809C1" w:rsidR="00A0410E" w:rsidRPr="001F3DDF" w:rsidRDefault="001A12D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noWrap/>
            <w:vAlign w:val="center"/>
          </w:tcPr>
          <w:p w14:paraId="68F45215" w14:textId="332B8021" w:rsidR="00A0410E" w:rsidRPr="001F3DDF" w:rsidRDefault="001A12D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100</w:t>
            </w:r>
          </w:p>
        </w:tc>
      </w:tr>
      <w:tr w:rsidR="006C6964" w:rsidRPr="001C2DD8" w14:paraId="5AF89B55" w14:textId="77777777" w:rsidTr="00F4224F">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47B3C895" w14:textId="77777777" w:rsidR="006C6964" w:rsidRPr="00324103" w:rsidRDefault="006C6964" w:rsidP="006C6964">
            <w:pPr>
              <w:jc w:val="center"/>
              <w:rPr>
                <w:rFonts w:eastAsia="Times New Roman" w:cs="Arial"/>
                <w:szCs w:val="24"/>
              </w:rPr>
            </w:pPr>
          </w:p>
        </w:tc>
        <w:tc>
          <w:tcPr>
            <w:tcW w:w="6437" w:type="dxa"/>
            <w:noWrap/>
            <w:vAlign w:val="center"/>
          </w:tcPr>
          <w:p w14:paraId="5722C662" w14:textId="61CC4195" w:rsidR="006C6964" w:rsidRPr="001F3DDF" w:rsidRDefault="006C696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noWrap/>
            <w:vAlign w:val="center"/>
          </w:tcPr>
          <w:p w14:paraId="6C2177AA" w14:textId="73FCD528" w:rsidR="006C6964" w:rsidRPr="001F3DDF"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50</w:t>
            </w:r>
          </w:p>
        </w:tc>
      </w:tr>
      <w:tr w:rsidR="006C6964" w:rsidRPr="001C2DD8" w14:paraId="533AE381"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tcBorders>
              <w:bottom w:val="single" w:sz="4" w:space="0" w:color="999999" w:themeColor="text1" w:themeTint="66"/>
            </w:tcBorders>
            <w:shd w:val="clear" w:color="auto" w:fill="D9D9D9" w:themeFill="background1" w:themeFillShade="D9"/>
            <w:noWrap/>
            <w:vAlign w:val="center"/>
            <w:hideMark/>
          </w:tcPr>
          <w:p w14:paraId="39712784" w14:textId="77777777" w:rsidR="006C6964" w:rsidRPr="00324103" w:rsidRDefault="006C6964" w:rsidP="006C6964">
            <w:pPr>
              <w:jc w:val="center"/>
              <w:rPr>
                <w:rFonts w:eastAsia="Times New Roman" w:cs="Arial"/>
                <w:b w:val="0"/>
                <w:szCs w:val="24"/>
              </w:rPr>
            </w:pPr>
            <w:r w:rsidRPr="00324103">
              <w:rPr>
                <w:rFonts w:eastAsia="Times New Roman" w:cs="Arial"/>
                <w:szCs w:val="24"/>
              </w:rPr>
              <w:t>4</w:t>
            </w:r>
          </w:p>
        </w:tc>
        <w:tc>
          <w:tcPr>
            <w:tcW w:w="6437" w:type="dxa"/>
            <w:tcBorders>
              <w:bottom w:val="single" w:sz="4" w:space="0" w:color="999999" w:themeColor="text1" w:themeTint="66"/>
            </w:tcBorders>
            <w:shd w:val="clear" w:color="auto" w:fill="D9D9D9" w:themeFill="background1" w:themeFillShade="D9"/>
            <w:noWrap/>
            <w:vAlign w:val="center"/>
            <w:hideMark/>
          </w:tcPr>
          <w:p w14:paraId="4505C466" w14:textId="77777777" w:rsidR="006C6964" w:rsidRPr="001A12D4" w:rsidRDefault="006C6964" w:rsidP="006C6964">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Development Program</w:t>
            </w:r>
          </w:p>
        </w:tc>
        <w:tc>
          <w:tcPr>
            <w:tcW w:w="2137" w:type="dxa"/>
            <w:tcBorders>
              <w:bottom w:val="single" w:sz="4" w:space="0" w:color="999999" w:themeColor="text1" w:themeTint="66"/>
            </w:tcBorders>
            <w:shd w:val="clear" w:color="auto" w:fill="D9D9D9" w:themeFill="background1" w:themeFillShade="D9"/>
            <w:noWrap/>
            <w:vAlign w:val="center"/>
            <w:hideMark/>
          </w:tcPr>
          <w:p w14:paraId="094C67E8" w14:textId="56BB9754" w:rsidR="006C6964" w:rsidRPr="001A12D4" w:rsidRDefault="009C2570"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Pr>
                <w:rFonts w:eastAsia="Times New Roman" w:cs="Arial"/>
                <w:b/>
                <w:bCs/>
                <w:szCs w:val="24"/>
              </w:rPr>
              <w:t>300</w:t>
            </w:r>
          </w:p>
        </w:tc>
      </w:tr>
      <w:tr w:rsidR="00A0410E" w:rsidRPr="001C2DD8" w14:paraId="588C50D8" w14:textId="77777777" w:rsidTr="00337C1D">
        <w:trPr>
          <w:trHeight w:val="349"/>
        </w:trPr>
        <w:tc>
          <w:tcPr>
            <w:cnfStyle w:val="001000000000" w:firstRow="0" w:lastRow="0" w:firstColumn="1" w:lastColumn="0" w:oddVBand="0" w:evenVBand="0" w:oddHBand="0" w:evenHBand="0" w:firstRowFirstColumn="0" w:firstRowLastColumn="0" w:lastRowFirstColumn="0" w:lastRowLastColumn="0"/>
            <w:tcW w:w="781" w:type="dxa"/>
            <w:tcBorders>
              <w:bottom w:val="single" w:sz="4" w:space="0" w:color="auto"/>
            </w:tcBorders>
            <w:noWrap/>
            <w:vAlign w:val="center"/>
          </w:tcPr>
          <w:p w14:paraId="22E4D33B" w14:textId="77777777" w:rsidR="00A0410E" w:rsidRPr="00324103" w:rsidRDefault="00A0410E" w:rsidP="006C6964">
            <w:pPr>
              <w:jc w:val="center"/>
              <w:rPr>
                <w:rFonts w:eastAsia="Times New Roman" w:cs="Arial"/>
                <w:szCs w:val="24"/>
              </w:rPr>
            </w:pPr>
          </w:p>
        </w:tc>
        <w:tc>
          <w:tcPr>
            <w:tcW w:w="6437" w:type="dxa"/>
            <w:tcBorders>
              <w:bottom w:val="single" w:sz="4" w:space="0" w:color="auto"/>
            </w:tcBorders>
            <w:noWrap/>
            <w:vAlign w:val="center"/>
          </w:tcPr>
          <w:p w14:paraId="3F884F5B" w14:textId="754AE6D5" w:rsidR="00A0410E" w:rsidRPr="001F3DDF" w:rsidRDefault="001A12D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tcBorders>
              <w:bottom w:val="single" w:sz="4" w:space="0" w:color="auto"/>
            </w:tcBorders>
            <w:noWrap/>
            <w:vAlign w:val="center"/>
          </w:tcPr>
          <w:p w14:paraId="6B59367D" w14:textId="087E7B5C" w:rsidR="00A0410E" w:rsidRPr="001F3DDF" w:rsidRDefault="001A12D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2</w:t>
            </w:r>
            <w:r w:rsidR="009C2570">
              <w:rPr>
                <w:rFonts w:eastAsia="Times New Roman" w:cs="Arial"/>
                <w:i/>
                <w:iCs/>
                <w:szCs w:val="24"/>
              </w:rPr>
              <w:t>50</w:t>
            </w:r>
          </w:p>
        </w:tc>
      </w:tr>
      <w:tr w:rsidR="006C6964" w:rsidRPr="001C2DD8" w14:paraId="2552AC0A" w14:textId="77777777" w:rsidTr="00337C1D">
        <w:trPr>
          <w:trHeight w:val="349"/>
        </w:trPr>
        <w:tc>
          <w:tcPr>
            <w:cnfStyle w:val="001000000000" w:firstRow="0" w:lastRow="0" w:firstColumn="1" w:lastColumn="0" w:oddVBand="0" w:evenVBand="0" w:oddHBand="0" w:evenHBand="0" w:firstRowFirstColumn="0" w:firstRowLastColumn="0" w:lastRowFirstColumn="0" w:lastRowLastColumn="0"/>
            <w:tcW w:w="781" w:type="dxa"/>
            <w:tcBorders>
              <w:bottom w:val="single" w:sz="4" w:space="0" w:color="auto"/>
            </w:tcBorders>
            <w:noWrap/>
            <w:vAlign w:val="center"/>
          </w:tcPr>
          <w:p w14:paraId="485B9D8A" w14:textId="77777777" w:rsidR="006C6964" w:rsidRPr="00324103" w:rsidRDefault="006C6964" w:rsidP="006C6964">
            <w:pPr>
              <w:jc w:val="center"/>
              <w:rPr>
                <w:rFonts w:eastAsia="Times New Roman" w:cs="Arial"/>
                <w:szCs w:val="24"/>
              </w:rPr>
            </w:pPr>
          </w:p>
        </w:tc>
        <w:tc>
          <w:tcPr>
            <w:tcW w:w="6437" w:type="dxa"/>
            <w:tcBorders>
              <w:bottom w:val="single" w:sz="4" w:space="0" w:color="auto"/>
            </w:tcBorders>
            <w:noWrap/>
            <w:vAlign w:val="center"/>
          </w:tcPr>
          <w:p w14:paraId="7DB79A1C" w14:textId="2BD965AE" w:rsidR="006C6964" w:rsidRPr="001F3DDF" w:rsidRDefault="006C696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tcBorders>
              <w:bottom w:val="single" w:sz="4" w:space="0" w:color="auto"/>
            </w:tcBorders>
            <w:noWrap/>
            <w:vAlign w:val="center"/>
          </w:tcPr>
          <w:p w14:paraId="07A0225B" w14:textId="4E1E87DF" w:rsidR="006C6964" w:rsidRPr="001F3DDF"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50</w:t>
            </w:r>
          </w:p>
        </w:tc>
      </w:tr>
      <w:tr w:rsidR="006C6964" w:rsidRPr="001C2DD8" w14:paraId="702BE6EB"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tcBorders>
              <w:top w:val="single" w:sz="4" w:space="0" w:color="auto"/>
              <w:bottom w:val="single" w:sz="4" w:space="0" w:color="auto"/>
            </w:tcBorders>
            <w:shd w:val="clear" w:color="auto" w:fill="D9D9D9" w:themeFill="background1" w:themeFillShade="D9"/>
            <w:noWrap/>
            <w:vAlign w:val="center"/>
            <w:hideMark/>
          </w:tcPr>
          <w:p w14:paraId="1536BCDC" w14:textId="77777777" w:rsidR="006C6964" w:rsidRPr="00324103" w:rsidRDefault="006C6964" w:rsidP="006C6964">
            <w:pPr>
              <w:jc w:val="center"/>
              <w:rPr>
                <w:rFonts w:eastAsia="Times New Roman" w:cs="Arial"/>
                <w:b w:val="0"/>
                <w:szCs w:val="24"/>
              </w:rPr>
            </w:pPr>
            <w:r w:rsidRPr="00324103">
              <w:rPr>
                <w:rFonts w:eastAsia="Times New Roman" w:cs="Arial"/>
                <w:szCs w:val="24"/>
              </w:rPr>
              <w:t>5</w:t>
            </w:r>
          </w:p>
        </w:tc>
        <w:tc>
          <w:tcPr>
            <w:tcW w:w="6437" w:type="dxa"/>
            <w:tcBorders>
              <w:top w:val="single" w:sz="4" w:space="0" w:color="auto"/>
              <w:bottom w:val="single" w:sz="4" w:space="0" w:color="auto"/>
            </w:tcBorders>
            <w:shd w:val="clear" w:color="auto" w:fill="D9D9D9" w:themeFill="background1" w:themeFillShade="D9"/>
            <w:noWrap/>
            <w:vAlign w:val="center"/>
            <w:hideMark/>
          </w:tcPr>
          <w:p w14:paraId="6FF7F419" w14:textId="77777777" w:rsidR="006C6964" w:rsidRPr="001A12D4" w:rsidRDefault="006C6964" w:rsidP="006C6964">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Community Benefit</w:t>
            </w:r>
          </w:p>
        </w:tc>
        <w:tc>
          <w:tcPr>
            <w:tcW w:w="2137" w:type="dxa"/>
            <w:tcBorders>
              <w:top w:val="single" w:sz="4" w:space="0" w:color="auto"/>
              <w:bottom w:val="single" w:sz="4" w:space="0" w:color="auto"/>
            </w:tcBorders>
            <w:shd w:val="clear" w:color="auto" w:fill="D9D9D9" w:themeFill="background1" w:themeFillShade="D9"/>
            <w:noWrap/>
            <w:vAlign w:val="center"/>
            <w:hideMark/>
          </w:tcPr>
          <w:p w14:paraId="165C5B6B" w14:textId="0B3F4696" w:rsidR="006C6964" w:rsidRPr="001A12D4" w:rsidRDefault="002D098E"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Pr>
                <w:rFonts w:eastAsia="Times New Roman" w:cs="Arial"/>
                <w:b/>
                <w:bCs/>
                <w:szCs w:val="24"/>
              </w:rPr>
              <w:t>175</w:t>
            </w:r>
          </w:p>
        </w:tc>
      </w:tr>
      <w:tr w:rsidR="00A0410E" w:rsidRPr="001C2DD8" w14:paraId="70AFBBDC" w14:textId="77777777" w:rsidTr="00B84508">
        <w:trPr>
          <w:trHeight w:val="349"/>
        </w:trPr>
        <w:tc>
          <w:tcPr>
            <w:cnfStyle w:val="001000000000" w:firstRow="0" w:lastRow="0" w:firstColumn="1" w:lastColumn="0" w:oddVBand="0" w:evenVBand="0" w:oddHBand="0" w:evenHBand="0" w:firstRowFirstColumn="0" w:firstRowLastColumn="0" w:lastRowFirstColumn="0" w:lastRowLastColumn="0"/>
            <w:tcW w:w="781" w:type="dxa"/>
            <w:tcBorders>
              <w:top w:val="single" w:sz="4" w:space="0" w:color="auto"/>
              <w:bottom w:val="single" w:sz="4" w:space="0" w:color="auto"/>
            </w:tcBorders>
            <w:noWrap/>
            <w:vAlign w:val="center"/>
          </w:tcPr>
          <w:p w14:paraId="1C2DD51C" w14:textId="77777777" w:rsidR="00A0410E" w:rsidRPr="00324103" w:rsidRDefault="00A0410E" w:rsidP="006C6964">
            <w:pPr>
              <w:jc w:val="center"/>
              <w:rPr>
                <w:rFonts w:eastAsia="Times New Roman" w:cs="Arial"/>
                <w:szCs w:val="24"/>
              </w:rPr>
            </w:pPr>
          </w:p>
        </w:tc>
        <w:tc>
          <w:tcPr>
            <w:tcW w:w="6437" w:type="dxa"/>
            <w:tcBorders>
              <w:top w:val="single" w:sz="4" w:space="0" w:color="auto"/>
              <w:bottom w:val="single" w:sz="4" w:space="0" w:color="auto"/>
            </w:tcBorders>
            <w:noWrap/>
            <w:vAlign w:val="center"/>
          </w:tcPr>
          <w:p w14:paraId="25555D81" w14:textId="558682A6" w:rsidR="00A0410E" w:rsidRPr="001F3DDF" w:rsidRDefault="001A12D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tcBorders>
              <w:top w:val="single" w:sz="4" w:space="0" w:color="auto"/>
              <w:bottom w:val="single" w:sz="4" w:space="0" w:color="auto"/>
            </w:tcBorders>
            <w:noWrap/>
            <w:vAlign w:val="center"/>
          </w:tcPr>
          <w:p w14:paraId="56F0D888" w14:textId="061306C1" w:rsidR="00A0410E" w:rsidRPr="001F3DDF" w:rsidRDefault="001A12D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w:t>
            </w:r>
            <w:r w:rsidR="009C2570">
              <w:rPr>
                <w:rFonts w:eastAsia="Times New Roman" w:cs="Arial"/>
                <w:i/>
                <w:iCs/>
                <w:szCs w:val="24"/>
              </w:rPr>
              <w:t>75</w:t>
            </w:r>
          </w:p>
        </w:tc>
      </w:tr>
      <w:tr w:rsidR="006C6964" w:rsidRPr="001C2DD8" w14:paraId="26488CEE"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tcBorders>
              <w:top w:val="double" w:sz="4" w:space="0" w:color="auto"/>
              <w:bottom w:val="thickThinSmallGap" w:sz="24" w:space="0" w:color="auto"/>
            </w:tcBorders>
            <w:shd w:val="clear" w:color="auto" w:fill="D9D9D9" w:themeFill="background1" w:themeFillShade="D9"/>
            <w:noWrap/>
            <w:vAlign w:val="center"/>
          </w:tcPr>
          <w:p w14:paraId="5F46B769" w14:textId="77777777" w:rsidR="006C6964" w:rsidRPr="00324103" w:rsidRDefault="006C6964" w:rsidP="006C6964">
            <w:pPr>
              <w:jc w:val="center"/>
              <w:rPr>
                <w:rFonts w:eastAsia="Times New Roman" w:cs="Arial"/>
                <w:szCs w:val="24"/>
              </w:rPr>
            </w:pPr>
          </w:p>
        </w:tc>
        <w:tc>
          <w:tcPr>
            <w:tcW w:w="6437" w:type="dxa"/>
            <w:tcBorders>
              <w:top w:val="double" w:sz="4" w:space="0" w:color="auto"/>
              <w:bottom w:val="thickThinSmallGap" w:sz="24" w:space="0" w:color="auto"/>
            </w:tcBorders>
            <w:shd w:val="clear" w:color="auto" w:fill="D9D9D9" w:themeFill="background1" w:themeFillShade="D9"/>
            <w:noWrap/>
            <w:vAlign w:val="center"/>
          </w:tcPr>
          <w:p w14:paraId="36F722AB" w14:textId="77777777" w:rsidR="006C6964" w:rsidRPr="00324103" w:rsidRDefault="006C6964" w:rsidP="006C6964">
            <w:pPr>
              <w:jc w:val="right"/>
              <w:cnfStyle w:val="000000000000" w:firstRow="0" w:lastRow="0" w:firstColumn="0" w:lastColumn="0" w:oddVBand="0" w:evenVBand="0" w:oddHBand="0" w:evenHBand="0" w:firstRowFirstColumn="0" w:firstRowLastColumn="0" w:lastRowFirstColumn="0" w:lastRowLastColumn="0"/>
              <w:rPr>
                <w:rFonts w:eastAsia="Times New Roman" w:cs="Arial"/>
                <w:b/>
                <w:szCs w:val="24"/>
              </w:rPr>
            </w:pPr>
            <w:r w:rsidRPr="00324103">
              <w:rPr>
                <w:rFonts w:eastAsia="Times New Roman" w:cs="Arial"/>
                <w:b/>
                <w:szCs w:val="24"/>
              </w:rPr>
              <w:t>Total Possible Points</w:t>
            </w:r>
          </w:p>
        </w:tc>
        <w:tc>
          <w:tcPr>
            <w:tcW w:w="2137" w:type="dxa"/>
            <w:tcBorders>
              <w:top w:val="double" w:sz="4" w:space="0" w:color="auto"/>
              <w:bottom w:val="thickThinSmallGap" w:sz="24" w:space="0" w:color="auto"/>
            </w:tcBorders>
            <w:shd w:val="clear" w:color="auto" w:fill="D9D9D9" w:themeFill="background1" w:themeFillShade="D9"/>
            <w:noWrap/>
            <w:vAlign w:val="center"/>
          </w:tcPr>
          <w:p w14:paraId="41F9C6B3" w14:textId="683FBF2B" w:rsidR="006C6964" w:rsidRPr="00324103"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szCs w:val="24"/>
              </w:rPr>
            </w:pPr>
            <w:r w:rsidRPr="001C2DD8">
              <w:rPr>
                <w:rFonts w:eastAsia="Times New Roman" w:cs="Arial"/>
                <w:b/>
                <w:szCs w:val="24"/>
              </w:rPr>
              <w:t>1,000</w:t>
            </w:r>
          </w:p>
        </w:tc>
      </w:tr>
    </w:tbl>
    <w:p w14:paraId="48536060" w14:textId="4B91C954" w:rsidR="00E464C3" w:rsidRPr="001C2DD8" w:rsidRDefault="00E464C3" w:rsidP="00E664C1">
      <w:pPr>
        <w:pStyle w:val="Heading2"/>
        <w:numPr>
          <w:ilvl w:val="0"/>
          <w:numId w:val="13"/>
        </w:numPr>
        <w:spacing w:before="240"/>
      </w:pPr>
      <w:bookmarkStart w:id="35" w:name="_Toc20721637"/>
      <w:bookmarkEnd w:id="34"/>
      <w:r w:rsidRPr="001C2DD8">
        <w:t>Affordability</w:t>
      </w:r>
      <w:r w:rsidR="00F416B5" w:rsidRPr="00F416B5">
        <w:t xml:space="preserve"> and Market Context</w:t>
      </w:r>
      <w:r w:rsidRPr="001C2DD8">
        <w:t xml:space="preserve">: </w:t>
      </w:r>
      <w:r w:rsidR="0092232C">
        <w:t>200</w:t>
      </w:r>
      <w:r w:rsidR="0092232C" w:rsidRPr="001C2DD8">
        <w:t xml:space="preserve"> </w:t>
      </w:r>
      <w:r w:rsidRPr="001C2DD8">
        <w:t>p</w:t>
      </w:r>
      <w:bookmarkEnd w:id="35"/>
      <w:r w:rsidR="00F132DB">
        <w:t>oints</w:t>
      </w:r>
    </w:p>
    <w:p w14:paraId="482B150C" w14:textId="4B5860F5" w:rsidR="008B1711" w:rsidRDefault="00E464C3" w:rsidP="00E464C3">
      <w:r w:rsidRPr="001C2DD8">
        <w:t>Project proposals must include a minimum of 50 percent restricted affordable housing units, consistent with Government Code section 14671.2</w:t>
      </w:r>
      <w:r w:rsidR="004107AE">
        <w:t xml:space="preserve"> (see Exhibit A)</w:t>
      </w:r>
      <w:r w:rsidRPr="001C2DD8">
        <w:t>.</w:t>
      </w:r>
      <w:r w:rsidR="00BE775B">
        <w:t xml:space="preserve"> </w:t>
      </w:r>
      <w:r w:rsidR="0072433E" w:rsidRPr="0072433E">
        <w:t xml:space="preserve">Project proposals that show a commitment to 100 percent affordable units, significantly deeper targeting, and/or special needs components with units affordable to very low- and/or extremely low-income households are encouraged. </w:t>
      </w:r>
    </w:p>
    <w:p w14:paraId="61CD954E" w14:textId="14E31455" w:rsidR="00E464C3" w:rsidRPr="001C2DD8" w:rsidRDefault="007767A6" w:rsidP="00E464C3">
      <w:r>
        <w:t>Respondents</w:t>
      </w:r>
      <w:r w:rsidR="00E464C3" w:rsidRPr="001C2DD8">
        <w:t xml:space="preserve"> should identify:</w:t>
      </w:r>
    </w:p>
    <w:p w14:paraId="26E5C002" w14:textId="77777777" w:rsidR="00E464C3" w:rsidRPr="001C2DD8" w:rsidRDefault="00E464C3" w:rsidP="00E664C1">
      <w:pPr>
        <w:pStyle w:val="ListParagraph"/>
        <w:numPr>
          <w:ilvl w:val="0"/>
          <w:numId w:val="14"/>
        </w:numPr>
      </w:pPr>
      <w:r w:rsidRPr="001C2DD8">
        <w:t>Quantity and bedroom type of affordable units to be built</w:t>
      </w:r>
    </w:p>
    <w:p w14:paraId="5703CB11" w14:textId="7FAEE570" w:rsidR="00E464C3" w:rsidRPr="001C2DD8" w:rsidRDefault="00E464C3" w:rsidP="00E664C1">
      <w:pPr>
        <w:pStyle w:val="ListParagraph"/>
        <w:numPr>
          <w:ilvl w:val="0"/>
          <w:numId w:val="14"/>
        </w:numPr>
      </w:pPr>
      <w:r w:rsidRPr="001C2DD8">
        <w:t>Maximization of land resources and level of affordability (e.g.</w:t>
      </w:r>
      <w:r w:rsidR="00975E64">
        <w:t>,</w:t>
      </w:r>
      <w:r w:rsidRPr="001C2DD8">
        <w:t xml:space="preserve"> density, integration, depth of affordability)</w:t>
      </w:r>
    </w:p>
    <w:p w14:paraId="423FD07E" w14:textId="668FC3CA" w:rsidR="00A55200" w:rsidRDefault="00E464C3" w:rsidP="00E464C3">
      <w:r w:rsidRPr="006D20C6">
        <w:t xml:space="preserve">Proposals will be </w:t>
      </w:r>
      <w:r w:rsidR="00E97C6A">
        <w:t>evaluated</w:t>
      </w:r>
      <w:r w:rsidR="00E97C6A" w:rsidRPr="006D20C6">
        <w:t xml:space="preserve"> </w:t>
      </w:r>
      <w:r w:rsidR="00A55200">
        <w:t>by</w:t>
      </w:r>
      <w:r w:rsidR="00D006D6" w:rsidRPr="00D006D6">
        <w:t xml:space="preserve"> </w:t>
      </w:r>
      <w:r w:rsidR="00D006D6">
        <w:t>the extent to which the project</w:t>
      </w:r>
      <w:r w:rsidR="00A55200">
        <w:t>:</w:t>
      </w:r>
    </w:p>
    <w:p w14:paraId="479229CF" w14:textId="03C0A82C" w:rsidR="00E464C3" w:rsidRDefault="00D006D6" w:rsidP="00E664C1">
      <w:pPr>
        <w:pStyle w:val="ListParagraph"/>
        <w:numPr>
          <w:ilvl w:val="0"/>
          <w:numId w:val="22"/>
        </w:numPr>
      </w:pPr>
      <w:r>
        <w:lastRenderedPageBreak/>
        <w:t>S</w:t>
      </w:r>
      <w:r w:rsidR="00E464C3" w:rsidRPr="006D20C6">
        <w:t>erves households at the lowest income levels consistent with Section 7320(b)(1)</w:t>
      </w:r>
      <w:r w:rsidR="00315323" w:rsidRPr="006D20C6">
        <w:t>(</w:t>
      </w:r>
      <w:r w:rsidR="0027485F">
        <w:t>A</w:t>
      </w:r>
      <w:r w:rsidR="00315323" w:rsidRPr="006D20C6">
        <w:t>)</w:t>
      </w:r>
      <w:r w:rsidR="00E464C3" w:rsidRPr="006D20C6">
        <w:t xml:space="preserve"> of the Multifamily Housing Program guidelines, while maintaining financial feasibility</w:t>
      </w:r>
      <w:r w:rsidR="00A55200">
        <w:t>;</w:t>
      </w:r>
    </w:p>
    <w:p w14:paraId="23FEACBB" w14:textId="6A85EC69" w:rsidR="002A004D" w:rsidRDefault="00BA18DD" w:rsidP="00E664C1">
      <w:pPr>
        <w:pStyle w:val="ListParagraph"/>
        <w:numPr>
          <w:ilvl w:val="0"/>
          <w:numId w:val="22"/>
        </w:numPr>
      </w:pPr>
      <w:r>
        <w:t>A</w:t>
      </w:r>
      <w:r w:rsidR="00D006D6" w:rsidRPr="00D006D6">
        <w:t>ligns with</w:t>
      </w:r>
      <w:r w:rsidR="00500082">
        <w:t xml:space="preserve"> the</w:t>
      </w:r>
      <w:r w:rsidR="00D006D6" w:rsidRPr="00D006D6">
        <w:t xml:space="preserve"> local context and housing needs as identified in</w:t>
      </w:r>
      <w:r w:rsidR="003A14A4">
        <w:t xml:space="preserve"> </w:t>
      </w:r>
      <w:r w:rsidR="00E51C3D">
        <w:t>the San Francisco General Plan</w:t>
      </w:r>
      <w:r w:rsidR="006C2E01">
        <w:t xml:space="preserve"> </w:t>
      </w:r>
      <w:r w:rsidR="006245D3">
        <w:t xml:space="preserve">Housing Element, </w:t>
      </w:r>
      <w:r w:rsidR="003A14A4">
        <w:t>2020</w:t>
      </w:r>
      <w:r w:rsidR="00137835">
        <w:t>-2025</w:t>
      </w:r>
      <w:r w:rsidR="003A14A4">
        <w:t xml:space="preserve"> Consolidated Plan</w:t>
      </w:r>
      <w:r w:rsidR="00BF25D2">
        <w:t xml:space="preserve">, and </w:t>
      </w:r>
      <w:r w:rsidR="000F3C26" w:rsidRPr="00D868F9">
        <w:t>Market and Octavia Area Plan</w:t>
      </w:r>
      <w:r w:rsidR="00E633F8">
        <w:t>; and</w:t>
      </w:r>
    </w:p>
    <w:p w14:paraId="7C027939" w14:textId="3F443814" w:rsidR="00E633F8" w:rsidRDefault="00E633F8" w:rsidP="00E664C1">
      <w:pPr>
        <w:pStyle w:val="ListParagraph"/>
        <w:numPr>
          <w:ilvl w:val="0"/>
          <w:numId w:val="22"/>
        </w:numPr>
      </w:pPr>
      <w:r>
        <w:t>Maximizes social benefit by serving the greatest number of residents.</w:t>
      </w:r>
    </w:p>
    <w:p w14:paraId="4D5AD3D9" w14:textId="099DA34B" w:rsidR="00E464C3" w:rsidRPr="001C2DD8" w:rsidRDefault="00E464C3" w:rsidP="00E664C1">
      <w:pPr>
        <w:pStyle w:val="Heading2"/>
        <w:numPr>
          <w:ilvl w:val="0"/>
          <w:numId w:val="19"/>
        </w:numPr>
      </w:pPr>
      <w:bookmarkStart w:id="36" w:name="_Toc20721638"/>
      <w:r w:rsidRPr="001C2DD8">
        <w:t xml:space="preserve">Financial Offer and Feasibility: </w:t>
      </w:r>
      <w:r w:rsidR="009E2975">
        <w:t>1</w:t>
      </w:r>
      <w:bookmarkEnd w:id="36"/>
      <w:r w:rsidR="002D098E">
        <w:t xml:space="preserve">75 </w:t>
      </w:r>
      <w:r w:rsidR="00F132DB" w:rsidRPr="001C2DD8">
        <w:t>p</w:t>
      </w:r>
      <w:r w:rsidR="00F132DB">
        <w:t>oints</w:t>
      </w:r>
    </w:p>
    <w:p w14:paraId="307E0A05" w14:textId="7FAEA1C8" w:rsidR="00E464C3" w:rsidRPr="001C2DD8" w:rsidRDefault="00E464C3" w:rsidP="00E464C3">
      <w:pPr>
        <w:rPr>
          <w:i/>
        </w:rPr>
      </w:pPr>
      <w:r w:rsidRPr="001C2DD8">
        <w:rPr>
          <w:i/>
        </w:rPr>
        <w:t>Reasonableness Points</w:t>
      </w:r>
    </w:p>
    <w:p w14:paraId="6E5321A7" w14:textId="151A5CA8" w:rsidR="00E464C3" w:rsidRDefault="00E464C3" w:rsidP="00E464C3">
      <w:r w:rsidRPr="001C2DD8">
        <w:t xml:space="preserve">Proposals will be evaluated for risk in completing the proposed projects, in part, by assessing the reasonableness of the proposal’s assumptions, including the reasonableness of cost, revenues, and public subsidy assumptions. Proposals will be evaluated for their ability to cost-effectively deliver affordable housing, manage transaction risk, and maximize the quantity of affordable housing and/or level of affordability. </w:t>
      </w:r>
    </w:p>
    <w:p w14:paraId="2F615D4B" w14:textId="58BCAA40" w:rsidR="00D22ECC" w:rsidRPr="009A7BB8" w:rsidRDefault="00DB0865" w:rsidP="00E464C3">
      <w:r w:rsidRPr="009A7BB8">
        <w:t xml:space="preserve">Respondents should include </w:t>
      </w:r>
      <w:r w:rsidR="00CC371C" w:rsidRPr="009A7BB8">
        <w:t xml:space="preserve">an </w:t>
      </w:r>
      <w:r w:rsidRPr="009A7BB8">
        <w:t xml:space="preserve">evaluation of other HCD or soft sources that could support their </w:t>
      </w:r>
      <w:r w:rsidR="005A4E59" w:rsidRPr="009A7BB8">
        <w:t>project</w:t>
      </w:r>
      <w:r w:rsidRPr="009A7BB8">
        <w:t xml:space="preserve"> and </w:t>
      </w:r>
      <w:r w:rsidR="005A4E59" w:rsidRPr="009A7BB8">
        <w:t xml:space="preserve">provide </w:t>
      </w:r>
      <w:r w:rsidRPr="009A7BB8">
        <w:t>deeper affordability than state statute</w:t>
      </w:r>
      <w:r w:rsidR="005A4E59" w:rsidRPr="009A7BB8">
        <w:t xml:space="preserve"> requires.</w:t>
      </w:r>
    </w:p>
    <w:p w14:paraId="063EFA95" w14:textId="77777777" w:rsidR="00E464C3" w:rsidRPr="001C2DD8" w:rsidRDefault="00E464C3" w:rsidP="00E464C3">
      <w:pPr>
        <w:rPr>
          <w:i/>
        </w:rPr>
      </w:pPr>
      <w:r w:rsidRPr="001C2DD8">
        <w:rPr>
          <w:i/>
        </w:rPr>
        <w:t>Implementation Points</w:t>
      </w:r>
    </w:p>
    <w:p w14:paraId="69B045D5" w14:textId="53BEDEEE" w:rsidR="008448CA" w:rsidRPr="001C2DD8" w:rsidRDefault="00F57522" w:rsidP="00E464C3">
      <w:r w:rsidRPr="001C2DD8">
        <w:t>Respondent</w:t>
      </w:r>
      <w:r w:rsidR="000538C6">
        <w:t>s</w:t>
      </w:r>
      <w:r w:rsidR="00E464C3" w:rsidRPr="001C2DD8">
        <w:t xml:space="preserve"> must also demonstrate implementation feasibility, including phasing and market timing, as well as </w:t>
      </w:r>
      <w:r w:rsidR="00822FDF">
        <w:t>the ability</w:t>
      </w:r>
      <w:r w:rsidR="00E464C3" w:rsidRPr="001C2DD8">
        <w:t xml:space="preserve"> to meet the </w:t>
      </w:r>
      <w:r w:rsidR="00A712ED">
        <w:t xml:space="preserve">goals </w:t>
      </w:r>
      <w:r w:rsidR="00E464C3" w:rsidRPr="001C2DD8">
        <w:t xml:space="preserve">identified in the EO—breaking ground and completing units </w:t>
      </w:r>
      <w:r w:rsidR="00AC115A">
        <w:t xml:space="preserve">in </w:t>
      </w:r>
      <w:r w:rsidR="008B24CE" w:rsidRPr="008B24CE">
        <w:t>an efficient and expedited manner</w:t>
      </w:r>
      <w:r w:rsidR="00E464C3" w:rsidRPr="001C2DD8">
        <w:t xml:space="preserve">. A schedule that expands beyond the EO timing must provide substantial reasoning why breaking ground or completing units may take longer. </w:t>
      </w:r>
    </w:p>
    <w:p w14:paraId="614D7E46" w14:textId="329F7A29" w:rsidR="00CA0408" w:rsidRPr="00315323" w:rsidRDefault="00CA0408" w:rsidP="00E464C3">
      <w:r>
        <w:t xml:space="preserve">NOTE: </w:t>
      </w:r>
      <w:r w:rsidRPr="00CA0408">
        <w:t xml:space="preserve">To the extent supportive housing units are proposed, please clearly </w:t>
      </w:r>
      <w:r w:rsidR="00083744">
        <w:t>indicate</w:t>
      </w:r>
      <w:r w:rsidRPr="00CA0408">
        <w:t xml:space="preserve"> separate annual budgets for regular operations and maintenance and the annual costs of supportive services. Please also indicate the anticipated source(s) of funding for any supportive services</w:t>
      </w:r>
      <w:r w:rsidR="00083744">
        <w:t>.</w:t>
      </w:r>
    </w:p>
    <w:p w14:paraId="03218BAE" w14:textId="207605B6" w:rsidR="00E431D2" w:rsidRPr="00315323" w:rsidRDefault="00564478" w:rsidP="00E464C3">
      <w:r w:rsidRPr="00564478">
        <w:t xml:space="preserve">Within the </w:t>
      </w:r>
      <w:r w:rsidRPr="00571A61">
        <w:t>Financial Offer and Feasibility</w:t>
      </w:r>
      <w:r w:rsidRPr="00564478">
        <w:t xml:space="preserve">’s total of </w:t>
      </w:r>
      <w:r w:rsidR="009E2975">
        <w:t>1</w:t>
      </w:r>
      <w:r w:rsidR="00D94188">
        <w:t>75</w:t>
      </w:r>
      <w:r w:rsidRPr="00564478">
        <w:t xml:space="preserve"> points</w:t>
      </w:r>
      <w:r>
        <w:t xml:space="preserve">, </w:t>
      </w:r>
      <w:r w:rsidR="002D098E">
        <w:t>50</w:t>
      </w:r>
      <w:r w:rsidR="00E431D2" w:rsidRPr="00315323">
        <w:t xml:space="preserve"> bonus points are available</w:t>
      </w:r>
      <w:r w:rsidR="006E029F">
        <w:t>,</w:t>
      </w:r>
      <w:r w:rsidR="00FE31E1">
        <w:t xml:space="preserve"> </w:t>
      </w:r>
      <w:r w:rsidR="006E029F">
        <w:t>such as</w:t>
      </w:r>
      <w:r w:rsidR="000B4E2D">
        <w:t xml:space="preserve"> for</w:t>
      </w:r>
      <w:r w:rsidR="006E029F">
        <w:t xml:space="preserve"> creative financing models or funding</w:t>
      </w:r>
      <w:r w:rsidR="00AF271B">
        <w:t xml:space="preserve"> sources</w:t>
      </w:r>
      <w:r w:rsidR="006743AF">
        <w:t xml:space="preserve"> (e.g. social impact bonds, philanthropic sources, </w:t>
      </w:r>
      <w:r w:rsidR="00964458">
        <w:t>etc.</w:t>
      </w:r>
      <w:r w:rsidR="006743AF">
        <w:t>)</w:t>
      </w:r>
      <w:r w:rsidR="00AF271B" w:rsidRPr="00315323">
        <w:t>.</w:t>
      </w:r>
    </w:p>
    <w:p w14:paraId="5C53C8C6" w14:textId="436FB7BE" w:rsidR="00E464C3" w:rsidRPr="001C2DD8" w:rsidRDefault="00E464C3" w:rsidP="00E664C1">
      <w:pPr>
        <w:pStyle w:val="Heading2"/>
        <w:numPr>
          <w:ilvl w:val="0"/>
          <w:numId w:val="19"/>
        </w:numPr>
      </w:pPr>
      <w:bookmarkStart w:id="37" w:name="_Toc20721639"/>
      <w:r w:rsidRPr="001C2DD8">
        <w:t xml:space="preserve">Development Experience: </w:t>
      </w:r>
      <w:r w:rsidR="00E431D2" w:rsidRPr="001C2DD8">
        <w:t xml:space="preserve">150 </w:t>
      </w:r>
      <w:bookmarkEnd w:id="37"/>
      <w:r w:rsidR="00F132DB" w:rsidRPr="001C2DD8">
        <w:t>p</w:t>
      </w:r>
      <w:r w:rsidR="00F132DB">
        <w:t>oints</w:t>
      </w:r>
    </w:p>
    <w:p w14:paraId="5F2BE84C" w14:textId="5A076EA8" w:rsidR="005B7F6F" w:rsidRPr="001C2DD8" w:rsidRDefault="00F57522" w:rsidP="005B7F6F">
      <w:pPr>
        <w:rPr>
          <w:rFonts w:cs="Arial"/>
          <w:highlight w:val="yellow"/>
        </w:rPr>
      </w:pPr>
      <w:r w:rsidRPr="001C2DD8">
        <w:t>Respondent</w:t>
      </w:r>
      <w:r w:rsidR="000538C6">
        <w:t>s</w:t>
      </w:r>
      <w:r w:rsidR="00E464C3" w:rsidRPr="001C2DD8">
        <w:t xml:space="preserve"> must demonstrate, to the satisfaction of the State, experience and capacity </w:t>
      </w:r>
      <w:r w:rsidR="005B7F6F" w:rsidRPr="001C2DD8">
        <w:t>(including a staff and payroll) relevant to owning</w:t>
      </w:r>
      <w:r w:rsidR="005B7F6F">
        <w:t>,</w:t>
      </w:r>
      <w:r w:rsidR="005B7F6F" w:rsidRPr="001C2DD8">
        <w:t xml:space="preserve"> developing</w:t>
      </w:r>
      <w:r w:rsidR="005B7F6F">
        <w:t>,</w:t>
      </w:r>
      <w:r w:rsidR="005B7F6F" w:rsidRPr="001C2DD8">
        <w:t xml:space="preserve"> </w:t>
      </w:r>
      <w:r w:rsidR="005B7F6F">
        <w:t xml:space="preserve">and managing </w:t>
      </w:r>
      <w:r w:rsidR="005B7F6F" w:rsidRPr="001C2DD8">
        <w:t xml:space="preserve">high quality affordable rental housing. </w:t>
      </w:r>
    </w:p>
    <w:p w14:paraId="6DB679D2" w14:textId="6A7CD18C" w:rsidR="00D94188" w:rsidRPr="009F44EB" w:rsidRDefault="005B7F6F" w:rsidP="009F44EB">
      <w:pPr>
        <w:rPr>
          <w:rFonts w:eastAsia="Calibri" w:cs="Times New Roman"/>
        </w:rPr>
      </w:pPr>
      <w:r w:rsidRPr="00315323">
        <w:lastRenderedPageBreak/>
        <w:t xml:space="preserve">Once the minimum </w:t>
      </w:r>
      <w:r w:rsidR="00651A40">
        <w:t>RFP</w:t>
      </w:r>
      <w:r w:rsidRPr="00315323">
        <w:t xml:space="preserve"> requirements are met (</w:t>
      </w:r>
      <w:r>
        <w:t>see</w:t>
      </w:r>
      <w:r w:rsidRPr="00315323">
        <w:t xml:space="preserve"> Section 6), </w:t>
      </w:r>
      <w:r w:rsidR="00E464C3" w:rsidRPr="00315323">
        <w:t xml:space="preserve">proposals will be evaluated according to </w:t>
      </w:r>
      <w:r w:rsidR="00E464C3" w:rsidRPr="00315323">
        <w:rPr>
          <w:rFonts w:eastAsia="Calibri" w:cs="Times New Roman"/>
        </w:rPr>
        <w:t xml:space="preserve">Section 7320(b)(3)(D) of the </w:t>
      </w:r>
      <w:r w:rsidR="0091746E" w:rsidRPr="0091746E">
        <w:rPr>
          <w:rFonts w:eastAsia="Calibri" w:cs="Times New Roman"/>
        </w:rPr>
        <w:t>2019 MHP Final Guidelines</w:t>
      </w:r>
      <w:r w:rsidR="009F44EB">
        <w:rPr>
          <w:rFonts w:eastAsia="Calibri" w:cs="Times New Roman"/>
        </w:rPr>
        <w:t>.</w:t>
      </w:r>
    </w:p>
    <w:p w14:paraId="07A181DC" w14:textId="064F03B4" w:rsidR="00E431D2" w:rsidRPr="00315323" w:rsidRDefault="009830A7" w:rsidP="00E464C3">
      <w:pPr>
        <w:spacing w:after="0"/>
      </w:pPr>
      <w:r w:rsidRPr="009830A7">
        <w:t xml:space="preserve">Within </w:t>
      </w:r>
      <w:r w:rsidR="009B09FF">
        <w:t xml:space="preserve">the </w:t>
      </w:r>
      <w:r w:rsidRPr="001C2DD8">
        <w:t>Development Experience</w:t>
      </w:r>
      <w:r w:rsidR="0050752D">
        <w:t>’s total of 150 points</w:t>
      </w:r>
      <w:r w:rsidR="00534809">
        <w:t xml:space="preserve">, </w:t>
      </w:r>
      <w:r w:rsidR="00E431D2" w:rsidRPr="001C2DD8">
        <w:t>50 bonus points are availabl</w:t>
      </w:r>
      <w:r>
        <w:t>e</w:t>
      </w:r>
      <w:r w:rsidR="00CF7815">
        <w:t xml:space="preserve">, </w:t>
      </w:r>
      <w:r w:rsidR="001C2DD8" w:rsidRPr="001C2DD8">
        <w:t xml:space="preserve">such as </w:t>
      </w:r>
      <w:r w:rsidR="000B4E2D">
        <w:t>for</w:t>
      </w:r>
      <w:r w:rsidR="00CE7300">
        <w:t xml:space="preserve"> </w:t>
      </w:r>
      <w:r w:rsidR="002D3DCC">
        <w:t xml:space="preserve">experience with </w:t>
      </w:r>
      <w:r w:rsidR="00B94F20">
        <w:t>factory built or multifamily modular</w:t>
      </w:r>
      <w:r w:rsidR="002D3DCC">
        <w:t xml:space="preserve"> construction</w:t>
      </w:r>
      <w:r w:rsidR="00BE4C43">
        <w:t>.</w:t>
      </w:r>
    </w:p>
    <w:p w14:paraId="198D3E05" w14:textId="7C01B394" w:rsidR="00E464C3" w:rsidRPr="001C2DD8" w:rsidRDefault="00E464C3" w:rsidP="00E664C1">
      <w:pPr>
        <w:pStyle w:val="Heading2"/>
        <w:numPr>
          <w:ilvl w:val="0"/>
          <w:numId w:val="19"/>
        </w:numPr>
        <w:spacing w:before="240"/>
      </w:pPr>
      <w:bookmarkStart w:id="38" w:name="_Toc20721640"/>
      <w:r w:rsidRPr="001C2DD8">
        <w:t xml:space="preserve">Development Program: </w:t>
      </w:r>
      <w:r w:rsidR="00AA74AA">
        <w:t>300</w:t>
      </w:r>
      <w:r w:rsidR="00E97C6A" w:rsidRPr="001C2DD8">
        <w:t xml:space="preserve"> </w:t>
      </w:r>
      <w:bookmarkEnd w:id="38"/>
      <w:r w:rsidR="00F132DB" w:rsidRPr="001C2DD8">
        <w:t>p</w:t>
      </w:r>
      <w:r w:rsidR="00F132DB">
        <w:t>oints</w:t>
      </w:r>
    </w:p>
    <w:p w14:paraId="5A90F53F" w14:textId="588691EC" w:rsidR="00E464C3" w:rsidRPr="001C2DD8" w:rsidRDefault="00B902ED" w:rsidP="00E464C3">
      <w:pPr>
        <w:pStyle w:val="ListParagraph"/>
        <w:ind w:left="0"/>
        <w:rPr>
          <w:rFonts w:eastAsia="Calibri" w:cs="Times New Roman"/>
          <w:szCs w:val="24"/>
        </w:rPr>
      </w:pPr>
      <w:r w:rsidRPr="001C2DD8">
        <w:t>Respondent</w:t>
      </w:r>
      <w:r w:rsidR="000538C6">
        <w:t>s</w:t>
      </w:r>
      <w:r w:rsidR="00E464C3" w:rsidRPr="001C2DD8">
        <w:rPr>
          <w:rFonts w:eastAsia="Calibri" w:cs="Times New Roman"/>
          <w:szCs w:val="24"/>
        </w:rPr>
        <w:t xml:space="preserve"> must clearly articulate the project vision and plan, schedule, and factors for project delivery including site layout, </w:t>
      </w:r>
      <w:r w:rsidR="00A71BAF">
        <w:rPr>
          <w:rFonts w:eastAsia="Calibri" w:cs="Times New Roman"/>
          <w:szCs w:val="24"/>
        </w:rPr>
        <w:t>regulation compliance</w:t>
      </w:r>
      <w:r w:rsidR="00E464C3" w:rsidRPr="001C2DD8">
        <w:rPr>
          <w:rFonts w:eastAsia="Calibri" w:cs="Times New Roman"/>
          <w:szCs w:val="24"/>
        </w:rPr>
        <w:t>, and use requirements and restrictions (</w:t>
      </w:r>
      <w:r w:rsidR="00196192">
        <w:rPr>
          <w:rFonts w:eastAsia="Calibri" w:cs="Times New Roman"/>
          <w:szCs w:val="24"/>
        </w:rPr>
        <w:t>see</w:t>
      </w:r>
      <w:r w:rsidR="00E464C3" w:rsidRPr="001C2DD8">
        <w:rPr>
          <w:rFonts w:eastAsia="Calibri" w:cs="Times New Roman"/>
          <w:szCs w:val="24"/>
        </w:rPr>
        <w:t xml:space="preserve"> Section 4)</w:t>
      </w:r>
      <w:r w:rsidR="00EA224C">
        <w:rPr>
          <w:rFonts w:eastAsia="Calibri" w:cs="Times New Roman"/>
          <w:szCs w:val="24"/>
        </w:rPr>
        <w:t>,</w:t>
      </w:r>
      <w:r w:rsidR="00E464C3" w:rsidRPr="001C2DD8">
        <w:rPr>
          <w:rFonts w:eastAsia="Calibri" w:cs="Times New Roman"/>
          <w:szCs w:val="24"/>
        </w:rPr>
        <w:t xml:space="preserve"> </w:t>
      </w:r>
      <w:r w:rsidR="00EA224C">
        <w:rPr>
          <w:rFonts w:eastAsia="Calibri" w:cs="Times New Roman"/>
          <w:szCs w:val="24"/>
        </w:rPr>
        <w:t xml:space="preserve">consistent with the State’s guiding Principles. </w:t>
      </w:r>
      <w:r w:rsidR="00007971" w:rsidRPr="00007971">
        <w:rPr>
          <w:rFonts w:eastAsia="Calibri" w:cs="Times New Roman"/>
          <w:szCs w:val="24"/>
        </w:rPr>
        <w:t xml:space="preserve">Respondents should describe any additional accessibility measures (e.g., higher percentage ADA accessible units) and/or consistency with universal design </w:t>
      </w:r>
      <w:r w:rsidR="00CA7F32" w:rsidRPr="00007971">
        <w:rPr>
          <w:rFonts w:eastAsia="Calibri" w:cs="Times New Roman"/>
          <w:szCs w:val="24"/>
        </w:rPr>
        <w:t>guidelines.</w:t>
      </w:r>
    </w:p>
    <w:p w14:paraId="061D4AE8" w14:textId="33C7479B" w:rsidR="00E464C3" w:rsidRPr="001C2DD8" w:rsidRDefault="00702759" w:rsidP="00E464C3">
      <w:pPr>
        <w:contextualSpacing/>
        <w:rPr>
          <w:spacing w:val="-1"/>
        </w:rPr>
      </w:pPr>
      <w:r>
        <w:rPr>
          <w:spacing w:val="-1"/>
        </w:rPr>
        <w:t>Projects</w:t>
      </w:r>
      <w:r w:rsidR="00E464C3" w:rsidRPr="001C2DD8">
        <w:rPr>
          <w:spacing w:val="-1"/>
        </w:rPr>
        <w:t xml:space="preserve"> should identify the ability to:</w:t>
      </w:r>
    </w:p>
    <w:p w14:paraId="2CCF51AB" w14:textId="77777777" w:rsidR="00E464C3" w:rsidRPr="001C2DD8" w:rsidRDefault="00E464C3" w:rsidP="006E029F">
      <w:pPr>
        <w:pStyle w:val="ListParagraph"/>
        <w:numPr>
          <w:ilvl w:val="0"/>
          <w:numId w:val="5"/>
        </w:numPr>
        <w:spacing w:after="0"/>
        <w:rPr>
          <w:spacing w:val="-1"/>
        </w:rPr>
      </w:pPr>
      <w:r w:rsidRPr="001C2DD8">
        <w:rPr>
          <w:rFonts w:eastAsia="Calibri" w:cs="Times New Roman"/>
          <w:szCs w:val="24"/>
        </w:rPr>
        <w:t>Expand housing opportunities</w:t>
      </w:r>
    </w:p>
    <w:p w14:paraId="287CC71E" w14:textId="77777777" w:rsidR="00E464C3" w:rsidRPr="001C2DD8" w:rsidRDefault="00E464C3" w:rsidP="006E029F">
      <w:pPr>
        <w:pStyle w:val="ListParagraph"/>
        <w:numPr>
          <w:ilvl w:val="0"/>
          <w:numId w:val="5"/>
        </w:numPr>
        <w:spacing w:after="0"/>
        <w:rPr>
          <w:spacing w:val="-1"/>
        </w:rPr>
      </w:pPr>
      <w:r w:rsidRPr="001C2DD8">
        <w:rPr>
          <w:rFonts w:eastAsia="Calibri" w:cs="Times New Roman"/>
          <w:szCs w:val="24"/>
        </w:rPr>
        <w:t>Develop partnerships</w:t>
      </w:r>
    </w:p>
    <w:p w14:paraId="55EF9400" w14:textId="77777777" w:rsidR="00E464C3" w:rsidRPr="001C2DD8" w:rsidRDefault="00E464C3" w:rsidP="006E029F">
      <w:pPr>
        <w:pStyle w:val="ListParagraph"/>
        <w:numPr>
          <w:ilvl w:val="0"/>
          <w:numId w:val="5"/>
        </w:numPr>
        <w:spacing w:after="0"/>
        <w:rPr>
          <w:spacing w:val="-1"/>
        </w:rPr>
      </w:pPr>
      <w:r w:rsidRPr="001C2DD8">
        <w:rPr>
          <w:rFonts w:eastAsia="Calibri" w:cs="Times New Roman"/>
          <w:szCs w:val="24"/>
        </w:rPr>
        <w:t>Catalyze and incubate innovative models (e.g., construction, financing, workforce development)</w:t>
      </w:r>
    </w:p>
    <w:p w14:paraId="630DB67D" w14:textId="75A89E69" w:rsidR="00E464C3" w:rsidRPr="001C2DD8" w:rsidRDefault="00E464C3" w:rsidP="006E029F">
      <w:pPr>
        <w:pStyle w:val="ListParagraph"/>
        <w:numPr>
          <w:ilvl w:val="0"/>
          <w:numId w:val="5"/>
        </w:numPr>
        <w:spacing w:after="0"/>
        <w:rPr>
          <w:spacing w:val="-1"/>
        </w:rPr>
      </w:pPr>
      <w:r w:rsidRPr="001C2DD8">
        <w:rPr>
          <w:rFonts w:eastAsia="Calibri" w:cs="Times New Roman"/>
          <w:szCs w:val="24"/>
        </w:rPr>
        <w:t xml:space="preserve">Use renewable materials and </w:t>
      </w:r>
      <w:r w:rsidR="00F85982">
        <w:rPr>
          <w:rFonts w:eastAsia="Calibri" w:cs="Times New Roman"/>
          <w:szCs w:val="24"/>
        </w:rPr>
        <w:t xml:space="preserve">implement </w:t>
      </w:r>
      <w:r w:rsidRPr="001C2DD8">
        <w:rPr>
          <w:rFonts w:eastAsia="Calibri" w:cs="Times New Roman"/>
          <w:szCs w:val="24"/>
        </w:rPr>
        <w:t>other sustainability</w:t>
      </w:r>
      <w:r w:rsidR="00384E38" w:rsidRPr="00384E38">
        <w:rPr>
          <w:rFonts w:eastAsia="Calibri" w:cs="Times New Roman"/>
          <w:szCs w:val="24"/>
        </w:rPr>
        <w:t xml:space="preserve"> </w:t>
      </w:r>
      <w:r w:rsidR="00384E38">
        <w:rPr>
          <w:rFonts w:eastAsia="Calibri" w:cs="Times New Roman"/>
          <w:szCs w:val="24"/>
        </w:rPr>
        <w:t xml:space="preserve">and resource conservation </w:t>
      </w:r>
      <w:r w:rsidRPr="001C2DD8">
        <w:rPr>
          <w:rFonts w:eastAsia="Calibri" w:cs="Times New Roman"/>
          <w:szCs w:val="24"/>
        </w:rPr>
        <w:t>measures</w:t>
      </w:r>
    </w:p>
    <w:p w14:paraId="64B3F68A" w14:textId="2C6F6160" w:rsidR="003114EB" w:rsidRPr="003618EF" w:rsidRDefault="00E464C3" w:rsidP="003618EF">
      <w:pPr>
        <w:pStyle w:val="ListParagraph"/>
        <w:numPr>
          <w:ilvl w:val="0"/>
          <w:numId w:val="5"/>
        </w:numPr>
        <w:spacing w:after="0"/>
        <w:rPr>
          <w:spacing w:val="-1"/>
        </w:rPr>
      </w:pPr>
      <w:r w:rsidRPr="001C2DD8">
        <w:t xml:space="preserve">Meet </w:t>
      </w:r>
      <w:r w:rsidR="000C3B74">
        <w:t>s</w:t>
      </w:r>
      <w:r w:rsidR="000C3B74" w:rsidRPr="001C2DD8">
        <w:t xml:space="preserve">tate </w:t>
      </w:r>
      <w:r w:rsidR="000C3B74">
        <w:t>p</w:t>
      </w:r>
      <w:r w:rsidR="000C3B74" w:rsidRPr="001C2DD8">
        <w:t xml:space="preserve">lanning </w:t>
      </w:r>
      <w:r w:rsidR="000C3B74">
        <w:t>p</w:t>
      </w:r>
      <w:r w:rsidR="000C3B74" w:rsidRPr="001C2DD8">
        <w:t>riorities</w:t>
      </w:r>
    </w:p>
    <w:p w14:paraId="567165E0" w14:textId="77777777" w:rsidR="00AA7E05" w:rsidRDefault="00AA7E05" w:rsidP="00AA7E05">
      <w:pPr>
        <w:pStyle w:val="ListParagraph"/>
        <w:ind w:left="0"/>
        <w:rPr>
          <w:rFonts w:eastAsia="Calibri" w:cs="Times New Roman"/>
          <w:szCs w:val="24"/>
        </w:rPr>
      </w:pPr>
    </w:p>
    <w:p w14:paraId="4A487C83" w14:textId="11872209" w:rsidR="00AA7E05" w:rsidRDefault="00AA7E05" w:rsidP="00AA7E05">
      <w:pPr>
        <w:pStyle w:val="ListParagraph"/>
        <w:ind w:left="0"/>
        <w:rPr>
          <w:rFonts w:eastAsia="Calibri" w:cs="Times New Roman"/>
          <w:szCs w:val="24"/>
        </w:rPr>
      </w:pPr>
      <w:r>
        <w:rPr>
          <w:rFonts w:eastAsia="Calibri" w:cs="Times New Roman"/>
          <w:szCs w:val="24"/>
        </w:rPr>
        <w:t>P</w:t>
      </w:r>
      <w:r w:rsidRPr="001C2DD8">
        <w:rPr>
          <w:rFonts w:eastAsia="Calibri" w:cs="Times New Roman"/>
          <w:szCs w:val="24"/>
        </w:rPr>
        <w:t>r</w:t>
      </w:r>
      <w:r w:rsidR="00702759">
        <w:rPr>
          <w:rFonts w:eastAsia="Calibri" w:cs="Times New Roman"/>
          <w:szCs w:val="24"/>
        </w:rPr>
        <w:t xml:space="preserve">oposals </w:t>
      </w:r>
      <w:r w:rsidRPr="001C2DD8">
        <w:rPr>
          <w:rFonts w:eastAsia="Calibri" w:cs="Times New Roman"/>
          <w:szCs w:val="24"/>
        </w:rPr>
        <w:t>will be evaluated for</w:t>
      </w:r>
      <w:r>
        <w:rPr>
          <w:rFonts w:eastAsia="Calibri" w:cs="Times New Roman"/>
          <w:szCs w:val="24"/>
        </w:rPr>
        <w:t>:</w:t>
      </w:r>
    </w:p>
    <w:p w14:paraId="608F119E" w14:textId="77777777" w:rsidR="000A1561" w:rsidRDefault="000A1561" w:rsidP="00AA7E05">
      <w:pPr>
        <w:pStyle w:val="ListParagraph"/>
        <w:ind w:left="0"/>
        <w:rPr>
          <w:rFonts w:eastAsia="Calibri" w:cs="Times New Roman"/>
          <w:szCs w:val="24"/>
        </w:rPr>
      </w:pPr>
    </w:p>
    <w:p w14:paraId="59DD80D5" w14:textId="77777777" w:rsidR="00AA7E05" w:rsidRDefault="00AA7E05" w:rsidP="00E664C1">
      <w:pPr>
        <w:pStyle w:val="ListParagraph"/>
        <w:numPr>
          <w:ilvl w:val="0"/>
          <w:numId w:val="23"/>
        </w:numPr>
        <w:rPr>
          <w:rFonts w:eastAsia="Calibri" w:cs="Times New Roman"/>
          <w:szCs w:val="24"/>
        </w:rPr>
      </w:pPr>
      <w:r>
        <w:rPr>
          <w:rFonts w:eastAsia="Calibri" w:cs="Times New Roman"/>
          <w:szCs w:val="24"/>
        </w:rPr>
        <w:t>T</w:t>
      </w:r>
      <w:r w:rsidRPr="001C2DD8">
        <w:rPr>
          <w:rFonts w:eastAsia="Calibri" w:cs="Times New Roman"/>
          <w:szCs w:val="24"/>
        </w:rPr>
        <w:t>he desirability and quality of the concept and design</w:t>
      </w:r>
      <w:r>
        <w:rPr>
          <w:rFonts w:eastAsia="Calibri" w:cs="Times New Roman"/>
          <w:szCs w:val="24"/>
        </w:rPr>
        <w:t>;</w:t>
      </w:r>
    </w:p>
    <w:p w14:paraId="5EA4195B" w14:textId="0443BB54" w:rsidR="0015240D" w:rsidRDefault="00AA7E05" w:rsidP="00E464C3">
      <w:pPr>
        <w:pStyle w:val="ListParagraph"/>
        <w:numPr>
          <w:ilvl w:val="0"/>
          <w:numId w:val="23"/>
        </w:numPr>
        <w:rPr>
          <w:rFonts w:eastAsia="Calibri" w:cs="Times New Roman"/>
          <w:szCs w:val="24"/>
        </w:rPr>
      </w:pPr>
      <w:r>
        <w:rPr>
          <w:rFonts w:eastAsia="Calibri" w:cs="Times New Roman"/>
          <w:szCs w:val="24"/>
        </w:rPr>
        <w:t>H</w:t>
      </w:r>
      <w:r w:rsidRPr="001C2DD8">
        <w:rPr>
          <w:rFonts w:eastAsia="Calibri" w:cs="Times New Roman"/>
          <w:szCs w:val="24"/>
        </w:rPr>
        <w:t>ow well it delivers on the EO goals</w:t>
      </w:r>
      <w:r w:rsidR="0015240D">
        <w:rPr>
          <w:rFonts w:eastAsia="Calibri" w:cs="Times New Roman"/>
          <w:szCs w:val="24"/>
        </w:rPr>
        <w:t xml:space="preserve"> and</w:t>
      </w:r>
      <w:r>
        <w:rPr>
          <w:rFonts w:eastAsia="Calibri" w:cs="Times New Roman"/>
          <w:szCs w:val="24"/>
        </w:rPr>
        <w:t xml:space="preserve"> </w:t>
      </w:r>
      <w:r w:rsidRPr="001C2DD8">
        <w:rPr>
          <w:rFonts w:eastAsia="Calibri" w:cs="Times New Roman"/>
          <w:szCs w:val="24"/>
        </w:rPr>
        <w:t>the development principles and parameters (</w:t>
      </w:r>
      <w:r>
        <w:rPr>
          <w:rFonts w:eastAsia="Calibri" w:cs="Times New Roman"/>
          <w:szCs w:val="24"/>
        </w:rPr>
        <w:t>see</w:t>
      </w:r>
      <w:r w:rsidRPr="001C2DD8">
        <w:rPr>
          <w:rFonts w:eastAsia="Calibri" w:cs="Times New Roman"/>
          <w:szCs w:val="24"/>
        </w:rPr>
        <w:t xml:space="preserve"> Section 2)</w:t>
      </w:r>
      <w:r>
        <w:rPr>
          <w:rFonts w:eastAsia="Calibri" w:cs="Times New Roman"/>
          <w:szCs w:val="24"/>
        </w:rPr>
        <w:t>;</w:t>
      </w:r>
      <w:r w:rsidR="004374D0">
        <w:rPr>
          <w:rFonts w:eastAsia="Calibri" w:cs="Times New Roman"/>
          <w:szCs w:val="24"/>
        </w:rPr>
        <w:t xml:space="preserve"> an</w:t>
      </w:r>
      <w:r w:rsidR="0015240D">
        <w:rPr>
          <w:rFonts w:eastAsia="Calibri" w:cs="Times New Roman"/>
          <w:szCs w:val="24"/>
        </w:rPr>
        <w:t>d</w:t>
      </w:r>
    </w:p>
    <w:p w14:paraId="62AEECCC" w14:textId="744AFE3F" w:rsidR="0015240D" w:rsidRPr="0015240D" w:rsidRDefault="00AA7E05" w:rsidP="00E464C3">
      <w:pPr>
        <w:pStyle w:val="ListParagraph"/>
        <w:numPr>
          <w:ilvl w:val="0"/>
          <w:numId w:val="23"/>
        </w:numPr>
        <w:rPr>
          <w:rFonts w:eastAsia="Calibri" w:cs="Times New Roman"/>
          <w:szCs w:val="24"/>
        </w:rPr>
      </w:pPr>
      <w:r w:rsidRPr="0015240D">
        <w:rPr>
          <w:rFonts w:eastAsia="Calibri" w:cs="Times New Roman"/>
          <w:szCs w:val="24"/>
        </w:rPr>
        <w:t>Compliance with state</w:t>
      </w:r>
      <w:r w:rsidR="0015240D">
        <w:rPr>
          <w:rFonts w:eastAsia="Calibri" w:cs="Times New Roman"/>
          <w:szCs w:val="24"/>
        </w:rPr>
        <w:t xml:space="preserve"> </w:t>
      </w:r>
      <w:r w:rsidRPr="0015240D">
        <w:rPr>
          <w:rFonts w:eastAsia="Calibri" w:cs="Times New Roman"/>
          <w:szCs w:val="24"/>
        </w:rPr>
        <w:t>and federal codes, regulations, and guidelines</w:t>
      </w:r>
      <w:r w:rsidR="004374D0" w:rsidRPr="0015240D">
        <w:rPr>
          <w:rFonts w:eastAsia="Calibri" w:cs="Times New Roman"/>
          <w:szCs w:val="24"/>
        </w:rPr>
        <w:t>.</w:t>
      </w:r>
      <w:r w:rsidR="006D20C6" w:rsidRPr="0015240D">
        <w:rPr>
          <w:rFonts w:eastAsia="Calibri" w:cs="Times New Roman"/>
          <w:szCs w:val="24"/>
        </w:rPr>
        <w:t xml:space="preserve"> </w:t>
      </w:r>
    </w:p>
    <w:p w14:paraId="3C3FA79D" w14:textId="43594E29" w:rsidR="00D079FE" w:rsidRPr="006D20C6" w:rsidRDefault="00E209B0" w:rsidP="00D079FE">
      <w:pPr>
        <w:spacing w:after="0"/>
      </w:pPr>
      <w:r w:rsidRPr="00E209B0">
        <w:t>Within the</w:t>
      </w:r>
      <w:r w:rsidR="0050752D">
        <w:t xml:space="preserve"> </w:t>
      </w:r>
      <w:r w:rsidR="0050752D" w:rsidRPr="001C2DD8">
        <w:t>Development Program</w:t>
      </w:r>
      <w:r w:rsidR="0050752D">
        <w:t>’s</w:t>
      </w:r>
      <w:r w:rsidRPr="00E209B0">
        <w:t xml:space="preserve"> total</w:t>
      </w:r>
      <w:r w:rsidR="0050752D">
        <w:t xml:space="preserve"> of</w:t>
      </w:r>
      <w:r w:rsidRPr="00E209B0">
        <w:t xml:space="preserve"> </w:t>
      </w:r>
      <w:r w:rsidR="00AA74AA">
        <w:t>300</w:t>
      </w:r>
      <w:r w:rsidR="00714BF9">
        <w:t xml:space="preserve"> points</w:t>
      </w:r>
      <w:r w:rsidR="00714BF9" w:rsidRPr="001C2DD8">
        <w:t>,</w:t>
      </w:r>
      <w:r w:rsidR="00714BF9">
        <w:t xml:space="preserve"> </w:t>
      </w:r>
      <w:r w:rsidR="004374D0" w:rsidRPr="001C2DD8">
        <w:t>50 bonus points are available</w:t>
      </w:r>
      <w:r w:rsidR="009830A7">
        <w:t xml:space="preserve">, such as </w:t>
      </w:r>
      <w:r w:rsidR="000B4E2D">
        <w:t xml:space="preserve">for </w:t>
      </w:r>
      <w:r w:rsidR="00F534D5">
        <w:t>innovative construction models</w:t>
      </w:r>
      <w:r w:rsidR="00A92F58">
        <w:t>,</w:t>
      </w:r>
      <w:r w:rsidR="0023394D">
        <w:t xml:space="preserve"> </w:t>
      </w:r>
      <w:r w:rsidR="00042D89">
        <w:t>extraordinary sustainability</w:t>
      </w:r>
      <w:r w:rsidR="00A92F58">
        <w:t xml:space="preserve">, </w:t>
      </w:r>
      <w:r w:rsidR="009D2673">
        <w:t xml:space="preserve">or resource conservation features </w:t>
      </w:r>
      <w:r w:rsidR="001A6898">
        <w:t>(e.g., creative PV and/or solar water heating innovations)</w:t>
      </w:r>
      <w:r w:rsidR="00D079FE">
        <w:t>.</w:t>
      </w:r>
    </w:p>
    <w:p w14:paraId="710DF77E" w14:textId="5F23E4AA" w:rsidR="00D079FE" w:rsidRPr="00EA6D8A" w:rsidRDefault="00D079FE" w:rsidP="00D079FE">
      <w:pPr>
        <w:spacing w:before="240" w:after="0"/>
        <w:rPr>
          <w:rFonts w:eastAsia="Calibri" w:cs="Times New Roman"/>
          <w:szCs w:val="24"/>
        </w:rPr>
      </w:pPr>
      <w:r w:rsidRPr="00EA6D8A">
        <w:rPr>
          <w:rFonts w:eastAsia="Calibri" w:cs="Times New Roman"/>
          <w:szCs w:val="24"/>
        </w:rPr>
        <w:t xml:space="preserve">NOTE: If project includes any supportive housing, such as housing for veterans or chronically homeless individuals, the proposal must describe </w:t>
      </w:r>
      <w:r>
        <w:rPr>
          <w:rFonts w:eastAsia="Calibri" w:cs="Times New Roman"/>
          <w:szCs w:val="24"/>
        </w:rPr>
        <w:t>on-site</w:t>
      </w:r>
      <w:r w:rsidRPr="00EA6D8A">
        <w:rPr>
          <w:rFonts w:eastAsia="Calibri" w:cs="Times New Roman"/>
          <w:szCs w:val="24"/>
        </w:rPr>
        <w:t xml:space="preserve"> supportive services </w:t>
      </w:r>
      <w:r>
        <w:rPr>
          <w:rFonts w:eastAsia="Calibri" w:cs="Times New Roman"/>
          <w:szCs w:val="24"/>
        </w:rPr>
        <w:t>and/</w:t>
      </w:r>
      <w:r w:rsidRPr="00EA6D8A">
        <w:rPr>
          <w:rFonts w:eastAsia="Calibri" w:cs="Times New Roman"/>
          <w:szCs w:val="24"/>
        </w:rPr>
        <w:t xml:space="preserve">or describe coordination with nearby services. </w:t>
      </w:r>
      <w:r w:rsidR="009752AA" w:rsidRPr="009752AA">
        <w:rPr>
          <w:rFonts w:eastAsia="Calibri" w:cs="Times New Roman"/>
          <w:szCs w:val="24"/>
        </w:rPr>
        <w:t xml:space="preserve">The </w:t>
      </w:r>
      <w:r w:rsidR="009752AA">
        <w:rPr>
          <w:rFonts w:eastAsia="Calibri" w:cs="Times New Roman"/>
          <w:szCs w:val="24"/>
        </w:rPr>
        <w:t>d</w:t>
      </w:r>
      <w:r w:rsidR="009752AA" w:rsidRPr="009752AA">
        <w:rPr>
          <w:rFonts w:eastAsia="Calibri" w:cs="Times New Roman"/>
          <w:szCs w:val="24"/>
        </w:rPr>
        <w:t xml:space="preserve">escription should also include an estimate in cost over normal </w:t>
      </w:r>
      <w:r w:rsidR="009752AA">
        <w:rPr>
          <w:rFonts w:eastAsia="Calibri" w:cs="Times New Roman"/>
          <w:szCs w:val="24"/>
        </w:rPr>
        <w:t>operation and maintenance</w:t>
      </w:r>
      <w:r w:rsidR="009752AA" w:rsidRPr="009752AA">
        <w:rPr>
          <w:rFonts w:eastAsia="Calibri" w:cs="Times New Roman"/>
          <w:szCs w:val="24"/>
        </w:rPr>
        <w:t xml:space="preserve"> costs and a description of proposed long-term funding sources for any proposed supportive services. </w:t>
      </w:r>
      <w:r w:rsidRPr="00EA6D8A">
        <w:rPr>
          <w:rFonts w:eastAsia="Calibri" w:cs="Times New Roman"/>
          <w:szCs w:val="24"/>
        </w:rPr>
        <w:t>The Respondent may describe planned supportive services, even if there is no plan for formal supportive housing.</w:t>
      </w:r>
    </w:p>
    <w:p w14:paraId="3FDC8539" w14:textId="47AA4783" w:rsidR="00D079FE" w:rsidRPr="001C2DD8" w:rsidRDefault="00D079FE" w:rsidP="00D079FE">
      <w:pPr>
        <w:pStyle w:val="Heading2"/>
        <w:numPr>
          <w:ilvl w:val="0"/>
          <w:numId w:val="19"/>
        </w:numPr>
        <w:spacing w:before="240"/>
      </w:pPr>
      <w:bookmarkStart w:id="39" w:name="_Toc20721641"/>
      <w:r w:rsidRPr="00786DD4">
        <w:lastRenderedPageBreak/>
        <w:t>Community Benefit</w:t>
      </w:r>
      <w:r w:rsidRPr="001C2DD8">
        <w:t xml:space="preserve">: </w:t>
      </w:r>
      <w:bookmarkEnd w:id="39"/>
      <w:r w:rsidR="002D098E">
        <w:t xml:space="preserve">175 </w:t>
      </w:r>
      <w:r w:rsidRPr="001C2DD8">
        <w:t>p</w:t>
      </w:r>
      <w:r>
        <w:t>oints</w:t>
      </w:r>
    </w:p>
    <w:p w14:paraId="48B4216B" w14:textId="09EFBDA4" w:rsidR="00A4001E" w:rsidRDefault="00E464C3" w:rsidP="00D079FE">
      <w:pPr>
        <w:spacing w:after="0"/>
        <w:rPr>
          <w:rFonts w:eastAsia="Calibri" w:cs="Times New Roman"/>
          <w:szCs w:val="24"/>
        </w:rPr>
      </w:pPr>
      <w:r w:rsidRPr="001C2DD8">
        <w:rPr>
          <w:rFonts w:eastAsia="Calibri" w:cs="Times New Roman"/>
          <w:szCs w:val="24"/>
        </w:rPr>
        <w:t xml:space="preserve">Proposals will be evaluated by the </w:t>
      </w:r>
      <w:r w:rsidR="00C61CED">
        <w:rPr>
          <w:rFonts w:eastAsia="Calibri" w:cs="Times New Roman"/>
          <w:szCs w:val="24"/>
        </w:rPr>
        <w:t xml:space="preserve">community engagement </w:t>
      </w:r>
      <w:r w:rsidRPr="001C2DD8">
        <w:rPr>
          <w:rFonts w:eastAsia="Calibri" w:cs="Times New Roman"/>
          <w:szCs w:val="24"/>
        </w:rPr>
        <w:t>plan (plan to engage local stakeholders, city staff, neighborhoods, social service providers, etc. to gauge support, build relationships, and leverage existing resources) and the provision of community benefits and service connectivity, both on</w:t>
      </w:r>
      <w:r w:rsidR="00C50BB1">
        <w:rPr>
          <w:rFonts w:eastAsia="Calibri" w:cs="Times New Roman"/>
          <w:szCs w:val="24"/>
        </w:rPr>
        <w:t>-</w:t>
      </w:r>
      <w:r w:rsidR="00C57D61">
        <w:rPr>
          <w:rFonts w:eastAsia="Calibri" w:cs="Times New Roman"/>
          <w:szCs w:val="24"/>
        </w:rPr>
        <w:t>site</w:t>
      </w:r>
      <w:r w:rsidRPr="001C2DD8">
        <w:rPr>
          <w:rFonts w:eastAsia="Calibri" w:cs="Times New Roman"/>
          <w:szCs w:val="24"/>
        </w:rPr>
        <w:t xml:space="preserve"> and off</w:t>
      </w:r>
      <w:r w:rsidR="00C50BB1">
        <w:rPr>
          <w:rFonts w:eastAsia="Calibri" w:cs="Times New Roman"/>
          <w:szCs w:val="24"/>
        </w:rPr>
        <w:t>-</w:t>
      </w:r>
      <w:r w:rsidRPr="001C2DD8">
        <w:rPr>
          <w:rFonts w:eastAsia="Calibri" w:cs="Times New Roman"/>
          <w:szCs w:val="24"/>
        </w:rPr>
        <w:t xml:space="preserve">site. </w:t>
      </w:r>
    </w:p>
    <w:p w14:paraId="70394C90" w14:textId="77777777" w:rsidR="00A4001E" w:rsidRDefault="00A4001E" w:rsidP="00E464C3">
      <w:pPr>
        <w:spacing w:after="0"/>
        <w:contextualSpacing/>
        <w:rPr>
          <w:rFonts w:eastAsia="Calibri" w:cs="Times New Roman"/>
          <w:szCs w:val="24"/>
        </w:rPr>
      </w:pPr>
    </w:p>
    <w:p w14:paraId="67934D4A" w14:textId="49EC63C1" w:rsidR="00E464C3" w:rsidRPr="001C2DD8" w:rsidRDefault="002F2E0D" w:rsidP="00E464C3">
      <w:pPr>
        <w:spacing w:after="0"/>
        <w:contextualSpacing/>
        <w:rPr>
          <w:rFonts w:eastAsia="Calibri" w:cs="Times New Roman"/>
          <w:szCs w:val="24"/>
        </w:rPr>
      </w:pPr>
      <w:r>
        <w:rPr>
          <w:rFonts w:eastAsia="Calibri" w:cs="Times New Roman"/>
          <w:szCs w:val="24"/>
        </w:rPr>
        <w:t>Within the community engagement plan, p</w:t>
      </w:r>
      <w:r w:rsidR="00E464C3" w:rsidRPr="001C2DD8">
        <w:rPr>
          <w:rFonts w:eastAsia="Calibri" w:cs="Times New Roman"/>
          <w:szCs w:val="24"/>
        </w:rPr>
        <w:t xml:space="preserve">roposals should identify process, schedule, </w:t>
      </w:r>
      <w:r w:rsidR="00941210">
        <w:rPr>
          <w:rFonts w:eastAsia="Calibri" w:cs="Times New Roman"/>
          <w:szCs w:val="24"/>
        </w:rPr>
        <w:t xml:space="preserve">and means of engagement. </w:t>
      </w:r>
    </w:p>
    <w:p w14:paraId="19090633" w14:textId="77777777" w:rsidR="00E464C3" w:rsidRPr="001C2DD8" w:rsidRDefault="00E464C3" w:rsidP="00E464C3">
      <w:pPr>
        <w:spacing w:after="0"/>
        <w:contextualSpacing/>
        <w:rPr>
          <w:rFonts w:eastAsia="Calibri" w:cs="Times New Roman"/>
          <w:szCs w:val="24"/>
        </w:rPr>
      </w:pPr>
    </w:p>
    <w:p w14:paraId="0A3F7EBD" w14:textId="60170769" w:rsidR="00E464C3" w:rsidRPr="001C2DD8" w:rsidRDefault="00E464C3" w:rsidP="00E464C3">
      <w:pPr>
        <w:contextualSpacing/>
        <w:rPr>
          <w:rFonts w:eastAsia="Calibri" w:cs="Times New Roman"/>
          <w:szCs w:val="24"/>
        </w:rPr>
      </w:pPr>
      <w:r w:rsidRPr="001C2DD8">
        <w:rPr>
          <w:rFonts w:eastAsia="Calibri" w:cs="Times New Roman"/>
          <w:szCs w:val="24"/>
        </w:rPr>
        <w:t>Community benefits are defined as improvements benefiting the general public and/or contributing to local and regional equity and capacity building, including</w:t>
      </w:r>
      <w:r w:rsidR="00F57FC1">
        <w:rPr>
          <w:rFonts w:eastAsia="Calibri" w:cs="Times New Roman"/>
          <w:szCs w:val="24"/>
        </w:rPr>
        <w:t>,</w:t>
      </w:r>
      <w:r w:rsidR="00280CFD">
        <w:rPr>
          <w:rFonts w:eastAsia="Calibri" w:cs="Times New Roman"/>
          <w:szCs w:val="24"/>
        </w:rPr>
        <w:t xml:space="preserve"> but not limited to</w:t>
      </w:r>
      <w:r w:rsidR="003738FA">
        <w:rPr>
          <w:rFonts w:eastAsia="Calibri" w:cs="Times New Roman"/>
          <w:szCs w:val="24"/>
        </w:rPr>
        <w:t>:</w:t>
      </w:r>
    </w:p>
    <w:p w14:paraId="06BF05AD" w14:textId="303DD6C0" w:rsidR="00E3771E" w:rsidRPr="001C2DD8" w:rsidRDefault="002E43A3" w:rsidP="00E3771E">
      <w:pPr>
        <w:pStyle w:val="ListParagraph"/>
        <w:numPr>
          <w:ilvl w:val="0"/>
          <w:numId w:val="7"/>
        </w:numPr>
        <w:spacing w:after="0"/>
        <w:rPr>
          <w:rFonts w:eastAsia="Calibri" w:cs="Times New Roman"/>
          <w:szCs w:val="24"/>
        </w:rPr>
      </w:pPr>
      <w:r w:rsidRPr="001C2DD8">
        <w:rPr>
          <w:rFonts w:eastAsia="Calibri" w:cs="Times New Roman"/>
          <w:szCs w:val="24"/>
        </w:rPr>
        <w:t>Gathering space/meeting rooms</w:t>
      </w:r>
    </w:p>
    <w:p w14:paraId="69497F1C" w14:textId="77777777" w:rsidR="00E3771E" w:rsidRDefault="00E3771E" w:rsidP="00E3771E">
      <w:pPr>
        <w:pStyle w:val="ListParagraph"/>
        <w:numPr>
          <w:ilvl w:val="0"/>
          <w:numId w:val="7"/>
        </w:numPr>
        <w:spacing w:after="0"/>
        <w:rPr>
          <w:rFonts w:eastAsia="Calibri" w:cs="Times New Roman"/>
          <w:szCs w:val="24"/>
        </w:rPr>
      </w:pPr>
      <w:r w:rsidRPr="001C2DD8">
        <w:rPr>
          <w:rFonts w:eastAsia="Calibri" w:cs="Times New Roman"/>
          <w:szCs w:val="24"/>
        </w:rPr>
        <w:t>Open space or civic amenities that are accessible to the public</w:t>
      </w:r>
    </w:p>
    <w:p w14:paraId="439E3707" w14:textId="77777777" w:rsidR="00E3771E" w:rsidRDefault="00E3771E" w:rsidP="00E3771E">
      <w:pPr>
        <w:pStyle w:val="ListParagraph"/>
        <w:numPr>
          <w:ilvl w:val="0"/>
          <w:numId w:val="7"/>
        </w:numPr>
        <w:spacing w:after="0"/>
        <w:rPr>
          <w:rFonts w:eastAsia="Calibri" w:cs="Times New Roman"/>
          <w:szCs w:val="24"/>
        </w:rPr>
      </w:pPr>
      <w:r>
        <w:rPr>
          <w:rFonts w:eastAsia="Calibri" w:cs="Times New Roman"/>
          <w:szCs w:val="24"/>
        </w:rPr>
        <w:t>Bicycle and pedestrian trail preservation and connectivity</w:t>
      </w:r>
    </w:p>
    <w:p w14:paraId="6F67EF87" w14:textId="77777777" w:rsidR="00E3771E" w:rsidRPr="001C2DD8" w:rsidRDefault="00E3771E" w:rsidP="00E3771E">
      <w:pPr>
        <w:pStyle w:val="ListParagraph"/>
        <w:numPr>
          <w:ilvl w:val="0"/>
          <w:numId w:val="7"/>
        </w:numPr>
        <w:spacing w:after="0"/>
        <w:rPr>
          <w:rFonts w:eastAsia="Calibri" w:cs="Times New Roman"/>
          <w:szCs w:val="24"/>
        </w:rPr>
      </w:pPr>
      <w:r w:rsidRPr="001C2DD8">
        <w:rPr>
          <w:rFonts w:eastAsia="Calibri" w:cs="Times New Roman"/>
          <w:szCs w:val="24"/>
        </w:rPr>
        <w:t>Pop-up space for local small business incubator opportunities</w:t>
      </w:r>
    </w:p>
    <w:p w14:paraId="015D045C" w14:textId="77777777" w:rsidR="00E3771E" w:rsidRDefault="00E3771E" w:rsidP="00E3771E">
      <w:pPr>
        <w:pStyle w:val="ListParagraph"/>
        <w:numPr>
          <w:ilvl w:val="0"/>
          <w:numId w:val="7"/>
        </w:numPr>
        <w:spacing w:after="0"/>
        <w:rPr>
          <w:rFonts w:eastAsia="Calibri" w:cs="Times New Roman"/>
          <w:szCs w:val="24"/>
        </w:rPr>
      </w:pPr>
      <w:r w:rsidRPr="001C2DD8">
        <w:rPr>
          <w:rFonts w:eastAsia="Calibri" w:cs="Times New Roman"/>
          <w:szCs w:val="24"/>
        </w:rPr>
        <w:t>Commitment to hire</w:t>
      </w:r>
      <w:r>
        <w:rPr>
          <w:rFonts w:eastAsia="Calibri" w:cs="Times New Roman"/>
          <w:szCs w:val="24"/>
        </w:rPr>
        <w:t xml:space="preserve"> and/or subcontract</w:t>
      </w:r>
      <w:r w:rsidRPr="001C2DD8">
        <w:rPr>
          <w:rFonts w:eastAsia="Calibri" w:cs="Times New Roman"/>
          <w:szCs w:val="24"/>
        </w:rPr>
        <w:t xml:space="preserve"> local</w:t>
      </w:r>
      <w:r>
        <w:rPr>
          <w:rFonts w:eastAsia="Calibri" w:cs="Times New Roman"/>
          <w:szCs w:val="24"/>
        </w:rPr>
        <w:t xml:space="preserve"> </w:t>
      </w:r>
      <w:r w:rsidRPr="001C2DD8">
        <w:rPr>
          <w:rFonts w:eastAsia="Calibri" w:cs="Times New Roman"/>
          <w:szCs w:val="24"/>
        </w:rPr>
        <w:t xml:space="preserve">or </w:t>
      </w:r>
      <w:r w:rsidRPr="008D3D23">
        <w:rPr>
          <w:rFonts w:eastAsia="Calibri" w:cs="Times New Roman"/>
          <w:szCs w:val="24"/>
        </w:rPr>
        <w:t>Disabled Veteran Business Enterprise</w:t>
      </w:r>
      <w:r>
        <w:rPr>
          <w:rFonts w:eastAsia="Calibri" w:cs="Times New Roman"/>
          <w:szCs w:val="24"/>
        </w:rPr>
        <w:t>s</w:t>
      </w:r>
      <w:r w:rsidRPr="008D3D23">
        <w:rPr>
          <w:rFonts w:eastAsia="Calibri" w:cs="Times New Roman"/>
          <w:szCs w:val="24"/>
        </w:rPr>
        <w:t>, Small Business</w:t>
      </w:r>
      <w:r>
        <w:rPr>
          <w:rFonts w:eastAsia="Calibri" w:cs="Times New Roman"/>
          <w:szCs w:val="24"/>
        </w:rPr>
        <w:t>es</w:t>
      </w:r>
      <w:r w:rsidRPr="008D3D23">
        <w:rPr>
          <w:rFonts w:eastAsia="Calibri" w:cs="Times New Roman"/>
          <w:szCs w:val="24"/>
        </w:rPr>
        <w:t>, Women-owned business</w:t>
      </w:r>
      <w:r>
        <w:rPr>
          <w:rFonts w:eastAsia="Calibri" w:cs="Times New Roman"/>
          <w:szCs w:val="24"/>
        </w:rPr>
        <w:t>es</w:t>
      </w:r>
      <w:r w:rsidRPr="008D3D23">
        <w:rPr>
          <w:rFonts w:eastAsia="Calibri" w:cs="Times New Roman"/>
          <w:szCs w:val="24"/>
        </w:rPr>
        <w:t>, Minority-owned business</w:t>
      </w:r>
      <w:r>
        <w:rPr>
          <w:rFonts w:eastAsia="Calibri" w:cs="Times New Roman"/>
          <w:szCs w:val="24"/>
        </w:rPr>
        <w:t>es</w:t>
      </w:r>
      <w:r w:rsidRPr="008D3D23">
        <w:rPr>
          <w:rFonts w:eastAsia="Calibri" w:cs="Times New Roman"/>
          <w:szCs w:val="24"/>
        </w:rPr>
        <w:t>, or LGBT-owned business</w:t>
      </w:r>
      <w:r>
        <w:rPr>
          <w:rFonts w:eastAsia="Calibri" w:cs="Times New Roman"/>
          <w:szCs w:val="24"/>
        </w:rPr>
        <w:t>es</w:t>
      </w:r>
    </w:p>
    <w:p w14:paraId="687CE9B4" w14:textId="77777777" w:rsidR="00E3771E" w:rsidRDefault="00E3771E" w:rsidP="00E3771E">
      <w:pPr>
        <w:pStyle w:val="ListParagraph"/>
        <w:numPr>
          <w:ilvl w:val="0"/>
          <w:numId w:val="7"/>
        </w:numPr>
        <w:spacing w:after="0"/>
        <w:rPr>
          <w:rFonts w:eastAsia="Calibri" w:cs="Times New Roman"/>
          <w:szCs w:val="24"/>
        </w:rPr>
      </w:pPr>
      <w:r>
        <w:rPr>
          <w:rFonts w:eastAsia="Calibri" w:cs="Times New Roman"/>
          <w:szCs w:val="24"/>
        </w:rPr>
        <w:t>Enhancement of connectivity to public transit, active transportation access, and/or reduces vehicle miles traveled</w:t>
      </w:r>
    </w:p>
    <w:p w14:paraId="1B1E85A5" w14:textId="7716CC8F" w:rsidR="00E3771E" w:rsidRDefault="00E3771E" w:rsidP="00E3771E">
      <w:pPr>
        <w:pStyle w:val="ListParagraph"/>
        <w:numPr>
          <w:ilvl w:val="0"/>
          <w:numId w:val="7"/>
        </w:numPr>
        <w:spacing w:after="0"/>
        <w:rPr>
          <w:rFonts w:eastAsia="Calibri" w:cs="Times New Roman"/>
          <w:szCs w:val="24"/>
        </w:rPr>
      </w:pPr>
      <w:r>
        <w:rPr>
          <w:rFonts w:eastAsia="Calibri" w:cs="Times New Roman"/>
          <w:szCs w:val="24"/>
        </w:rPr>
        <w:t>Enhance climate resiliency strategies through smart infrastructure and design and develop climate-smart adaptation measures</w:t>
      </w:r>
    </w:p>
    <w:p w14:paraId="2CDA5CBF" w14:textId="20796DC3" w:rsidR="006A5564" w:rsidRPr="00BC0CA8" w:rsidRDefault="00F00E5E" w:rsidP="006A5564">
      <w:pPr>
        <w:pStyle w:val="ListParagraph"/>
        <w:numPr>
          <w:ilvl w:val="0"/>
          <w:numId w:val="7"/>
        </w:numPr>
        <w:spacing w:after="0"/>
        <w:rPr>
          <w:rFonts w:eastAsia="Calibri" w:cs="Times New Roman"/>
          <w:szCs w:val="24"/>
        </w:rPr>
      </w:pPr>
      <w:r>
        <w:rPr>
          <w:rFonts w:eastAsia="Calibri" w:cs="Times New Roman"/>
          <w:szCs w:val="24"/>
        </w:rPr>
        <w:t>An</w:t>
      </w:r>
      <w:r w:rsidR="006A5564">
        <w:rPr>
          <w:rFonts w:eastAsia="Calibri" w:cs="Times New Roman"/>
          <w:szCs w:val="24"/>
        </w:rPr>
        <w:t xml:space="preserve"> organization’s historic support of underserved communities, such as information about staff, Board membership, and resident selection</w:t>
      </w:r>
    </w:p>
    <w:p w14:paraId="37931751" w14:textId="53BC92F7" w:rsidR="004B1673" w:rsidRPr="0015240D" w:rsidRDefault="004B1673" w:rsidP="00E96259">
      <w:pPr>
        <w:spacing w:after="0"/>
      </w:pPr>
    </w:p>
    <w:sectPr w:rsidR="004B1673" w:rsidRPr="0015240D" w:rsidSect="003F4D09">
      <w:headerReference w:type="default" r:id="rId21"/>
      <w:footerReference w:type="default" r:id="rId2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E0BF6" w14:textId="77777777" w:rsidR="00B83948" w:rsidRDefault="00B83948" w:rsidP="00E464C3">
      <w:pPr>
        <w:spacing w:after="0" w:line="240" w:lineRule="auto"/>
      </w:pPr>
      <w:r>
        <w:separator/>
      </w:r>
    </w:p>
  </w:endnote>
  <w:endnote w:type="continuationSeparator" w:id="0">
    <w:p w14:paraId="79199C6A" w14:textId="77777777" w:rsidR="00B83948" w:rsidRDefault="00B83948" w:rsidP="00E464C3">
      <w:pPr>
        <w:spacing w:after="0" w:line="240" w:lineRule="auto"/>
      </w:pPr>
      <w:r>
        <w:continuationSeparator/>
      </w:r>
    </w:p>
  </w:endnote>
  <w:endnote w:type="continuationNotice" w:id="1">
    <w:p w14:paraId="1C0FD52E" w14:textId="77777777" w:rsidR="00B83948" w:rsidRDefault="00B83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57441"/>
      <w:docPartObj>
        <w:docPartGallery w:val="Page Numbers (Bottom of Page)"/>
        <w:docPartUnique/>
      </w:docPartObj>
    </w:sdtPr>
    <w:sdtEndPr>
      <w:rPr>
        <w:noProof/>
      </w:rPr>
    </w:sdtEndPr>
    <w:sdtContent>
      <w:p w14:paraId="08B54D81" w14:textId="07006754" w:rsidR="00196192" w:rsidRDefault="00196192" w:rsidP="00016297">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6614B3B7" w14:textId="0183D4F3" w:rsidR="00196192" w:rsidRDefault="00196192">
    <w:pPr>
      <w:pStyle w:val="Footer"/>
    </w:pPr>
    <w:r>
      <w:t xml:space="preserve">EO N-06-19 RFP No. </w:t>
    </w:r>
    <w:r w:rsidR="002006FA">
      <w:t>2</w:t>
    </w:r>
    <w:r w:rsidRPr="00F4224F">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E158B" w14:textId="77777777" w:rsidR="00B83948" w:rsidRDefault="00B83948" w:rsidP="00E464C3">
      <w:pPr>
        <w:spacing w:after="0" w:line="240" w:lineRule="auto"/>
      </w:pPr>
      <w:r>
        <w:separator/>
      </w:r>
    </w:p>
  </w:footnote>
  <w:footnote w:type="continuationSeparator" w:id="0">
    <w:p w14:paraId="4AFCA30E" w14:textId="77777777" w:rsidR="00B83948" w:rsidRDefault="00B83948" w:rsidP="00E464C3">
      <w:pPr>
        <w:spacing w:after="0" w:line="240" w:lineRule="auto"/>
      </w:pPr>
      <w:r>
        <w:continuationSeparator/>
      </w:r>
    </w:p>
  </w:footnote>
  <w:footnote w:type="continuationNotice" w:id="1">
    <w:p w14:paraId="2B624212" w14:textId="77777777" w:rsidR="00B83948" w:rsidRDefault="00B839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437F2" w14:textId="4927A99B" w:rsidR="00196192" w:rsidRDefault="1454406D" w:rsidP="00E464C3">
    <w:pPr>
      <w:pStyle w:val="Header"/>
      <w:spacing w:after="120"/>
    </w:pPr>
    <w:r>
      <w:rPr>
        <w:noProof/>
      </w:rPr>
      <w:drawing>
        <wp:inline distT="0" distB="0" distL="0" distR="0" wp14:anchorId="01720D2F" wp14:editId="1F2DEE8E">
          <wp:extent cx="545465" cy="234315"/>
          <wp:effectExtent l="0" t="0" r="6985" b="0"/>
          <wp:docPr id="1006849112" name="Picture 16" descr="Department of Gener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545465" cy="234315"/>
                  </a:xfrm>
                  <a:prstGeom prst="rect">
                    <a:avLst/>
                  </a:prstGeom>
                </pic:spPr>
              </pic:pic>
            </a:graphicData>
          </a:graphic>
        </wp:inline>
      </w:drawing>
    </w:r>
    <w:r w:rsidR="00196192">
      <w:t xml:space="preserve"> </w:t>
    </w:r>
    <w:r>
      <w:rPr>
        <w:noProof/>
      </w:rPr>
      <w:drawing>
        <wp:inline distT="0" distB="0" distL="0" distR="0" wp14:anchorId="69E07FCC" wp14:editId="77CA8068">
          <wp:extent cx="494665" cy="494665"/>
          <wp:effectExtent l="0" t="0" r="635" b="635"/>
          <wp:docPr id="1928395059" name="Picture 17" descr="California H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
                    <a:extLst>
                      <a:ext uri="{28A0092B-C50C-407E-A947-70E740481C1C}">
                        <a14:useLocalDpi xmlns:a14="http://schemas.microsoft.com/office/drawing/2010/main" val="0"/>
                      </a:ext>
                    </a:extLst>
                  </a:blip>
                  <a:stretch>
                    <a:fillRect/>
                  </a:stretch>
                </pic:blipFill>
                <pic:spPr>
                  <a:xfrm>
                    <a:off x="0" y="0"/>
                    <a:ext cx="494665" cy="494665"/>
                  </a:xfrm>
                  <a:prstGeom prst="rect">
                    <a:avLst/>
                  </a:prstGeom>
                </pic:spPr>
              </pic:pic>
            </a:graphicData>
          </a:graphic>
        </wp:inline>
      </w:drawing>
    </w:r>
    <w:r w:rsidR="00196192">
      <w:t xml:space="preserve"> </w:t>
    </w:r>
    <w:r>
      <w:rPr>
        <w:noProof/>
      </w:rPr>
      <w:drawing>
        <wp:inline distT="0" distB="0" distL="0" distR="0" wp14:anchorId="0F341B92" wp14:editId="3A60AF37">
          <wp:extent cx="581025" cy="300355"/>
          <wp:effectExtent l="0" t="0" r="9525" b="4445"/>
          <wp:docPr id="521842059" name="Picture 18" descr="Image result for calh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3">
                    <a:extLst>
                      <a:ext uri="{28A0092B-C50C-407E-A947-70E740481C1C}">
                        <a14:useLocalDpi xmlns:a14="http://schemas.microsoft.com/office/drawing/2010/main" val="0"/>
                      </a:ext>
                    </a:extLst>
                  </a:blip>
                  <a:stretch>
                    <a:fillRect/>
                  </a:stretch>
                </pic:blipFill>
                <pic:spPr>
                  <a:xfrm>
                    <a:off x="0" y="0"/>
                    <a:ext cx="581025" cy="300355"/>
                  </a:xfrm>
                  <a:prstGeom prst="rect">
                    <a:avLst/>
                  </a:prstGeom>
                </pic:spPr>
              </pic:pic>
            </a:graphicData>
          </a:graphic>
        </wp:inline>
      </w:drawing>
    </w:r>
    <w:r w:rsidR="00196192" w:rsidRPr="0037349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69A1"/>
    <w:multiLevelType w:val="hybridMultilevel"/>
    <w:tmpl w:val="3AFC4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46FC"/>
    <w:multiLevelType w:val="hybridMultilevel"/>
    <w:tmpl w:val="D3BC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24EB3"/>
    <w:multiLevelType w:val="multilevel"/>
    <w:tmpl w:val="325A324A"/>
    <w:lvl w:ilvl="0">
      <w:start w:val="1"/>
      <w:numFmt w:val="upperRoman"/>
      <w:pStyle w:val="Style1"/>
      <w:lvlText w:val="%1."/>
      <w:lvlJc w:val="left"/>
      <w:pPr>
        <w:ind w:left="9000" w:firstLine="0"/>
      </w:pPr>
      <w:rPr>
        <w:rFonts w:ascii="Arial" w:hAnsi="Arial" w:cs="Arial" w:hint="default"/>
        <w:b/>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1">
      <w:start w:val="1"/>
      <w:numFmt w:val="decimal"/>
      <w:lvlText w:val="%2.  "/>
      <w:lvlJc w:val="left"/>
      <w:pPr>
        <w:ind w:left="9720" w:firstLine="0"/>
      </w:pPr>
    </w:lvl>
    <w:lvl w:ilvl="2">
      <w:start w:val="1"/>
      <w:numFmt w:val="decimal"/>
      <w:lvlText w:val="%3."/>
      <w:lvlJc w:val="left"/>
      <w:pPr>
        <w:ind w:left="10440" w:firstLine="0"/>
      </w:pPr>
    </w:lvl>
    <w:lvl w:ilvl="3">
      <w:start w:val="1"/>
      <w:numFmt w:val="lowerLetter"/>
      <w:lvlText w:val="%4)"/>
      <w:lvlJc w:val="left"/>
      <w:pPr>
        <w:ind w:left="11160" w:firstLine="0"/>
      </w:pPr>
    </w:lvl>
    <w:lvl w:ilvl="4">
      <w:start w:val="1"/>
      <w:numFmt w:val="decimal"/>
      <w:lvlText w:val="(%5)"/>
      <w:lvlJc w:val="left"/>
      <w:pPr>
        <w:ind w:left="11880" w:firstLine="0"/>
      </w:pPr>
    </w:lvl>
    <w:lvl w:ilvl="5">
      <w:start w:val="1"/>
      <w:numFmt w:val="lowerLetter"/>
      <w:lvlText w:val="(%6)"/>
      <w:lvlJc w:val="left"/>
      <w:pPr>
        <w:ind w:left="12600" w:firstLine="0"/>
      </w:pPr>
    </w:lvl>
    <w:lvl w:ilvl="6">
      <w:start w:val="1"/>
      <w:numFmt w:val="lowerRoman"/>
      <w:lvlText w:val="(%7)"/>
      <w:lvlJc w:val="left"/>
      <w:pPr>
        <w:ind w:left="13320" w:firstLine="0"/>
      </w:pPr>
    </w:lvl>
    <w:lvl w:ilvl="7">
      <w:start w:val="1"/>
      <w:numFmt w:val="lowerLetter"/>
      <w:lvlText w:val="(%8)"/>
      <w:lvlJc w:val="left"/>
      <w:pPr>
        <w:ind w:left="14040" w:firstLine="0"/>
      </w:pPr>
    </w:lvl>
    <w:lvl w:ilvl="8">
      <w:start w:val="1"/>
      <w:numFmt w:val="lowerRoman"/>
      <w:lvlText w:val="(%9)"/>
      <w:lvlJc w:val="left"/>
      <w:pPr>
        <w:ind w:left="14760" w:firstLine="0"/>
      </w:pPr>
    </w:lvl>
  </w:abstractNum>
  <w:abstractNum w:abstractNumId="3" w15:restartNumberingAfterBreak="0">
    <w:nsid w:val="0D26128A"/>
    <w:multiLevelType w:val="hybridMultilevel"/>
    <w:tmpl w:val="D222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E37D6"/>
    <w:multiLevelType w:val="hybridMultilevel"/>
    <w:tmpl w:val="4B26680C"/>
    <w:lvl w:ilvl="0" w:tplc="FB7ECFE0">
      <w:start w:val="1"/>
      <w:numFmt w:val="lowerLetter"/>
      <w:pStyle w:val="Heading4"/>
      <w:lvlText w:val="%1."/>
      <w:lvlJc w:val="left"/>
      <w:pPr>
        <w:ind w:left="-180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5" w15:restartNumberingAfterBreak="0">
    <w:nsid w:val="14CA4518"/>
    <w:multiLevelType w:val="hybridMultilevel"/>
    <w:tmpl w:val="DCB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D2E5A"/>
    <w:multiLevelType w:val="hybridMultilevel"/>
    <w:tmpl w:val="E816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50221"/>
    <w:multiLevelType w:val="hybridMultilevel"/>
    <w:tmpl w:val="E228B068"/>
    <w:lvl w:ilvl="0" w:tplc="225C6AE6">
      <w:start w:val="1"/>
      <w:numFmt w:val="decimal"/>
      <w:lvlText w:val="%1."/>
      <w:lvlJc w:val="left"/>
      <w:pPr>
        <w:ind w:left="600" w:hanging="360"/>
      </w:pPr>
      <w:rPr>
        <w:rFonts w:ascii="Arial" w:eastAsiaTheme="minorHAnsi" w:hAnsi="Arial" w:hint="default"/>
        <w:sz w:val="24"/>
        <w:u w:val="non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1D33778D"/>
    <w:multiLevelType w:val="hybridMultilevel"/>
    <w:tmpl w:val="6BA8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73AE7"/>
    <w:multiLevelType w:val="hybridMultilevel"/>
    <w:tmpl w:val="6170A39A"/>
    <w:lvl w:ilvl="0" w:tplc="0409000F">
      <w:start w:val="1"/>
      <w:numFmt w:val="decimal"/>
      <w:lvlText w:val="%1."/>
      <w:lvlJc w:val="left"/>
      <w:pPr>
        <w:ind w:left="360" w:hanging="360"/>
      </w:pPr>
    </w:lvl>
    <w:lvl w:ilvl="1" w:tplc="0B7E2AB0">
      <w:start w:val="1"/>
      <w:numFmt w:val="decimal"/>
      <w:pStyle w:val="Heading3Numbered"/>
      <w:lvlText w:val="%2."/>
      <w:lvlJc w:val="left"/>
      <w:pPr>
        <w:ind w:left="81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B84C01"/>
    <w:multiLevelType w:val="hybridMultilevel"/>
    <w:tmpl w:val="CB46EC9E"/>
    <w:lvl w:ilvl="0" w:tplc="894A464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5EE6524"/>
    <w:multiLevelType w:val="hybridMultilevel"/>
    <w:tmpl w:val="D7C654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F608F"/>
    <w:multiLevelType w:val="hybridMultilevel"/>
    <w:tmpl w:val="492811C6"/>
    <w:lvl w:ilvl="0" w:tplc="521EB2BE">
      <w:numFmt w:val="bullet"/>
      <w:lvlText w:val=""/>
      <w:lvlJc w:val="left"/>
      <w:pPr>
        <w:ind w:left="820" w:hanging="360"/>
      </w:pPr>
      <w:rPr>
        <w:rFonts w:ascii="Symbol" w:eastAsia="Symbol" w:hAnsi="Symbol" w:cs="Symbol" w:hint="default"/>
        <w:w w:val="100"/>
        <w:sz w:val="24"/>
        <w:szCs w:val="24"/>
        <w:lang w:val="en-US" w:eastAsia="en-US" w:bidi="en-US"/>
      </w:rPr>
    </w:lvl>
    <w:lvl w:ilvl="1" w:tplc="B5563BE2">
      <w:numFmt w:val="bullet"/>
      <w:lvlText w:val="•"/>
      <w:lvlJc w:val="left"/>
      <w:pPr>
        <w:ind w:left="1742" w:hanging="360"/>
      </w:pPr>
      <w:rPr>
        <w:rFonts w:hint="default"/>
        <w:lang w:val="en-US" w:eastAsia="en-US" w:bidi="en-US"/>
      </w:rPr>
    </w:lvl>
    <w:lvl w:ilvl="2" w:tplc="D930A62C">
      <w:numFmt w:val="bullet"/>
      <w:lvlText w:val="•"/>
      <w:lvlJc w:val="left"/>
      <w:pPr>
        <w:ind w:left="2664" w:hanging="360"/>
      </w:pPr>
      <w:rPr>
        <w:rFonts w:hint="default"/>
        <w:lang w:val="en-US" w:eastAsia="en-US" w:bidi="en-US"/>
      </w:rPr>
    </w:lvl>
    <w:lvl w:ilvl="3" w:tplc="805CB348">
      <w:numFmt w:val="bullet"/>
      <w:lvlText w:val="•"/>
      <w:lvlJc w:val="left"/>
      <w:pPr>
        <w:ind w:left="3586" w:hanging="360"/>
      </w:pPr>
      <w:rPr>
        <w:rFonts w:hint="default"/>
        <w:lang w:val="en-US" w:eastAsia="en-US" w:bidi="en-US"/>
      </w:rPr>
    </w:lvl>
    <w:lvl w:ilvl="4" w:tplc="6AE0AB82">
      <w:numFmt w:val="bullet"/>
      <w:lvlText w:val="•"/>
      <w:lvlJc w:val="left"/>
      <w:pPr>
        <w:ind w:left="4508" w:hanging="360"/>
      </w:pPr>
      <w:rPr>
        <w:rFonts w:hint="default"/>
        <w:lang w:val="en-US" w:eastAsia="en-US" w:bidi="en-US"/>
      </w:rPr>
    </w:lvl>
    <w:lvl w:ilvl="5" w:tplc="1C60EA66">
      <w:numFmt w:val="bullet"/>
      <w:lvlText w:val="•"/>
      <w:lvlJc w:val="left"/>
      <w:pPr>
        <w:ind w:left="5430" w:hanging="360"/>
      </w:pPr>
      <w:rPr>
        <w:rFonts w:hint="default"/>
        <w:lang w:val="en-US" w:eastAsia="en-US" w:bidi="en-US"/>
      </w:rPr>
    </w:lvl>
    <w:lvl w:ilvl="6" w:tplc="EF0C5B92">
      <w:numFmt w:val="bullet"/>
      <w:lvlText w:val="•"/>
      <w:lvlJc w:val="left"/>
      <w:pPr>
        <w:ind w:left="6352" w:hanging="360"/>
      </w:pPr>
      <w:rPr>
        <w:rFonts w:hint="default"/>
        <w:lang w:val="en-US" w:eastAsia="en-US" w:bidi="en-US"/>
      </w:rPr>
    </w:lvl>
    <w:lvl w:ilvl="7" w:tplc="728E4466">
      <w:numFmt w:val="bullet"/>
      <w:lvlText w:val="•"/>
      <w:lvlJc w:val="left"/>
      <w:pPr>
        <w:ind w:left="7274" w:hanging="360"/>
      </w:pPr>
      <w:rPr>
        <w:rFonts w:hint="default"/>
        <w:lang w:val="en-US" w:eastAsia="en-US" w:bidi="en-US"/>
      </w:rPr>
    </w:lvl>
    <w:lvl w:ilvl="8" w:tplc="71D689E2">
      <w:numFmt w:val="bullet"/>
      <w:lvlText w:val="•"/>
      <w:lvlJc w:val="left"/>
      <w:pPr>
        <w:ind w:left="8196" w:hanging="360"/>
      </w:pPr>
      <w:rPr>
        <w:rFonts w:hint="default"/>
        <w:lang w:val="en-US" w:eastAsia="en-US" w:bidi="en-US"/>
      </w:rPr>
    </w:lvl>
  </w:abstractNum>
  <w:abstractNum w:abstractNumId="13" w15:restartNumberingAfterBreak="0">
    <w:nsid w:val="2D9439A9"/>
    <w:multiLevelType w:val="hybridMultilevel"/>
    <w:tmpl w:val="4C0269F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86F8E"/>
    <w:multiLevelType w:val="hybridMultilevel"/>
    <w:tmpl w:val="96246698"/>
    <w:lvl w:ilvl="0" w:tplc="3D3C8184">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7E7EBC"/>
    <w:multiLevelType w:val="hybridMultilevel"/>
    <w:tmpl w:val="7EC81B7C"/>
    <w:lvl w:ilvl="0" w:tplc="1EDC4D6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44824"/>
    <w:multiLevelType w:val="hybridMultilevel"/>
    <w:tmpl w:val="2D00B9EE"/>
    <w:lvl w:ilvl="0" w:tplc="C40236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F7BC5"/>
    <w:multiLevelType w:val="hybridMultilevel"/>
    <w:tmpl w:val="119CE3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F49034C"/>
    <w:multiLevelType w:val="hybridMultilevel"/>
    <w:tmpl w:val="DB5299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5062F"/>
    <w:multiLevelType w:val="hybridMultilevel"/>
    <w:tmpl w:val="992CC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82C16"/>
    <w:multiLevelType w:val="hybridMultilevel"/>
    <w:tmpl w:val="0180DAD6"/>
    <w:lvl w:ilvl="0" w:tplc="3AA073A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96C8F"/>
    <w:multiLevelType w:val="hybridMultilevel"/>
    <w:tmpl w:val="10BE85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9C0CE1"/>
    <w:multiLevelType w:val="hybridMultilevel"/>
    <w:tmpl w:val="14D0ED04"/>
    <w:lvl w:ilvl="0" w:tplc="8AAEC0CA">
      <w:start w:val="3"/>
      <w:numFmt w:val="decimal"/>
      <w:lvlText w:val="%1."/>
      <w:lvlJc w:val="left"/>
      <w:pPr>
        <w:ind w:left="360" w:hanging="360"/>
      </w:pPr>
      <w:rPr>
        <w:rFonts w:hint="default"/>
      </w:rPr>
    </w:lvl>
    <w:lvl w:ilvl="1" w:tplc="8AAEC0CA">
      <w:start w:val="3"/>
      <w:numFmt w:val="decimal"/>
      <w:lvlText w:val="%2."/>
      <w:lvlJc w:val="left"/>
      <w:pPr>
        <w:ind w:left="9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32FCF"/>
    <w:multiLevelType w:val="hybridMultilevel"/>
    <w:tmpl w:val="265CE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97386"/>
    <w:multiLevelType w:val="hybridMultilevel"/>
    <w:tmpl w:val="B38CA41C"/>
    <w:lvl w:ilvl="0" w:tplc="04090019">
      <w:start w:val="1"/>
      <w:numFmt w:val="lowerLetter"/>
      <w:lvlText w:val="%1."/>
      <w:lvlJc w:val="left"/>
      <w:pPr>
        <w:ind w:left="67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D76317C"/>
    <w:multiLevelType w:val="hybridMultilevel"/>
    <w:tmpl w:val="49FA7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A46A7"/>
    <w:multiLevelType w:val="hybridMultilevel"/>
    <w:tmpl w:val="E262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A82642"/>
    <w:multiLevelType w:val="hybridMultilevel"/>
    <w:tmpl w:val="4C585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A1EDB"/>
    <w:multiLevelType w:val="hybridMultilevel"/>
    <w:tmpl w:val="BB4C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num>
  <w:num w:numId="7">
    <w:abstractNumId w:val="6"/>
  </w:num>
  <w:num w:numId="8">
    <w:abstractNumId w:val="26"/>
  </w:num>
  <w:num w:numId="9">
    <w:abstractNumId w:val="4"/>
  </w:num>
  <w:num w:numId="10">
    <w:abstractNumId w:val="24"/>
  </w:num>
  <w:num w:numId="11">
    <w:abstractNumId w:val="9"/>
  </w:num>
  <w:num w:numId="12">
    <w:abstractNumId w:val="18"/>
  </w:num>
  <w:num w:numId="13">
    <w:abstractNumId w:val="9"/>
    <w:lvlOverride w:ilvl="0">
      <w:startOverride w:val="1"/>
    </w:lvlOverride>
  </w:num>
  <w:num w:numId="14">
    <w:abstractNumId w:val="3"/>
  </w:num>
  <w:num w:numId="15">
    <w:abstractNumId w:val="27"/>
  </w:num>
  <w:num w:numId="16">
    <w:abstractNumId w:val="22"/>
  </w:num>
  <w:num w:numId="17">
    <w:abstractNumId w:val="15"/>
  </w:num>
  <w:num w:numId="18">
    <w:abstractNumId w:val="21"/>
  </w:num>
  <w:num w:numId="19">
    <w:abstractNumId w:val="20"/>
  </w:num>
  <w:num w:numId="20">
    <w:abstractNumId w:val="10"/>
  </w:num>
  <w:num w:numId="21">
    <w:abstractNumId w:val="5"/>
  </w:num>
  <w:num w:numId="22">
    <w:abstractNumId w:val="25"/>
  </w:num>
  <w:num w:numId="23">
    <w:abstractNumId w:val="28"/>
  </w:num>
  <w:num w:numId="24">
    <w:abstractNumId w:val="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2"/>
  </w:num>
  <w:num w:numId="28">
    <w:abstractNumId w:val="23"/>
  </w:num>
  <w:num w:numId="29">
    <w:abstractNumId w:val="16"/>
  </w:num>
  <w:num w:numId="3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C3"/>
    <w:rsid w:val="00004FA7"/>
    <w:rsid w:val="000062B1"/>
    <w:rsid w:val="00007612"/>
    <w:rsid w:val="00007971"/>
    <w:rsid w:val="00010B83"/>
    <w:rsid w:val="00014024"/>
    <w:rsid w:val="0001549A"/>
    <w:rsid w:val="00016297"/>
    <w:rsid w:val="000164A8"/>
    <w:rsid w:val="00016C28"/>
    <w:rsid w:val="00016E07"/>
    <w:rsid w:val="00017BBB"/>
    <w:rsid w:val="00022FE8"/>
    <w:rsid w:val="000237C2"/>
    <w:rsid w:val="00024884"/>
    <w:rsid w:val="00024CC2"/>
    <w:rsid w:val="0002626F"/>
    <w:rsid w:val="00026ADF"/>
    <w:rsid w:val="00027008"/>
    <w:rsid w:val="0003467E"/>
    <w:rsid w:val="00034E97"/>
    <w:rsid w:val="00034F0E"/>
    <w:rsid w:val="00035088"/>
    <w:rsid w:val="00036A04"/>
    <w:rsid w:val="00040D6C"/>
    <w:rsid w:val="00041217"/>
    <w:rsid w:val="00042D89"/>
    <w:rsid w:val="00043184"/>
    <w:rsid w:val="0004660F"/>
    <w:rsid w:val="00051B65"/>
    <w:rsid w:val="000538C6"/>
    <w:rsid w:val="00053D00"/>
    <w:rsid w:val="00055C50"/>
    <w:rsid w:val="0005652E"/>
    <w:rsid w:val="00060B46"/>
    <w:rsid w:val="00060E4A"/>
    <w:rsid w:val="000617A5"/>
    <w:rsid w:val="00063B3A"/>
    <w:rsid w:val="000653CE"/>
    <w:rsid w:val="00065BCF"/>
    <w:rsid w:val="00067E59"/>
    <w:rsid w:val="00070260"/>
    <w:rsid w:val="000705FF"/>
    <w:rsid w:val="000718FE"/>
    <w:rsid w:val="000723FE"/>
    <w:rsid w:val="00072B97"/>
    <w:rsid w:val="00073858"/>
    <w:rsid w:val="0007568A"/>
    <w:rsid w:val="000767F0"/>
    <w:rsid w:val="000778C3"/>
    <w:rsid w:val="000806C4"/>
    <w:rsid w:val="00080DF7"/>
    <w:rsid w:val="000813AA"/>
    <w:rsid w:val="0008320F"/>
    <w:rsid w:val="000835F1"/>
    <w:rsid w:val="00083744"/>
    <w:rsid w:val="00092276"/>
    <w:rsid w:val="00092414"/>
    <w:rsid w:val="00094FFE"/>
    <w:rsid w:val="0009703C"/>
    <w:rsid w:val="000974A0"/>
    <w:rsid w:val="000A0749"/>
    <w:rsid w:val="000A1561"/>
    <w:rsid w:val="000A225B"/>
    <w:rsid w:val="000A3BFB"/>
    <w:rsid w:val="000A5AFE"/>
    <w:rsid w:val="000A6D40"/>
    <w:rsid w:val="000B02BD"/>
    <w:rsid w:val="000B350B"/>
    <w:rsid w:val="000B4CEF"/>
    <w:rsid w:val="000B4E2D"/>
    <w:rsid w:val="000B572F"/>
    <w:rsid w:val="000C09D3"/>
    <w:rsid w:val="000C3B74"/>
    <w:rsid w:val="000C5F44"/>
    <w:rsid w:val="000D523C"/>
    <w:rsid w:val="000E1BFC"/>
    <w:rsid w:val="000E644D"/>
    <w:rsid w:val="000E6FDE"/>
    <w:rsid w:val="000F3134"/>
    <w:rsid w:val="000F3C26"/>
    <w:rsid w:val="000F40CA"/>
    <w:rsid w:val="000F4159"/>
    <w:rsid w:val="000F45D6"/>
    <w:rsid w:val="000F5C95"/>
    <w:rsid w:val="00100E1D"/>
    <w:rsid w:val="001017F0"/>
    <w:rsid w:val="00103F23"/>
    <w:rsid w:val="00105206"/>
    <w:rsid w:val="00106830"/>
    <w:rsid w:val="00107545"/>
    <w:rsid w:val="001078AC"/>
    <w:rsid w:val="00113538"/>
    <w:rsid w:val="00113FE2"/>
    <w:rsid w:val="00114431"/>
    <w:rsid w:val="0011507D"/>
    <w:rsid w:val="00116190"/>
    <w:rsid w:val="0011672A"/>
    <w:rsid w:val="0012139A"/>
    <w:rsid w:val="00121D2A"/>
    <w:rsid w:val="00122C6E"/>
    <w:rsid w:val="00123628"/>
    <w:rsid w:val="00124347"/>
    <w:rsid w:val="00125146"/>
    <w:rsid w:val="00125A4E"/>
    <w:rsid w:val="00126AA7"/>
    <w:rsid w:val="00130BCB"/>
    <w:rsid w:val="00131239"/>
    <w:rsid w:val="00135038"/>
    <w:rsid w:val="00137835"/>
    <w:rsid w:val="00137959"/>
    <w:rsid w:val="00137D56"/>
    <w:rsid w:val="0014018F"/>
    <w:rsid w:val="00140AB1"/>
    <w:rsid w:val="00140CF0"/>
    <w:rsid w:val="0014218B"/>
    <w:rsid w:val="00143038"/>
    <w:rsid w:val="0015040A"/>
    <w:rsid w:val="001509E8"/>
    <w:rsid w:val="00150AC4"/>
    <w:rsid w:val="00150DD0"/>
    <w:rsid w:val="00151102"/>
    <w:rsid w:val="00151120"/>
    <w:rsid w:val="0015240D"/>
    <w:rsid w:val="001533DD"/>
    <w:rsid w:val="00153EFB"/>
    <w:rsid w:val="00155AB6"/>
    <w:rsid w:val="001572E1"/>
    <w:rsid w:val="00160429"/>
    <w:rsid w:val="00160D2E"/>
    <w:rsid w:val="0016281A"/>
    <w:rsid w:val="00163513"/>
    <w:rsid w:val="0016366D"/>
    <w:rsid w:val="00163829"/>
    <w:rsid w:val="001654AA"/>
    <w:rsid w:val="001663EC"/>
    <w:rsid w:val="001668BA"/>
    <w:rsid w:val="00171FBC"/>
    <w:rsid w:val="00172431"/>
    <w:rsid w:val="0017420D"/>
    <w:rsid w:val="00174AB6"/>
    <w:rsid w:val="001813BA"/>
    <w:rsid w:val="00181833"/>
    <w:rsid w:val="0018352E"/>
    <w:rsid w:val="001842C0"/>
    <w:rsid w:val="00184B5D"/>
    <w:rsid w:val="00185773"/>
    <w:rsid w:val="00186C69"/>
    <w:rsid w:val="00187BF8"/>
    <w:rsid w:val="00191DB2"/>
    <w:rsid w:val="00192336"/>
    <w:rsid w:val="0019366B"/>
    <w:rsid w:val="001946F2"/>
    <w:rsid w:val="001951D7"/>
    <w:rsid w:val="00196192"/>
    <w:rsid w:val="001979B6"/>
    <w:rsid w:val="001A12D4"/>
    <w:rsid w:val="001A1D37"/>
    <w:rsid w:val="001A3DB1"/>
    <w:rsid w:val="001A6898"/>
    <w:rsid w:val="001B02A3"/>
    <w:rsid w:val="001B0D2D"/>
    <w:rsid w:val="001B5350"/>
    <w:rsid w:val="001B72B7"/>
    <w:rsid w:val="001C25C5"/>
    <w:rsid w:val="001C2DD8"/>
    <w:rsid w:val="001C383D"/>
    <w:rsid w:val="001C617A"/>
    <w:rsid w:val="001D226F"/>
    <w:rsid w:val="001D287D"/>
    <w:rsid w:val="001D2C67"/>
    <w:rsid w:val="001D383B"/>
    <w:rsid w:val="001D4926"/>
    <w:rsid w:val="001D559D"/>
    <w:rsid w:val="001D77D2"/>
    <w:rsid w:val="001D7C1C"/>
    <w:rsid w:val="001E0147"/>
    <w:rsid w:val="001E02B2"/>
    <w:rsid w:val="001E0DF9"/>
    <w:rsid w:val="001E1265"/>
    <w:rsid w:val="001E162D"/>
    <w:rsid w:val="001E1755"/>
    <w:rsid w:val="001E176E"/>
    <w:rsid w:val="001E28F0"/>
    <w:rsid w:val="001E51D7"/>
    <w:rsid w:val="001E576A"/>
    <w:rsid w:val="001E5DA2"/>
    <w:rsid w:val="001E6142"/>
    <w:rsid w:val="001E642B"/>
    <w:rsid w:val="001E66BC"/>
    <w:rsid w:val="001E66C5"/>
    <w:rsid w:val="001E7AA8"/>
    <w:rsid w:val="001F124C"/>
    <w:rsid w:val="001F2384"/>
    <w:rsid w:val="001F2441"/>
    <w:rsid w:val="001F2A2B"/>
    <w:rsid w:val="001F3DDF"/>
    <w:rsid w:val="001F7A7B"/>
    <w:rsid w:val="002006FA"/>
    <w:rsid w:val="00200E3A"/>
    <w:rsid w:val="002023CC"/>
    <w:rsid w:val="00207435"/>
    <w:rsid w:val="00207623"/>
    <w:rsid w:val="00210341"/>
    <w:rsid w:val="00212B9A"/>
    <w:rsid w:val="002151A7"/>
    <w:rsid w:val="00215EFF"/>
    <w:rsid w:val="00216AEB"/>
    <w:rsid w:val="0021713E"/>
    <w:rsid w:val="0022013E"/>
    <w:rsid w:val="00221C1B"/>
    <w:rsid w:val="002232B3"/>
    <w:rsid w:val="002238E0"/>
    <w:rsid w:val="00223E93"/>
    <w:rsid w:val="0022770C"/>
    <w:rsid w:val="0023116F"/>
    <w:rsid w:val="0023298E"/>
    <w:rsid w:val="0023394D"/>
    <w:rsid w:val="00233BA9"/>
    <w:rsid w:val="00233F51"/>
    <w:rsid w:val="00234E2F"/>
    <w:rsid w:val="00236367"/>
    <w:rsid w:val="00244F73"/>
    <w:rsid w:val="00245797"/>
    <w:rsid w:val="00245C31"/>
    <w:rsid w:val="00246597"/>
    <w:rsid w:val="002470B1"/>
    <w:rsid w:val="00250A6A"/>
    <w:rsid w:val="00256DD4"/>
    <w:rsid w:val="00256EC6"/>
    <w:rsid w:val="00260269"/>
    <w:rsid w:val="00260D93"/>
    <w:rsid w:val="00261FB5"/>
    <w:rsid w:val="00264368"/>
    <w:rsid w:val="00264C33"/>
    <w:rsid w:val="00266A8E"/>
    <w:rsid w:val="00273ABF"/>
    <w:rsid w:val="002741FB"/>
    <w:rsid w:val="002745D0"/>
    <w:rsid w:val="002746BC"/>
    <w:rsid w:val="0027485F"/>
    <w:rsid w:val="0027523D"/>
    <w:rsid w:val="002753AF"/>
    <w:rsid w:val="00275A78"/>
    <w:rsid w:val="0027648C"/>
    <w:rsid w:val="002776D3"/>
    <w:rsid w:val="00280CFD"/>
    <w:rsid w:val="00281C28"/>
    <w:rsid w:val="002876B5"/>
    <w:rsid w:val="00287C23"/>
    <w:rsid w:val="0029596C"/>
    <w:rsid w:val="00296235"/>
    <w:rsid w:val="00296B42"/>
    <w:rsid w:val="002A004D"/>
    <w:rsid w:val="002A18BE"/>
    <w:rsid w:val="002A234C"/>
    <w:rsid w:val="002A7A46"/>
    <w:rsid w:val="002B1982"/>
    <w:rsid w:val="002B1EE1"/>
    <w:rsid w:val="002B37DD"/>
    <w:rsid w:val="002B3930"/>
    <w:rsid w:val="002B4B65"/>
    <w:rsid w:val="002B5B90"/>
    <w:rsid w:val="002B71CC"/>
    <w:rsid w:val="002C5FA7"/>
    <w:rsid w:val="002C67B5"/>
    <w:rsid w:val="002C6860"/>
    <w:rsid w:val="002C7FB4"/>
    <w:rsid w:val="002D0063"/>
    <w:rsid w:val="002D098E"/>
    <w:rsid w:val="002D22A8"/>
    <w:rsid w:val="002D284F"/>
    <w:rsid w:val="002D2C7B"/>
    <w:rsid w:val="002D37B2"/>
    <w:rsid w:val="002D3DCC"/>
    <w:rsid w:val="002D6973"/>
    <w:rsid w:val="002D7B6C"/>
    <w:rsid w:val="002E0BFA"/>
    <w:rsid w:val="002E21B9"/>
    <w:rsid w:val="002E23BC"/>
    <w:rsid w:val="002E43A3"/>
    <w:rsid w:val="002E4BEB"/>
    <w:rsid w:val="002E4D91"/>
    <w:rsid w:val="002E6DAF"/>
    <w:rsid w:val="002F0C40"/>
    <w:rsid w:val="002F14F9"/>
    <w:rsid w:val="002F1D82"/>
    <w:rsid w:val="002F1FDA"/>
    <w:rsid w:val="002F272B"/>
    <w:rsid w:val="002F2E0D"/>
    <w:rsid w:val="002F64EF"/>
    <w:rsid w:val="002F75A0"/>
    <w:rsid w:val="00300135"/>
    <w:rsid w:val="0030085C"/>
    <w:rsid w:val="00303052"/>
    <w:rsid w:val="00306853"/>
    <w:rsid w:val="003076B7"/>
    <w:rsid w:val="00307C19"/>
    <w:rsid w:val="003114EB"/>
    <w:rsid w:val="003118F6"/>
    <w:rsid w:val="00311940"/>
    <w:rsid w:val="00311A7F"/>
    <w:rsid w:val="00312EE0"/>
    <w:rsid w:val="00312F55"/>
    <w:rsid w:val="00315323"/>
    <w:rsid w:val="00316325"/>
    <w:rsid w:val="00316538"/>
    <w:rsid w:val="003210AD"/>
    <w:rsid w:val="00321A7C"/>
    <w:rsid w:val="00322488"/>
    <w:rsid w:val="00323C16"/>
    <w:rsid w:val="00324103"/>
    <w:rsid w:val="00324E87"/>
    <w:rsid w:val="003250EE"/>
    <w:rsid w:val="003269FF"/>
    <w:rsid w:val="00330795"/>
    <w:rsid w:val="00331CAB"/>
    <w:rsid w:val="0033233C"/>
    <w:rsid w:val="0033446E"/>
    <w:rsid w:val="00334D06"/>
    <w:rsid w:val="00335AE7"/>
    <w:rsid w:val="00337C1D"/>
    <w:rsid w:val="003413C6"/>
    <w:rsid w:val="00343779"/>
    <w:rsid w:val="003447EA"/>
    <w:rsid w:val="0034541C"/>
    <w:rsid w:val="00346197"/>
    <w:rsid w:val="00346241"/>
    <w:rsid w:val="00346634"/>
    <w:rsid w:val="00355A46"/>
    <w:rsid w:val="003576BC"/>
    <w:rsid w:val="00357AB5"/>
    <w:rsid w:val="00357B2D"/>
    <w:rsid w:val="003618EF"/>
    <w:rsid w:val="00362099"/>
    <w:rsid w:val="003629B6"/>
    <w:rsid w:val="00364E63"/>
    <w:rsid w:val="003707B9"/>
    <w:rsid w:val="0037349D"/>
    <w:rsid w:val="003738FA"/>
    <w:rsid w:val="00374CED"/>
    <w:rsid w:val="00375D9B"/>
    <w:rsid w:val="0038030B"/>
    <w:rsid w:val="003814EC"/>
    <w:rsid w:val="0038242E"/>
    <w:rsid w:val="003828EB"/>
    <w:rsid w:val="00383BF8"/>
    <w:rsid w:val="00384E38"/>
    <w:rsid w:val="00385FC0"/>
    <w:rsid w:val="00386EF8"/>
    <w:rsid w:val="0039011F"/>
    <w:rsid w:val="00390C15"/>
    <w:rsid w:val="00395662"/>
    <w:rsid w:val="00395CE6"/>
    <w:rsid w:val="003A0FDA"/>
    <w:rsid w:val="003A1086"/>
    <w:rsid w:val="003A14A4"/>
    <w:rsid w:val="003A305B"/>
    <w:rsid w:val="003A340E"/>
    <w:rsid w:val="003A4A48"/>
    <w:rsid w:val="003A6835"/>
    <w:rsid w:val="003A70AE"/>
    <w:rsid w:val="003B1799"/>
    <w:rsid w:val="003B24F8"/>
    <w:rsid w:val="003B281F"/>
    <w:rsid w:val="003B4422"/>
    <w:rsid w:val="003B4460"/>
    <w:rsid w:val="003B7612"/>
    <w:rsid w:val="003C0523"/>
    <w:rsid w:val="003C31DD"/>
    <w:rsid w:val="003C522E"/>
    <w:rsid w:val="003C7214"/>
    <w:rsid w:val="003C7543"/>
    <w:rsid w:val="003C786F"/>
    <w:rsid w:val="003D0449"/>
    <w:rsid w:val="003D4438"/>
    <w:rsid w:val="003D4A59"/>
    <w:rsid w:val="003D55F0"/>
    <w:rsid w:val="003E0A28"/>
    <w:rsid w:val="003E116E"/>
    <w:rsid w:val="003E223C"/>
    <w:rsid w:val="003E2A88"/>
    <w:rsid w:val="003F232E"/>
    <w:rsid w:val="003F282B"/>
    <w:rsid w:val="003F4757"/>
    <w:rsid w:val="003F480D"/>
    <w:rsid w:val="003F4D05"/>
    <w:rsid w:val="003F4D09"/>
    <w:rsid w:val="003F56F2"/>
    <w:rsid w:val="003F73CD"/>
    <w:rsid w:val="00400A74"/>
    <w:rsid w:val="004012E8"/>
    <w:rsid w:val="004046AC"/>
    <w:rsid w:val="004107AE"/>
    <w:rsid w:val="004157A7"/>
    <w:rsid w:val="00421645"/>
    <w:rsid w:val="004219AB"/>
    <w:rsid w:val="00422A1F"/>
    <w:rsid w:val="00426EE3"/>
    <w:rsid w:val="004312F7"/>
    <w:rsid w:val="00431A6D"/>
    <w:rsid w:val="00432118"/>
    <w:rsid w:val="004324EB"/>
    <w:rsid w:val="00433776"/>
    <w:rsid w:val="00433EA6"/>
    <w:rsid w:val="00434E9B"/>
    <w:rsid w:val="0043505E"/>
    <w:rsid w:val="004355AC"/>
    <w:rsid w:val="004374D0"/>
    <w:rsid w:val="00437C20"/>
    <w:rsid w:val="0044275A"/>
    <w:rsid w:val="00442CD9"/>
    <w:rsid w:val="004432EE"/>
    <w:rsid w:val="00443A41"/>
    <w:rsid w:val="004449E7"/>
    <w:rsid w:val="004513F7"/>
    <w:rsid w:val="004516D9"/>
    <w:rsid w:val="004535FB"/>
    <w:rsid w:val="00453C55"/>
    <w:rsid w:val="00454E2C"/>
    <w:rsid w:val="0046244A"/>
    <w:rsid w:val="00462511"/>
    <w:rsid w:val="00463D5D"/>
    <w:rsid w:val="00464A52"/>
    <w:rsid w:val="00464D03"/>
    <w:rsid w:val="00464E98"/>
    <w:rsid w:val="00465F00"/>
    <w:rsid w:val="00470023"/>
    <w:rsid w:val="0047133C"/>
    <w:rsid w:val="004768D6"/>
    <w:rsid w:val="00480D88"/>
    <w:rsid w:val="00486716"/>
    <w:rsid w:val="00486E77"/>
    <w:rsid w:val="004906F4"/>
    <w:rsid w:val="00492F27"/>
    <w:rsid w:val="004939C5"/>
    <w:rsid w:val="0049472F"/>
    <w:rsid w:val="00494EBE"/>
    <w:rsid w:val="004956B5"/>
    <w:rsid w:val="004A0473"/>
    <w:rsid w:val="004A1C5E"/>
    <w:rsid w:val="004A1E37"/>
    <w:rsid w:val="004A2224"/>
    <w:rsid w:val="004A2DFD"/>
    <w:rsid w:val="004B1673"/>
    <w:rsid w:val="004B183E"/>
    <w:rsid w:val="004B1A20"/>
    <w:rsid w:val="004B3E0E"/>
    <w:rsid w:val="004B42CC"/>
    <w:rsid w:val="004C0A89"/>
    <w:rsid w:val="004C18BE"/>
    <w:rsid w:val="004C4F12"/>
    <w:rsid w:val="004C6027"/>
    <w:rsid w:val="004D0BE5"/>
    <w:rsid w:val="004D0FFD"/>
    <w:rsid w:val="004D30DF"/>
    <w:rsid w:val="004D31CB"/>
    <w:rsid w:val="004D5BA3"/>
    <w:rsid w:val="004E1678"/>
    <w:rsid w:val="004E4EE1"/>
    <w:rsid w:val="004E7B07"/>
    <w:rsid w:val="004F0C10"/>
    <w:rsid w:val="004F5B8A"/>
    <w:rsid w:val="004F5D6D"/>
    <w:rsid w:val="004F5E7F"/>
    <w:rsid w:val="00500082"/>
    <w:rsid w:val="00503426"/>
    <w:rsid w:val="00504989"/>
    <w:rsid w:val="00505D42"/>
    <w:rsid w:val="0050752D"/>
    <w:rsid w:val="00507851"/>
    <w:rsid w:val="00510882"/>
    <w:rsid w:val="005113BD"/>
    <w:rsid w:val="0051176F"/>
    <w:rsid w:val="00511BB0"/>
    <w:rsid w:val="00524AC1"/>
    <w:rsid w:val="005250BB"/>
    <w:rsid w:val="005251C5"/>
    <w:rsid w:val="0052537E"/>
    <w:rsid w:val="00526A46"/>
    <w:rsid w:val="00526B32"/>
    <w:rsid w:val="0052732A"/>
    <w:rsid w:val="0052753C"/>
    <w:rsid w:val="00527641"/>
    <w:rsid w:val="0053010C"/>
    <w:rsid w:val="00530EED"/>
    <w:rsid w:val="00534809"/>
    <w:rsid w:val="00542009"/>
    <w:rsid w:val="00542390"/>
    <w:rsid w:val="00544032"/>
    <w:rsid w:val="005441E0"/>
    <w:rsid w:val="0055209C"/>
    <w:rsid w:val="005521DF"/>
    <w:rsid w:val="00554CA4"/>
    <w:rsid w:val="0055527A"/>
    <w:rsid w:val="00555FC2"/>
    <w:rsid w:val="00562011"/>
    <w:rsid w:val="00562A66"/>
    <w:rsid w:val="00563ABF"/>
    <w:rsid w:val="00563CAD"/>
    <w:rsid w:val="00564478"/>
    <w:rsid w:val="00566B1B"/>
    <w:rsid w:val="005675C1"/>
    <w:rsid w:val="00571A61"/>
    <w:rsid w:val="00571C06"/>
    <w:rsid w:val="0057407E"/>
    <w:rsid w:val="005741CB"/>
    <w:rsid w:val="00574B5A"/>
    <w:rsid w:val="0057642C"/>
    <w:rsid w:val="00576E16"/>
    <w:rsid w:val="0057785A"/>
    <w:rsid w:val="00581032"/>
    <w:rsid w:val="00583593"/>
    <w:rsid w:val="00584416"/>
    <w:rsid w:val="00591F55"/>
    <w:rsid w:val="0059267B"/>
    <w:rsid w:val="0059269A"/>
    <w:rsid w:val="0059350B"/>
    <w:rsid w:val="00593BBE"/>
    <w:rsid w:val="00594652"/>
    <w:rsid w:val="00597265"/>
    <w:rsid w:val="005A2C12"/>
    <w:rsid w:val="005A419D"/>
    <w:rsid w:val="005A4E59"/>
    <w:rsid w:val="005A5A97"/>
    <w:rsid w:val="005A7B70"/>
    <w:rsid w:val="005A7F37"/>
    <w:rsid w:val="005B040C"/>
    <w:rsid w:val="005B1F9F"/>
    <w:rsid w:val="005B2775"/>
    <w:rsid w:val="005B7F6F"/>
    <w:rsid w:val="005C4B6B"/>
    <w:rsid w:val="005C780C"/>
    <w:rsid w:val="005C7D7B"/>
    <w:rsid w:val="005C7D8F"/>
    <w:rsid w:val="005D0303"/>
    <w:rsid w:val="005D1B8E"/>
    <w:rsid w:val="005D2677"/>
    <w:rsid w:val="005D49E4"/>
    <w:rsid w:val="005D5075"/>
    <w:rsid w:val="005E0998"/>
    <w:rsid w:val="005E1760"/>
    <w:rsid w:val="005E55F3"/>
    <w:rsid w:val="005E66E2"/>
    <w:rsid w:val="005E6C41"/>
    <w:rsid w:val="005E6F92"/>
    <w:rsid w:val="005E723A"/>
    <w:rsid w:val="005E7C61"/>
    <w:rsid w:val="005F03F6"/>
    <w:rsid w:val="005F2D0A"/>
    <w:rsid w:val="005F2DF8"/>
    <w:rsid w:val="0060047F"/>
    <w:rsid w:val="00602D13"/>
    <w:rsid w:val="0060329E"/>
    <w:rsid w:val="006079A5"/>
    <w:rsid w:val="006079F7"/>
    <w:rsid w:val="0061023C"/>
    <w:rsid w:val="006113EF"/>
    <w:rsid w:val="00616A1B"/>
    <w:rsid w:val="00616F16"/>
    <w:rsid w:val="0061794C"/>
    <w:rsid w:val="00622DAC"/>
    <w:rsid w:val="00623B2B"/>
    <w:rsid w:val="006245D3"/>
    <w:rsid w:val="00625FA5"/>
    <w:rsid w:val="0063084C"/>
    <w:rsid w:val="00630CED"/>
    <w:rsid w:val="00631FAF"/>
    <w:rsid w:val="0063482E"/>
    <w:rsid w:val="006375A0"/>
    <w:rsid w:val="00637778"/>
    <w:rsid w:val="00637FF5"/>
    <w:rsid w:val="00644A66"/>
    <w:rsid w:val="006506C9"/>
    <w:rsid w:val="00651A40"/>
    <w:rsid w:val="0065222A"/>
    <w:rsid w:val="0066327D"/>
    <w:rsid w:val="00663AC1"/>
    <w:rsid w:val="006654EC"/>
    <w:rsid w:val="00667066"/>
    <w:rsid w:val="00670300"/>
    <w:rsid w:val="00670578"/>
    <w:rsid w:val="006726E7"/>
    <w:rsid w:val="006736E5"/>
    <w:rsid w:val="006743AF"/>
    <w:rsid w:val="00676E2D"/>
    <w:rsid w:val="00677028"/>
    <w:rsid w:val="00677075"/>
    <w:rsid w:val="006845DB"/>
    <w:rsid w:val="00685904"/>
    <w:rsid w:val="00686ADF"/>
    <w:rsid w:val="006871EE"/>
    <w:rsid w:val="00687561"/>
    <w:rsid w:val="00692302"/>
    <w:rsid w:val="0069370C"/>
    <w:rsid w:val="006A147E"/>
    <w:rsid w:val="006A1A52"/>
    <w:rsid w:val="006A2E28"/>
    <w:rsid w:val="006A3B00"/>
    <w:rsid w:val="006A5564"/>
    <w:rsid w:val="006A74DF"/>
    <w:rsid w:val="006B1C71"/>
    <w:rsid w:val="006B20BA"/>
    <w:rsid w:val="006B274C"/>
    <w:rsid w:val="006B661A"/>
    <w:rsid w:val="006B7291"/>
    <w:rsid w:val="006B76FD"/>
    <w:rsid w:val="006B7800"/>
    <w:rsid w:val="006C0930"/>
    <w:rsid w:val="006C1D36"/>
    <w:rsid w:val="006C2D6C"/>
    <w:rsid w:val="006C2E01"/>
    <w:rsid w:val="006C375D"/>
    <w:rsid w:val="006C6964"/>
    <w:rsid w:val="006C70D0"/>
    <w:rsid w:val="006D0838"/>
    <w:rsid w:val="006D20C6"/>
    <w:rsid w:val="006D3FFC"/>
    <w:rsid w:val="006D4146"/>
    <w:rsid w:val="006D619E"/>
    <w:rsid w:val="006D61CD"/>
    <w:rsid w:val="006D7C3B"/>
    <w:rsid w:val="006E029F"/>
    <w:rsid w:val="006E0642"/>
    <w:rsid w:val="006E1564"/>
    <w:rsid w:val="006E5649"/>
    <w:rsid w:val="006E7841"/>
    <w:rsid w:val="006F020B"/>
    <w:rsid w:val="006F1044"/>
    <w:rsid w:val="006F30A2"/>
    <w:rsid w:val="006F6892"/>
    <w:rsid w:val="00700005"/>
    <w:rsid w:val="00701159"/>
    <w:rsid w:val="00701D16"/>
    <w:rsid w:val="00702759"/>
    <w:rsid w:val="00711371"/>
    <w:rsid w:val="00711B48"/>
    <w:rsid w:val="00714BF9"/>
    <w:rsid w:val="00716C13"/>
    <w:rsid w:val="0072111E"/>
    <w:rsid w:val="00721C1A"/>
    <w:rsid w:val="00721DB8"/>
    <w:rsid w:val="007235A2"/>
    <w:rsid w:val="00723DF5"/>
    <w:rsid w:val="0072433E"/>
    <w:rsid w:val="00724AF3"/>
    <w:rsid w:val="0073020A"/>
    <w:rsid w:val="0073060A"/>
    <w:rsid w:val="00733EDE"/>
    <w:rsid w:val="007346F1"/>
    <w:rsid w:val="00735089"/>
    <w:rsid w:val="00735295"/>
    <w:rsid w:val="007359AF"/>
    <w:rsid w:val="007359DA"/>
    <w:rsid w:val="00740EBB"/>
    <w:rsid w:val="007436E8"/>
    <w:rsid w:val="00743792"/>
    <w:rsid w:val="00743DAB"/>
    <w:rsid w:val="00745944"/>
    <w:rsid w:val="007467BB"/>
    <w:rsid w:val="00750D23"/>
    <w:rsid w:val="0075134E"/>
    <w:rsid w:val="00752D59"/>
    <w:rsid w:val="00753985"/>
    <w:rsid w:val="00754486"/>
    <w:rsid w:val="0075582E"/>
    <w:rsid w:val="00757A12"/>
    <w:rsid w:val="00760C61"/>
    <w:rsid w:val="0076142C"/>
    <w:rsid w:val="00761C81"/>
    <w:rsid w:val="00762598"/>
    <w:rsid w:val="00764B25"/>
    <w:rsid w:val="00764BEE"/>
    <w:rsid w:val="00771A6B"/>
    <w:rsid w:val="00772AB7"/>
    <w:rsid w:val="00772DC6"/>
    <w:rsid w:val="007767A6"/>
    <w:rsid w:val="00782D2C"/>
    <w:rsid w:val="007834D3"/>
    <w:rsid w:val="00784E03"/>
    <w:rsid w:val="00786572"/>
    <w:rsid w:val="007865DD"/>
    <w:rsid w:val="00786DD4"/>
    <w:rsid w:val="00787455"/>
    <w:rsid w:val="00794DFF"/>
    <w:rsid w:val="00795983"/>
    <w:rsid w:val="00795A25"/>
    <w:rsid w:val="00797EA9"/>
    <w:rsid w:val="007A0081"/>
    <w:rsid w:val="007A302B"/>
    <w:rsid w:val="007A5460"/>
    <w:rsid w:val="007A54D1"/>
    <w:rsid w:val="007A5540"/>
    <w:rsid w:val="007A57EC"/>
    <w:rsid w:val="007B18CC"/>
    <w:rsid w:val="007B3289"/>
    <w:rsid w:val="007B3F3F"/>
    <w:rsid w:val="007B5887"/>
    <w:rsid w:val="007C1760"/>
    <w:rsid w:val="007C17F6"/>
    <w:rsid w:val="007C1BBD"/>
    <w:rsid w:val="007C2D7E"/>
    <w:rsid w:val="007C507D"/>
    <w:rsid w:val="007C50E3"/>
    <w:rsid w:val="007C5BB7"/>
    <w:rsid w:val="007D1F56"/>
    <w:rsid w:val="007D2F81"/>
    <w:rsid w:val="007D3567"/>
    <w:rsid w:val="007D50D9"/>
    <w:rsid w:val="007D5439"/>
    <w:rsid w:val="007D594B"/>
    <w:rsid w:val="007D76DA"/>
    <w:rsid w:val="007E1E5E"/>
    <w:rsid w:val="007E38A8"/>
    <w:rsid w:val="007E4AEC"/>
    <w:rsid w:val="007E7317"/>
    <w:rsid w:val="007E77BD"/>
    <w:rsid w:val="007F081A"/>
    <w:rsid w:val="007F54B7"/>
    <w:rsid w:val="007F7ADF"/>
    <w:rsid w:val="008039A9"/>
    <w:rsid w:val="00805C51"/>
    <w:rsid w:val="00806A7D"/>
    <w:rsid w:val="00807499"/>
    <w:rsid w:val="00807F30"/>
    <w:rsid w:val="00810658"/>
    <w:rsid w:val="00810981"/>
    <w:rsid w:val="0081308A"/>
    <w:rsid w:val="008164C2"/>
    <w:rsid w:val="00820A7B"/>
    <w:rsid w:val="00820CC3"/>
    <w:rsid w:val="00822FDF"/>
    <w:rsid w:val="0082334C"/>
    <w:rsid w:val="00824437"/>
    <w:rsid w:val="00830E0F"/>
    <w:rsid w:val="00831398"/>
    <w:rsid w:val="00836594"/>
    <w:rsid w:val="00837D53"/>
    <w:rsid w:val="0084286F"/>
    <w:rsid w:val="008440B1"/>
    <w:rsid w:val="0084480F"/>
    <w:rsid w:val="008448CA"/>
    <w:rsid w:val="00845F58"/>
    <w:rsid w:val="00846004"/>
    <w:rsid w:val="00850CCF"/>
    <w:rsid w:val="0085361F"/>
    <w:rsid w:val="00864067"/>
    <w:rsid w:val="00866025"/>
    <w:rsid w:val="00866BDD"/>
    <w:rsid w:val="008675A6"/>
    <w:rsid w:val="00873315"/>
    <w:rsid w:val="00877186"/>
    <w:rsid w:val="00877FD6"/>
    <w:rsid w:val="00882C22"/>
    <w:rsid w:val="008843E4"/>
    <w:rsid w:val="008914FC"/>
    <w:rsid w:val="00893E06"/>
    <w:rsid w:val="00894411"/>
    <w:rsid w:val="00895024"/>
    <w:rsid w:val="008964F6"/>
    <w:rsid w:val="00896A24"/>
    <w:rsid w:val="00897A9F"/>
    <w:rsid w:val="008A0691"/>
    <w:rsid w:val="008A0D38"/>
    <w:rsid w:val="008A1B10"/>
    <w:rsid w:val="008A3207"/>
    <w:rsid w:val="008A4116"/>
    <w:rsid w:val="008A43A4"/>
    <w:rsid w:val="008A43D2"/>
    <w:rsid w:val="008A53E5"/>
    <w:rsid w:val="008A588E"/>
    <w:rsid w:val="008A5CD5"/>
    <w:rsid w:val="008A638B"/>
    <w:rsid w:val="008A6A1B"/>
    <w:rsid w:val="008A6B1E"/>
    <w:rsid w:val="008A7293"/>
    <w:rsid w:val="008B08BB"/>
    <w:rsid w:val="008B1711"/>
    <w:rsid w:val="008B24CE"/>
    <w:rsid w:val="008B4C40"/>
    <w:rsid w:val="008C24A6"/>
    <w:rsid w:val="008C2A1C"/>
    <w:rsid w:val="008C3600"/>
    <w:rsid w:val="008C62BF"/>
    <w:rsid w:val="008C7350"/>
    <w:rsid w:val="008D0226"/>
    <w:rsid w:val="008D02C9"/>
    <w:rsid w:val="008D051B"/>
    <w:rsid w:val="008D2250"/>
    <w:rsid w:val="008D3D23"/>
    <w:rsid w:val="008D3DCA"/>
    <w:rsid w:val="008E3319"/>
    <w:rsid w:val="008E4FB6"/>
    <w:rsid w:val="008E580E"/>
    <w:rsid w:val="008E7ED1"/>
    <w:rsid w:val="008F2700"/>
    <w:rsid w:val="008F5C4B"/>
    <w:rsid w:val="0090081A"/>
    <w:rsid w:val="00901989"/>
    <w:rsid w:val="009031B7"/>
    <w:rsid w:val="009048BB"/>
    <w:rsid w:val="00904C3B"/>
    <w:rsid w:val="0090637B"/>
    <w:rsid w:val="009079AA"/>
    <w:rsid w:val="00912C22"/>
    <w:rsid w:val="00915ABA"/>
    <w:rsid w:val="00915FA3"/>
    <w:rsid w:val="009164BF"/>
    <w:rsid w:val="0091746E"/>
    <w:rsid w:val="00921DFA"/>
    <w:rsid w:val="00921F4C"/>
    <w:rsid w:val="0092212E"/>
    <w:rsid w:val="0092232C"/>
    <w:rsid w:val="00924085"/>
    <w:rsid w:val="00931F8D"/>
    <w:rsid w:val="00932ACF"/>
    <w:rsid w:val="0093542F"/>
    <w:rsid w:val="00935DD9"/>
    <w:rsid w:val="009368A7"/>
    <w:rsid w:val="00941210"/>
    <w:rsid w:val="00942320"/>
    <w:rsid w:val="00943269"/>
    <w:rsid w:val="009442E9"/>
    <w:rsid w:val="00944E47"/>
    <w:rsid w:val="0094543C"/>
    <w:rsid w:val="00946EA5"/>
    <w:rsid w:val="0095432C"/>
    <w:rsid w:val="0095499D"/>
    <w:rsid w:val="0095580A"/>
    <w:rsid w:val="00964458"/>
    <w:rsid w:val="00964F84"/>
    <w:rsid w:val="00965696"/>
    <w:rsid w:val="00966FC2"/>
    <w:rsid w:val="009675A8"/>
    <w:rsid w:val="00967DD5"/>
    <w:rsid w:val="009708DE"/>
    <w:rsid w:val="00971681"/>
    <w:rsid w:val="0097177B"/>
    <w:rsid w:val="00971F4D"/>
    <w:rsid w:val="009752AA"/>
    <w:rsid w:val="00975E64"/>
    <w:rsid w:val="009830A7"/>
    <w:rsid w:val="009850E0"/>
    <w:rsid w:val="00985701"/>
    <w:rsid w:val="00985F3B"/>
    <w:rsid w:val="00987F91"/>
    <w:rsid w:val="0099027C"/>
    <w:rsid w:val="009918AB"/>
    <w:rsid w:val="009919C0"/>
    <w:rsid w:val="00991C37"/>
    <w:rsid w:val="009A0A3C"/>
    <w:rsid w:val="009A10F0"/>
    <w:rsid w:val="009A46DC"/>
    <w:rsid w:val="009A4EF8"/>
    <w:rsid w:val="009A56E1"/>
    <w:rsid w:val="009A7BB8"/>
    <w:rsid w:val="009B0683"/>
    <w:rsid w:val="009B08EA"/>
    <w:rsid w:val="009B09FF"/>
    <w:rsid w:val="009B2AC6"/>
    <w:rsid w:val="009B36F3"/>
    <w:rsid w:val="009B4A9E"/>
    <w:rsid w:val="009B6402"/>
    <w:rsid w:val="009C006E"/>
    <w:rsid w:val="009C01F8"/>
    <w:rsid w:val="009C0A18"/>
    <w:rsid w:val="009C0BF4"/>
    <w:rsid w:val="009C1385"/>
    <w:rsid w:val="009C17A8"/>
    <w:rsid w:val="009C2119"/>
    <w:rsid w:val="009C2570"/>
    <w:rsid w:val="009C4FD5"/>
    <w:rsid w:val="009C7E79"/>
    <w:rsid w:val="009D2298"/>
    <w:rsid w:val="009D2673"/>
    <w:rsid w:val="009D344C"/>
    <w:rsid w:val="009D38B2"/>
    <w:rsid w:val="009D4958"/>
    <w:rsid w:val="009D5C58"/>
    <w:rsid w:val="009E1D0D"/>
    <w:rsid w:val="009E2975"/>
    <w:rsid w:val="009E300E"/>
    <w:rsid w:val="009E3FDF"/>
    <w:rsid w:val="009F35F4"/>
    <w:rsid w:val="009F38C6"/>
    <w:rsid w:val="009F4322"/>
    <w:rsid w:val="009F44EB"/>
    <w:rsid w:val="009F4905"/>
    <w:rsid w:val="009F51F1"/>
    <w:rsid w:val="00A00017"/>
    <w:rsid w:val="00A0157E"/>
    <w:rsid w:val="00A03830"/>
    <w:rsid w:val="00A0410E"/>
    <w:rsid w:val="00A049CE"/>
    <w:rsid w:val="00A067E3"/>
    <w:rsid w:val="00A10E7D"/>
    <w:rsid w:val="00A15C7A"/>
    <w:rsid w:val="00A15E24"/>
    <w:rsid w:val="00A20CF6"/>
    <w:rsid w:val="00A23645"/>
    <w:rsid w:val="00A24F33"/>
    <w:rsid w:val="00A25924"/>
    <w:rsid w:val="00A25A23"/>
    <w:rsid w:val="00A262E2"/>
    <w:rsid w:val="00A26BFB"/>
    <w:rsid w:val="00A27168"/>
    <w:rsid w:val="00A30278"/>
    <w:rsid w:val="00A311E0"/>
    <w:rsid w:val="00A33C55"/>
    <w:rsid w:val="00A33E20"/>
    <w:rsid w:val="00A35078"/>
    <w:rsid w:val="00A35751"/>
    <w:rsid w:val="00A358B2"/>
    <w:rsid w:val="00A37DE9"/>
    <w:rsid w:val="00A4001E"/>
    <w:rsid w:val="00A405F6"/>
    <w:rsid w:val="00A42135"/>
    <w:rsid w:val="00A45110"/>
    <w:rsid w:val="00A45238"/>
    <w:rsid w:val="00A45C7F"/>
    <w:rsid w:val="00A45F7F"/>
    <w:rsid w:val="00A47B74"/>
    <w:rsid w:val="00A50B87"/>
    <w:rsid w:val="00A52041"/>
    <w:rsid w:val="00A53DDF"/>
    <w:rsid w:val="00A54FB6"/>
    <w:rsid w:val="00A55200"/>
    <w:rsid w:val="00A5629C"/>
    <w:rsid w:val="00A60E4E"/>
    <w:rsid w:val="00A61A16"/>
    <w:rsid w:val="00A6685E"/>
    <w:rsid w:val="00A70242"/>
    <w:rsid w:val="00A70BB4"/>
    <w:rsid w:val="00A712ED"/>
    <w:rsid w:val="00A71B19"/>
    <w:rsid w:val="00A71BAF"/>
    <w:rsid w:val="00A72EFE"/>
    <w:rsid w:val="00A75121"/>
    <w:rsid w:val="00A765A9"/>
    <w:rsid w:val="00A80965"/>
    <w:rsid w:val="00A810D8"/>
    <w:rsid w:val="00A813A7"/>
    <w:rsid w:val="00A81BE6"/>
    <w:rsid w:val="00A81EC1"/>
    <w:rsid w:val="00A84FAA"/>
    <w:rsid w:val="00A86304"/>
    <w:rsid w:val="00A866A1"/>
    <w:rsid w:val="00A86DA7"/>
    <w:rsid w:val="00A87BB2"/>
    <w:rsid w:val="00A87F79"/>
    <w:rsid w:val="00A90801"/>
    <w:rsid w:val="00A92F58"/>
    <w:rsid w:val="00A93BDC"/>
    <w:rsid w:val="00A97328"/>
    <w:rsid w:val="00AA152E"/>
    <w:rsid w:val="00AA4E24"/>
    <w:rsid w:val="00AA74AA"/>
    <w:rsid w:val="00AA776F"/>
    <w:rsid w:val="00AA7E05"/>
    <w:rsid w:val="00AB0647"/>
    <w:rsid w:val="00AB4266"/>
    <w:rsid w:val="00AB5485"/>
    <w:rsid w:val="00AB7DFA"/>
    <w:rsid w:val="00AC115A"/>
    <w:rsid w:val="00AC1B7E"/>
    <w:rsid w:val="00AC4283"/>
    <w:rsid w:val="00AC64B9"/>
    <w:rsid w:val="00AC74B7"/>
    <w:rsid w:val="00AC76B8"/>
    <w:rsid w:val="00AD0229"/>
    <w:rsid w:val="00AD3BA0"/>
    <w:rsid w:val="00AD67A1"/>
    <w:rsid w:val="00AD70E2"/>
    <w:rsid w:val="00AE16C2"/>
    <w:rsid w:val="00AE333C"/>
    <w:rsid w:val="00AE3A26"/>
    <w:rsid w:val="00AE450E"/>
    <w:rsid w:val="00AE62CD"/>
    <w:rsid w:val="00AE64A7"/>
    <w:rsid w:val="00AE7AA9"/>
    <w:rsid w:val="00AF1C48"/>
    <w:rsid w:val="00AF271B"/>
    <w:rsid w:val="00AF3350"/>
    <w:rsid w:val="00AF6307"/>
    <w:rsid w:val="00AF7D33"/>
    <w:rsid w:val="00B02040"/>
    <w:rsid w:val="00B02F17"/>
    <w:rsid w:val="00B077E3"/>
    <w:rsid w:val="00B07C73"/>
    <w:rsid w:val="00B136FE"/>
    <w:rsid w:val="00B13AB5"/>
    <w:rsid w:val="00B15898"/>
    <w:rsid w:val="00B16A72"/>
    <w:rsid w:val="00B16BBB"/>
    <w:rsid w:val="00B22FE9"/>
    <w:rsid w:val="00B24807"/>
    <w:rsid w:val="00B25790"/>
    <w:rsid w:val="00B25DCE"/>
    <w:rsid w:val="00B26AFF"/>
    <w:rsid w:val="00B31F70"/>
    <w:rsid w:val="00B33007"/>
    <w:rsid w:val="00B34AD6"/>
    <w:rsid w:val="00B400A3"/>
    <w:rsid w:val="00B4038A"/>
    <w:rsid w:val="00B419BA"/>
    <w:rsid w:val="00B445AE"/>
    <w:rsid w:val="00B47908"/>
    <w:rsid w:val="00B47921"/>
    <w:rsid w:val="00B47EB1"/>
    <w:rsid w:val="00B47F3C"/>
    <w:rsid w:val="00B50595"/>
    <w:rsid w:val="00B52077"/>
    <w:rsid w:val="00B53484"/>
    <w:rsid w:val="00B5499A"/>
    <w:rsid w:val="00B57BA5"/>
    <w:rsid w:val="00B62DAE"/>
    <w:rsid w:val="00B63902"/>
    <w:rsid w:val="00B66286"/>
    <w:rsid w:val="00B66D6B"/>
    <w:rsid w:val="00B7558F"/>
    <w:rsid w:val="00B75C66"/>
    <w:rsid w:val="00B7642E"/>
    <w:rsid w:val="00B82400"/>
    <w:rsid w:val="00B832DC"/>
    <w:rsid w:val="00B83948"/>
    <w:rsid w:val="00B84508"/>
    <w:rsid w:val="00B8472A"/>
    <w:rsid w:val="00B84754"/>
    <w:rsid w:val="00B902ED"/>
    <w:rsid w:val="00B92350"/>
    <w:rsid w:val="00B925A8"/>
    <w:rsid w:val="00B93CB6"/>
    <w:rsid w:val="00B93E5D"/>
    <w:rsid w:val="00B94F20"/>
    <w:rsid w:val="00B9516B"/>
    <w:rsid w:val="00B952DC"/>
    <w:rsid w:val="00BA18DD"/>
    <w:rsid w:val="00BA1B5B"/>
    <w:rsid w:val="00BA1C85"/>
    <w:rsid w:val="00BA4EB5"/>
    <w:rsid w:val="00BB2847"/>
    <w:rsid w:val="00BB2CB0"/>
    <w:rsid w:val="00BB329E"/>
    <w:rsid w:val="00BB436D"/>
    <w:rsid w:val="00BB5576"/>
    <w:rsid w:val="00BB7732"/>
    <w:rsid w:val="00BC0CA8"/>
    <w:rsid w:val="00BC18F4"/>
    <w:rsid w:val="00BC1A5D"/>
    <w:rsid w:val="00BC3553"/>
    <w:rsid w:val="00BC42A1"/>
    <w:rsid w:val="00BC54E8"/>
    <w:rsid w:val="00BC5E22"/>
    <w:rsid w:val="00BC6BA6"/>
    <w:rsid w:val="00BC77D3"/>
    <w:rsid w:val="00BC7C7E"/>
    <w:rsid w:val="00BD1D0A"/>
    <w:rsid w:val="00BD233C"/>
    <w:rsid w:val="00BD70AB"/>
    <w:rsid w:val="00BE2390"/>
    <w:rsid w:val="00BE310A"/>
    <w:rsid w:val="00BE4C43"/>
    <w:rsid w:val="00BE775B"/>
    <w:rsid w:val="00BE7A27"/>
    <w:rsid w:val="00BF03B0"/>
    <w:rsid w:val="00BF25D2"/>
    <w:rsid w:val="00BF32FA"/>
    <w:rsid w:val="00BF59C1"/>
    <w:rsid w:val="00BF5A4A"/>
    <w:rsid w:val="00BF5D1E"/>
    <w:rsid w:val="00BF6B2A"/>
    <w:rsid w:val="00BF7D25"/>
    <w:rsid w:val="00C00F35"/>
    <w:rsid w:val="00C01643"/>
    <w:rsid w:val="00C02370"/>
    <w:rsid w:val="00C024BE"/>
    <w:rsid w:val="00C02FC1"/>
    <w:rsid w:val="00C0363A"/>
    <w:rsid w:val="00C03F8C"/>
    <w:rsid w:val="00C06498"/>
    <w:rsid w:val="00C1074A"/>
    <w:rsid w:val="00C10D09"/>
    <w:rsid w:val="00C114EE"/>
    <w:rsid w:val="00C150E7"/>
    <w:rsid w:val="00C2291F"/>
    <w:rsid w:val="00C22E7F"/>
    <w:rsid w:val="00C25440"/>
    <w:rsid w:val="00C25A66"/>
    <w:rsid w:val="00C263AC"/>
    <w:rsid w:val="00C26BBE"/>
    <w:rsid w:val="00C31B64"/>
    <w:rsid w:val="00C3276F"/>
    <w:rsid w:val="00C37438"/>
    <w:rsid w:val="00C405DD"/>
    <w:rsid w:val="00C42DC8"/>
    <w:rsid w:val="00C43C2F"/>
    <w:rsid w:val="00C509E2"/>
    <w:rsid w:val="00C50BB1"/>
    <w:rsid w:val="00C510C7"/>
    <w:rsid w:val="00C51363"/>
    <w:rsid w:val="00C519E2"/>
    <w:rsid w:val="00C52ADE"/>
    <w:rsid w:val="00C552DC"/>
    <w:rsid w:val="00C554A4"/>
    <w:rsid w:val="00C56701"/>
    <w:rsid w:val="00C57D61"/>
    <w:rsid w:val="00C607FE"/>
    <w:rsid w:val="00C61548"/>
    <w:rsid w:val="00C61CED"/>
    <w:rsid w:val="00C6498D"/>
    <w:rsid w:val="00C64D75"/>
    <w:rsid w:val="00C6688C"/>
    <w:rsid w:val="00C67C66"/>
    <w:rsid w:val="00C7074D"/>
    <w:rsid w:val="00C709AA"/>
    <w:rsid w:val="00C72282"/>
    <w:rsid w:val="00C7717E"/>
    <w:rsid w:val="00C85BEE"/>
    <w:rsid w:val="00C86754"/>
    <w:rsid w:val="00C868F7"/>
    <w:rsid w:val="00C901E1"/>
    <w:rsid w:val="00C905FF"/>
    <w:rsid w:val="00C910E5"/>
    <w:rsid w:val="00C92C1A"/>
    <w:rsid w:val="00C95BD3"/>
    <w:rsid w:val="00C964AE"/>
    <w:rsid w:val="00CA027B"/>
    <w:rsid w:val="00CA0408"/>
    <w:rsid w:val="00CA1503"/>
    <w:rsid w:val="00CA2C85"/>
    <w:rsid w:val="00CA3986"/>
    <w:rsid w:val="00CA72BA"/>
    <w:rsid w:val="00CA7631"/>
    <w:rsid w:val="00CA77F8"/>
    <w:rsid w:val="00CA79AF"/>
    <w:rsid w:val="00CA7F32"/>
    <w:rsid w:val="00CB40B1"/>
    <w:rsid w:val="00CC1BEB"/>
    <w:rsid w:val="00CC2CB2"/>
    <w:rsid w:val="00CC371C"/>
    <w:rsid w:val="00CC47FF"/>
    <w:rsid w:val="00CC549A"/>
    <w:rsid w:val="00CD456B"/>
    <w:rsid w:val="00CE1B50"/>
    <w:rsid w:val="00CE26C5"/>
    <w:rsid w:val="00CE2DEC"/>
    <w:rsid w:val="00CE31F7"/>
    <w:rsid w:val="00CE3F55"/>
    <w:rsid w:val="00CE5AAD"/>
    <w:rsid w:val="00CE5CAC"/>
    <w:rsid w:val="00CE6FAC"/>
    <w:rsid w:val="00CE7300"/>
    <w:rsid w:val="00CF0061"/>
    <w:rsid w:val="00CF2744"/>
    <w:rsid w:val="00CF59B9"/>
    <w:rsid w:val="00CF5D4F"/>
    <w:rsid w:val="00CF7815"/>
    <w:rsid w:val="00D006D6"/>
    <w:rsid w:val="00D020AD"/>
    <w:rsid w:val="00D0379E"/>
    <w:rsid w:val="00D07154"/>
    <w:rsid w:val="00D079FE"/>
    <w:rsid w:val="00D07C95"/>
    <w:rsid w:val="00D10AE1"/>
    <w:rsid w:val="00D111A2"/>
    <w:rsid w:val="00D16F45"/>
    <w:rsid w:val="00D17EA3"/>
    <w:rsid w:val="00D20548"/>
    <w:rsid w:val="00D22127"/>
    <w:rsid w:val="00D22ECC"/>
    <w:rsid w:val="00D24152"/>
    <w:rsid w:val="00D24FA8"/>
    <w:rsid w:val="00D327BB"/>
    <w:rsid w:val="00D369D1"/>
    <w:rsid w:val="00D40DFF"/>
    <w:rsid w:val="00D40F5B"/>
    <w:rsid w:val="00D412E7"/>
    <w:rsid w:val="00D4152F"/>
    <w:rsid w:val="00D4360A"/>
    <w:rsid w:val="00D43CA2"/>
    <w:rsid w:val="00D45545"/>
    <w:rsid w:val="00D46178"/>
    <w:rsid w:val="00D468C2"/>
    <w:rsid w:val="00D5047B"/>
    <w:rsid w:val="00D5051C"/>
    <w:rsid w:val="00D50E06"/>
    <w:rsid w:val="00D56BA4"/>
    <w:rsid w:val="00D57BD9"/>
    <w:rsid w:val="00D60DE6"/>
    <w:rsid w:val="00D63FE4"/>
    <w:rsid w:val="00D654F8"/>
    <w:rsid w:val="00D704C4"/>
    <w:rsid w:val="00D730B9"/>
    <w:rsid w:val="00D732D1"/>
    <w:rsid w:val="00D7366A"/>
    <w:rsid w:val="00D739D7"/>
    <w:rsid w:val="00D73C7C"/>
    <w:rsid w:val="00D81FCA"/>
    <w:rsid w:val="00D83983"/>
    <w:rsid w:val="00D868F9"/>
    <w:rsid w:val="00D94188"/>
    <w:rsid w:val="00D960D9"/>
    <w:rsid w:val="00D96BCB"/>
    <w:rsid w:val="00DA1FE3"/>
    <w:rsid w:val="00DA28B1"/>
    <w:rsid w:val="00DA3422"/>
    <w:rsid w:val="00DA42AE"/>
    <w:rsid w:val="00DA6633"/>
    <w:rsid w:val="00DB0865"/>
    <w:rsid w:val="00DB2735"/>
    <w:rsid w:val="00DB3E86"/>
    <w:rsid w:val="00DB407B"/>
    <w:rsid w:val="00DB4272"/>
    <w:rsid w:val="00DB5E16"/>
    <w:rsid w:val="00DB5FDC"/>
    <w:rsid w:val="00DC0080"/>
    <w:rsid w:val="00DC3C75"/>
    <w:rsid w:val="00DC4286"/>
    <w:rsid w:val="00DC4ACA"/>
    <w:rsid w:val="00DC4CA4"/>
    <w:rsid w:val="00DC7A06"/>
    <w:rsid w:val="00DD019A"/>
    <w:rsid w:val="00DD1373"/>
    <w:rsid w:val="00DD1381"/>
    <w:rsid w:val="00DD2952"/>
    <w:rsid w:val="00DD52DC"/>
    <w:rsid w:val="00DD538C"/>
    <w:rsid w:val="00DD622F"/>
    <w:rsid w:val="00DD75C9"/>
    <w:rsid w:val="00DD7D1A"/>
    <w:rsid w:val="00DE1071"/>
    <w:rsid w:val="00DE3063"/>
    <w:rsid w:val="00DE468A"/>
    <w:rsid w:val="00DE4A5C"/>
    <w:rsid w:val="00DE4BB9"/>
    <w:rsid w:val="00DE5BE1"/>
    <w:rsid w:val="00DE7FBF"/>
    <w:rsid w:val="00DF0FC7"/>
    <w:rsid w:val="00DF319B"/>
    <w:rsid w:val="00DF58AE"/>
    <w:rsid w:val="00DF7A1E"/>
    <w:rsid w:val="00E012E8"/>
    <w:rsid w:val="00E0177F"/>
    <w:rsid w:val="00E0180D"/>
    <w:rsid w:val="00E01D42"/>
    <w:rsid w:val="00E02FAB"/>
    <w:rsid w:val="00E06851"/>
    <w:rsid w:val="00E1200D"/>
    <w:rsid w:val="00E1366C"/>
    <w:rsid w:val="00E13931"/>
    <w:rsid w:val="00E1552E"/>
    <w:rsid w:val="00E17CA1"/>
    <w:rsid w:val="00E209B0"/>
    <w:rsid w:val="00E2588C"/>
    <w:rsid w:val="00E300EC"/>
    <w:rsid w:val="00E334B5"/>
    <w:rsid w:val="00E337F8"/>
    <w:rsid w:val="00E363E3"/>
    <w:rsid w:val="00E3771E"/>
    <w:rsid w:val="00E4157E"/>
    <w:rsid w:val="00E431D2"/>
    <w:rsid w:val="00E43FE0"/>
    <w:rsid w:val="00E464C3"/>
    <w:rsid w:val="00E47F5D"/>
    <w:rsid w:val="00E50D6E"/>
    <w:rsid w:val="00E51020"/>
    <w:rsid w:val="00E5130E"/>
    <w:rsid w:val="00E51C3D"/>
    <w:rsid w:val="00E51EF2"/>
    <w:rsid w:val="00E55B99"/>
    <w:rsid w:val="00E61A30"/>
    <w:rsid w:val="00E62558"/>
    <w:rsid w:val="00E62E98"/>
    <w:rsid w:val="00E63181"/>
    <w:rsid w:val="00E633F8"/>
    <w:rsid w:val="00E63869"/>
    <w:rsid w:val="00E664C1"/>
    <w:rsid w:val="00E6728B"/>
    <w:rsid w:val="00E67A43"/>
    <w:rsid w:val="00E70D57"/>
    <w:rsid w:val="00E721F2"/>
    <w:rsid w:val="00E727F7"/>
    <w:rsid w:val="00E74950"/>
    <w:rsid w:val="00E81A7F"/>
    <w:rsid w:val="00E81E92"/>
    <w:rsid w:val="00E83285"/>
    <w:rsid w:val="00E84FF9"/>
    <w:rsid w:val="00E909DB"/>
    <w:rsid w:val="00E9123B"/>
    <w:rsid w:val="00E96259"/>
    <w:rsid w:val="00E96FA6"/>
    <w:rsid w:val="00E97C6A"/>
    <w:rsid w:val="00EA038D"/>
    <w:rsid w:val="00EA0EC9"/>
    <w:rsid w:val="00EA0F13"/>
    <w:rsid w:val="00EA1763"/>
    <w:rsid w:val="00EA224C"/>
    <w:rsid w:val="00EA55C5"/>
    <w:rsid w:val="00EA6D8A"/>
    <w:rsid w:val="00EB21D9"/>
    <w:rsid w:val="00EB578F"/>
    <w:rsid w:val="00EB7714"/>
    <w:rsid w:val="00EB798F"/>
    <w:rsid w:val="00EC1778"/>
    <w:rsid w:val="00EC49FB"/>
    <w:rsid w:val="00EC5955"/>
    <w:rsid w:val="00EC6B5B"/>
    <w:rsid w:val="00EC7438"/>
    <w:rsid w:val="00ED0790"/>
    <w:rsid w:val="00ED24F3"/>
    <w:rsid w:val="00ED35D7"/>
    <w:rsid w:val="00ED68D8"/>
    <w:rsid w:val="00EE0C70"/>
    <w:rsid w:val="00EE14C3"/>
    <w:rsid w:val="00EE15EB"/>
    <w:rsid w:val="00EE28AC"/>
    <w:rsid w:val="00EE2E61"/>
    <w:rsid w:val="00EE5214"/>
    <w:rsid w:val="00EE7D61"/>
    <w:rsid w:val="00EF276F"/>
    <w:rsid w:val="00EF396D"/>
    <w:rsid w:val="00EF3C71"/>
    <w:rsid w:val="00EF5917"/>
    <w:rsid w:val="00EF7419"/>
    <w:rsid w:val="00EF7759"/>
    <w:rsid w:val="00F00E5E"/>
    <w:rsid w:val="00F00F73"/>
    <w:rsid w:val="00F01C5D"/>
    <w:rsid w:val="00F025BD"/>
    <w:rsid w:val="00F0587F"/>
    <w:rsid w:val="00F07A52"/>
    <w:rsid w:val="00F10205"/>
    <w:rsid w:val="00F105E7"/>
    <w:rsid w:val="00F129BE"/>
    <w:rsid w:val="00F132DB"/>
    <w:rsid w:val="00F135AC"/>
    <w:rsid w:val="00F1397F"/>
    <w:rsid w:val="00F159F3"/>
    <w:rsid w:val="00F15A26"/>
    <w:rsid w:val="00F15D61"/>
    <w:rsid w:val="00F16B0C"/>
    <w:rsid w:val="00F202E0"/>
    <w:rsid w:val="00F20364"/>
    <w:rsid w:val="00F203D3"/>
    <w:rsid w:val="00F22239"/>
    <w:rsid w:val="00F22669"/>
    <w:rsid w:val="00F25898"/>
    <w:rsid w:val="00F31DF9"/>
    <w:rsid w:val="00F32548"/>
    <w:rsid w:val="00F32755"/>
    <w:rsid w:val="00F34162"/>
    <w:rsid w:val="00F34C4C"/>
    <w:rsid w:val="00F3671B"/>
    <w:rsid w:val="00F37E6F"/>
    <w:rsid w:val="00F40F85"/>
    <w:rsid w:val="00F416B5"/>
    <w:rsid w:val="00F4224F"/>
    <w:rsid w:val="00F4308A"/>
    <w:rsid w:val="00F44247"/>
    <w:rsid w:val="00F467C8"/>
    <w:rsid w:val="00F50677"/>
    <w:rsid w:val="00F50767"/>
    <w:rsid w:val="00F52E85"/>
    <w:rsid w:val="00F534D5"/>
    <w:rsid w:val="00F5640E"/>
    <w:rsid w:val="00F57522"/>
    <w:rsid w:val="00F579C4"/>
    <w:rsid w:val="00F57FC1"/>
    <w:rsid w:val="00F60592"/>
    <w:rsid w:val="00F626A1"/>
    <w:rsid w:val="00F64FE9"/>
    <w:rsid w:val="00F66ACB"/>
    <w:rsid w:val="00F67CC9"/>
    <w:rsid w:val="00F67EA5"/>
    <w:rsid w:val="00F7026F"/>
    <w:rsid w:val="00F70573"/>
    <w:rsid w:val="00F7195F"/>
    <w:rsid w:val="00F723C7"/>
    <w:rsid w:val="00F80381"/>
    <w:rsid w:val="00F80D0C"/>
    <w:rsid w:val="00F821F1"/>
    <w:rsid w:val="00F84263"/>
    <w:rsid w:val="00F85982"/>
    <w:rsid w:val="00F87A04"/>
    <w:rsid w:val="00F91642"/>
    <w:rsid w:val="00F932D2"/>
    <w:rsid w:val="00F951B5"/>
    <w:rsid w:val="00F95EEA"/>
    <w:rsid w:val="00FA090B"/>
    <w:rsid w:val="00FA0EF2"/>
    <w:rsid w:val="00FA1B89"/>
    <w:rsid w:val="00FA1D39"/>
    <w:rsid w:val="00FA2FE8"/>
    <w:rsid w:val="00FA4B71"/>
    <w:rsid w:val="00FA4D10"/>
    <w:rsid w:val="00FA60BD"/>
    <w:rsid w:val="00FA6A24"/>
    <w:rsid w:val="00FB1568"/>
    <w:rsid w:val="00FB1913"/>
    <w:rsid w:val="00FB2A5A"/>
    <w:rsid w:val="00FB5650"/>
    <w:rsid w:val="00FB586C"/>
    <w:rsid w:val="00FB660B"/>
    <w:rsid w:val="00FC0A64"/>
    <w:rsid w:val="00FC0E55"/>
    <w:rsid w:val="00FC5028"/>
    <w:rsid w:val="00FC6311"/>
    <w:rsid w:val="00FD3913"/>
    <w:rsid w:val="00FD42F7"/>
    <w:rsid w:val="00FD4451"/>
    <w:rsid w:val="00FE040E"/>
    <w:rsid w:val="00FE1A72"/>
    <w:rsid w:val="00FE31E1"/>
    <w:rsid w:val="00FF27F5"/>
    <w:rsid w:val="00FF2C54"/>
    <w:rsid w:val="00FF6C98"/>
    <w:rsid w:val="1454406D"/>
    <w:rsid w:val="1850C38A"/>
    <w:rsid w:val="43ECA61F"/>
    <w:rsid w:val="49B63317"/>
    <w:rsid w:val="4E37024C"/>
    <w:rsid w:val="5945C748"/>
    <w:rsid w:val="5BA5D18F"/>
    <w:rsid w:val="5BAA1915"/>
    <w:rsid w:val="6EDBC571"/>
    <w:rsid w:val="70A98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C58D86"/>
  <w15:chartTrackingRefBased/>
  <w15:docId w15:val="{8F46439D-488E-4C28-AECA-1A5EE56C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64C3"/>
  </w:style>
  <w:style w:type="paragraph" w:styleId="Heading1">
    <w:name w:val="heading 1"/>
    <w:basedOn w:val="Normal"/>
    <w:link w:val="Heading1Char"/>
    <w:uiPriority w:val="1"/>
    <w:qFormat/>
    <w:rsid w:val="00E464C3"/>
    <w:pPr>
      <w:outlineLvl w:val="0"/>
    </w:pPr>
    <w:rPr>
      <w:b/>
      <w:bCs/>
      <w:sz w:val="28"/>
      <w:szCs w:val="24"/>
    </w:rPr>
  </w:style>
  <w:style w:type="paragraph" w:styleId="Heading2">
    <w:name w:val="heading 2"/>
    <w:basedOn w:val="Heading3"/>
    <w:next w:val="Normal"/>
    <w:link w:val="Heading2Char"/>
    <w:uiPriority w:val="9"/>
    <w:unhideWhenUsed/>
    <w:qFormat/>
    <w:rsid w:val="00E464C3"/>
    <w:pPr>
      <w:numPr>
        <w:numId w:val="0"/>
      </w:numPr>
      <w:outlineLvl w:val="1"/>
    </w:pPr>
  </w:style>
  <w:style w:type="paragraph" w:styleId="Heading3">
    <w:name w:val="heading 3"/>
    <w:basedOn w:val="ListParagraph"/>
    <w:next w:val="Normal"/>
    <w:link w:val="Heading3Char"/>
    <w:uiPriority w:val="9"/>
    <w:unhideWhenUsed/>
    <w:qFormat/>
    <w:rsid w:val="00E464C3"/>
    <w:pPr>
      <w:numPr>
        <w:numId w:val="2"/>
      </w:numPr>
      <w:outlineLvl w:val="2"/>
    </w:pPr>
    <w:rPr>
      <w:b/>
      <w:bCs/>
      <w:i/>
      <w:iCs/>
    </w:rPr>
  </w:style>
  <w:style w:type="paragraph" w:styleId="Heading4">
    <w:name w:val="heading 4"/>
    <w:basedOn w:val="ListParagraph"/>
    <w:next w:val="Normal"/>
    <w:link w:val="Heading4Char"/>
    <w:uiPriority w:val="9"/>
    <w:unhideWhenUsed/>
    <w:qFormat/>
    <w:rsid w:val="00E464C3"/>
    <w:pPr>
      <w:numPr>
        <w:numId w:val="9"/>
      </w:numPr>
      <w:tabs>
        <w:tab w:val="num" w:pos="360"/>
      </w:tabs>
      <w:spacing w:after="0"/>
      <w:ind w:left="1440" w:firstLine="0"/>
      <w:outlineLvl w:val="3"/>
    </w:pPr>
    <w:rPr>
      <w:rFont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4C3"/>
  </w:style>
  <w:style w:type="paragraph" w:styleId="Footer">
    <w:name w:val="footer"/>
    <w:basedOn w:val="Normal"/>
    <w:link w:val="FooterChar"/>
    <w:uiPriority w:val="99"/>
    <w:unhideWhenUsed/>
    <w:rsid w:val="00E46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4C3"/>
  </w:style>
  <w:style w:type="character" w:customStyle="1" w:styleId="Heading1Char">
    <w:name w:val="Heading 1 Char"/>
    <w:basedOn w:val="DefaultParagraphFont"/>
    <w:link w:val="Heading1"/>
    <w:uiPriority w:val="1"/>
    <w:rsid w:val="00E464C3"/>
    <w:rPr>
      <w:b/>
      <w:bCs/>
      <w:sz w:val="28"/>
      <w:szCs w:val="24"/>
    </w:rPr>
  </w:style>
  <w:style w:type="character" w:customStyle="1" w:styleId="Heading2Char">
    <w:name w:val="Heading 2 Char"/>
    <w:basedOn w:val="DefaultParagraphFont"/>
    <w:link w:val="Heading2"/>
    <w:uiPriority w:val="9"/>
    <w:rsid w:val="00E464C3"/>
    <w:rPr>
      <w:b/>
      <w:bCs/>
      <w:i/>
      <w:iCs/>
    </w:rPr>
  </w:style>
  <w:style w:type="character" w:customStyle="1" w:styleId="Heading3Char">
    <w:name w:val="Heading 3 Char"/>
    <w:basedOn w:val="DefaultParagraphFont"/>
    <w:link w:val="Heading3"/>
    <w:uiPriority w:val="9"/>
    <w:rsid w:val="00E464C3"/>
    <w:rPr>
      <w:b/>
      <w:bCs/>
      <w:i/>
      <w:iCs/>
    </w:rPr>
  </w:style>
  <w:style w:type="character" w:customStyle="1" w:styleId="Heading4Char">
    <w:name w:val="Heading 4 Char"/>
    <w:basedOn w:val="DefaultParagraphFont"/>
    <w:link w:val="Heading4"/>
    <w:uiPriority w:val="9"/>
    <w:rsid w:val="00E464C3"/>
    <w:rPr>
      <w:rFonts w:cs="Arial"/>
      <w:b/>
      <w:bCs/>
      <w:szCs w:val="24"/>
    </w:rPr>
  </w:style>
  <w:style w:type="paragraph" w:styleId="ListParagraph">
    <w:name w:val="List Paragraph"/>
    <w:basedOn w:val="Normal"/>
    <w:link w:val="ListParagraphChar"/>
    <w:uiPriority w:val="1"/>
    <w:qFormat/>
    <w:rsid w:val="00E464C3"/>
    <w:pPr>
      <w:ind w:left="720"/>
      <w:contextualSpacing/>
    </w:pPr>
  </w:style>
  <w:style w:type="paragraph" w:styleId="BalloonText">
    <w:name w:val="Balloon Text"/>
    <w:basedOn w:val="Normal"/>
    <w:link w:val="BalloonTextChar"/>
    <w:uiPriority w:val="99"/>
    <w:semiHidden/>
    <w:unhideWhenUsed/>
    <w:rsid w:val="00E46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4C3"/>
    <w:rPr>
      <w:rFonts w:ascii="Segoe UI" w:hAnsi="Segoe UI" w:cs="Segoe UI"/>
      <w:sz w:val="18"/>
      <w:szCs w:val="18"/>
    </w:rPr>
  </w:style>
  <w:style w:type="character" w:styleId="CommentReference">
    <w:name w:val="annotation reference"/>
    <w:basedOn w:val="DefaultParagraphFont"/>
    <w:uiPriority w:val="99"/>
    <w:semiHidden/>
    <w:unhideWhenUsed/>
    <w:rsid w:val="00E464C3"/>
    <w:rPr>
      <w:sz w:val="16"/>
      <w:szCs w:val="16"/>
    </w:rPr>
  </w:style>
  <w:style w:type="paragraph" w:styleId="CommentText">
    <w:name w:val="annotation text"/>
    <w:basedOn w:val="Normal"/>
    <w:link w:val="CommentTextChar"/>
    <w:uiPriority w:val="99"/>
    <w:unhideWhenUsed/>
    <w:rsid w:val="00E464C3"/>
    <w:pPr>
      <w:spacing w:line="240" w:lineRule="auto"/>
    </w:pPr>
    <w:rPr>
      <w:sz w:val="20"/>
      <w:szCs w:val="20"/>
    </w:rPr>
  </w:style>
  <w:style w:type="character" w:customStyle="1" w:styleId="CommentTextChar">
    <w:name w:val="Comment Text Char"/>
    <w:basedOn w:val="DefaultParagraphFont"/>
    <w:link w:val="CommentText"/>
    <w:uiPriority w:val="99"/>
    <w:rsid w:val="00E464C3"/>
    <w:rPr>
      <w:sz w:val="20"/>
      <w:szCs w:val="20"/>
    </w:rPr>
  </w:style>
  <w:style w:type="character" w:styleId="Hyperlink">
    <w:name w:val="Hyperlink"/>
    <w:basedOn w:val="DefaultParagraphFont"/>
    <w:uiPriority w:val="99"/>
    <w:unhideWhenUsed/>
    <w:rsid w:val="00E464C3"/>
    <w:rPr>
      <w:color w:val="0000FF"/>
      <w:u w:val="single"/>
    </w:rPr>
  </w:style>
  <w:style w:type="character" w:customStyle="1" w:styleId="ListParagraphChar">
    <w:name w:val="List Paragraph Char"/>
    <w:basedOn w:val="DefaultParagraphFont"/>
    <w:link w:val="ListParagraph"/>
    <w:uiPriority w:val="34"/>
    <w:locked/>
    <w:rsid w:val="00E464C3"/>
  </w:style>
  <w:style w:type="character" w:customStyle="1" w:styleId="Style1Char">
    <w:name w:val="Style1 Char"/>
    <w:basedOn w:val="DefaultParagraphFont"/>
    <w:link w:val="Style1"/>
    <w:locked/>
    <w:rsid w:val="00E464C3"/>
    <w:rPr>
      <w:rFonts w:eastAsia="Times New Roman" w:cs="Arial"/>
      <w:b/>
      <w:szCs w:val="24"/>
    </w:rPr>
  </w:style>
  <w:style w:type="paragraph" w:customStyle="1" w:styleId="Style1">
    <w:name w:val="Style1"/>
    <w:basedOn w:val="Normal"/>
    <w:link w:val="Style1Char"/>
    <w:qFormat/>
    <w:rsid w:val="00E464C3"/>
    <w:pPr>
      <w:numPr>
        <w:numId w:val="4"/>
      </w:numPr>
      <w:spacing w:before="120" w:after="120" w:line="240" w:lineRule="auto"/>
      <w:jc w:val="both"/>
    </w:pPr>
    <w:rPr>
      <w:rFonts w:eastAsia="Times New Roman" w:cs="Arial"/>
      <w:b/>
      <w:szCs w:val="24"/>
    </w:rPr>
  </w:style>
  <w:style w:type="paragraph" w:styleId="BodyText">
    <w:name w:val="Body Text"/>
    <w:basedOn w:val="Normal"/>
    <w:link w:val="BodyTextChar"/>
    <w:uiPriority w:val="1"/>
    <w:unhideWhenUsed/>
    <w:qFormat/>
    <w:rsid w:val="00E464C3"/>
    <w:pPr>
      <w:widowControl w:val="0"/>
      <w:autoSpaceDE w:val="0"/>
      <w:autoSpaceDN w:val="0"/>
      <w:spacing w:after="0" w:line="240" w:lineRule="auto"/>
    </w:pPr>
    <w:rPr>
      <w:rFonts w:eastAsia="Arial" w:cs="Arial"/>
      <w:sz w:val="22"/>
    </w:rPr>
  </w:style>
  <w:style w:type="character" w:customStyle="1" w:styleId="BodyTextChar">
    <w:name w:val="Body Text Char"/>
    <w:basedOn w:val="DefaultParagraphFont"/>
    <w:link w:val="BodyText"/>
    <w:uiPriority w:val="1"/>
    <w:rsid w:val="00E464C3"/>
    <w:rPr>
      <w:rFonts w:eastAsia="Arial" w:cs="Arial"/>
      <w:sz w:val="22"/>
    </w:rPr>
  </w:style>
  <w:style w:type="paragraph" w:styleId="CommentSubject">
    <w:name w:val="annotation subject"/>
    <w:basedOn w:val="CommentText"/>
    <w:next w:val="CommentText"/>
    <w:link w:val="CommentSubjectChar"/>
    <w:uiPriority w:val="99"/>
    <w:semiHidden/>
    <w:unhideWhenUsed/>
    <w:rsid w:val="00E464C3"/>
    <w:rPr>
      <w:b/>
      <w:bCs/>
    </w:rPr>
  </w:style>
  <w:style w:type="character" w:customStyle="1" w:styleId="CommentSubjectChar">
    <w:name w:val="Comment Subject Char"/>
    <w:basedOn w:val="CommentTextChar"/>
    <w:link w:val="CommentSubject"/>
    <w:uiPriority w:val="99"/>
    <w:semiHidden/>
    <w:rsid w:val="00E464C3"/>
    <w:rPr>
      <w:b/>
      <w:bCs/>
      <w:sz w:val="20"/>
      <w:szCs w:val="20"/>
    </w:rPr>
  </w:style>
  <w:style w:type="paragraph" w:customStyle="1" w:styleId="Default">
    <w:name w:val="Default"/>
    <w:rsid w:val="00E464C3"/>
    <w:pPr>
      <w:autoSpaceDE w:val="0"/>
      <w:autoSpaceDN w:val="0"/>
      <w:adjustRightInd w:val="0"/>
      <w:spacing w:after="0" w:line="240" w:lineRule="auto"/>
    </w:pPr>
    <w:rPr>
      <w:rFonts w:cs="Arial"/>
      <w:color w:val="000000"/>
      <w:szCs w:val="24"/>
    </w:rPr>
  </w:style>
  <w:style w:type="table" w:styleId="TableGrid">
    <w:name w:val="Table Grid"/>
    <w:basedOn w:val="TableNormal"/>
    <w:uiPriority w:val="59"/>
    <w:rsid w:val="00E4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464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4C3"/>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E464C3"/>
    <w:rPr>
      <w:color w:val="605E5C"/>
      <w:shd w:val="clear" w:color="auto" w:fill="E1DFDD"/>
    </w:rPr>
  </w:style>
  <w:style w:type="character" w:styleId="FollowedHyperlink">
    <w:name w:val="FollowedHyperlink"/>
    <w:basedOn w:val="DefaultParagraphFont"/>
    <w:uiPriority w:val="99"/>
    <w:semiHidden/>
    <w:unhideWhenUsed/>
    <w:rsid w:val="00E464C3"/>
    <w:rPr>
      <w:color w:val="800080" w:themeColor="followedHyperlink"/>
      <w:u w:val="single"/>
    </w:rPr>
  </w:style>
  <w:style w:type="paragraph" w:customStyle="1" w:styleId="Heading3Numbered">
    <w:name w:val="Heading 3 Numbered"/>
    <w:basedOn w:val="Heading3"/>
    <w:link w:val="Heading3NumberedChar"/>
    <w:qFormat/>
    <w:rsid w:val="00E464C3"/>
    <w:pPr>
      <w:numPr>
        <w:ilvl w:val="1"/>
        <w:numId w:val="11"/>
      </w:numPr>
      <w:spacing w:after="0"/>
    </w:pPr>
    <w:rPr>
      <w:rFonts w:eastAsia="Times New Roman" w:cs="Arial"/>
      <w:szCs w:val="24"/>
    </w:rPr>
  </w:style>
  <w:style w:type="character" w:customStyle="1" w:styleId="Heading3NumberedChar">
    <w:name w:val="Heading 3 Numbered Char"/>
    <w:basedOn w:val="Style1Char"/>
    <w:link w:val="Heading3Numbered"/>
    <w:rsid w:val="00E464C3"/>
    <w:rPr>
      <w:rFonts w:eastAsia="Times New Roman" w:cs="Arial"/>
      <w:b/>
      <w:bCs/>
      <w:i/>
      <w:iCs/>
      <w:szCs w:val="24"/>
    </w:rPr>
  </w:style>
  <w:style w:type="paragraph" w:styleId="TOCHeading">
    <w:name w:val="TOC Heading"/>
    <w:basedOn w:val="Heading1"/>
    <w:next w:val="Normal"/>
    <w:uiPriority w:val="39"/>
    <w:unhideWhenUsed/>
    <w:qFormat/>
    <w:rsid w:val="00E464C3"/>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F07A52"/>
    <w:pPr>
      <w:tabs>
        <w:tab w:val="right" w:leader="dot" w:pos="9350"/>
      </w:tabs>
      <w:spacing w:after="100"/>
    </w:pPr>
  </w:style>
  <w:style w:type="paragraph" w:styleId="TOC2">
    <w:name w:val="toc 2"/>
    <w:basedOn w:val="Normal"/>
    <w:next w:val="Normal"/>
    <w:autoRedefine/>
    <w:uiPriority w:val="39"/>
    <w:unhideWhenUsed/>
    <w:rsid w:val="00315323"/>
    <w:pPr>
      <w:tabs>
        <w:tab w:val="right" w:leader="dot" w:pos="9350"/>
      </w:tabs>
      <w:spacing w:after="100"/>
      <w:ind w:left="240"/>
    </w:pPr>
  </w:style>
  <w:style w:type="paragraph" w:styleId="TOC3">
    <w:name w:val="toc 3"/>
    <w:basedOn w:val="Normal"/>
    <w:next w:val="Normal"/>
    <w:autoRedefine/>
    <w:uiPriority w:val="39"/>
    <w:unhideWhenUsed/>
    <w:rsid w:val="00315323"/>
    <w:pPr>
      <w:tabs>
        <w:tab w:val="left" w:pos="880"/>
        <w:tab w:val="right" w:leader="dot" w:pos="9350"/>
      </w:tabs>
      <w:spacing w:after="100"/>
      <w:ind w:left="480"/>
    </w:pPr>
  </w:style>
  <w:style w:type="paragraph" w:customStyle="1" w:styleId="Header3TableSection">
    <w:name w:val="Header 3 Table Section"/>
    <w:basedOn w:val="Normal"/>
    <w:link w:val="Header3TableSectionChar"/>
    <w:qFormat/>
    <w:rsid w:val="00E464C3"/>
    <w:pPr>
      <w:spacing w:after="0" w:line="240" w:lineRule="auto"/>
      <w:jc w:val="center"/>
    </w:pPr>
    <w:rPr>
      <w:b/>
      <w:bCs/>
    </w:rPr>
  </w:style>
  <w:style w:type="table" w:styleId="GridTable1Light">
    <w:name w:val="Grid Table 1 Light"/>
    <w:basedOn w:val="TableNormal"/>
    <w:uiPriority w:val="46"/>
    <w:rsid w:val="00E464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er3TableSectionChar">
    <w:name w:val="Header 3 Table Section Char"/>
    <w:basedOn w:val="DefaultParagraphFont"/>
    <w:link w:val="Header3TableSection"/>
    <w:rsid w:val="00E464C3"/>
    <w:rPr>
      <w:b/>
      <w:bCs/>
    </w:rPr>
  </w:style>
  <w:style w:type="paragraph" w:customStyle="1" w:styleId="H2nostyle">
    <w:name w:val="H2 no style"/>
    <w:basedOn w:val="Heading2"/>
    <w:link w:val="H2nostyleChar"/>
    <w:qFormat/>
    <w:rsid w:val="00E464C3"/>
    <w:rPr>
      <w:i w:val="0"/>
      <w:sz w:val="28"/>
      <w:szCs w:val="24"/>
    </w:rPr>
  </w:style>
  <w:style w:type="character" w:customStyle="1" w:styleId="H2nostyleChar">
    <w:name w:val="H2 no style Char"/>
    <w:basedOn w:val="Heading1Char"/>
    <w:link w:val="H2nostyle"/>
    <w:rsid w:val="00E464C3"/>
    <w:rPr>
      <w:b/>
      <w:bCs/>
      <w:iCs/>
      <w:sz w:val="28"/>
      <w:szCs w:val="24"/>
    </w:rPr>
  </w:style>
  <w:style w:type="character" w:customStyle="1" w:styleId="UnresolvedMention2">
    <w:name w:val="Unresolved Mention2"/>
    <w:basedOn w:val="DefaultParagraphFont"/>
    <w:uiPriority w:val="99"/>
    <w:semiHidden/>
    <w:unhideWhenUsed/>
    <w:rsid w:val="00060B46"/>
    <w:rPr>
      <w:color w:val="605E5C"/>
      <w:shd w:val="clear" w:color="auto" w:fill="E1DFDD"/>
    </w:rPr>
  </w:style>
  <w:style w:type="character" w:customStyle="1" w:styleId="UnresolvedMention3">
    <w:name w:val="Unresolved Mention3"/>
    <w:basedOn w:val="DefaultParagraphFont"/>
    <w:uiPriority w:val="99"/>
    <w:semiHidden/>
    <w:unhideWhenUsed/>
    <w:rsid w:val="000A6D40"/>
    <w:rPr>
      <w:color w:val="605E5C"/>
      <w:shd w:val="clear" w:color="auto" w:fill="E1DFDD"/>
    </w:rPr>
  </w:style>
  <w:style w:type="paragraph" w:styleId="Revision">
    <w:name w:val="Revision"/>
    <w:hidden/>
    <w:uiPriority w:val="99"/>
    <w:semiHidden/>
    <w:rsid w:val="00315323"/>
    <w:pPr>
      <w:spacing w:after="0" w:line="240" w:lineRule="auto"/>
    </w:pPr>
  </w:style>
  <w:style w:type="character" w:styleId="UnresolvedMention">
    <w:name w:val="Unresolved Mention"/>
    <w:basedOn w:val="DefaultParagraphFont"/>
    <w:uiPriority w:val="99"/>
    <w:semiHidden/>
    <w:unhideWhenUsed/>
    <w:rsid w:val="00140AB1"/>
    <w:rPr>
      <w:color w:val="605E5C"/>
      <w:shd w:val="clear" w:color="auto" w:fill="E1DFDD"/>
    </w:rPr>
  </w:style>
  <w:style w:type="paragraph" w:customStyle="1" w:styleId="TableParagraph">
    <w:name w:val="Table Paragraph"/>
    <w:basedOn w:val="Normal"/>
    <w:uiPriority w:val="1"/>
    <w:qFormat/>
    <w:rsid w:val="002A234C"/>
    <w:pPr>
      <w:widowControl w:val="0"/>
      <w:autoSpaceDE w:val="0"/>
      <w:autoSpaceDN w:val="0"/>
      <w:spacing w:after="0" w:line="240" w:lineRule="auto"/>
      <w:ind w:left="107"/>
    </w:pPr>
    <w:rPr>
      <w:rFonts w:eastAsia="Arial" w:cs="Arial"/>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926510">
      <w:bodyDiv w:val="1"/>
      <w:marLeft w:val="0"/>
      <w:marRight w:val="0"/>
      <w:marTop w:val="0"/>
      <w:marBottom w:val="0"/>
      <w:divBdr>
        <w:top w:val="none" w:sz="0" w:space="0" w:color="auto"/>
        <w:left w:val="none" w:sz="0" w:space="0" w:color="auto"/>
        <w:bottom w:val="none" w:sz="0" w:space="0" w:color="auto"/>
        <w:right w:val="none" w:sz="0" w:space="0" w:color="auto"/>
      </w:divBdr>
    </w:div>
    <w:div w:id="376046939">
      <w:bodyDiv w:val="1"/>
      <w:marLeft w:val="0"/>
      <w:marRight w:val="0"/>
      <w:marTop w:val="0"/>
      <w:marBottom w:val="0"/>
      <w:divBdr>
        <w:top w:val="none" w:sz="0" w:space="0" w:color="auto"/>
        <w:left w:val="none" w:sz="0" w:space="0" w:color="auto"/>
        <w:bottom w:val="none" w:sz="0" w:space="0" w:color="auto"/>
        <w:right w:val="none" w:sz="0" w:space="0" w:color="auto"/>
      </w:divBdr>
    </w:div>
    <w:div w:id="651756339">
      <w:bodyDiv w:val="1"/>
      <w:marLeft w:val="0"/>
      <w:marRight w:val="0"/>
      <w:marTop w:val="0"/>
      <w:marBottom w:val="0"/>
      <w:divBdr>
        <w:top w:val="none" w:sz="0" w:space="0" w:color="auto"/>
        <w:left w:val="none" w:sz="0" w:space="0" w:color="auto"/>
        <w:bottom w:val="none" w:sz="0" w:space="0" w:color="auto"/>
        <w:right w:val="none" w:sz="0" w:space="0" w:color="auto"/>
      </w:divBdr>
    </w:div>
    <w:div w:id="715081144">
      <w:bodyDiv w:val="1"/>
      <w:marLeft w:val="0"/>
      <w:marRight w:val="0"/>
      <w:marTop w:val="0"/>
      <w:marBottom w:val="0"/>
      <w:divBdr>
        <w:top w:val="none" w:sz="0" w:space="0" w:color="auto"/>
        <w:left w:val="none" w:sz="0" w:space="0" w:color="auto"/>
        <w:bottom w:val="none" w:sz="0" w:space="0" w:color="auto"/>
        <w:right w:val="none" w:sz="0" w:space="0" w:color="auto"/>
      </w:divBdr>
    </w:div>
    <w:div w:id="716854288">
      <w:bodyDiv w:val="1"/>
      <w:marLeft w:val="0"/>
      <w:marRight w:val="0"/>
      <w:marTop w:val="0"/>
      <w:marBottom w:val="0"/>
      <w:divBdr>
        <w:top w:val="none" w:sz="0" w:space="0" w:color="auto"/>
        <w:left w:val="none" w:sz="0" w:space="0" w:color="auto"/>
        <w:bottom w:val="none" w:sz="0" w:space="0" w:color="auto"/>
        <w:right w:val="none" w:sz="0" w:space="0" w:color="auto"/>
      </w:divBdr>
    </w:div>
    <w:div w:id="940184905">
      <w:bodyDiv w:val="1"/>
      <w:marLeft w:val="0"/>
      <w:marRight w:val="0"/>
      <w:marTop w:val="0"/>
      <w:marBottom w:val="0"/>
      <w:divBdr>
        <w:top w:val="none" w:sz="0" w:space="0" w:color="auto"/>
        <w:left w:val="none" w:sz="0" w:space="0" w:color="auto"/>
        <w:bottom w:val="none" w:sz="0" w:space="0" w:color="auto"/>
        <w:right w:val="none" w:sz="0" w:space="0" w:color="auto"/>
      </w:divBdr>
    </w:div>
    <w:div w:id="981933887">
      <w:bodyDiv w:val="1"/>
      <w:marLeft w:val="0"/>
      <w:marRight w:val="0"/>
      <w:marTop w:val="0"/>
      <w:marBottom w:val="0"/>
      <w:divBdr>
        <w:top w:val="none" w:sz="0" w:space="0" w:color="auto"/>
        <w:left w:val="none" w:sz="0" w:space="0" w:color="auto"/>
        <w:bottom w:val="none" w:sz="0" w:space="0" w:color="auto"/>
        <w:right w:val="none" w:sz="0" w:space="0" w:color="auto"/>
      </w:divBdr>
    </w:div>
    <w:div w:id="1192499222">
      <w:bodyDiv w:val="1"/>
      <w:marLeft w:val="0"/>
      <w:marRight w:val="0"/>
      <w:marTop w:val="0"/>
      <w:marBottom w:val="0"/>
      <w:divBdr>
        <w:top w:val="none" w:sz="0" w:space="0" w:color="auto"/>
        <w:left w:val="none" w:sz="0" w:space="0" w:color="auto"/>
        <w:bottom w:val="none" w:sz="0" w:space="0" w:color="auto"/>
        <w:right w:val="none" w:sz="0" w:space="0" w:color="auto"/>
      </w:divBdr>
    </w:div>
    <w:div w:id="1224566615">
      <w:bodyDiv w:val="1"/>
      <w:marLeft w:val="0"/>
      <w:marRight w:val="0"/>
      <w:marTop w:val="0"/>
      <w:marBottom w:val="0"/>
      <w:divBdr>
        <w:top w:val="none" w:sz="0" w:space="0" w:color="auto"/>
        <w:left w:val="none" w:sz="0" w:space="0" w:color="auto"/>
        <w:bottom w:val="none" w:sz="0" w:space="0" w:color="auto"/>
        <w:right w:val="none" w:sz="0" w:space="0" w:color="auto"/>
      </w:divBdr>
    </w:div>
    <w:div w:id="1309896897">
      <w:bodyDiv w:val="1"/>
      <w:marLeft w:val="0"/>
      <w:marRight w:val="0"/>
      <w:marTop w:val="0"/>
      <w:marBottom w:val="0"/>
      <w:divBdr>
        <w:top w:val="none" w:sz="0" w:space="0" w:color="auto"/>
        <w:left w:val="none" w:sz="0" w:space="0" w:color="auto"/>
        <w:bottom w:val="none" w:sz="0" w:space="0" w:color="auto"/>
        <w:right w:val="none" w:sz="0" w:space="0" w:color="auto"/>
      </w:divBdr>
    </w:div>
    <w:div w:id="1313371418">
      <w:bodyDiv w:val="1"/>
      <w:marLeft w:val="0"/>
      <w:marRight w:val="0"/>
      <w:marTop w:val="0"/>
      <w:marBottom w:val="0"/>
      <w:divBdr>
        <w:top w:val="none" w:sz="0" w:space="0" w:color="auto"/>
        <w:left w:val="none" w:sz="0" w:space="0" w:color="auto"/>
        <w:bottom w:val="none" w:sz="0" w:space="0" w:color="auto"/>
        <w:right w:val="none" w:sz="0" w:space="0" w:color="auto"/>
      </w:divBdr>
    </w:div>
    <w:div w:id="1541014193">
      <w:bodyDiv w:val="1"/>
      <w:marLeft w:val="0"/>
      <w:marRight w:val="0"/>
      <w:marTop w:val="0"/>
      <w:marBottom w:val="0"/>
      <w:divBdr>
        <w:top w:val="none" w:sz="0" w:space="0" w:color="auto"/>
        <w:left w:val="none" w:sz="0" w:space="0" w:color="auto"/>
        <w:bottom w:val="none" w:sz="0" w:space="0" w:color="auto"/>
        <w:right w:val="none" w:sz="0" w:space="0" w:color="auto"/>
      </w:divBdr>
    </w:div>
    <w:div w:id="1963269065">
      <w:bodyDiv w:val="1"/>
      <w:marLeft w:val="0"/>
      <w:marRight w:val="0"/>
      <w:marTop w:val="0"/>
      <w:marBottom w:val="0"/>
      <w:divBdr>
        <w:top w:val="none" w:sz="0" w:space="0" w:color="auto"/>
        <w:left w:val="none" w:sz="0" w:space="0" w:color="auto"/>
        <w:bottom w:val="none" w:sz="0" w:space="0" w:color="auto"/>
        <w:right w:val="none" w:sz="0" w:space="0" w:color="auto"/>
      </w:divBdr>
    </w:div>
    <w:div w:id="2127891159">
      <w:bodyDiv w:val="1"/>
      <w:marLeft w:val="0"/>
      <w:marRight w:val="0"/>
      <w:marTop w:val="0"/>
      <w:marBottom w:val="0"/>
      <w:divBdr>
        <w:top w:val="none" w:sz="0" w:space="0" w:color="auto"/>
        <w:left w:val="none" w:sz="0" w:space="0" w:color="auto"/>
        <w:bottom w:val="none" w:sz="0" w:space="0" w:color="auto"/>
        <w:right w:val="none" w:sz="0" w:space="0" w:color="auto"/>
      </w:divBdr>
    </w:div>
    <w:div w:id="213578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nathan.heim@dgs.ca.gov" TargetMode="External"/><Relationship Id="rId18" Type="http://schemas.openxmlformats.org/officeDocument/2006/relationships/hyperlink" Target="mailto:jonathan.heim@dgs.ca.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jonathan.heim@dgs.ca.gov" TargetMode="External"/><Relationship Id="rId17" Type="http://schemas.openxmlformats.org/officeDocument/2006/relationships/hyperlink" Target="https://sfmohcd.org/sites/default/files/UGs-%20NPLH%20Edition%20Final%20June%2017%202019_0.pdf" TargetMode="External"/><Relationship Id="rId2" Type="http://schemas.openxmlformats.org/officeDocument/2006/relationships/customXml" Target="../customXml/item2.xml"/><Relationship Id="rId16" Type="http://schemas.openxmlformats.org/officeDocument/2006/relationships/hyperlink" Target="https://sfmohcd.org/ami-levels" TargetMode="External"/><Relationship Id="rId20" Type="http://schemas.openxmlformats.org/officeDocument/2006/relationships/hyperlink" Target="mailto:jonathan.heim@dgs.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ehgie.tabar@hcd.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gs.ca.gov/RESD/Projects/Page-Content/Projects-List-Folder/Executive-Order-N-06-19-Affordable-Housing-Developmen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d7587982437fa44420f3b632d2e28fff">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0f7710db8148b5221db91b7cc5bcdc43"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40000-4BAC-4381-BC1E-3FA9C831F0C1}">
  <ds:schemaRefs>
    <ds:schemaRef ds:uri="http://schemas.microsoft.com/sharepoint/v3/contenttype/forms"/>
  </ds:schemaRefs>
</ds:datastoreItem>
</file>

<file path=customXml/itemProps2.xml><?xml version="1.0" encoding="utf-8"?>
<ds:datastoreItem xmlns:ds="http://schemas.openxmlformats.org/officeDocument/2006/customXml" ds:itemID="{65B9415A-839F-4A79-B536-A8EB5632CDAB}">
  <ds:schemaRefs>
    <ds:schemaRef ds:uri="http://purl.org/dc/elements/1.1/"/>
    <ds:schemaRef ds:uri="http://schemas.microsoft.com/office/2006/metadata/properties"/>
    <ds:schemaRef ds:uri="http://schemas.microsoft.com/sharepoint/v3"/>
    <ds:schemaRef ds:uri="ba3e66f7-101b-44ac-9586-5f89397cff5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e7feb66-ad44-44a9-9b7c-b6abda03a71f"/>
    <ds:schemaRef ds:uri="http://www.w3.org/XML/1998/namespace"/>
    <ds:schemaRef ds:uri="http://purl.org/dc/dcmitype/"/>
  </ds:schemaRefs>
</ds:datastoreItem>
</file>

<file path=customXml/itemProps3.xml><?xml version="1.0" encoding="utf-8"?>
<ds:datastoreItem xmlns:ds="http://schemas.openxmlformats.org/officeDocument/2006/customXml" ds:itemID="{18F6AC8A-33BD-476B-ABCA-729DDAB57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6B29A6-6A29-484D-A2EB-5365BF70D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6137</Words>
  <Characters>34982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41037</CharactersWithSpaces>
  <SharedDoc>false</SharedDoc>
  <HLinks>
    <vt:vector size="162" baseType="variant">
      <vt:variant>
        <vt:i4>2621547</vt:i4>
      </vt:variant>
      <vt:variant>
        <vt:i4>120</vt:i4>
      </vt:variant>
      <vt:variant>
        <vt:i4>0</vt:i4>
      </vt:variant>
      <vt:variant>
        <vt:i4>5</vt:i4>
      </vt:variant>
      <vt:variant>
        <vt:lpwstr>http://www.hcd.ca.gov/grants-funding/docs/2019MTSPRegularLimits.pdf</vt:lpwstr>
      </vt:variant>
      <vt:variant>
        <vt:lpwstr/>
      </vt:variant>
      <vt:variant>
        <vt:i4>327698</vt:i4>
      </vt:variant>
      <vt:variant>
        <vt:i4>117</vt:i4>
      </vt:variant>
      <vt:variant>
        <vt:i4>0</vt:i4>
      </vt:variant>
      <vt:variant>
        <vt:i4>5</vt:i4>
      </vt:variant>
      <vt:variant>
        <vt:lpwstr>https://www.hcd.ca.gov/grants-funding/active-funding/mhp.shtml</vt:lpwstr>
      </vt:variant>
      <vt:variant>
        <vt:lpwstr>guidelines</vt:lpwstr>
      </vt:variant>
      <vt:variant>
        <vt:i4>6291532</vt:i4>
      </vt:variant>
      <vt:variant>
        <vt:i4>114</vt:i4>
      </vt:variant>
      <vt:variant>
        <vt:i4>0</vt:i4>
      </vt:variant>
      <vt:variant>
        <vt:i4>5</vt:i4>
      </vt:variant>
      <vt:variant>
        <vt:lpwstr>mailto:jonathan.heim@dgs.ca.gov</vt:lpwstr>
      </vt:variant>
      <vt:variant>
        <vt:lpwstr/>
      </vt:variant>
      <vt:variant>
        <vt:i4>6094951</vt:i4>
      </vt:variant>
      <vt:variant>
        <vt:i4>111</vt:i4>
      </vt:variant>
      <vt:variant>
        <vt:i4>0</vt:i4>
      </vt:variant>
      <vt:variant>
        <vt:i4>5</vt:i4>
      </vt:variant>
      <vt:variant>
        <vt:lpwstr>mailto:Mehgie.Tabar@hcd.ca.gov</vt:lpwstr>
      </vt:variant>
      <vt:variant>
        <vt:lpwstr/>
      </vt:variant>
      <vt:variant>
        <vt:i4>6291532</vt:i4>
      </vt:variant>
      <vt:variant>
        <vt:i4>108</vt:i4>
      </vt:variant>
      <vt:variant>
        <vt:i4>0</vt:i4>
      </vt:variant>
      <vt:variant>
        <vt:i4>5</vt:i4>
      </vt:variant>
      <vt:variant>
        <vt:lpwstr>mailto:jonathan.heim@dgs.ca.gov</vt:lpwstr>
      </vt:variant>
      <vt:variant>
        <vt:lpwstr/>
      </vt:variant>
      <vt:variant>
        <vt:i4>1179696</vt:i4>
      </vt:variant>
      <vt:variant>
        <vt:i4>101</vt:i4>
      </vt:variant>
      <vt:variant>
        <vt:i4>0</vt:i4>
      </vt:variant>
      <vt:variant>
        <vt:i4>5</vt:i4>
      </vt:variant>
      <vt:variant>
        <vt:lpwstr/>
      </vt:variant>
      <vt:variant>
        <vt:lpwstr>_Toc20721641</vt:lpwstr>
      </vt:variant>
      <vt:variant>
        <vt:i4>1245232</vt:i4>
      </vt:variant>
      <vt:variant>
        <vt:i4>95</vt:i4>
      </vt:variant>
      <vt:variant>
        <vt:i4>0</vt:i4>
      </vt:variant>
      <vt:variant>
        <vt:i4>5</vt:i4>
      </vt:variant>
      <vt:variant>
        <vt:lpwstr/>
      </vt:variant>
      <vt:variant>
        <vt:lpwstr>_Toc20721640</vt:lpwstr>
      </vt:variant>
      <vt:variant>
        <vt:i4>1703991</vt:i4>
      </vt:variant>
      <vt:variant>
        <vt:i4>89</vt:i4>
      </vt:variant>
      <vt:variant>
        <vt:i4>0</vt:i4>
      </vt:variant>
      <vt:variant>
        <vt:i4>5</vt:i4>
      </vt:variant>
      <vt:variant>
        <vt:lpwstr/>
      </vt:variant>
      <vt:variant>
        <vt:lpwstr>_Toc20721639</vt:lpwstr>
      </vt:variant>
      <vt:variant>
        <vt:i4>1769527</vt:i4>
      </vt:variant>
      <vt:variant>
        <vt:i4>83</vt:i4>
      </vt:variant>
      <vt:variant>
        <vt:i4>0</vt:i4>
      </vt:variant>
      <vt:variant>
        <vt:i4>5</vt:i4>
      </vt:variant>
      <vt:variant>
        <vt:lpwstr/>
      </vt:variant>
      <vt:variant>
        <vt:lpwstr>_Toc20721638</vt:lpwstr>
      </vt:variant>
      <vt:variant>
        <vt:i4>1310775</vt:i4>
      </vt:variant>
      <vt:variant>
        <vt:i4>77</vt:i4>
      </vt:variant>
      <vt:variant>
        <vt:i4>0</vt:i4>
      </vt:variant>
      <vt:variant>
        <vt:i4>5</vt:i4>
      </vt:variant>
      <vt:variant>
        <vt:lpwstr/>
      </vt:variant>
      <vt:variant>
        <vt:lpwstr>_Toc20721637</vt:lpwstr>
      </vt:variant>
      <vt:variant>
        <vt:i4>1376311</vt:i4>
      </vt:variant>
      <vt:variant>
        <vt:i4>71</vt:i4>
      </vt:variant>
      <vt:variant>
        <vt:i4>0</vt:i4>
      </vt:variant>
      <vt:variant>
        <vt:i4>5</vt:i4>
      </vt:variant>
      <vt:variant>
        <vt:lpwstr/>
      </vt:variant>
      <vt:variant>
        <vt:lpwstr>_Toc20721636</vt:lpwstr>
      </vt:variant>
      <vt:variant>
        <vt:i4>1769526</vt:i4>
      </vt:variant>
      <vt:variant>
        <vt:i4>68</vt:i4>
      </vt:variant>
      <vt:variant>
        <vt:i4>0</vt:i4>
      </vt:variant>
      <vt:variant>
        <vt:i4>5</vt:i4>
      </vt:variant>
      <vt:variant>
        <vt:lpwstr/>
      </vt:variant>
      <vt:variant>
        <vt:lpwstr>_Toc20721628</vt:lpwstr>
      </vt:variant>
      <vt:variant>
        <vt:i4>1310774</vt:i4>
      </vt:variant>
      <vt:variant>
        <vt:i4>62</vt:i4>
      </vt:variant>
      <vt:variant>
        <vt:i4>0</vt:i4>
      </vt:variant>
      <vt:variant>
        <vt:i4>5</vt:i4>
      </vt:variant>
      <vt:variant>
        <vt:lpwstr/>
      </vt:variant>
      <vt:variant>
        <vt:lpwstr>_Toc20721627</vt:lpwstr>
      </vt:variant>
      <vt:variant>
        <vt:i4>1376310</vt:i4>
      </vt:variant>
      <vt:variant>
        <vt:i4>56</vt:i4>
      </vt:variant>
      <vt:variant>
        <vt:i4>0</vt:i4>
      </vt:variant>
      <vt:variant>
        <vt:i4>5</vt:i4>
      </vt:variant>
      <vt:variant>
        <vt:lpwstr/>
      </vt:variant>
      <vt:variant>
        <vt:lpwstr>_Toc20721626</vt:lpwstr>
      </vt:variant>
      <vt:variant>
        <vt:i4>1441846</vt:i4>
      </vt:variant>
      <vt:variant>
        <vt:i4>53</vt:i4>
      </vt:variant>
      <vt:variant>
        <vt:i4>0</vt:i4>
      </vt:variant>
      <vt:variant>
        <vt:i4>5</vt:i4>
      </vt:variant>
      <vt:variant>
        <vt:lpwstr/>
      </vt:variant>
      <vt:variant>
        <vt:lpwstr>_Toc20721625</vt:lpwstr>
      </vt:variant>
      <vt:variant>
        <vt:i4>1507382</vt:i4>
      </vt:variant>
      <vt:variant>
        <vt:i4>50</vt:i4>
      </vt:variant>
      <vt:variant>
        <vt:i4>0</vt:i4>
      </vt:variant>
      <vt:variant>
        <vt:i4>5</vt:i4>
      </vt:variant>
      <vt:variant>
        <vt:lpwstr/>
      </vt:variant>
      <vt:variant>
        <vt:lpwstr>_Toc20721624</vt:lpwstr>
      </vt:variant>
      <vt:variant>
        <vt:i4>1048630</vt:i4>
      </vt:variant>
      <vt:variant>
        <vt:i4>47</vt:i4>
      </vt:variant>
      <vt:variant>
        <vt:i4>0</vt:i4>
      </vt:variant>
      <vt:variant>
        <vt:i4>5</vt:i4>
      </vt:variant>
      <vt:variant>
        <vt:lpwstr/>
      </vt:variant>
      <vt:variant>
        <vt:lpwstr>_Toc20721623</vt:lpwstr>
      </vt:variant>
      <vt:variant>
        <vt:i4>1114166</vt:i4>
      </vt:variant>
      <vt:variant>
        <vt:i4>41</vt:i4>
      </vt:variant>
      <vt:variant>
        <vt:i4>0</vt:i4>
      </vt:variant>
      <vt:variant>
        <vt:i4>5</vt:i4>
      </vt:variant>
      <vt:variant>
        <vt:lpwstr/>
      </vt:variant>
      <vt:variant>
        <vt:lpwstr>_Toc20721622</vt:lpwstr>
      </vt:variant>
      <vt:variant>
        <vt:i4>1769525</vt:i4>
      </vt:variant>
      <vt:variant>
        <vt:i4>35</vt:i4>
      </vt:variant>
      <vt:variant>
        <vt:i4>0</vt:i4>
      </vt:variant>
      <vt:variant>
        <vt:i4>5</vt:i4>
      </vt:variant>
      <vt:variant>
        <vt:lpwstr/>
      </vt:variant>
      <vt:variant>
        <vt:lpwstr>_Toc20721618</vt:lpwstr>
      </vt:variant>
      <vt:variant>
        <vt:i4>1310773</vt:i4>
      </vt:variant>
      <vt:variant>
        <vt:i4>29</vt:i4>
      </vt:variant>
      <vt:variant>
        <vt:i4>0</vt:i4>
      </vt:variant>
      <vt:variant>
        <vt:i4>5</vt:i4>
      </vt:variant>
      <vt:variant>
        <vt:lpwstr/>
      </vt:variant>
      <vt:variant>
        <vt:lpwstr>_Toc20721617</vt:lpwstr>
      </vt:variant>
      <vt:variant>
        <vt:i4>1376309</vt:i4>
      </vt:variant>
      <vt:variant>
        <vt:i4>23</vt:i4>
      </vt:variant>
      <vt:variant>
        <vt:i4>0</vt:i4>
      </vt:variant>
      <vt:variant>
        <vt:i4>5</vt:i4>
      </vt:variant>
      <vt:variant>
        <vt:lpwstr/>
      </vt:variant>
      <vt:variant>
        <vt:lpwstr>_Toc20721616</vt:lpwstr>
      </vt:variant>
      <vt:variant>
        <vt:i4>1441844</vt:i4>
      </vt:variant>
      <vt:variant>
        <vt:i4>17</vt:i4>
      </vt:variant>
      <vt:variant>
        <vt:i4>0</vt:i4>
      </vt:variant>
      <vt:variant>
        <vt:i4>5</vt:i4>
      </vt:variant>
      <vt:variant>
        <vt:lpwstr/>
      </vt:variant>
      <vt:variant>
        <vt:lpwstr>_Toc20721605</vt:lpwstr>
      </vt:variant>
      <vt:variant>
        <vt:i4>1507380</vt:i4>
      </vt:variant>
      <vt:variant>
        <vt:i4>14</vt:i4>
      </vt:variant>
      <vt:variant>
        <vt:i4>0</vt:i4>
      </vt:variant>
      <vt:variant>
        <vt:i4>5</vt:i4>
      </vt:variant>
      <vt:variant>
        <vt:lpwstr/>
      </vt:variant>
      <vt:variant>
        <vt:lpwstr>_Toc20721604</vt:lpwstr>
      </vt:variant>
      <vt:variant>
        <vt:i4>1048628</vt:i4>
      </vt:variant>
      <vt:variant>
        <vt:i4>11</vt:i4>
      </vt:variant>
      <vt:variant>
        <vt:i4>0</vt:i4>
      </vt:variant>
      <vt:variant>
        <vt:i4>5</vt:i4>
      </vt:variant>
      <vt:variant>
        <vt:lpwstr/>
      </vt:variant>
      <vt:variant>
        <vt:lpwstr>_Toc20721603</vt:lpwstr>
      </vt:variant>
      <vt:variant>
        <vt:i4>5767175</vt:i4>
      </vt:variant>
      <vt:variant>
        <vt:i4>6</vt:i4>
      </vt:variant>
      <vt:variant>
        <vt:i4>0</vt:i4>
      </vt:variant>
      <vt:variant>
        <vt:i4>5</vt:i4>
      </vt:variant>
      <vt:variant>
        <vt:lpwstr>https://www.dgs.ca.gov/RESD/Projects/Page-Content/Projects-List-Folder/Executive-Order-N-06-19-Affordable-Housing-Development</vt:lpwstr>
      </vt:variant>
      <vt:variant>
        <vt:lpwstr/>
      </vt:variant>
      <vt:variant>
        <vt:i4>6291532</vt:i4>
      </vt:variant>
      <vt:variant>
        <vt:i4>3</vt:i4>
      </vt:variant>
      <vt:variant>
        <vt:i4>0</vt:i4>
      </vt:variant>
      <vt:variant>
        <vt:i4>5</vt:i4>
      </vt:variant>
      <vt:variant>
        <vt:lpwstr>mailto:jonathan.heim@dgs.ca.gov</vt:lpwstr>
      </vt:variant>
      <vt:variant>
        <vt:lpwstr/>
      </vt:variant>
      <vt:variant>
        <vt:i4>6291532</vt:i4>
      </vt:variant>
      <vt:variant>
        <vt:i4>0</vt:i4>
      </vt:variant>
      <vt:variant>
        <vt:i4>0</vt:i4>
      </vt:variant>
      <vt:variant>
        <vt:i4>5</vt:i4>
      </vt:variant>
      <vt:variant>
        <vt:lpwstr>mailto:jonathan.heim@dgs.ca.gov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Tabar, Mehgie@HCD</dc:creator>
  <cp:keywords/>
  <dc:description/>
  <cp:lastModifiedBy>Torres, Marissa@DGS</cp:lastModifiedBy>
  <cp:revision>14</cp:revision>
  <cp:lastPrinted>2020-03-17T22:43:00Z</cp:lastPrinted>
  <dcterms:created xsi:type="dcterms:W3CDTF">2020-08-24T17:35:00Z</dcterms:created>
  <dcterms:modified xsi:type="dcterms:W3CDTF">2020-08-24T17:42:00Z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