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1707" w14:textId="55D41570" w:rsidR="00E464C3" w:rsidRDefault="00E464C3" w:rsidP="00E26C4D">
      <w:pPr>
        <w:pStyle w:val="Title"/>
        <w:spacing w:line="360" w:lineRule="auto"/>
        <w:rPr>
          <w:rFonts w:ascii="Arial" w:hAnsi="Arial" w:cs="Arial"/>
        </w:rPr>
      </w:pPr>
      <w:r w:rsidRPr="00E53306">
        <w:rPr>
          <w:rFonts w:ascii="Arial" w:hAnsi="Arial" w:cs="Arial"/>
        </w:rPr>
        <w:t>State of California</w:t>
      </w:r>
    </w:p>
    <w:p w14:paraId="4004237C" w14:textId="4856BD6F" w:rsidR="00E464C3" w:rsidRDefault="00E464C3" w:rsidP="00E26C4D">
      <w:pPr>
        <w:pStyle w:val="Title"/>
        <w:spacing w:line="360" w:lineRule="auto"/>
        <w:rPr>
          <w:rFonts w:ascii="Arial" w:hAnsi="Arial" w:cs="Arial"/>
        </w:rPr>
      </w:pPr>
      <w:r w:rsidRPr="00E53306">
        <w:rPr>
          <w:rFonts w:ascii="Arial" w:hAnsi="Arial" w:cs="Arial"/>
        </w:rPr>
        <w:t>Request for Proposal</w:t>
      </w:r>
      <w:r>
        <w:rPr>
          <w:rFonts w:ascii="Arial" w:hAnsi="Arial" w:cs="Arial"/>
        </w:rPr>
        <w:t>s</w:t>
      </w:r>
    </w:p>
    <w:p w14:paraId="42AE2F95" w14:textId="7F183E42" w:rsidR="001D77D2" w:rsidRPr="001D77D2" w:rsidRDefault="001D77D2" w:rsidP="00E26C4D">
      <w:pPr>
        <w:pStyle w:val="Title"/>
        <w:spacing w:line="360" w:lineRule="auto"/>
        <w:rPr>
          <w:rFonts w:ascii="Arial" w:hAnsi="Arial" w:cs="Arial"/>
          <w:i/>
          <w:iCs/>
          <w:sz w:val="48"/>
          <w:szCs w:val="48"/>
        </w:rPr>
      </w:pPr>
      <w:r w:rsidRPr="001D77D2">
        <w:rPr>
          <w:rFonts w:ascii="Arial" w:hAnsi="Arial" w:cs="Arial"/>
          <w:i/>
          <w:iCs/>
          <w:sz w:val="48"/>
          <w:szCs w:val="48"/>
        </w:rPr>
        <w:t>By Respondents Pre-Qualified via RFQ</w:t>
      </w:r>
    </w:p>
    <w:p w14:paraId="79D231DF" w14:textId="77777777" w:rsidR="00E464C3" w:rsidRPr="000B03BD" w:rsidRDefault="00E464C3" w:rsidP="00E26C4D">
      <w:pPr>
        <w:pStyle w:val="Title"/>
        <w:spacing w:line="360" w:lineRule="auto"/>
        <w:rPr>
          <w:rFonts w:ascii="Arial" w:hAnsi="Arial" w:cs="Arial"/>
        </w:rPr>
      </w:pPr>
      <w:r w:rsidRPr="00050A1D">
        <w:rPr>
          <w:rFonts w:ascii="Arial" w:hAnsi="Arial" w:cs="Arial"/>
        </w:rPr>
        <w:t>Affordable Housing Development</w:t>
      </w:r>
    </w:p>
    <w:p w14:paraId="65481722" w14:textId="1C530F5A" w:rsidR="003814EC" w:rsidRPr="003814EC" w:rsidRDefault="00E464C3" w:rsidP="00E26C4D">
      <w:pPr>
        <w:pStyle w:val="Title"/>
        <w:spacing w:line="360" w:lineRule="auto"/>
        <w:rPr>
          <w:rFonts w:ascii="Arial" w:hAnsi="Arial" w:cs="Arial"/>
        </w:rPr>
      </w:pPr>
      <w:r w:rsidRPr="00E53306">
        <w:rPr>
          <w:rFonts w:ascii="Arial" w:hAnsi="Arial" w:cs="Arial"/>
        </w:rPr>
        <w:t>Under Executive Order N-06-19</w:t>
      </w:r>
    </w:p>
    <w:p w14:paraId="412C11C3" w14:textId="35D4E9F4" w:rsidR="00E464C3" w:rsidRDefault="00E464C3" w:rsidP="00E26C4D">
      <w:pPr>
        <w:spacing w:after="0"/>
        <w:rPr>
          <w:b/>
          <w:bCs/>
          <w:sz w:val="28"/>
          <w:szCs w:val="28"/>
        </w:rPr>
      </w:pPr>
    </w:p>
    <w:p w14:paraId="2EB10676" w14:textId="0345D69C" w:rsidR="005F4FBA" w:rsidRPr="00327C2C" w:rsidRDefault="005E238B" w:rsidP="00E26C4D">
      <w:pPr>
        <w:spacing w:after="0"/>
        <w:rPr>
          <w:sz w:val="36"/>
          <w:szCs w:val="36"/>
        </w:rPr>
      </w:pPr>
      <w:r w:rsidRPr="00327C2C">
        <w:rPr>
          <w:sz w:val="36"/>
          <w:szCs w:val="36"/>
        </w:rPr>
        <w:t>Location:</w:t>
      </w:r>
    </w:p>
    <w:p w14:paraId="2798E32C" w14:textId="39BD1593" w:rsidR="005E238B" w:rsidRPr="00327C2C" w:rsidRDefault="005E238B" w:rsidP="00E26C4D">
      <w:pPr>
        <w:spacing w:after="0"/>
        <w:rPr>
          <w:sz w:val="36"/>
          <w:szCs w:val="36"/>
        </w:rPr>
      </w:pPr>
      <w:r w:rsidRPr="00327C2C">
        <w:rPr>
          <w:sz w:val="36"/>
          <w:szCs w:val="36"/>
        </w:rPr>
        <w:t>1405 South Broadway</w:t>
      </w:r>
      <w:r w:rsidR="00E0444B">
        <w:rPr>
          <w:sz w:val="36"/>
          <w:szCs w:val="36"/>
        </w:rPr>
        <w:t>/1400 South Hill Street</w:t>
      </w:r>
    </w:p>
    <w:p w14:paraId="0206FDB6" w14:textId="45B7BA08" w:rsidR="00255940" w:rsidRDefault="005E238B" w:rsidP="00E26C4D">
      <w:pPr>
        <w:spacing w:after="0"/>
        <w:rPr>
          <w:sz w:val="36"/>
          <w:szCs w:val="36"/>
        </w:rPr>
      </w:pPr>
      <w:r w:rsidRPr="00327C2C">
        <w:rPr>
          <w:sz w:val="36"/>
          <w:szCs w:val="36"/>
        </w:rPr>
        <w:t>Los Angeles, CA</w:t>
      </w:r>
      <w:bookmarkStart w:id="0" w:name="_Toc20481691"/>
      <w:bookmarkStart w:id="1" w:name="_Toc20721599"/>
    </w:p>
    <w:p w14:paraId="568A21C6" w14:textId="66F7381B" w:rsidR="00327C2C" w:rsidRDefault="00327C2C" w:rsidP="00E26C4D">
      <w:pPr>
        <w:spacing w:after="0" w:line="360" w:lineRule="auto"/>
        <w:rPr>
          <w:sz w:val="36"/>
          <w:szCs w:val="36"/>
        </w:rPr>
      </w:pPr>
    </w:p>
    <w:p w14:paraId="5960A303" w14:textId="77777777" w:rsidR="007A0B79" w:rsidRDefault="007A0B79" w:rsidP="00E26C4D">
      <w:pPr>
        <w:spacing w:after="0" w:line="360" w:lineRule="auto"/>
        <w:rPr>
          <w:sz w:val="36"/>
          <w:szCs w:val="36"/>
        </w:rPr>
      </w:pPr>
    </w:p>
    <w:p w14:paraId="0BE5A33B" w14:textId="77777777" w:rsidR="007A0B79" w:rsidRDefault="007A0B79" w:rsidP="00E26C4D">
      <w:pPr>
        <w:spacing w:after="0" w:line="360" w:lineRule="auto"/>
        <w:rPr>
          <w:sz w:val="36"/>
          <w:szCs w:val="36"/>
        </w:rPr>
      </w:pPr>
    </w:p>
    <w:p w14:paraId="404B115B" w14:textId="0A22C2DB" w:rsidR="001D77D2" w:rsidRPr="001D77D2" w:rsidRDefault="00AC64B9" w:rsidP="00E26C4D">
      <w:pPr>
        <w:spacing w:after="0" w:line="360" w:lineRule="auto"/>
        <w:rPr>
          <w:color w:val="FF0000"/>
          <w:sz w:val="36"/>
          <w:szCs w:val="36"/>
        </w:rPr>
      </w:pPr>
      <w:r w:rsidRPr="00E53306">
        <w:rPr>
          <w:sz w:val="36"/>
          <w:szCs w:val="36"/>
        </w:rPr>
        <w:t xml:space="preserve">Released: </w:t>
      </w:r>
      <w:r w:rsidR="00781399">
        <w:rPr>
          <w:color w:val="000000" w:themeColor="text1"/>
          <w:sz w:val="36"/>
          <w:szCs w:val="36"/>
        </w:rPr>
        <w:t>September</w:t>
      </w:r>
      <w:r w:rsidR="009D45AF" w:rsidRPr="000436BF">
        <w:rPr>
          <w:color w:val="000000" w:themeColor="text1"/>
          <w:sz w:val="36"/>
          <w:szCs w:val="36"/>
        </w:rPr>
        <w:t xml:space="preserve"> </w:t>
      </w:r>
      <w:r w:rsidR="008F7A19">
        <w:rPr>
          <w:color w:val="000000" w:themeColor="text1"/>
          <w:sz w:val="36"/>
          <w:szCs w:val="36"/>
        </w:rPr>
        <w:t>2</w:t>
      </w:r>
      <w:r w:rsidR="00A0487E">
        <w:rPr>
          <w:color w:val="000000" w:themeColor="text1"/>
          <w:sz w:val="36"/>
          <w:szCs w:val="36"/>
        </w:rPr>
        <w:t>2</w:t>
      </w:r>
      <w:r w:rsidR="009D45AF" w:rsidRPr="000436BF">
        <w:rPr>
          <w:color w:val="000000" w:themeColor="text1"/>
          <w:sz w:val="36"/>
          <w:szCs w:val="36"/>
        </w:rPr>
        <w:t>, 2021</w:t>
      </w:r>
    </w:p>
    <w:p w14:paraId="0D06C528" w14:textId="64EBE5DB" w:rsidR="00AC64B9" w:rsidRPr="001D77D2" w:rsidRDefault="00AC64B9" w:rsidP="00E26C4D">
      <w:pPr>
        <w:spacing w:after="0" w:line="720" w:lineRule="auto"/>
        <w:rPr>
          <w:rFonts w:eastAsiaTheme="majorEastAsia" w:cs="Arial"/>
          <w:spacing w:val="-10"/>
          <w:kern w:val="28"/>
          <w:sz w:val="40"/>
          <w:szCs w:val="40"/>
        </w:rPr>
      </w:pPr>
      <w:r w:rsidRPr="00E53306">
        <w:rPr>
          <w:sz w:val="36"/>
          <w:szCs w:val="36"/>
        </w:rPr>
        <w:t>Due:</w:t>
      </w:r>
      <w:r w:rsidR="00CB18EA">
        <w:rPr>
          <w:sz w:val="36"/>
          <w:szCs w:val="36"/>
        </w:rPr>
        <w:t xml:space="preserve"> 5:00 pm PT on</w:t>
      </w:r>
      <w:r w:rsidRPr="00E53306">
        <w:rPr>
          <w:sz w:val="36"/>
          <w:szCs w:val="36"/>
        </w:rPr>
        <w:t xml:space="preserve"> </w:t>
      </w:r>
      <w:r w:rsidR="00781399">
        <w:rPr>
          <w:color w:val="000000" w:themeColor="text1"/>
          <w:sz w:val="36"/>
          <w:szCs w:val="36"/>
        </w:rPr>
        <w:t>November</w:t>
      </w:r>
      <w:r w:rsidR="009D45AF" w:rsidRPr="000436BF">
        <w:rPr>
          <w:color w:val="000000" w:themeColor="text1"/>
          <w:sz w:val="36"/>
          <w:szCs w:val="36"/>
        </w:rPr>
        <w:t xml:space="preserve"> </w:t>
      </w:r>
      <w:r w:rsidR="008F7A19">
        <w:rPr>
          <w:color w:val="000000" w:themeColor="text1"/>
          <w:sz w:val="36"/>
          <w:szCs w:val="36"/>
        </w:rPr>
        <w:t>2</w:t>
      </w:r>
      <w:r w:rsidR="00A0487E">
        <w:rPr>
          <w:color w:val="000000" w:themeColor="text1"/>
          <w:sz w:val="36"/>
          <w:szCs w:val="36"/>
        </w:rPr>
        <w:t>3</w:t>
      </w:r>
      <w:r w:rsidR="009D45AF" w:rsidRPr="000436BF">
        <w:rPr>
          <w:color w:val="000000" w:themeColor="text1"/>
          <w:sz w:val="36"/>
          <w:szCs w:val="36"/>
        </w:rPr>
        <w:t>, 2021</w:t>
      </w:r>
    </w:p>
    <w:p w14:paraId="426AB0C9" w14:textId="77777777" w:rsidR="00255940" w:rsidRDefault="00255940" w:rsidP="00E26C4D">
      <w:pPr>
        <w:pStyle w:val="Heading1"/>
        <w:spacing w:after="0"/>
      </w:pPr>
    </w:p>
    <w:p w14:paraId="29431534" w14:textId="03506994" w:rsidR="00DD6984" w:rsidRDefault="00D0106A" w:rsidP="00E26C4D">
      <w:pPr>
        <w:spacing w:after="0"/>
      </w:pPr>
      <w:r>
        <w:br w:type="page"/>
      </w:r>
    </w:p>
    <w:p w14:paraId="193A8692" w14:textId="139F662E" w:rsidR="00617AE5" w:rsidRDefault="00617AE5" w:rsidP="00E26C4D">
      <w:pPr>
        <w:pStyle w:val="Heading1"/>
        <w:spacing w:after="0"/>
        <w:jc w:val="both"/>
      </w:pPr>
      <w:r>
        <w:lastRenderedPageBreak/>
        <w:t>STATE CONTACT</w:t>
      </w:r>
    </w:p>
    <w:p w14:paraId="651FBF5C" w14:textId="77777777" w:rsidR="00E26C4D" w:rsidRDefault="00E26C4D" w:rsidP="00E26C4D">
      <w:pPr>
        <w:pStyle w:val="Heading1"/>
        <w:spacing w:after="0"/>
        <w:jc w:val="both"/>
      </w:pPr>
    </w:p>
    <w:p w14:paraId="75494609" w14:textId="77777777" w:rsidR="00617AE5" w:rsidRPr="00C31DD6" w:rsidRDefault="00617AE5" w:rsidP="00E26C4D">
      <w:pPr>
        <w:spacing w:after="0" w:line="240" w:lineRule="auto"/>
        <w:jc w:val="both"/>
        <w:rPr>
          <w:color w:val="000000" w:themeColor="text1"/>
        </w:rPr>
      </w:pPr>
      <w:r w:rsidRPr="00C31DD6">
        <w:rPr>
          <w:color w:val="000000" w:themeColor="text1"/>
        </w:rPr>
        <w:t>Terry Todd</w:t>
      </w:r>
    </w:p>
    <w:p w14:paraId="1710AD8D" w14:textId="77777777" w:rsidR="00617AE5" w:rsidRDefault="00617AE5" w:rsidP="00E26C4D">
      <w:pPr>
        <w:spacing w:after="0"/>
        <w:jc w:val="both"/>
      </w:pPr>
      <w:r>
        <w:t>Department of General Services</w:t>
      </w:r>
    </w:p>
    <w:p w14:paraId="75DEAB73" w14:textId="77777777" w:rsidR="00617AE5" w:rsidRDefault="00617AE5" w:rsidP="00E26C4D">
      <w:pPr>
        <w:spacing w:after="0"/>
        <w:jc w:val="both"/>
      </w:pPr>
      <w:r>
        <w:t xml:space="preserve">Asset Management Branch </w:t>
      </w:r>
    </w:p>
    <w:p w14:paraId="7A644193" w14:textId="77777777" w:rsidR="00617AE5" w:rsidRDefault="00617AE5" w:rsidP="00E26C4D">
      <w:pPr>
        <w:spacing w:after="0"/>
        <w:jc w:val="both"/>
      </w:pPr>
      <w:r>
        <w:t>707 3</w:t>
      </w:r>
      <w:r>
        <w:rPr>
          <w:vertAlign w:val="superscript"/>
        </w:rPr>
        <w:t>rd</w:t>
      </w:r>
      <w:r>
        <w:t xml:space="preserve"> Street, 5</w:t>
      </w:r>
      <w:r>
        <w:rPr>
          <w:vertAlign w:val="superscript"/>
        </w:rPr>
        <w:t>th</w:t>
      </w:r>
      <w:r>
        <w:t xml:space="preserve"> Floor </w:t>
      </w:r>
    </w:p>
    <w:p w14:paraId="7334ACB2" w14:textId="77777777" w:rsidR="00617AE5" w:rsidRDefault="00617AE5" w:rsidP="00E26C4D">
      <w:pPr>
        <w:spacing w:after="0"/>
        <w:jc w:val="both"/>
      </w:pPr>
      <w:r>
        <w:t>West Sacramento, CA 95605</w:t>
      </w:r>
    </w:p>
    <w:p w14:paraId="46D21217" w14:textId="63F75D14" w:rsidR="00617AE5" w:rsidRPr="00C31DD6" w:rsidRDefault="00F8592B" w:rsidP="00E26C4D">
      <w:pPr>
        <w:spacing w:after="0" w:line="240" w:lineRule="auto"/>
        <w:jc w:val="both"/>
        <w:rPr>
          <w:color w:val="000000" w:themeColor="text1"/>
        </w:rPr>
      </w:pPr>
      <w:r>
        <w:rPr>
          <w:color w:val="000000" w:themeColor="text1"/>
        </w:rPr>
        <w:t>t</w:t>
      </w:r>
      <w:r w:rsidR="00617AE5" w:rsidRPr="00C31DD6">
        <w:rPr>
          <w:color w:val="000000" w:themeColor="text1"/>
        </w:rPr>
        <w:t>erry.todd@dgs.ca.gov</w:t>
      </w:r>
    </w:p>
    <w:p w14:paraId="3EEF0797" w14:textId="730307DE" w:rsidR="00C31DD6" w:rsidRDefault="00C31DD6" w:rsidP="00E26C4D">
      <w:pPr>
        <w:spacing w:after="0"/>
        <w:jc w:val="both"/>
      </w:pPr>
    </w:p>
    <w:p w14:paraId="6A371095" w14:textId="70BFB220" w:rsidR="00617AE5" w:rsidRPr="00AC64B9" w:rsidRDefault="00617AE5" w:rsidP="00E26C4D">
      <w:pPr>
        <w:pStyle w:val="Heading1"/>
        <w:spacing w:after="0"/>
        <w:jc w:val="both"/>
      </w:pPr>
      <w:bookmarkStart w:id="2" w:name="_Toc20481692"/>
      <w:bookmarkStart w:id="3" w:name="_Toc20721600"/>
      <w:r w:rsidRPr="00AC64B9">
        <w:t>PROJECT WEBSITE</w:t>
      </w:r>
      <w:bookmarkEnd w:id="2"/>
      <w:bookmarkEnd w:id="3"/>
    </w:p>
    <w:p w14:paraId="439A73D3" w14:textId="77777777" w:rsidR="00E26C4D" w:rsidRDefault="00E26C4D" w:rsidP="00E26C4D">
      <w:pPr>
        <w:spacing w:after="0"/>
        <w:jc w:val="both"/>
      </w:pPr>
    </w:p>
    <w:p w14:paraId="5D840157" w14:textId="0DFD25A9" w:rsidR="00617AE5" w:rsidRPr="00C23109" w:rsidRDefault="00617AE5" w:rsidP="00E26C4D">
      <w:pPr>
        <w:spacing w:after="0"/>
        <w:jc w:val="both"/>
        <w:rPr>
          <w:color w:val="0000FF"/>
        </w:rPr>
      </w:pPr>
      <w:r w:rsidRPr="00AC64B9">
        <w:t xml:space="preserve">Page: </w:t>
      </w:r>
      <w:hyperlink r:id="rId11" w:history="1">
        <w:r w:rsidRPr="00C23109">
          <w:rPr>
            <w:rStyle w:val="Hyperlink"/>
          </w:rPr>
          <w:t>Executive Order N-06-19 Affordable Housing</w:t>
        </w:r>
      </w:hyperlink>
    </w:p>
    <w:p w14:paraId="7C22F7DD" w14:textId="77777777" w:rsidR="00E26C4D" w:rsidRDefault="00E26C4D" w:rsidP="00E26C4D">
      <w:pPr>
        <w:spacing w:after="0"/>
        <w:jc w:val="both"/>
      </w:pPr>
    </w:p>
    <w:p w14:paraId="2C343EF3" w14:textId="175A3EAC" w:rsidR="00617AE5" w:rsidRDefault="00617AE5" w:rsidP="00E26C4D">
      <w:pPr>
        <w:spacing w:after="0"/>
        <w:jc w:val="both"/>
        <w:rPr>
          <w:b/>
          <w:bCs/>
          <w:sz w:val="28"/>
          <w:szCs w:val="24"/>
        </w:rPr>
      </w:pPr>
      <w:proofErr w:type="gramStart"/>
      <w:r>
        <w:t>URL:</w:t>
      </w:r>
      <w:r w:rsidRPr="00C23109">
        <w:rPr>
          <w:color w:val="0000FF"/>
        </w:rPr>
        <w:t>https://www.dgs</w:t>
      </w:r>
      <w:r w:rsidRPr="006D2F94">
        <w:rPr>
          <w:color w:val="0000FF"/>
        </w:rPr>
        <w:t>.ca.gov/RESD/Projects/Page-Content/Projects-List-Folder/Executive-Order-N-06-19-Affordable</w:t>
      </w:r>
      <w:r w:rsidRPr="00C23109">
        <w:rPr>
          <w:color w:val="0000FF"/>
        </w:rPr>
        <w:t>-Housing-Development</w:t>
      </w:r>
      <w:proofErr w:type="gramEnd"/>
    </w:p>
    <w:p w14:paraId="651D76FB" w14:textId="77777777" w:rsidR="00E26C4D" w:rsidRDefault="00E26C4D" w:rsidP="00E26C4D">
      <w:pPr>
        <w:pStyle w:val="Heading1"/>
        <w:spacing w:after="0"/>
        <w:jc w:val="both"/>
      </w:pPr>
      <w:bookmarkStart w:id="4" w:name="_Toc20481693"/>
      <w:bookmarkStart w:id="5" w:name="_Toc20721601"/>
    </w:p>
    <w:p w14:paraId="778B048B" w14:textId="29EF9C8F" w:rsidR="00800C6C" w:rsidRDefault="00800C6C" w:rsidP="00E26C4D">
      <w:pPr>
        <w:pStyle w:val="Heading1"/>
        <w:spacing w:after="0"/>
        <w:jc w:val="both"/>
      </w:pPr>
      <w:r>
        <w:t xml:space="preserve">RFP </w:t>
      </w:r>
      <w:r w:rsidR="00F8592B">
        <w:t>TIMELINE</w:t>
      </w:r>
      <w:r>
        <w:t xml:space="preserve"> AND SUBMISSION INSTRUCTIONS</w:t>
      </w:r>
      <w:bookmarkEnd w:id="4"/>
      <w:bookmarkEnd w:id="5"/>
    </w:p>
    <w:p w14:paraId="28553877" w14:textId="77777777" w:rsidR="00E26C4D" w:rsidRDefault="00E26C4D" w:rsidP="00E26C4D">
      <w:pPr>
        <w:spacing w:after="0"/>
        <w:jc w:val="both"/>
      </w:pPr>
    </w:p>
    <w:p w14:paraId="2B3A3418" w14:textId="5824A722" w:rsidR="00800C6C" w:rsidRDefault="00800C6C" w:rsidP="00E26C4D">
      <w:pPr>
        <w:spacing w:after="0"/>
        <w:jc w:val="both"/>
      </w:pPr>
      <w:r w:rsidRPr="00977EB2">
        <w:t>The following</w:t>
      </w:r>
      <w:r w:rsidR="0000006C">
        <w:t xml:space="preserve"> Request for Proposals (RFP) </w:t>
      </w:r>
      <w:r w:rsidRPr="00977EB2">
        <w:t>timel</w:t>
      </w:r>
      <w:r>
        <w:t>ine</w:t>
      </w:r>
      <w:r w:rsidRPr="00977EB2">
        <w:t xml:space="preserve"> is provided for scheduling information but is subject to change at the State’s discretion.</w:t>
      </w:r>
    </w:p>
    <w:p w14:paraId="112C96D3" w14:textId="77777777" w:rsidR="00E26C4D" w:rsidRDefault="00E26C4D" w:rsidP="00E26C4D">
      <w:pPr>
        <w:spacing w:after="0"/>
        <w:jc w:val="both"/>
      </w:pPr>
    </w:p>
    <w:tbl>
      <w:tblPr>
        <w:tblStyle w:val="TableGrid"/>
        <w:tblW w:w="9540" w:type="dxa"/>
        <w:tblInd w:w="108" w:type="dxa"/>
        <w:tblLook w:val="04A0" w:firstRow="1" w:lastRow="0" w:firstColumn="1" w:lastColumn="0" w:noHBand="0" w:noVBand="1"/>
      </w:tblPr>
      <w:tblGrid>
        <w:gridCol w:w="6228"/>
        <w:gridCol w:w="3312"/>
      </w:tblGrid>
      <w:tr w:rsidR="00800C6C" w14:paraId="7BAB577B" w14:textId="77777777" w:rsidTr="00A859F4">
        <w:trPr>
          <w:trHeight w:val="368"/>
          <w:tblHeader/>
        </w:trPr>
        <w:tc>
          <w:tcPr>
            <w:tcW w:w="6228" w:type="dxa"/>
            <w:shd w:val="clear" w:color="auto" w:fill="D9D9D9" w:themeFill="background1" w:themeFillShade="D9"/>
            <w:vAlign w:val="center"/>
          </w:tcPr>
          <w:p w14:paraId="72ED5043" w14:textId="77777777" w:rsidR="00800C6C" w:rsidRPr="0007769C" w:rsidRDefault="00800C6C" w:rsidP="00E26C4D">
            <w:pPr>
              <w:rPr>
                <w:rFonts w:eastAsia="Times New Roman" w:cs="Arial"/>
                <w:b/>
                <w:bCs/>
                <w:szCs w:val="24"/>
              </w:rPr>
            </w:pPr>
            <w:r w:rsidRPr="0007769C">
              <w:rPr>
                <w:rFonts w:eastAsia="Times New Roman" w:cs="Arial"/>
                <w:b/>
                <w:bCs/>
                <w:szCs w:val="24"/>
              </w:rPr>
              <w:t>Activity</w:t>
            </w:r>
          </w:p>
        </w:tc>
        <w:tc>
          <w:tcPr>
            <w:tcW w:w="3312" w:type="dxa"/>
            <w:shd w:val="clear" w:color="auto" w:fill="D9D9D9" w:themeFill="background1" w:themeFillShade="D9"/>
            <w:vAlign w:val="center"/>
          </w:tcPr>
          <w:p w14:paraId="152D087D" w14:textId="77777777" w:rsidR="00800C6C" w:rsidRPr="0007769C" w:rsidRDefault="00800C6C" w:rsidP="00E26C4D">
            <w:pPr>
              <w:rPr>
                <w:rFonts w:eastAsia="Times New Roman" w:cs="Arial"/>
                <w:b/>
                <w:bCs/>
                <w:szCs w:val="24"/>
              </w:rPr>
            </w:pPr>
            <w:r w:rsidRPr="0007769C">
              <w:rPr>
                <w:rFonts w:eastAsia="Times New Roman" w:cs="Arial"/>
                <w:b/>
                <w:bCs/>
                <w:szCs w:val="24"/>
              </w:rPr>
              <w:t>Date</w:t>
            </w:r>
          </w:p>
        </w:tc>
      </w:tr>
      <w:tr w:rsidR="00800C6C" w14:paraId="77E88778" w14:textId="77777777" w:rsidTr="00A859F4">
        <w:trPr>
          <w:trHeight w:val="359"/>
        </w:trPr>
        <w:tc>
          <w:tcPr>
            <w:tcW w:w="6228" w:type="dxa"/>
            <w:vAlign w:val="center"/>
          </w:tcPr>
          <w:p w14:paraId="77481319" w14:textId="77777777" w:rsidR="00800C6C" w:rsidRDefault="00800C6C" w:rsidP="00E26C4D">
            <w:r w:rsidRPr="00773DD6">
              <w:rPr>
                <w:color w:val="000000" w:themeColor="text1"/>
              </w:rPr>
              <w:t>Pre-Qualified Developers Notified of Eligibility to Submit</w:t>
            </w:r>
          </w:p>
        </w:tc>
        <w:tc>
          <w:tcPr>
            <w:tcW w:w="3312" w:type="dxa"/>
            <w:vAlign w:val="center"/>
          </w:tcPr>
          <w:p w14:paraId="2311AB62" w14:textId="060BDC50" w:rsidR="00800C6C" w:rsidRDefault="00041711" w:rsidP="00E26C4D">
            <w:r>
              <w:rPr>
                <w:color w:val="000000" w:themeColor="text1"/>
              </w:rPr>
              <w:t>September 2</w:t>
            </w:r>
            <w:r w:rsidR="006D34DB">
              <w:rPr>
                <w:color w:val="000000" w:themeColor="text1"/>
              </w:rPr>
              <w:t>2</w:t>
            </w:r>
            <w:r>
              <w:rPr>
                <w:color w:val="000000" w:themeColor="text1"/>
              </w:rPr>
              <w:t>, 2021</w:t>
            </w:r>
          </w:p>
        </w:tc>
      </w:tr>
      <w:tr w:rsidR="00800C6C" w14:paraId="674FB454" w14:textId="77777777" w:rsidTr="00A859F4">
        <w:trPr>
          <w:trHeight w:val="359"/>
        </w:trPr>
        <w:tc>
          <w:tcPr>
            <w:tcW w:w="6228" w:type="dxa"/>
            <w:vAlign w:val="center"/>
          </w:tcPr>
          <w:p w14:paraId="2EA201A1" w14:textId="77777777" w:rsidR="00800C6C" w:rsidRDefault="00800C6C" w:rsidP="00E26C4D">
            <w:r>
              <w:t>Request for Proposals Released</w:t>
            </w:r>
          </w:p>
        </w:tc>
        <w:tc>
          <w:tcPr>
            <w:tcW w:w="3312" w:type="dxa"/>
            <w:vAlign w:val="center"/>
          </w:tcPr>
          <w:p w14:paraId="18253ADB" w14:textId="100F931A" w:rsidR="00800C6C" w:rsidRPr="00A82CE1" w:rsidRDefault="00781399" w:rsidP="00E26C4D">
            <w:pPr>
              <w:rPr>
                <w:color w:val="FF0000"/>
              </w:rPr>
            </w:pPr>
            <w:r>
              <w:rPr>
                <w:color w:val="000000" w:themeColor="text1"/>
              </w:rPr>
              <w:t>September</w:t>
            </w:r>
            <w:r w:rsidR="00800C6C" w:rsidRPr="00411439">
              <w:rPr>
                <w:color w:val="000000" w:themeColor="text1"/>
              </w:rPr>
              <w:t xml:space="preserve"> </w:t>
            </w:r>
            <w:r w:rsidR="00041711">
              <w:rPr>
                <w:color w:val="000000" w:themeColor="text1"/>
              </w:rPr>
              <w:t>2</w:t>
            </w:r>
            <w:r w:rsidR="006D34DB">
              <w:rPr>
                <w:color w:val="000000" w:themeColor="text1"/>
              </w:rPr>
              <w:t>2</w:t>
            </w:r>
            <w:r w:rsidR="00800C6C" w:rsidRPr="00411439">
              <w:rPr>
                <w:color w:val="000000" w:themeColor="text1"/>
              </w:rPr>
              <w:t>, 2021</w:t>
            </w:r>
          </w:p>
        </w:tc>
      </w:tr>
      <w:tr w:rsidR="00800C6C" w14:paraId="7AB3B60E" w14:textId="77777777" w:rsidTr="00A859F4">
        <w:trPr>
          <w:trHeight w:val="341"/>
        </w:trPr>
        <w:tc>
          <w:tcPr>
            <w:tcW w:w="6228" w:type="dxa"/>
            <w:vAlign w:val="center"/>
          </w:tcPr>
          <w:p w14:paraId="77C5F35F" w14:textId="77777777" w:rsidR="00800C6C" w:rsidRDefault="00800C6C" w:rsidP="00E26C4D">
            <w:r>
              <w:t>RFP Final Questions and Requests for Clarification Due</w:t>
            </w:r>
          </w:p>
        </w:tc>
        <w:tc>
          <w:tcPr>
            <w:tcW w:w="3312" w:type="dxa"/>
            <w:vAlign w:val="center"/>
          </w:tcPr>
          <w:p w14:paraId="00168332" w14:textId="2EF63901" w:rsidR="00800C6C" w:rsidRDefault="00E525A1" w:rsidP="00E26C4D">
            <w:r>
              <w:t>October 21</w:t>
            </w:r>
            <w:r w:rsidR="00800C6C">
              <w:t>, 2021</w:t>
            </w:r>
          </w:p>
        </w:tc>
      </w:tr>
      <w:tr w:rsidR="00800C6C" w14:paraId="0FBF7CB9" w14:textId="77777777" w:rsidTr="00A859F4">
        <w:trPr>
          <w:trHeight w:val="341"/>
        </w:trPr>
        <w:tc>
          <w:tcPr>
            <w:tcW w:w="6228" w:type="dxa"/>
            <w:vAlign w:val="center"/>
          </w:tcPr>
          <w:p w14:paraId="5B5C2D53" w14:textId="77777777" w:rsidR="00800C6C" w:rsidRDefault="00800C6C" w:rsidP="00E26C4D">
            <w:r>
              <w:t>State Response to RFP Questions/Clarifications</w:t>
            </w:r>
          </w:p>
        </w:tc>
        <w:tc>
          <w:tcPr>
            <w:tcW w:w="3312" w:type="dxa"/>
            <w:vAlign w:val="center"/>
          </w:tcPr>
          <w:p w14:paraId="7A43A28A" w14:textId="36F5A0BF" w:rsidR="00800C6C" w:rsidRDefault="00800C6C" w:rsidP="00E26C4D">
            <w:r w:rsidRPr="00F7664A">
              <w:rPr>
                <w:color w:val="000000" w:themeColor="text1"/>
              </w:rPr>
              <w:t xml:space="preserve">October </w:t>
            </w:r>
            <w:r w:rsidR="00F916A0">
              <w:rPr>
                <w:color w:val="000000" w:themeColor="text1"/>
              </w:rPr>
              <w:t>28</w:t>
            </w:r>
            <w:r w:rsidRPr="00F7664A">
              <w:rPr>
                <w:color w:val="000000" w:themeColor="text1"/>
              </w:rPr>
              <w:t>, 2021</w:t>
            </w:r>
          </w:p>
        </w:tc>
      </w:tr>
      <w:tr w:rsidR="00800C6C" w14:paraId="2F1B85DA" w14:textId="77777777" w:rsidTr="00A859F4">
        <w:trPr>
          <w:trHeight w:val="359"/>
        </w:trPr>
        <w:tc>
          <w:tcPr>
            <w:tcW w:w="6228" w:type="dxa"/>
            <w:vAlign w:val="center"/>
          </w:tcPr>
          <w:p w14:paraId="402090F6" w14:textId="77777777" w:rsidR="00800C6C" w:rsidRPr="005E7C61" w:rsidRDefault="00800C6C" w:rsidP="00E26C4D">
            <w:pPr>
              <w:rPr>
                <w:b/>
                <w:bCs/>
              </w:rPr>
            </w:pPr>
            <w:r w:rsidRPr="005E7C61">
              <w:rPr>
                <w:b/>
                <w:bCs/>
              </w:rPr>
              <w:t>RFP Submittal Deadline</w:t>
            </w:r>
          </w:p>
        </w:tc>
        <w:tc>
          <w:tcPr>
            <w:tcW w:w="3312" w:type="dxa"/>
            <w:vAlign w:val="center"/>
          </w:tcPr>
          <w:p w14:paraId="3C65F958" w14:textId="003C4A8E" w:rsidR="00800C6C" w:rsidRPr="005E7C61" w:rsidRDefault="00F916A0" w:rsidP="00E26C4D">
            <w:pPr>
              <w:rPr>
                <w:b/>
                <w:bCs/>
              </w:rPr>
            </w:pPr>
            <w:r>
              <w:rPr>
                <w:b/>
                <w:bCs/>
              </w:rPr>
              <w:t>November 2</w:t>
            </w:r>
            <w:r w:rsidR="006D34DB">
              <w:rPr>
                <w:b/>
                <w:bCs/>
              </w:rPr>
              <w:t>3</w:t>
            </w:r>
            <w:r w:rsidR="00800C6C">
              <w:rPr>
                <w:b/>
                <w:bCs/>
              </w:rPr>
              <w:t xml:space="preserve">, </w:t>
            </w:r>
            <w:proofErr w:type="gramStart"/>
            <w:r w:rsidR="00800C6C">
              <w:rPr>
                <w:b/>
                <w:bCs/>
              </w:rPr>
              <w:t>2021</w:t>
            </w:r>
            <w:proofErr w:type="gramEnd"/>
            <w:r w:rsidR="00800C6C">
              <w:rPr>
                <w:b/>
                <w:bCs/>
              </w:rPr>
              <w:t xml:space="preserve"> </w:t>
            </w:r>
          </w:p>
        </w:tc>
      </w:tr>
      <w:tr w:rsidR="00800C6C" w14:paraId="2B6AE0B4" w14:textId="77777777" w:rsidTr="00A859F4">
        <w:trPr>
          <w:trHeight w:val="350"/>
        </w:trPr>
        <w:tc>
          <w:tcPr>
            <w:tcW w:w="6228" w:type="dxa"/>
            <w:vAlign w:val="center"/>
          </w:tcPr>
          <w:p w14:paraId="4DEAD0B7" w14:textId="77777777" w:rsidR="00800C6C" w:rsidRPr="00C23109" w:rsidRDefault="00800C6C" w:rsidP="00E26C4D">
            <w:pPr>
              <w:rPr>
                <w:color w:val="0000FF"/>
              </w:rPr>
            </w:pPr>
            <w:r w:rsidRPr="000622D6">
              <w:rPr>
                <w:color w:val="000000" w:themeColor="text1"/>
              </w:rPr>
              <w:t>Interviews Conducted (approximate)</w:t>
            </w:r>
          </w:p>
        </w:tc>
        <w:tc>
          <w:tcPr>
            <w:tcW w:w="3312" w:type="dxa"/>
            <w:vAlign w:val="center"/>
          </w:tcPr>
          <w:p w14:paraId="4455D220" w14:textId="2404DE43" w:rsidR="00800C6C" w:rsidRDefault="00F916A0" w:rsidP="00E26C4D">
            <w:r>
              <w:t xml:space="preserve">December </w:t>
            </w:r>
            <w:r w:rsidR="000F7522">
              <w:t>13</w:t>
            </w:r>
            <w:r w:rsidR="000622D6">
              <w:t>,</w:t>
            </w:r>
            <w:r w:rsidR="00800C6C">
              <w:t xml:space="preserve"> 2021</w:t>
            </w:r>
          </w:p>
        </w:tc>
      </w:tr>
      <w:tr w:rsidR="00800C6C" w14:paraId="23B428FB" w14:textId="77777777" w:rsidTr="00A859F4">
        <w:trPr>
          <w:trHeight w:val="341"/>
        </w:trPr>
        <w:tc>
          <w:tcPr>
            <w:tcW w:w="6228" w:type="dxa"/>
            <w:vAlign w:val="center"/>
          </w:tcPr>
          <w:p w14:paraId="3E3B3361" w14:textId="4F403DCD" w:rsidR="00800C6C" w:rsidRDefault="0022481F" w:rsidP="00E26C4D">
            <w:r>
              <w:t>Respondent Selection</w:t>
            </w:r>
            <w:r w:rsidR="00800C6C">
              <w:t xml:space="preserve"> (approximate)</w:t>
            </w:r>
          </w:p>
        </w:tc>
        <w:tc>
          <w:tcPr>
            <w:tcW w:w="3312" w:type="dxa"/>
            <w:vAlign w:val="center"/>
          </w:tcPr>
          <w:p w14:paraId="002EEFDA" w14:textId="69CF7E6A" w:rsidR="00800C6C" w:rsidRDefault="00DD6F5E" w:rsidP="00E26C4D">
            <w:r>
              <w:t xml:space="preserve">December </w:t>
            </w:r>
            <w:r w:rsidR="000F7522">
              <w:t>20</w:t>
            </w:r>
            <w:r w:rsidR="000622D6">
              <w:t>,</w:t>
            </w:r>
            <w:r w:rsidR="00800C6C">
              <w:t xml:space="preserve"> 2021</w:t>
            </w:r>
          </w:p>
        </w:tc>
      </w:tr>
    </w:tbl>
    <w:p w14:paraId="4AA6C040" w14:textId="77777777" w:rsidR="00927952" w:rsidRDefault="00927952" w:rsidP="00E26C4D">
      <w:pPr>
        <w:pStyle w:val="BodyText"/>
        <w:spacing w:line="276" w:lineRule="auto"/>
        <w:ind w:right="30"/>
        <w:jc w:val="both"/>
        <w:rPr>
          <w:sz w:val="24"/>
          <w:szCs w:val="24"/>
        </w:rPr>
      </w:pPr>
    </w:p>
    <w:p w14:paraId="181139F7" w14:textId="77777777" w:rsidR="00821A32" w:rsidRPr="00446C20" w:rsidRDefault="00821A32" w:rsidP="00821A32">
      <w:pPr>
        <w:pStyle w:val="BodyText"/>
        <w:spacing w:line="276" w:lineRule="auto"/>
        <w:ind w:right="30"/>
        <w:jc w:val="both"/>
        <w:rPr>
          <w:sz w:val="24"/>
          <w:szCs w:val="24"/>
        </w:rPr>
      </w:pPr>
      <w:r w:rsidRPr="00446C20">
        <w:rPr>
          <w:sz w:val="24"/>
          <w:szCs w:val="24"/>
        </w:rPr>
        <w:t>The State must receive</w:t>
      </w:r>
      <w:r w:rsidRPr="00446C20">
        <w:rPr>
          <w:spacing w:val="1"/>
          <w:sz w:val="24"/>
          <w:szCs w:val="24"/>
        </w:rPr>
        <w:t xml:space="preserve"> </w:t>
      </w:r>
      <w:r w:rsidRPr="00446C20">
        <w:rPr>
          <w:sz w:val="24"/>
          <w:szCs w:val="24"/>
        </w:rPr>
        <w:t xml:space="preserve">responses to this RFP </w:t>
      </w:r>
      <w:r>
        <w:rPr>
          <w:sz w:val="24"/>
          <w:szCs w:val="24"/>
        </w:rPr>
        <w:t>in the form of a</w:t>
      </w:r>
      <w:r w:rsidRPr="00446C20">
        <w:rPr>
          <w:sz w:val="24"/>
          <w:szCs w:val="24"/>
        </w:rPr>
        <w:t xml:space="preserve"> Proposal no later than the deadline listed above. </w:t>
      </w:r>
    </w:p>
    <w:p w14:paraId="3EAA3C8A" w14:textId="77777777" w:rsidR="00927952" w:rsidRDefault="00927952" w:rsidP="00E26C4D">
      <w:pPr>
        <w:pStyle w:val="BodyText"/>
        <w:spacing w:line="276" w:lineRule="auto"/>
        <w:ind w:right="30"/>
        <w:jc w:val="both"/>
        <w:rPr>
          <w:sz w:val="24"/>
          <w:szCs w:val="24"/>
        </w:rPr>
      </w:pPr>
    </w:p>
    <w:p w14:paraId="3EA9A58D" w14:textId="08792581" w:rsidR="00C96714" w:rsidRDefault="00820289" w:rsidP="00E26C4D">
      <w:pPr>
        <w:pStyle w:val="BodyText"/>
        <w:spacing w:line="276" w:lineRule="auto"/>
        <w:ind w:right="30"/>
        <w:jc w:val="both"/>
        <w:rPr>
          <w:sz w:val="24"/>
          <w:szCs w:val="24"/>
        </w:rPr>
      </w:pPr>
      <w:r w:rsidRPr="00446C20">
        <w:rPr>
          <w:sz w:val="24"/>
          <w:szCs w:val="24"/>
        </w:rPr>
        <w:t>Parties responding to this RF</w:t>
      </w:r>
      <w:r w:rsidR="009938BD" w:rsidRPr="00446C20">
        <w:rPr>
          <w:sz w:val="24"/>
          <w:szCs w:val="24"/>
        </w:rPr>
        <w:t>P</w:t>
      </w:r>
      <w:r w:rsidRPr="00446C20">
        <w:rPr>
          <w:sz w:val="24"/>
          <w:szCs w:val="24"/>
        </w:rPr>
        <w:t xml:space="preserve"> (“Respondent(s)” or “Respondent Team(s)”) must submit their response </w:t>
      </w:r>
      <w:r w:rsidR="00C96714">
        <w:rPr>
          <w:sz w:val="24"/>
          <w:szCs w:val="24"/>
        </w:rPr>
        <w:t xml:space="preserve">precisely as follows: </w:t>
      </w:r>
    </w:p>
    <w:p w14:paraId="2AA079FA" w14:textId="77777777" w:rsidR="00A30E98" w:rsidRDefault="00A30E98" w:rsidP="00E26C4D">
      <w:pPr>
        <w:pStyle w:val="BodyText"/>
        <w:spacing w:line="276" w:lineRule="auto"/>
        <w:ind w:right="30"/>
        <w:jc w:val="both"/>
        <w:rPr>
          <w:sz w:val="24"/>
          <w:szCs w:val="24"/>
        </w:rPr>
      </w:pPr>
    </w:p>
    <w:p w14:paraId="199D3189" w14:textId="427A730C" w:rsidR="00D564C3" w:rsidRDefault="00136C70" w:rsidP="00D564C3">
      <w:pPr>
        <w:pStyle w:val="BodyText"/>
        <w:numPr>
          <w:ilvl w:val="0"/>
          <w:numId w:val="35"/>
        </w:numPr>
        <w:spacing w:line="276" w:lineRule="auto"/>
        <w:ind w:right="30"/>
        <w:jc w:val="both"/>
        <w:rPr>
          <w:sz w:val="24"/>
          <w:szCs w:val="24"/>
        </w:rPr>
      </w:pPr>
      <w:r>
        <w:rPr>
          <w:sz w:val="24"/>
          <w:szCs w:val="24"/>
        </w:rPr>
        <w:t>Via box.com or similar, create two separate folders</w:t>
      </w:r>
      <w:r w:rsidR="006024AD">
        <w:rPr>
          <w:sz w:val="24"/>
          <w:szCs w:val="24"/>
        </w:rPr>
        <w:t>:</w:t>
      </w:r>
    </w:p>
    <w:p w14:paraId="13ECA895" w14:textId="24B3E4B7" w:rsidR="006055BB" w:rsidRPr="00B93367" w:rsidRDefault="006024AD" w:rsidP="006024AD">
      <w:pPr>
        <w:pStyle w:val="BodyText"/>
        <w:numPr>
          <w:ilvl w:val="1"/>
          <w:numId w:val="35"/>
        </w:numPr>
        <w:spacing w:line="276" w:lineRule="auto"/>
        <w:ind w:right="30"/>
        <w:jc w:val="both"/>
        <w:rPr>
          <w:sz w:val="24"/>
          <w:szCs w:val="24"/>
        </w:rPr>
      </w:pPr>
      <w:r>
        <w:rPr>
          <w:sz w:val="24"/>
          <w:szCs w:val="24"/>
        </w:rPr>
        <w:t>One containing the audited financial statements</w:t>
      </w:r>
      <w:r w:rsidR="006055BB">
        <w:rPr>
          <w:sz w:val="24"/>
          <w:szCs w:val="24"/>
        </w:rPr>
        <w:t xml:space="preserve"> </w:t>
      </w:r>
      <w:r w:rsidR="00A859F4">
        <w:rPr>
          <w:sz w:val="24"/>
          <w:szCs w:val="24"/>
        </w:rPr>
        <w:t xml:space="preserve">responding </w:t>
      </w:r>
      <w:r w:rsidR="00A859F4" w:rsidRPr="00B93367">
        <w:rPr>
          <w:sz w:val="24"/>
          <w:szCs w:val="24"/>
        </w:rPr>
        <w:t xml:space="preserve">to Section 4 of the </w:t>
      </w:r>
      <w:r w:rsidR="00A859F4" w:rsidRPr="00B93367">
        <w:rPr>
          <w:caps/>
          <w:sz w:val="24"/>
          <w:szCs w:val="24"/>
        </w:rPr>
        <w:t>Evaluation Criteria and Submission Requirements</w:t>
      </w:r>
      <w:r w:rsidR="00A859F4" w:rsidRPr="00B93367">
        <w:rPr>
          <w:sz w:val="24"/>
          <w:szCs w:val="24"/>
        </w:rPr>
        <w:t xml:space="preserve"> of this </w:t>
      </w:r>
      <w:r w:rsidR="00A859F4" w:rsidRPr="00B93367">
        <w:rPr>
          <w:sz w:val="24"/>
          <w:szCs w:val="24"/>
        </w:rPr>
        <w:lastRenderedPageBreak/>
        <w:t>RFP, Demonstration of Financial Capacity, and</w:t>
      </w:r>
    </w:p>
    <w:p w14:paraId="6E9C79C9" w14:textId="245A1992" w:rsidR="006024AD" w:rsidRPr="00B93367" w:rsidRDefault="00A859F4" w:rsidP="006024AD">
      <w:pPr>
        <w:pStyle w:val="BodyText"/>
        <w:numPr>
          <w:ilvl w:val="1"/>
          <w:numId w:val="35"/>
        </w:numPr>
        <w:spacing w:line="276" w:lineRule="auto"/>
        <w:ind w:right="30"/>
        <w:jc w:val="both"/>
        <w:rPr>
          <w:sz w:val="24"/>
          <w:szCs w:val="24"/>
        </w:rPr>
      </w:pPr>
      <w:r w:rsidRPr="00B93367">
        <w:rPr>
          <w:sz w:val="24"/>
          <w:szCs w:val="24"/>
        </w:rPr>
        <w:t>One containing a</w:t>
      </w:r>
      <w:r w:rsidR="006055BB" w:rsidRPr="00B93367">
        <w:rPr>
          <w:sz w:val="24"/>
          <w:szCs w:val="24"/>
        </w:rPr>
        <w:t>ll other components of the Proposal</w:t>
      </w:r>
      <w:r w:rsidR="004112BD" w:rsidRPr="00B93367">
        <w:rPr>
          <w:sz w:val="24"/>
          <w:szCs w:val="24"/>
        </w:rPr>
        <w:t>.</w:t>
      </w:r>
    </w:p>
    <w:p w14:paraId="5FB9A600" w14:textId="77777777" w:rsidR="001367FD" w:rsidRDefault="001367FD" w:rsidP="00821A32">
      <w:pPr>
        <w:pStyle w:val="BodyText"/>
        <w:numPr>
          <w:ilvl w:val="0"/>
          <w:numId w:val="35"/>
        </w:numPr>
        <w:spacing w:line="276" w:lineRule="auto"/>
        <w:ind w:right="30"/>
        <w:jc w:val="both"/>
        <w:rPr>
          <w:sz w:val="24"/>
          <w:szCs w:val="24"/>
        </w:rPr>
      </w:pPr>
      <w:r>
        <w:rPr>
          <w:sz w:val="24"/>
          <w:szCs w:val="24"/>
        </w:rPr>
        <w:t>Send an email to the address listed above which:</w:t>
      </w:r>
    </w:p>
    <w:p w14:paraId="4EF96B5B" w14:textId="23CCB8B6" w:rsidR="00821A32" w:rsidRDefault="001367FD" w:rsidP="001367FD">
      <w:pPr>
        <w:pStyle w:val="BodyText"/>
        <w:numPr>
          <w:ilvl w:val="1"/>
          <w:numId w:val="35"/>
        </w:numPr>
        <w:spacing w:line="276" w:lineRule="auto"/>
        <w:ind w:right="30"/>
        <w:jc w:val="both"/>
        <w:rPr>
          <w:sz w:val="24"/>
          <w:szCs w:val="24"/>
        </w:rPr>
      </w:pPr>
      <w:r>
        <w:rPr>
          <w:sz w:val="24"/>
          <w:szCs w:val="24"/>
        </w:rPr>
        <w:t>Contains two links</w:t>
      </w:r>
      <w:r w:rsidR="00A859F4">
        <w:rPr>
          <w:sz w:val="24"/>
          <w:szCs w:val="24"/>
        </w:rPr>
        <w:t xml:space="preserve"> </w:t>
      </w:r>
      <w:r>
        <w:rPr>
          <w:sz w:val="24"/>
          <w:szCs w:val="24"/>
        </w:rPr>
        <w:t>corresponding to</w:t>
      </w:r>
      <w:r w:rsidR="00A859F4">
        <w:rPr>
          <w:sz w:val="24"/>
          <w:szCs w:val="24"/>
        </w:rPr>
        <w:t xml:space="preserve"> each of</w:t>
      </w:r>
      <w:r>
        <w:rPr>
          <w:sz w:val="24"/>
          <w:szCs w:val="24"/>
        </w:rPr>
        <w:t xml:space="preserve"> the folders listed above.</w:t>
      </w:r>
    </w:p>
    <w:p w14:paraId="1FB4067A" w14:textId="5806A054" w:rsidR="001367FD" w:rsidRDefault="001367FD" w:rsidP="001367FD">
      <w:pPr>
        <w:pStyle w:val="BodyText"/>
        <w:numPr>
          <w:ilvl w:val="1"/>
          <w:numId w:val="35"/>
        </w:numPr>
        <w:spacing w:line="276" w:lineRule="auto"/>
        <w:ind w:right="30"/>
        <w:jc w:val="both"/>
        <w:rPr>
          <w:sz w:val="24"/>
          <w:szCs w:val="24"/>
        </w:rPr>
      </w:pPr>
      <w:r>
        <w:rPr>
          <w:sz w:val="24"/>
          <w:szCs w:val="24"/>
        </w:rPr>
        <w:t xml:space="preserve">Clearly identifies </w:t>
      </w:r>
      <w:r w:rsidR="005C4302">
        <w:rPr>
          <w:sz w:val="24"/>
          <w:szCs w:val="24"/>
        </w:rPr>
        <w:t xml:space="preserve">the contents of the folder associated with each link within the body of the email. </w:t>
      </w:r>
    </w:p>
    <w:p w14:paraId="11419155" w14:textId="52A03B98" w:rsidR="005C4302" w:rsidRDefault="005C4302" w:rsidP="001367FD">
      <w:pPr>
        <w:pStyle w:val="BodyText"/>
        <w:numPr>
          <w:ilvl w:val="1"/>
          <w:numId w:val="35"/>
        </w:numPr>
        <w:spacing w:line="276" w:lineRule="auto"/>
        <w:ind w:right="30"/>
        <w:jc w:val="both"/>
        <w:rPr>
          <w:sz w:val="24"/>
          <w:szCs w:val="24"/>
        </w:rPr>
      </w:pPr>
      <w:r>
        <w:rPr>
          <w:sz w:val="24"/>
          <w:szCs w:val="24"/>
        </w:rPr>
        <w:t>Has the subject line: “Excess Sites – EDD LA – Proposal Links</w:t>
      </w:r>
      <w:r w:rsidR="001356C6">
        <w:rPr>
          <w:sz w:val="24"/>
          <w:szCs w:val="24"/>
        </w:rPr>
        <w:t xml:space="preserve"> – [Name of Respondent Team]</w:t>
      </w:r>
      <w:r>
        <w:rPr>
          <w:sz w:val="24"/>
          <w:szCs w:val="24"/>
        </w:rPr>
        <w:t>”</w:t>
      </w:r>
    </w:p>
    <w:p w14:paraId="2584752E" w14:textId="77777777" w:rsidR="00820289" w:rsidRPr="00446C20" w:rsidRDefault="00820289" w:rsidP="00E26C4D">
      <w:pPr>
        <w:pStyle w:val="BodyText"/>
        <w:spacing w:line="276" w:lineRule="auto"/>
        <w:ind w:right="30"/>
        <w:jc w:val="both"/>
        <w:rPr>
          <w:sz w:val="24"/>
          <w:szCs w:val="24"/>
        </w:rPr>
      </w:pPr>
    </w:p>
    <w:p w14:paraId="0FEFE96A" w14:textId="2220A109" w:rsidR="00A7566D" w:rsidRDefault="00820289" w:rsidP="00E26C4D">
      <w:pPr>
        <w:pStyle w:val="BodyText"/>
        <w:spacing w:line="276" w:lineRule="auto"/>
        <w:ind w:right="30"/>
        <w:jc w:val="both"/>
        <w:rPr>
          <w:sz w:val="24"/>
          <w:szCs w:val="24"/>
        </w:rPr>
      </w:pPr>
      <w:r w:rsidRPr="00446C20">
        <w:rPr>
          <w:sz w:val="24"/>
          <w:szCs w:val="24"/>
        </w:rPr>
        <w:t xml:space="preserve">It is the Respondent's sole responsibility to ensure that the </w:t>
      </w:r>
      <w:r w:rsidR="00B4010D">
        <w:rPr>
          <w:sz w:val="24"/>
          <w:szCs w:val="24"/>
        </w:rPr>
        <w:t xml:space="preserve">email referenced immediately above </w:t>
      </w:r>
      <w:r w:rsidRPr="00446C20">
        <w:rPr>
          <w:sz w:val="24"/>
          <w:szCs w:val="24"/>
        </w:rPr>
        <w:t>is received</w:t>
      </w:r>
      <w:r w:rsidRPr="00446C20">
        <w:rPr>
          <w:spacing w:val="-3"/>
          <w:sz w:val="24"/>
          <w:szCs w:val="24"/>
        </w:rPr>
        <w:t xml:space="preserve"> </w:t>
      </w:r>
      <w:r w:rsidRPr="00446C20">
        <w:rPr>
          <w:sz w:val="24"/>
          <w:szCs w:val="24"/>
        </w:rPr>
        <w:t>by</w:t>
      </w:r>
      <w:r w:rsidRPr="00446C20">
        <w:rPr>
          <w:spacing w:val="-2"/>
          <w:sz w:val="24"/>
          <w:szCs w:val="24"/>
        </w:rPr>
        <w:t xml:space="preserve"> </w:t>
      </w:r>
      <w:r w:rsidRPr="00446C20">
        <w:rPr>
          <w:sz w:val="24"/>
          <w:szCs w:val="24"/>
        </w:rPr>
        <w:t>the</w:t>
      </w:r>
      <w:r w:rsidRPr="00446C20">
        <w:rPr>
          <w:spacing w:val="-3"/>
          <w:sz w:val="24"/>
          <w:szCs w:val="24"/>
        </w:rPr>
        <w:t xml:space="preserve"> </w:t>
      </w:r>
      <w:r w:rsidRPr="00446C20">
        <w:rPr>
          <w:sz w:val="24"/>
          <w:szCs w:val="24"/>
        </w:rPr>
        <w:t>State before the deadline listed above.</w:t>
      </w:r>
      <w:r w:rsidRPr="00446C20">
        <w:rPr>
          <w:spacing w:val="-4"/>
          <w:sz w:val="24"/>
          <w:szCs w:val="24"/>
        </w:rPr>
        <w:t xml:space="preserve"> </w:t>
      </w:r>
      <w:r w:rsidRPr="00446C20">
        <w:rPr>
          <w:sz w:val="24"/>
          <w:szCs w:val="24"/>
        </w:rPr>
        <w:t>All</w:t>
      </w:r>
      <w:r w:rsidRPr="00446C20">
        <w:rPr>
          <w:spacing w:val="-3"/>
          <w:sz w:val="24"/>
          <w:szCs w:val="24"/>
        </w:rPr>
        <w:t xml:space="preserve"> </w:t>
      </w:r>
      <w:r w:rsidRPr="00446C20">
        <w:rPr>
          <w:sz w:val="24"/>
          <w:szCs w:val="24"/>
        </w:rPr>
        <w:t>emails</w:t>
      </w:r>
      <w:r w:rsidRPr="00446C20">
        <w:rPr>
          <w:spacing w:val="-3"/>
          <w:sz w:val="24"/>
          <w:szCs w:val="24"/>
        </w:rPr>
        <w:t xml:space="preserve"> </w:t>
      </w:r>
      <w:r w:rsidRPr="00446C20">
        <w:rPr>
          <w:sz w:val="24"/>
          <w:szCs w:val="24"/>
        </w:rPr>
        <w:t>sent</w:t>
      </w:r>
      <w:r w:rsidRPr="00446C20">
        <w:rPr>
          <w:spacing w:val="-3"/>
          <w:sz w:val="24"/>
          <w:szCs w:val="24"/>
        </w:rPr>
        <w:t xml:space="preserve"> </w:t>
      </w:r>
      <w:r w:rsidRPr="00446C20">
        <w:rPr>
          <w:sz w:val="24"/>
          <w:szCs w:val="24"/>
        </w:rPr>
        <w:t>by</w:t>
      </w:r>
      <w:r w:rsidRPr="00446C20">
        <w:rPr>
          <w:spacing w:val="-2"/>
          <w:sz w:val="24"/>
          <w:szCs w:val="24"/>
        </w:rPr>
        <w:t xml:space="preserve"> </w:t>
      </w:r>
      <w:r w:rsidRPr="00446C20">
        <w:rPr>
          <w:sz w:val="24"/>
          <w:szCs w:val="24"/>
        </w:rPr>
        <w:t>a</w:t>
      </w:r>
      <w:r w:rsidRPr="00446C20">
        <w:rPr>
          <w:spacing w:val="-3"/>
          <w:sz w:val="24"/>
          <w:szCs w:val="24"/>
        </w:rPr>
        <w:t xml:space="preserve"> </w:t>
      </w:r>
      <w:r w:rsidRPr="00446C20">
        <w:rPr>
          <w:sz w:val="24"/>
          <w:szCs w:val="24"/>
        </w:rPr>
        <w:t>Respondent</w:t>
      </w:r>
      <w:r w:rsidRPr="00446C20">
        <w:rPr>
          <w:spacing w:val="-3"/>
          <w:sz w:val="24"/>
          <w:szCs w:val="24"/>
        </w:rPr>
        <w:t xml:space="preserve"> </w:t>
      </w:r>
      <w:r w:rsidRPr="00446C20">
        <w:rPr>
          <w:sz w:val="24"/>
          <w:szCs w:val="24"/>
        </w:rPr>
        <w:t>will</w:t>
      </w:r>
      <w:r w:rsidRPr="00446C20">
        <w:rPr>
          <w:spacing w:val="-3"/>
          <w:sz w:val="24"/>
          <w:szCs w:val="24"/>
        </w:rPr>
        <w:t xml:space="preserve"> </w:t>
      </w:r>
      <w:r w:rsidRPr="00446C20">
        <w:rPr>
          <w:sz w:val="24"/>
          <w:szCs w:val="24"/>
        </w:rPr>
        <w:t>be</w:t>
      </w:r>
      <w:r w:rsidRPr="00446C20">
        <w:rPr>
          <w:spacing w:val="-2"/>
          <w:sz w:val="24"/>
          <w:szCs w:val="24"/>
        </w:rPr>
        <w:t xml:space="preserve"> </w:t>
      </w:r>
      <w:r w:rsidRPr="00446C20">
        <w:rPr>
          <w:sz w:val="24"/>
          <w:szCs w:val="24"/>
        </w:rPr>
        <w:t>time-stamped</w:t>
      </w:r>
      <w:r w:rsidRPr="00446C20">
        <w:rPr>
          <w:spacing w:val="-3"/>
          <w:sz w:val="24"/>
          <w:szCs w:val="24"/>
        </w:rPr>
        <w:t xml:space="preserve"> </w:t>
      </w:r>
      <w:r w:rsidRPr="00446C20">
        <w:rPr>
          <w:sz w:val="24"/>
          <w:szCs w:val="24"/>
        </w:rPr>
        <w:t>based on the time of</w:t>
      </w:r>
      <w:r w:rsidRPr="00446C20">
        <w:rPr>
          <w:spacing w:val="-2"/>
          <w:sz w:val="24"/>
          <w:szCs w:val="24"/>
        </w:rPr>
        <w:t xml:space="preserve"> </w:t>
      </w:r>
      <w:r w:rsidRPr="00446C20">
        <w:rPr>
          <w:sz w:val="24"/>
          <w:szCs w:val="24"/>
        </w:rPr>
        <w:t>receipt of such</w:t>
      </w:r>
      <w:r w:rsidRPr="00446C20">
        <w:rPr>
          <w:spacing w:val="-1"/>
          <w:sz w:val="24"/>
          <w:szCs w:val="24"/>
        </w:rPr>
        <w:t xml:space="preserve"> </w:t>
      </w:r>
      <w:r w:rsidRPr="00446C20">
        <w:rPr>
          <w:sz w:val="24"/>
          <w:szCs w:val="24"/>
        </w:rPr>
        <w:t>email.</w:t>
      </w:r>
    </w:p>
    <w:p w14:paraId="2BF8F6E2" w14:textId="77777777" w:rsidR="00A7566D" w:rsidRDefault="00A7566D" w:rsidP="00E26C4D">
      <w:pPr>
        <w:pStyle w:val="BodyText"/>
        <w:spacing w:line="276" w:lineRule="auto"/>
        <w:ind w:right="30"/>
        <w:jc w:val="both"/>
        <w:rPr>
          <w:sz w:val="24"/>
          <w:szCs w:val="24"/>
        </w:rPr>
      </w:pPr>
    </w:p>
    <w:p w14:paraId="2C5F52E8" w14:textId="01DA3A3D" w:rsidR="00DD6984" w:rsidRPr="008F1818" w:rsidRDefault="00820289" w:rsidP="00E26C4D">
      <w:pPr>
        <w:pStyle w:val="BodyText"/>
        <w:spacing w:line="276" w:lineRule="auto"/>
        <w:ind w:right="30"/>
        <w:jc w:val="both"/>
        <w:rPr>
          <w:sz w:val="24"/>
          <w:szCs w:val="24"/>
        </w:rPr>
      </w:pPr>
      <w:r w:rsidRPr="008F1818">
        <w:rPr>
          <w:sz w:val="24"/>
          <w:szCs w:val="24"/>
        </w:rPr>
        <w:t xml:space="preserve">All questions and/or requests for clarification should be sent to the State contact’s email address. The State will respond to questions and/or requests for clarification by emailing one attachment containing </w:t>
      </w:r>
      <w:r w:rsidRPr="008F1818">
        <w:rPr>
          <w:i/>
          <w:iCs/>
          <w:sz w:val="24"/>
          <w:szCs w:val="24"/>
        </w:rPr>
        <w:t>all</w:t>
      </w:r>
      <w:r w:rsidRPr="008F1818">
        <w:rPr>
          <w:sz w:val="24"/>
          <w:szCs w:val="24"/>
        </w:rPr>
        <w:t xml:space="preserve"> questions and requests for clarification received by the deadline, along with an answer for each, via bcc to the email address(es) which submitted the questions and/or requests for clarification to the State by the applicable deadline. Please see Exhibit 5, Frequently Asked Questions, prior to submission</w:t>
      </w:r>
      <w:bookmarkEnd w:id="0"/>
      <w:bookmarkEnd w:id="1"/>
      <w:r w:rsidR="00664B2D" w:rsidRPr="008F1818">
        <w:rPr>
          <w:sz w:val="24"/>
          <w:szCs w:val="24"/>
        </w:rPr>
        <w:t>.</w:t>
      </w:r>
    </w:p>
    <w:p w14:paraId="437C0803" w14:textId="77777777" w:rsidR="00A7566D" w:rsidRDefault="00A7566D" w:rsidP="00E26C4D">
      <w:pPr>
        <w:pStyle w:val="Heading1"/>
        <w:spacing w:after="0"/>
        <w:jc w:val="both"/>
      </w:pPr>
      <w:bookmarkStart w:id="6" w:name="_Toc20481694"/>
      <w:bookmarkStart w:id="7" w:name="_Toc20721602"/>
    </w:p>
    <w:p w14:paraId="14BCA7F6" w14:textId="49E6F452" w:rsidR="00E464C3" w:rsidRDefault="00E464C3" w:rsidP="00E26C4D">
      <w:pPr>
        <w:pStyle w:val="Heading1"/>
        <w:spacing w:after="0"/>
        <w:jc w:val="both"/>
      </w:pPr>
      <w:r w:rsidRPr="00AB2FF6">
        <w:t>DISCLAIMER</w:t>
      </w:r>
      <w:bookmarkEnd w:id="6"/>
      <w:bookmarkEnd w:id="7"/>
      <w:r w:rsidR="00664B2D">
        <w:t>S</w:t>
      </w:r>
    </w:p>
    <w:p w14:paraId="3C37D856" w14:textId="77777777" w:rsidR="00E26C4D" w:rsidRPr="00AB2FF6" w:rsidRDefault="00E26C4D" w:rsidP="00E26C4D">
      <w:pPr>
        <w:pStyle w:val="Heading1"/>
        <w:spacing w:after="0"/>
        <w:jc w:val="both"/>
      </w:pPr>
    </w:p>
    <w:p w14:paraId="2905C259" w14:textId="5DEBAB80" w:rsidR="00D531FD" w:rsidRDefault="00D531FD" w:rsidP="00E26C4D">
      <w:pPr>
        <w:spacing w:after="0"/>
        <w:jc w:val="both"/>
      </w:pPr>
      <w:r>
        <w:t xml:space="preserve">This RFP is open only to </w:t>
      </w:r>
      <w:r w:rsidR="003E6597">
        <w:t xml:space="preserve">Respondents which successfully qualified for this opportunity </w:t>
      </w:r>
      <w:r w:rsidR="00A67183">
        <w:t xml:space="preserve">via the EO N-06-19 Request </w:t>
      </w:r>
      <w:r w:rsidR="00586712">
        <w:t>f</w:t>
      </w:r>
      <w:r w:rsidR="00A67183">
        <w:t xml:space="preserve">or Qualifications </w:t>
      </w:r>
      <w:r w:rsidR="00FB7962">
        <w:t xml:space="preserve">(RFQ) </w:t>
      </w:r>
      <w:r w:rsidR="00A67183">
        <w:t xml:space="preserve">number 2-21 which closed on </w:t>
      </w:r>
      <w:r w:rsidR="00586712">
        <w:t xml:space="preserve">July 14, 2021.  </w:t>
      </w:r>
      <w:r w:rsidR="00586712" w:rsidRPr="00586712">
        <w:t>Respondents that successfully qualified for this opportunity</w:t>
      </w:r>
      <w:r w:rsidR="00586712">
        <w:t xml:space="preserve"> via that RFQ</w:t>
      </w:r>
      <w:r w:rsidR="00FB7962">
        <w:t xml:space="preserve"> </w:t>
      </w:r>
      <w:r w:rsidR="00586712" w:rsidRPr="00586712">
        <w:t>have been notified of their eligibility to submit a proposal.</w:t>
      </w:r>
    </w:p>
    <w:p w14:paraId="351F2910" w14:textId="77777777" w:rsidR="00E26C4D" w:rsidRDefault="00E26C4D" w:rsidP="00E26C4D">
      <w:pPr>
        <w:spacing w:after="0"/>
        <w:jc w:val="both"/>
      </w:pPr>
    </w:p>
    <w:p w14:paraId="248442F7" w14:textId="349B8A41" w:rsidR="00E464C3" w:rsidRDefault="00E464C3" w:rsidP="00E26C4D">
      <w:pPr>
        <w:spacing w:after="0"/>
        <w:jc w:val="both"/>
      </w:pPr>
      <w:r>
        <w:t xml:space="preserve">The State obtained the information contained in this RFP from sources deemed reliable; however, the State makes no guarantees, warranties, or representations, nor expresses or implies any opinion concerning the accuracy or completeness of the information provided. It is furnished solely as an aid to </w:t>
      </w:r>
      <w:r w:rsidR="00B66BF3">
        <w:t>i</w:t>
      </w:r>
      <w:r>
        <w:t xml:space="preserve">nterested </w:t>
      </w:r>
      <w:r w:rsidR="00B66BF3">
        <w:t>p</w:t>
      </w:r>
      <w:r>
        <w:t xml:space="preserve">arties. Interested </w:t>
      </w:r>
      <w:r w:rsidR="00B66BF3">
        <w:t>p</w:t>
      </w:r>
      <w:r>
        <w:t>arties are responsible for undertaking all necessary investigation on and off the State</w:t>
      </w:r>
      <w:r w:rsidR="008F1818">
        <w:t>’s p</w:t>
      </w:r>
      <w:r w:rsidRPr="00F9348D">
        <w:t>roperty</w:t>
      </w:r>
      <w:r>
        <w:t xml:space="preserve"> to determine the suitability of the State</w:t>
      </w:r>
      <w:r w:rsidR="008F1818">
        <w:t>’s</w:t>
      </w:r>
      <w:r>
        <w:t xml:space="preserve"> </w:t>
      </w:r>
      <w:r w:rsidR="008F1818">
        <w:t>p</w:t>
      </w:r>
      <w:r w:rsidRPr="00F9348D">
        <w:t>roperty</w:t>
      </w:r>
      <w:r>
        <w:t xml:space="preserve"> for </w:t>
      </w:r>
      <w:r w:rsidR="008F1818">
        <w:t xml:space="preserve">selected </w:t>
      </w:r>
      <w:r w:rsidR="007E3A98">
        <w:t xml:space="preserve">Respondent’s </w:t>
      </w:r>
      <w:r>
        <w:t>intended use.</w:t>
      </w:r>
    </w:p>
    <w:p w14:paraId="00922EAC" w14:textId="77777777" w:rsidR="00E26C4D" w:rsidRDefault="00E26C4D" w:rsidP="00E26C4D">
      <w:pPr>
        <w:spacing w:after="0"/>
        <w:jc w:val="both"/>
      </w:pPr>
    </w:p>
    <w:p w14:paraId="092012E4" w14:textId="15182E3C" w:rsidR="00664B2D" w:rsidRDefault="00617B26" w:rsidP="00E26C4D">
      <w:pPr>
        <w:spacing w:after="0"/>
        <w:jc w:val="both"/>
      </w:pPr>
      <w:r w:rsidRPr="00617B26">
        <w:t>The California Public Records Act (California Government Code Sections 6250 et seq.) mandates public access to government records. Therefore, unless the information is exempt from disclosure by law, the material submitted may be made available to the public.</w:t>
      </w:r>
    </w:p>
    <w:p w14:paraId="5BB27642" w14:textId="686FA03C" w:rsidR="00BF7AF8" w:rsidRDefault="00BF7AF8" w:rsidP="00E26C4D">
      <w:pPr>
        <w:spacing w:after="0"/>
        <w:jc w:val="both"/>
      </w:pPr>
    </w:p>
    <w:p w14:paraId="7BA89884" w14:textId="0DF00AA6" w:rsidR="00BF7AF8" w:rsidRPr="008F7A19" w:rsidRDefault="00BF7AF8" w:rsidP="00BF7AF8">
      <w:pPr>
        <w:rPr>
          <w:rFonts w:asciiTheme="minorHAnsi" w:hAnsiTheme="minorHAnsi"/>
        </w:rPr>
      </w:pPr>
      <w:r>
        <w:lastRenderedPageBreak/>
        <w:t xml:space="preserve">The State reserves the right to assign and/or subdivide the parcel amongst multiple entities which represent the members of a Respondent Team. </w:t>
      </w:r>
    </w:p>
    <w:p w14:paraId="5E6AC736" w14:textId="77777777" w:rsidR="00E26C4D" w:rsidRDefault="00E26C4D" w:rsidP="00E26C4D">
      <w:pPr>
        <w:spacing w:after="0"/>
        <w:jc w:val="both"/>
      </w:pPr>
    </w:p>
    <w:p w14:paraId="4CB61972" w14:textId="6486CF78" w:rsidR="00E464C3" w:rsidRPr="008A01E3" w:rsidRDefault="00E464C3" w:rsidP="00E26C4D">
      <w:pPr>
        <w:pStyle w:val="Heading1"/>
        <w:spacing w:after="0"/>
      </w:pPr>
      <w:bookmarkStart w:id="8" w:name="_Toc20481695"/>
      <w:bookmarkStart w:id="9" w:name="_Toc20721603"/>
      <w:r>
        <w:t>INTRODUCTION</w:t>
      </w:r>
      <w:bookmarkEnd w:id="8"/>
      <w:bookmarkEnd w:id="9"/>
    </w:p>
    <w:p w14:paraId="009DF87B" w14:textId="77777777" w:rsidR="00E26C4D" w:rsidRDefault="00E26C4D" w:rsidP="00E26C4D">
      <w:pPr>
        <w:spacing w:after="0"/>
        <w:jc w:val="both"/>
      </w:pPr>
    </w:p>
    <w:p w14:paraId="00FAFBB7" w14:textId="416952E5" w:rsidR="00E464C3" w:rsidRDefault="00E464C3" w:rsidP="00E26C4D">
      <w:pPr>
        <w:spacing w:after="0"/>
        <w:jc w:val="both"/>
      </w:pPr>
      <w:r>
        <w:t xml:space="preserve">Executive Order N-06-19 (EO) (see Exhibit A) was signed by Governor Gavin Newsom on January 15, </w:t>
      </w:r>
      <w:proofErr w:type="gramStart"/>
      <w:r>
        <w:t>2019</w:t>
      </w:r>
      <w:proofErr w:type="gramEnd"/>
      <w:r>
        <w:t xml:space="preserve"> to address the housing affordability crisis that is facing the State of California. Governor Newsom ordered the Department of General Services (DGS) and the Department of Housing and Community Development (HCD), (the “State”), to identify and prioritize excess state-owned property and aggressively pursue the goals of affordable, sustainable, innovative, feasible, and cost-effective housing projects.</w:t>
      </w:r>
    </w:p>
    <w:p w14:paraId="395FDF21" w14:textId="77777777" w:rsidR="00E26C4D" w:rsidRDefault="00E26C4D" w:rsidP="00E26C4D">
      <w:pPr>
        <w:spacing w:after="0"/>
        <w:jc w:val="both"/>
        <w:rPr>
          <w:color w:val="000000" w:themeColor="text1"/>
        </w:rPr>
      </w:pPr>
    </w:p>
    <w:p w14:paraId="647488FB" w14:textId="77777777" w:rsidR="00E26C4D" w:rsidRDefault="00E81A7F" w:rsidP="00E26C4D">
      <w:pPr>
        <w:spacing w:after="0"/>
        <w:jc w:val="both"/>
        <w:rPr>
          <w:color w:val="000000" w:themeColor="text1"/>
        </w:rPr>
      </w:pPr>
      <w:r w:rsidRPr="00477B80">
        <w:rPr>
          <w:color w:val="000000" w:themeColor="text1"/>
        </w:rPr>
        <w:t>The State issued</w:t>
      </w:r>
      <w:r w:rsidR="00586FE3" w:rsidRPr="00477B80">
        <w:rPr>
          <w:color w:val="000000" w:themeColor="text1"/>
        </w:rPr>
        <w:t xml:space="preserve"> </w:t>
      </w:r>
      <w:r w:rsidRPr="00477B80">
        <w:rPr>
          <w:color w:val="000000" w:themeColor="text1"/>
        </w:rPr>
        <w:t>RFQ</w:t>
      </w:r>
      <w:r w:rsidR="00477B80" w:rsidRPr="00477B80">
        <w:rPr>
          <w:color w:val="000000" w:themeColor="text1"/>
        </w:rPr>
        <w:t xml:space="preserve"> 2-21</w:t>
      </w:r>
      <w:r w:rsidR="00897A9F" w:rsidRPr="00477B80">
        <w:rPr>
          <w:color w:val="000000" w:themeColor="text1"/>
        </w:rPr>
        <w:t xml:space="preserve"> on </w:t>
      </w:r>
      <w:r w:rsidR="005B6CAD" w:rsidRPr="00477B80">
        <w:rPr>
          <w:color w:val="000000" w:themeColor="text1"/>
        </w:rPr>
        <w:t xml:space="preserve">June 8, </w:t>
      </w:r>
      <w:proofErr w:type="gramStart"/>
      <w:r w:rsidR="005B6CAD" w:rsidRPr="00477B80">
        <w:rPr>
          <w:color w:val="000000" w:themeColor="text1"/>
        </w:rPr>
        <w:t>2021</w:t>
      </w:r>
      <w:proofErr w:type="gramEnd"/>
      <w:r w:rsidR="00897A9F" w:rsidRPr="00477B80">
        <w:rPr>
          <w:color w:val="000000" w:themeColor="text1"/>
        </w:rPr>
        <w:t xml:space="preserve"> to </w:t>
      </w:r>
      <w:r w:rsidR="00583593" w:rsidRPr="00477B80">
        <w:rPr>
          <w:color w:val="000000" w:themeColor="text1"/>
        </w:rPr>
        <w:t xml:space="preserve">create an </w:t>
      </w:r>
      <w:r w:rsidR="00E43FE0" w:rsidRPr="00477B80">
        <w:rPr>
          <w:color w:val="000000" w:themeColor="text1"/>
        </w:rPr>
        <w:t>affordable housing</w:t>
      </w:r>
      <w:r w:rsidR="00583593" w:rsidRPr="00477B80">
        <w:rPr>
          <w:color w:val="000000" w:themeColor="text1"/>
        </w:rPr>
        <w:t xml:space="preserve"> development</w:t>
      </w:r>
      <w:r w:rsidR="00E43FE0" w:rsidRPr="00477B80">
        <w:rPr>
          <w:color w:val="000000" w:themeColor="text1"/>
        </w:rPr>
        <w:t xml:space="preserve"> on an excess state-owned property</w:t>
      </w:r>
      <w:r w:rsidR="00103F23" w:rsidRPr="00477B80">
        <w:rPr>
          <w:color w:val="000000" w:themeColor="text1"/>
        </w:rPr>
        <w:t xml:space="preserve"> </w:t>
      </w:r>
      <w:r w:rsidR="00D922CE">
        <w:rPr>
          <w:color w:val="000000" w:themeColor="text1"/>
        </w:rPr>
        <w:t xml:space="preserve">(the “Site”) </w:t>
      </w:r>
      <w:r w:rsidR="00103F23" w:rsidRPr="00477B80">
        <w:rPr>
          <w:color w:val="000000" w:themeColor="text1"/>
        </w:rPr>
        <w:t xml:space="preserve">located in the City of </w:t>
      </w:r>
      <w:r w:rsidR="005B6CAD" w:rsidRPr="00477B80">
        <w:rPr>
          <w:color w:val="000000" w:themeColor="text1"/>
        </w:rPr>
        <w:t>Los Angeles</w:t>
      </w:r>
      <w:r w:rsidR="002D396C" w:rsidRPr="00477B80">
        <w:rPr>
          <w:color w:val="000000" w:themeColor="text1"/>
        </w:rPr>
        <w:t xml:space="preserve"> (the “City”)</w:t>
      </w:r>
      <w:r w:rsidR="00103F23" w:rsidRPr="00477B80">
        <w:rPr>
          <w:color w:val="000000" w:themeColor="text1"/>
        </w:rPr>
        <w:t xml:space="preserve">. </w:t>
      </w:r>
      <w:r w:rsidR="00A936D7" w:rsidRPr="00477B80">
        <w:rPr>
          <w:color w:val="000000" w:themeColor="text1"/>
        </w:rPr>
        <w:t>At the conclusion of th</w:t>
      </w:r>
      <w:r w:rsidR="007B5688" w:rsidRPr="00477B80">
        <w:rPr>
          <w:color w:val="000000" w:themeColor="text1"/>
        </w:rPr>
        <w:t>at</w:t>
      </w:r>
      <w:r w:rsidR="00A936D7" w:rsidRPr="00477B80">
        <w:rPr>
          <w:color w:val="000000" w:themeColor="text1"/>
        </w:rPr>
        <w:t xml:space="preserve"> RFQ solicitation period, statements of qualifications </w:t>
      </w:r>
      <w:r w:rsidR="00A936D7" w:rsidRPr="008A6A1B">
        <w:t>(SOQ) were received from Respondent</w:t>
      </w:r>
      <w:r w:rsidR="00477B80">
        <w:t>s. S</w:t>
      </w:r>
      <w:r w:rsidR="00393B64">
        <w:t xml:space="preserve">elected </w:t>
      </w:r>
      <w:r w:rsidR="00A936D7" w:rsidRPr="008A6A1B">
        <w:t xml:space="preserve">Respondents are now invited to submit a </w:t>
      </w:r>
      <w:r w:rsidR="00477B80">
        <w:t>P</w:t>
      </w:r>
      <w:r w:rsidR="00A936D7" w:rsidRPr="008A6A1B">
        <w:t xml:space="preserve">roposal consistent with this </w:t>
      </w:r>
      <w:r w:rsidR="00477B80">
        <w:t>RFP</w:t>
      </w:r>
      <w:r w:rsidR="007B5688">
        <w:t>.</w:t>
      </w:r>
    </w:p>
    <w:p w14:paraId="5AF94F15" w14:textId="77777777" w:rsidR="00E26C4D" w:rsidRDefault="00E26C4D" w:rsidP="00E26C4D">
      <w:pPr>
        <w:spacing w:after="0"/>
        <w:jc w:val="both"/>
        <w:rPr>
          <w:color w:val="000000" w:themeColor="text1"/>
        </w:rPr>
      </w:pPr>
    </w:p>
    <w:p w14:paraId="48F713D1" w14:textId="65B7E5D7" w:rsidR="00A936D7" w:rsidRPr="00E26C4D" w:rsidRDefault="00A936D7" w:rsidP="00E26C4D">
      <w:pPr>
        <w:spacing w:after="0"/>
        <w:jc w:val="both"/>
        <w:rPr>
          <w:color w:val="000000" w:themeColor="text1"/>
        </w:rPr>
      </w:pPr>
      <w:r w:rsidRPr="001C2DD8">
        <w:t>The Stat</w:t>
      </w:r>
      <w:r w:rsidRPr="003747D8">
        <w:rPr>
          <w:color w:val="000000" w:themeColor="text1"/>
        </w:rPr>
        <w:t>e is pleased to issue this RFP for respondents capable of developing affordable housing on an excess state-owned property located in</w:t>
      </w:r>
      <w:r w:rsidR="007B5688" w:rsidRPr="003747D8">
        <w:rPr>
          <w:color w:val="000000" w:themeColor="text1"/>
        </w:rPr>
        <w:t xml:space="preserve"> </w:t>
      </w:r>
      <w:r w:rsidR="005B6CAD" w:rsidRPr="003747D8">
        <w:rPr>
          <w:color w:val="000000" w:themeColor="text1"/>
        </w:rPr>
        <w:t>Los Angeles</w:t>
      </w:r>
      <w:r w:rsidR="003747D8" w:rsidRPr="003747D8">
        <w:rPr>
          <w:color w:val="000000" w:themeColor="text1"/>
        </w:rPr>
        <w:t>.</w:t>
      </w:r>
    </w:p>
    <w:p w14:paraId="3F13C92B" w14:textId="77777777" w:rsidR="00E26C4D" w:rsidRDefault="00E26C4D" w:rsidP="00E26C4D">
      <w:pPr>
        <w:spacing w:after="0"/>
        <w:jc w:val="both"/>
      </w:pPr>
    </w:p>
    <w:p w14:paraId="020B2168" w14:textId="295BBAA3" w:rsidR="006D2F94" w:rsidRDefault="00A936D7" w:rsidP="00E26C4D">
      <w:pPr>
        <w:spacing w:after="0"/>
        <w:jc w:val="both"/>
      </w:pPr>
      <w:r>
        <w:t>It is the intention of the State to collaborate with</w:t>
      </w:r>
      <w:r w:rsidR="003747D8">
        <w:t xml:space="preserve"> </w:t>
      </w:r>
      <w:r w:rsidR="003747D8" w:rsidRPr="003747D8">
        <w:rPr>
          <w:color w:val="000000" w:themeColor="text1"/>
        </w:rPr>
        <w:t>the</w:t>
      </w:r>
      <w:r w:rsidRPr="003747D8">
        <w:rPr>
          <w:color w:val="000000" w:themeColor="text1"/>
        </w:rPr>
        <w:t xml:space="preserve"> </w:t>
      </w:r>
      <w:proofErr w:type="gramStart"/>
      <w:r w:rsidR="005B6CAD" w:rsidRPr="003747D8">
        <w:rPr>
          <w:color w:val="000000" w:themeColor="text1"/>
        </w:rPr>
        <w:t>City</w:t>
      </w:r>
      <w:proofErr w:type="gramEnd"/>
      <w:r w:rsidR="007B5688">
        <w:t xml:space="preserve"> </w:t>
      </w:r>
      <w:r>
        <w:t xml:space="preserve">in </w:t>
      </w:r>
      <w:r w:rsidR="003747D8">
        <w:t>the State’s</w:t>
      </w:r>
      <w:r>
        <w:t xml:space="preserve"> selection of a development team and creation of a development program.</w:t>
      </w:r>
    </w:p>
    <w:p w14:paraId="68CB9E0B" w14:textId="77777777" w:rsidR="00E26C4D" w:rsidRDefault="00E26C4D" w:rsidP="00E26C4D">
      <w:pPr>
        <w:spacing w:after="0"/>
        <w:jc w:val="both"/>
      </w:pPr>
      <w:bookmarkStart w:id="10" w:name="_Hlk57898046"/>
      <w:bookmarkStart w:id="11" w:name="_Hlk79483277"/>
    </w:p>
    <w:p w14:paraId="31869D61" w14:textId="1466FF9E" w:rsidR="00B361F6" w:rsidRDefault="007B5688" w:rsidP="00E26C4D">
      <w:pPr>
        <w:spacing w:after="0"/>
        <w:jc w:val="both"/>
      </w:pPr>
      <w:r w:rsidRPr="001C2DD8">
        <w:t xml:space="preserve">At the conclusion of the RFP process, the State intends to enter into </w:t>
      </w:r>
      <w:r w:rsidR="00C6172C" w:rsidRPr="001C2DD8">
        <w:t>a</w:t>
      </w:r>
      <w:r w:rsidRPr="001C2DD8">
        <w:t xml:space="preserve"> </w:t>
      </w:r>
      <w:r w:rsidR="006F598F">
        <w:t xml:space="preserve">Lease Option </w:t>
      </w:r>
      <w:r w:rsidRPr="001C2DD8">
        <w:t>Agreement</w:t>
      </w:r>
      <w:r w:rsidR="00521EB6">
        <w:t>(s)</w:t>
      </w:r>
      <w:r w:rsidRPr="001C2DD8">
        <w:t xml:space="preserve"> (</w:t>
      </w:r>
      <w:r w:rsidR="006F598F">
        <w:t>LOA</w:t>
      </w:r>
      <w:r w:rsidRPr="001C2DD8">
        <w:t xml:space="preserve">) with </w:t>
      </w:r>
      <w:r w:rsidR="00502AF6">
        <w:t>a selected</w:t>
      </w:r>
      <w:r w:rsidRPr="001C2DD8">
        <w:t xml:space="preserve"> Respondent </w:t>
      </w:r>
      <w:r w:rsidR="00521EB6">
        <w:t xml:space="preserve">or Respondent Team </w:t>
      </w:r>
      <w:r w:rsidRPr="001C2DD8">
        <w:t xml:space="preserve">whose qualifications and development proposal the State </w:t>
      </w:r>
      <w:r w:rsidR="00393B64">
        <w:t xml:space="preserve">at its sole discretion </w:t>
      </w:r>
      <w:r w:rsidRPr="001C2DD8">
        <w:t xml:space="preserve">deems best suited to achieve the </w:t>
      </w:r>
      <w:r w:rsidR="007E3A98">
        <w:t>P</w:t>
      </w:r>
      <w:r w:rsidR="00502AF6">
        <w:t xml:space="preserve">rinciples and </w:t>
      </w:r>
      <w:r w:rsidR="007E3A98">
        <w:t>O</w:t>
      </w:r>
      <w:r w:rsidRPr="001C2DD8">
        <w:t>bjectives described in th</w:t>
      </w:r>
      <w:r>
        <w:t>is</w:t>
      </w:r>
      <w:r w:rsidRPr="001C2DD8">
        <w:t xml:space="preserve"> RFP.</w:t>
      </w:r>
      <w:r>
        <w:t xml:space="preserve"> </w:t>
      </w:r>
      <w:r w:rsidRPr="001C2DD8">
        <w:t>Successful completion of negotiations will lead to the execution of a low-cost, long-term ground lease</w:t>
      </w:r>
      <w:r w:rsidR="00521EB6">
        <w:t>(s)</w:t>
      </w:r>
      <w:r w:rsidRPr="001C2DD8">
        <w:t xml:space="preserve"> and regulatory agreement with a maximum term of 99 years.</w:t>
      </w:r>
      <w:bookmarkStart w:id="12" w:name="_Toc20721604"/>
      <w:bookmarkEnd w:id="10"/>
      <w:bookmarkEnd w:id="11"/>
      <w:r w:rsidR="00E24CC6">
        <w:t xml:space="preserve"> </w:t>
      </w:r>
      <w:r w:rsidR="00D07C16">
        <w:t>These are further described, below.</w:t>
      </w:r>
    </w:p>
    <w:p w14:paraId="176DAAC6" w14:textId="77777777" w:rsidR="00E26C4D" w:rsidRDefault="00E26C4D" w:rsidP="00E26C4D">
      <w:pPr>
        <w:pStyle w:val="Heading1"/>
        <w:spacing w:after="0"/>
      </w:pPr>
    </w:p>
    <w:p w14:paraId="37975207" w14:textId="667AFDF6" w:rsidR="00E464C3" w:rsidRPr="00AA6F33" w:rsidRDefault="00E464C3" w:rsidP="00E26C4D">
      <w:pPr>
        <w:pStyle w:val="Heading1"/>
        <w:spacing w:after="0"/>
      </w:pPr>
      <w:r w:rsidRPr="00AA6F33">
        <w:t>DEVELOPMENT OPPORTUNITY OVERVIEW</w:t>
      </w:r>
      <w:bookmarkEnd w:id="12"/>
    </w:p>
    <w:p w14:paraId="7781CA11" w14:textId="77777777" w:rsidR="00E26C4D" w:rsidRDefault="00E26C4D" w:rsidP="00E26C4D">
      <w:pPr>
        <w:spacing w:after="0"/>
      </w:pPr>
    </w:p>
    <w:p w14:paraId="594A046A" w14:textId="653D30B0" w:rsidR="00B361F6" w:rsidRDefault="00B361F6" w:rsidP="00E26C4D">
      <w:pPr>
        <w:spacing w:after="0"/>
      </w:pPr>
      <w:r>
        <w:t>Please see Exhibit 3.</w:t>
      </w:r>
    </w:p>
    <w:p w14:paraId="1C000C13" w14:textId="77777777" w:rsidR="00E26C4D" w:rsidRDefault="00E26C4D" w:rsidP="00E26C4D">
      <w:pPr>
        <w:pStyle w:val="Heading1"/>
        <w:spacing w:after="0"/>
        <w:jc w:val="both"/>
        <w:rPr>
          <w:spacing w:val="-9"/>
        </w:rPr>
      </w:pPr>
      <w:bookmarkStart w:id="13" w:name="_Toc20721605"/>
    </w:p>
    <w:p w14:paraId="15D47D60" w14:textId="4931F13A" w:rsidR="000A330D" w:rsidRDefault="000A330D" w:rsidP="00E26C4D">
      <w:pPr>
        <w:pStyle w:val="Heading1"/>
        <w:spacing w:after="0"/>
        <w:jc w:val="both"/>
      </w:pPr>
      <w:r>
        <w:rPr>
          <w:spacing w:val="-9"/>
        </w:rPr>
        <w:t xml:space="preserve">PROGRAM </w:t>
      </w:r>
      <w:r>
        <w:t>PRINCIPLES</w:t>
      </w:r>
      <w:r>
        <w:rPr>
          <w:spacing w:val="-8"/>
        </w:rPr>
        <w:t xml:space="preserve"> </w:t>
      </w:r>
      <w:r>
        <w:t>AND</w:t>
      </w:r>
      <w:r>
        <w:rPr>
          <w:spacing w:val="-9"/>
        </w:rPr>
        <w:t xml:space="preserve"> </w:t>
      </w:r>
      <w:r>
        <w:t>OBJECTIVES</w:t>
      </w:r>
    </w:p>
    <w:p w14:paraId="37EFFD17" w14:textId="77777777" w:rsidR="00E26C4D" w:rsidRDefault="00E26C4D" w:rsidP="00E26C4D">
      <w:pPr>
        <w:pStyle w:val="BodyText"/>
        <w:jc w:val="both"/>
        <w:rPr>
          <w:sz w:val="24"/>
          <w:szCs w:val="24"/>
        </w:rPr>
      </w:pPr>
    </w:p>
    <w:p w14:paraId="43B2CA92" w14:textId="48DBEBC0" w:rsidR="000A330D" w:rsidRPr="000A330D" w:rsidRDefault="000A330D" w:rsidP="00E26C4D">
      <w:pPr>
        <w:pStyle w:val="BodyText"/>
        <w:jc w:val="both"/>
        <w:rPr>
          <w:sz w:val="24"/>
          <w:szCs w:val="24"/>
        </w:rPr>
      </w:pPr>
      <w:r w:rsidRPr="000A330D">
        <w:rPr>
          <w:sz w:val="24"/>
          <w:szCs w:val="24"/>
        </w:rPr>
        <w:t xml:space="preserve">The lack of affordable housing across California is a matter of vital statewide importance </w:t>
      </w:r>
      <w:r w:rsidRPr="000A330D">
        <w:rPr>
          <w:sz w:val="24"/>
          <w:szCs w:val="24"/>
        </w:rPr>
        <w:lastRenderedPageBreak/>
        <w:t xml:space="preserve">and the State is working to expand housing opportunities through a new level of innovation and cooperation between the public and private sectors. While housing affordability is paramount, the State recognizes that this program presents an opportunity to leverage development for multi-benefit outcomes. </w:t>
      </w:r>
    </w:p>
    <w:p w14:paraId="3D1213BD" w14:textId="77777777" w:rsidR="000A330D" w:rsidRPr="000A330D" w:rsidRDefault="000A330D" w:rsidP="00E26C4D">
      <w:pPr>
        <w:pStyle w:val="BodyText"/>
        <w:jc w:val="both"/>
        <w:rPr>
          <w:sz w:val="24"/>
          <w:szCs w:val="24"/>
        </w:rPr>
      </w:pPr>
    </w:p>
    <w:p w14:paraId="798C052F" w14:textId="4CC984DF" w:rsidR="000A330D" w:rsidRPr="000A330D" w:rsidRDefault="000A330D" w:rsidP="00E26C4D">
      <w:pPr>
        <w:pStyle w:val="BodyText"/>
        <w:jc w:val="both"/>
        <w:rPr>
          <w:sz w:val="24"/>
          <w:szCs w:val="24"/>
        </w:rPr>
      </w:pPr>
      <w:r w:rsidRPr="000A330D">
        <w:rPr>
          <w:sz w:val="24"/>
          <w:szCs w:val="24"/>
        </w:rPr>
        <w:t xml:space="preserve">To help solve the affordable housing crisis in alignment with other priorities, the State is seeking </w:t>
      </w:r>
      <w:r w:rsidR="004A7643">
        <w:rPr>
          <w:sz w:val="24"/>
          <w:szCs w:val="24"/>
        </w:rPr>
        <w:t>Proposals</w:t>
      </w:r>
      <w:r w:rsidRPr="000A330D">
        <w:rPr>
          <w:sz w:val="24"/>
          <w:szCs w:val="24"/>
        </w:rPr>
        <w:t xml:space="preserve"> from Respondents who can demonstrate the capacity, creativity and commitment needed to support the Principles and Objectives listed below. </w:t>
      </w:r>
    </w:p>
    <w:p w14:paraId="0BAFDFE0" w14:textId="77777777" w:rsidR="000A330D" w:rsidRPr="000A330D" w:rsidRDefault="000A330D" w:rsidP="00E26C4D">
      <w:pPr>
        <w:pStyle w:val="BodyText"/>
        <w:rPr>
          <w:sz w:val="24"/>
          <w:szCs w:val="24"/>
        </w:rPr>
      </w:pPr>
    </w:p>
    <w:p w14:paraId="752C5B54" w14:textId="77777777" w:rsidR="000A330D" w:rsidRPr="000A330D" w:rsidRDefault="000A330D" w:rsidP="00E26C4D">
      <w:pPr>
        <w:pStyle w:val="ListParagraph"/>
        <w:widowControl w:val="0"/>
        <w:numPr>
          <w:ilvl w:val="0"/>
          <w:numId w:val="22"/>
        </w:numPr>
        <w:tabs>
          <w:tab w:val="left" w:pos="919"/>
          <w:tab w:val="left" w:pos="920"/>
        </w:tabs>
        <w:autoSpaceDE w:val="0"/>
        <w:autoSpaceDN w:val="0"/>
        <w:spacing w:after="0" w:line="271" w:lineRule="auto"/>
        <w:ind w:right="660"/>
        <w:contextualSpacing w:val="0"/>
        <w:jc w:val="both"/>
        <w:rPr>
          <w:szCs w:val="24"/>
        </w:rPr>
      </w:pPr>
      <w:r w:rsidRPr="000A330D">
        <w:rPr>
          <w:b/>
          <w:i/>
          <w:szCs w:val="24"/>
        </w:rPr>
        <w:t xml:space="preserve">Affordability: </w:t>
      </w:r>
      <w:r w:rsidRPr="000A330D">
        <w:rPr>
          <w:bCs/>
          <w:iCs/>
          <w:szCs w:val="24"/>
        </w:rPr>
        <w:t>Maximize depth and breadth of affordability while maintaining financial feasibility.</w:t>
      </w:r>
    </w:p>
    <w:p w14:paraId="41B8A63E" w14:textId="77777777" w:rsidR="000A330D" w:rsidRPr="000A330D" w:rsidRDefault="000A330D" w:rsidP="00E26C4D">
      <w:pPr>
        <w:pStyle w:val="BodyText"/>
        <w:ind w:right="660"/>
        <w:jc w:val="both"/>
        <w:rPr>
          <w:sz w:val="24"/>
          <w:szCs w:val="24"/>
        </w:rPr>
      </w:pPr>
    </w:p>
    <w:p w14:paraId="63CE74C2" w14:textId="77777777" w:rsidR="000A330D" w:rsidRPr="000A330D" w:rsidRDefault="000A330D" w:rsidP="00E26C4D">
      <w:pPr>
        <w:pStyle w:val="ListParagraph"/>
        <w:widowControl w:val="0"/>
        <w:numPr>
          <w:ilvl w:val="0"/>
          <w:numId w:val="22"/>
        </w:numPr>
        <w:tabs>
          <w:tab w:val="left" w:pos="919"/>
          <w:tab w:val="left" w:pos="920"/>
        </w:tabs>
        <w:autoSpaceDE w:val="0"/>
        <w:autoSpaceDN w:val="0"/>
        <w:spacing w:after="0"/>
        <w:ind w:right="660"/>
        <w:contextualSpacing w:val="0"/>
        <w:jc w:val="both"/>
        <w:rPr>
          <w:szCs w:val="24"/>
        </w:rPr>
      </w:pPr>
      <w:r w:rsidRPr="000A330D">
        <w:rPr>
          <w:b/>
          <w:i/>
          <w:szCs w:val="24"/>
        </w:rPr>
        <w:t xml:space="preserve">Financing Innovation: </w:t>
      </w:r>
      <w:r w:rsidRPr="000A330D">
        <w:rPr>
          <w:bCs/>
          <w:iCs/>
          <w:szCs w:val="24"/>
        </w:rPr>
        <w:t>Implement innovative financing models which reduce the necessity of scarce public resources. Examples of scarce public resources include Low Income Housing Tax Credits, tax-exempt bonds, and state/local housing programs.</w:t>
      </w:r>
    </w:p>
    <w:p w14:paraId="02622753" w14:textId="77777777" w:rsidR="000A330D" w:rsidRPr="000A330D" w:rsidRDefault="000A330D" w:rsidP="00E26C4D">
      <w:pPr>
        <w:pStyle w:val="BodyText"/>
        <w:ind w:right="660"/>
        <w:jc w:val="both"/>
        <w:rPr>
          <w:sz w:val="24"/>
          <w:szCs w:val="24"/>
        </w:rPr>
      </w:pPr>
    </w:p>
    <w:p w14:paraId="0A8B3D66" w14:textId="77777777" w:rsidR="000A330D" w:rsidRPr="000A330D" w:rsidRDefault="000A330D" w:rsidP="00E26C4D">
      <w:pPr>
        <w:pStyle w:val="ListParagraph"/>
        <w:widowControl w:val="0"/>
        <w:numPr>
          <w:ilvl w:val="0"/>
          <w:numId w:val="22"/>
        </w:numPr>
        <w:tabs>
          <w:tab w:val="left" w:pos="919"/>
          <w:tab w:val="left" w:pos="920"/>
        </w:tabs>
        <w:autoSpaceDE w:val="0"/>
        <w:autoSpaceDN w:val="0"/>
        <w:spacing w:after="0"/>
        <w:ind w:right="660"/>
        <w:contextualSpacing w:val="0"/>
        <w:jc w:val="both"/>
        <w:rPr>
          <w:szCs w:val="24"/>
        </w:rPr>
      </w:pPr>
      <w:r w:rsidRPr="000A330D">
        <w:rPr>
          <w:b/>
          <w:i/>
          <w:szCs w:val="24"/>
        </w:rPr>
        <w:t xml:space="preserve">Timing Efficiency and Financial Feasibility: </w:t>
      </w:r>
      <w:r w:rsidRPr="000A330D">
        <w:rPr>
          <w:bCs/>
          <w:iCs/>
          <w:szCs w:val="24"/>
        </w:rPr>
        <w:t>Strategically deliver on the timing goals of the EO by maximizing financial feasibility and accelerating delivery.</w:t>
      </w:r>
    </w:p>
    <w:p w14:paraId="1ABF25E9" w14:textId="77777777" w:rsidR="000A330D" w:rsidRPr="000A330D" w:rsidRDefault="000A330D" w:rsidP="00E26C4D">
      <w:pPr>
        <w:pStyle w:val="BodyText"/>
        <w:ind w:right="660"/>
        <w:jc w:val="both"/>
        <w:rPr>
          <w:sz w:val="24"/>
          <w:szCs w:val="24"/>
        </w:rPr>
      </w:pPr>
    </w:p>
    <w:p w14:paraId="321E1A6D" w14:textId="77777777" w:rsidR="000A330D" w:rsidRPr="000A330D" w:rsidRDefault="000A330D" w:rsidP="00E26C4D">
      <w:pPr>
        <w:pStyle w:val="ListParagraph"/>
        <w:widowControl w:val="0"/>
        <w:numPr>
          <w:ilvl w:val="0"/>
          <w:numId w:val="22"/>
        </w:numPr>
        <w:tabs>
          <w:tab w:val="left" w:pos="919"/>
          <w:tab w:val="left" w:pos="920"/>
        </w:tabs>
        <w:autoSpaceDE w:val="0"/>
        <w:autoSpaceDN w:val="0"/>
        <w:spacing w:after="0" w:line="271" w:lineRule="auto"/>
        <w:ind w:right="660"/>
        <w:contextualSpacing w:val="0"/>
        <w:jc w:val="both"/>
        <w:rPr>
          <w:szCs w:val="24"/>
        </w:rPr>
      </w:pPr>
      <w:r w:rsidRPr="000A330D">
        <w:rPr>
          <w:b/>
          <w:i/>
          <w:szCs w:val="24"/>
        </w:rPr>
        <w:t xml:space="preserve">Accessibility: </w:t>
      </w:r>
      <w:r w:rsidRPr="000A330D">
        <w:rPr>
          <w:bCs/>
          <w:iCs/>
          <w:szCs w:val="24"/>
        </w:rPr>
        <w:t>Provide accessible housing for all Californians by meeting or exceeding the requirements of the California Building Code and local requirements by maximizing universal design principles.</w:t>
      </w:r>
    </w:p>
    <w:p w14:paraId="47E89A6E" w14:textId="77777777" w:rsidR="000A330D" w:rsidRPr="000A330D" w:rsidRDefault="000A330D" w:rsidP="00E26C4D">
      <w:pPr>
        <w:pStyle w:val="BodyText"/>
        <w:ind w:right="660"/>
        <w:jc w:val="both"/>
        <w:rPr>
          <w:sz w:val="24"/>
          <w:szCs w:val="24"/>
        </w:rPr>
      </w:pPr>
    </w:p>
    <w:p w14:paraId="41795374" w14:textId="71D880FB" w:rsidR="000A330D" w:rsidRPr="000A330D" w:rsidRDefault="000A330D" w:rsidP="00E26C4D">
      <w:pPr>
        <w:pStyle w:val="ListParagraph"/>
        <w:widowControl w:val="0"/>
        <w:numPr>
          <w:ilvl w:val="0"/>
          <w:numId w:val="22"/>
        </w:numPr>
        <w:tabs>
          <w:tab w:val="left" w:pos="919"/>
          <w:tab w:val="left" w:pos="920"/>
        </w:tabs>
        <w:autoSpaceDE w:val="0"/>
        <w:autoSpaceDN w:val="0"/>
        <w:spacing w:after="0"/>
        <w:ind w:right="660"/>
        <w:contextualSpacing w:val="0"/>
        <w:jc w:val="both"/>
        <w:rPr>
          <w:szCs w:val="24"/>
        </w:rPr>
      </w:pPr>
      <w:r w:rsidRPr="000A330D">
        <w:rPr>
          <w:b/>
          <w:i/>
          <w:szCs w:val="24"/>
        </w:rPr>
        <w:t xml:space="preserve">Sustainability </w:t>
      </w:r>
      <w:r w:rsidRPr="000A330D">
        <w:rPr>
          <w:b/>
          <w:bCs/>
          <w:i/>
          <w:iCs/>
          <w:szCs w:val="24"/>
        </w:rPr>
        <w:t>and Resiliency</w:t>
      </w:r>
      <w:r w:rsidRPr="000A330D">
        <w:rPr>
          <w:b/>
          <w:i/>
          <w:szCs w:val="24"/>
        </w:rPr>
        <w:t xml:space="preserve">: </w:t>
      </w:r>
      <w:r w:rsidRPr="000A330D">
        <w:rPr>
          <w:szCs w:val="24"/>
        </w:rPr>
        <w:t>Incorporate State and/or local emphasis on sustainable construction, energy consumption and ecological resilience</w:t>
      </w:r>
      <w:r w:rsidR="00CD479C">
        <w:rPr>
          <w:szCs w:val="24"/>
        </w:rPr>
        <w:t>, as well as other means of reducing the carbon footprint of the building and residents</w:t>
      </w:r>
      <w:r w:rsidRPr="000A330D">
        <w:rPr>
          <w:szCs w:val="24"/>
        </w:rPr>
        <w:t>.</w:t>
      </w:r>
    </w:p>
    <w:p w14:paraId="66835112" w14:textId="77777777" w:rsidR="000A330D" w:rsidRPr="000A330D" w:rsidRDefault="000A330D" w:rsidP="00E26C4D">
      <w:pPr>
        <w:pStyle w:val="ListParagraph"/>
        <w:tabs>
          <w:tab w:val="left" w:pos="919"/>
          <w:tab w:val="left" w:pos="920"/>
        </w:tabs>
        <w:spacing w:after="0"/>
        <w:ind w:right="660"/>
        <w:jc w:val="both"/>
        <w:rPr>
          <w:szCs w:val="24"/>
        </w:rPr>
      </w:pPr>
    </w:p>
    <w:p w14:paraId="56CA07C3" w14:textId="77777777" w:rsidR="000A330D" w:rsidRPr="000A330D" w:rsidRDefault="000A330D" w:rsidP="00E26C4D">
      <w:pPr>
        <w:pStyle w:val="ListParagraph"/>
        <w:widowControl w:val="0"/>
        <w:numPr>
          <w:ilvl w:val="0"/>
          <w:numId w:val="22"/>
        </w:numPr>
        <w:tabs>
          <w:tab w:val="left" w:pos="919"/>
          <w:tab w:val="left" w:pos="920"/>
        </w:tabs>
        <w:autoSpaceDE w:val="0"/>
        <w:autoSpaceDN w:val="0"/>
        <w:spacing w:after="0" w:line="273" w:lineRule="auto"/>
        <w:ind w:right="660"/>
        <w:contextualSpacing w:val="0"/>
        <w:jc w:val="both"/>
        <w:rPr>
          <w:szCs w:val="24"/>
        </w:rPr>
      </w:pPr>
      <w:r w:rsidRPr="000A330D">
        <w:rPr>
          <w:rFonts w:eastAsia="Times New Roman"/>
          <w:b/>
          <w:bCs/>
          <w:i/>
          <w:iCs/>
          <w:color w:val="000000"/>
          <w:szCs w:val="24"/>
        </w:rPr>
        <w:t>Construction Innovation and Cost Efficiency:</w:t>
      </w:r>
      <w:r w:rsidRPr="000A330D">
        <w:rPr>
          <w:rFonts w:eastAsia="Times New Roman"/>
          <w:color w:val="000000"/>
          <w:szCs w:val="24"/>
        </w:rPr>
        <w:t xml:space="preserve"> Explore the extent to which innovative construction technology and/or other cost-saving measures can be incorporated at this location resulting in reduced total project costs, reduced construction duration, and/or improved building performance</w:t>
      </w:r>
      <w:r w:rsidRPr="000A330D">
        <w:rPr>
          <w:b/>
          <w:iCs/>
          <w:szCs w:val="24"/>
        </w:rPr>
        <w:t xml:space="preserve"> </w:t>
      </w:r>
      <w:r w:rsidRPr="000A330D">
        <w:rPr>
          <w:bCs/>
          <w:iCs/>
          <w:szCs w:val="24"/>
        </w:rPr>
        <w:t>while maintaining quality of construction.</w:t>
      </w:r>
    </w:p>
    <w:p w14:paraId="1F98B715" w14:textId="77777777" w:rsidR="000A330D" w:rsidRPr="000A330D" w:rsidRDefault="000A330D" w:rsidP="00E26C4D">
      <w:pPr>
        <w:pStyle w:val="ListParagraph"/>
        <w:tabs>
          <w:tab w:val="left" w:pos="919"/>
          <w:tab w:val="left" w:pos="920"/>
        </w:tabs>
        <w:spacing w:after="0" w:line="273" w:lineRule="auto"/>
        <w:ind w:right="660"/>
        <w:jc w:val="both"/>
        <w:rPr>
          <w:szCs w:val="24"/>
        </w:rPr>
      </w:pPr>
    </w:p>
    <w:p w14:paraId="40B4620B" w14:textId="77777777" w:rsidR="000A330D" w:rsidRPr="000A330D" w:rsidRDefault="000A330D" w:rsidP="00E26C4D">
      <w:pPr>
        <w:pStyle w:val="ListParagraph"/>
        <w:widowControl w:val="0"/>
        <w:numPr>
          <w:ilvl w:val="0"/>
          <w:numId w:val="22"/>
        </w:numPr>
        <w:tabs>
          <w:tab w:val="left" w:pos="919"/>
          <w:tab w:val="left" w:pos="920"/>
        </w:tabs>
        <w:autoSpaceDE w:val="0"/>
        <w:autoSpaceDN w:val="0"/>
        <w:spacing w:after="0" w:line="271" w:lineRule="auto"/>
        <w:ind w:right="660"/>
        <w:contextualSpacing w:val="0"/>
        <w:jc w:val="both"/>
        <w:rPr>
          <w:szCs w:val="24"/>
        </w:rPr>
      </w:pPr>
      <w:r w:rsidRPr="000A330D">
        <w:rPr>
          <w:b/>
          <w:i/>
          <w:szCs w:val="24"/>
        </w:rPr>
        <w:t>Outreach</w:t>
      </w:r>
      <w:r w:rsidRPr="000A330D">
        <w:rPr>
          <w:b/>
          <w:bCs/>
          <w:i/>
          <w:iCs/>
          <w:szCs w:val="24"/>
        </w:rPr>
        <w:t xml:space="preserve">, Partnership, and Collaboration: </w:t>
      </w:r>
      <w:r w:rsidRPr="000A330D">
        <w:rPr>
          <w:szCs w:val="24"/>
        </w:rPr>
        <w:t xml:space="preserve"> Integrate local stakeholder, government and community input through a meaningful public participation process and conversation so that the proposed development addresses local housing needs.</w:t>
      </w:r>
    </w:p>
    <w:p w14:paraId="6322096D" w14:textId="77777777" w:rsidR="000A330D" w:rsidRPr="000A330D" w:rsidRDefault="000A330D" w:rsidP="00E26C4D">
      <w:pPr>
        <w:pStyle w:val="BodyText"/>
        <w:ind w:right="660"/>
        <w:jc w:val="both"/>
        <w:rPr>
          <w:sz w:val="24"/>
          <w:szCs w:val="24"/>
        </w:rPr>
      </w:pPr>
    </w:p>
    <w:p w14:paraId="2BD074BD" w14:textId="34D0C443" w:rsidR="000A330D" w:rsidRPr="000A330D" w:rsidRDefault="000A330D" w:rsidP="00E26C4D">
      <w:pPr>
        <w:pStyle w:val="BodyText"/>
        <w:numPr>
          <w:ilvl w:val="0"/>
          <w:numId w:val="22"/>
        </w:numPr>
        <w:ind w:right="660"/>
        <w:jc w:val="both"/>
        <w:rPr>
          <w:sz w:val="24"/>
          <w:szCs w:val="24"/>
        </w:rPr>
      </w:pPr>
      <w:r w:rsidRPr="000A330D">
        <w:rPr>
          <w:b/>
          <w:bCs/>
          <w:i/>
          <w:iCs/>
          <w:sz w:val="24"/>
          <w:szCs w:val="24"/>
        </w:rPr>
        <w:t>Utilize framework of State Sovereignty to achieve better outcomes:</w:t>
      </w:r>
      <w:r w:rsidRPr="000A330D">
        <w:rPr>
          <w:sz w:val="24"/>
          <w:szCs w:val="24"/>
        </w:rPr>
        <w:t xml:space="preserve"> Leverage the framework of State Sovereignty as further described in Exhibit </w:t>
      </w:r>
      <w:r w:rsidRPr="000A330D">
        <w:rPr>
          <w:sz w:val="24"/>
          <w:szCs w:val="24"/>
        </w:rPr>
        <w:lastRenderedPageBreak/>
        <w:t>4 to maximize both the Principles and Objectives of this RF</w:t>
      </w:r>
      <w:r w:rsidR="00DF3594">
        <w:rPr>
          <w:sz w:val="24"/>
          <w:szCs w:val="24"/>
        </w:rPr>
        <w:t>P</w:t>
      </w:r>
      <w:r w:rsidRPr="000A330D">
        <w:rPr>
          <w:sz w:val="24"/>
          <w:szCs w:val="24"/>
        </w:rPr>
        <w:t xml:space="preserve"> as well as state planning priorities regarding land use and density.</w:t>
      </w:r>
    </w:p>
    <w:p w14:paraId="771B3DD7" w14:textId="77777777" w:rsidR="000A330D" w:rsidRPr="000A330D" w:rsidRDefault="000A330D" w:rsidP="00E26C4D">
      <w:pPr>
        <w:pStyle w:val="BodyText"/>
        <w:ind w:right="660"/>
        <w:jc w:val="both"/>
        <w:rPr>
          <w:sz w:val="24"/>
          <w:szCs w:val="24"/>
        </w:rPr>
      </w:pPr>
    </w:p>
    <w:p w14:paraId="6B20505F" w14:textId="77777777" w:rsidR="000A330D" w:rsidRPr="000A330D" w:rsidRDefault="000A330D" w:rsidP="00E26C4D">
      <w:pPr>
        <w:pStyle w:val="BodyText"/>
        <w:numPr>
          <w:ilvl w:val="0"/>
          <w:numId w:val="23"/>
        </w:numPr>
        <w:ind w:right="660"/>
        <w:jc w:val="both"/>
        <w:rPr>
          <w:sz w:val="24"/>
          <w:szCs w:val="24"/>
        </w:rPr>
      </w:pPr>
      <w:r w:rsidRPr="000A330D">
        <w:rPr>
          <w:b/>
          <w:bCs/>
          <w:i/>
          <w:iCs/>
          <w:sz w:val="24"/>
          <w:szCs w:val="24"/>
        </w:rPr>
        <w:t>Equity:</w:t>
      </w:r>
      <w:r w:rsidRPr="000A330D">
        <w:rPr>
          <w:sz w:val="24"/>
          <w:szCs w:val="24"/>
        </w:rPr>
        <w:t xml:space="preserve"> Incorporate meaningful measures into the project that will achieve measurable racial equity outcomes. Examples include but are not limited to construction-related programs, commercial tenant programming, and/or ownership partners.</w:t>
      </w:r>
    </w:p>
    <w:p w14:paraId="51B842AC" w14:textId="77777777" w:rsidR="000A330D" w:rsidRPr="000A330D" w:rsidRDefault="000A330D" w:rsidP="00E26C4D">
      <w:pPr>
        <w:pStyle w:val="BodyText"/>
        <w:ind w:right="660"/>
        <w:jc w:val="both"/>
        <w:rPr>
          <w:sz w:val="24"/>
          <w:szCs w:val="24"/>
        </w:rPr>
      </w:pPr>
    </w:p>
    <w:p w14:paraId="24E2AB8F" w14:textId="77777777" w:rsidR="000A330D" w:rsidRPr="000A330D" w:rsidRDefault="000A330D" w:rsidP="00E26C4D">
      <w:pPr>
        <w:pStyle w:val="ListParagraph"/>
        <w:widowControl w:val="0"/>
        <w:numPr>
          <w:ilvl w:val="0"/>
          <w:numId w:val="23"/>
        </w:numPr>
        <w:tabs>
          <w:tab w:val="left" w:pos="919"/>
          <w:tab w:val="left" w:pos="920"/>
        </w:tabs>
        <w:autoSpaceDE w:val="0"/>
        <w:autoSpaceDN w:val="0"/>
        <w:spacing w:after="0" w:line="268" w:lineRule="auto"/>
        <w:ind w:right="660"/>
        <w:contextualSpacing w:val="0"/>
        <w:jc w:val="both"/>
        <w:rPr>
          <w:bCs/>
          <w:iCs/>
          <w:spacing w:val="-1"/>
          <w:szCs w:val="24"/>
        </w:rPr>
      </w:pPr>
      <w:r w:rsidRPr="000A330D">
        <w:rPr>
          <w:b/>
          <w:i/>
          <w:spacing w:val="-1"/>
          <w:szCs w:val="24"/>
        </w:rPr>
        <w:t xml:space="preserve"> Respondent Capacity: </w:t>
      </w:r>
      <w:r w:rsidRPr="000A330D">
        <w:rPr>
          <w:bCs/>
          <w:iCs/>
          <w:spacing w:val="-1"/>
          <w:szCs w:val="24"/>
        </w:rPr>
        <w:t>Demonstrate the Respondent’s financial capacity and experience necessary to successfully implement the envisioned plans, and to overcome possible setbacks in the development process.</w:t>
      </w:r>
    </w:p>
    <w:p w14:paraId="26DC5615" w14:textId="77777777" w:rsidR="000A330D" w:rsidRPr="000A330D" w:rsidRDefault="000A330D" w:rsidP="00E26C4D">
      <w:pPr>
        <w:pStyle w:val="ListParagraph"/>
        <w:spacing w:after="0"/>
        <w:ind w:right="660"/>
        <w:jc w:val="both"/>
        <w:rPr>
          <w:bCs/>
          <w:iCs/>
          <w:spacing w:val="-1"/>
          <w:szCs w:val="24"/>
        </w:rPr>
      </w:pPr>
    </w:p>
    <w:p w14:paraId="6DDF21E4" w14:textId="77777777" w:rsidR="000A330D" w:rsidRPr="000A330D" w:rsidRDefault="000A330D" w:rsidP="00E26C4D">
      <w:pPr>
        <w:pStyle w:val="ListParagraph"/>
        <w:widowControl w:val="0"/>
        <w:numPr>
          <w:ilvl w:val="0"/>
          <w:numId w:val="23"/>
        </w:numPr>
        <w:tabs>
          <w:tab w:val="left" w:pos="919"/>
          <w:tab w:val="left" w:pos="920"/>
        </w:tabs>
        <w:autoSpaceDE w:val="0"/>
        <w:autoSpaceDN w:val="0"/>
        <w:spacing w:after="0" w:line="268" w:lineRule="auto"/>
        <w:ind w:right="660"/>
        <w:contextualSpacing w:val="0"/>
        <w:jc w:val="both"/>
        <w:rPr>
          <w:bCs/>
          <w:iCs/>
          <w:spacing w:val="-1"/>
          <w:szCs w:val="24"/>
        </w:rPr>
      </w:pPr>
      <w:r w:rsidRPr="000A330D">
        <w:rPr>
          <w:b/>
          <w:i/>
          <w:spacing w:val="-1"/>
          <w:szCs w:val="24"/>
        </w:rPr>
        <w:t xml:space="preserve"> Quality Architecture and Contextual Design:  </w:t>
      </w:r>
      <w:r w:rsidRPr="000A330D">
        <w:rPr>
          <w:bCs/>
          <w:iCs/>
          <w:spacing w:val="-1"/>
          <w:szCs w:val="24"/>
        </w:rPr>
        <w:t xml:space="preserve">Deliver a project that meets generally accepted principles of quality architectural design, and that takes nearby services, transportation, amenities, and planned improvements into consideration. </w:t>
      </w:r>
    </w:p>
    <w:p w14:paraId="73FD45BB" w14:textId="77777777" w:rsidR="00997A65" w:rsidRDefault="00997A65" w:rsidP="00E26C4D">
      <w:pPr>
        <w:pStyle w:val="Heading1"/>
        <w:spacing w:after="0"/>
      </w:pPr>
      <w:bookmarkStart w:id="14" w:name="_Toc20721617"/>
      <w:bookmarkEnd w:id="13"/>
    </w:p>
    <w:p w14:paraId="25F9B7D7" w14:textId="3EAFA943" w:rsidR="00E464C3" w:rsidRPr="008A01E3" w:rsidRDefault="00E464C3" w:rsidP="00E26C4D">
      <w:pPr>
        <w:pStyle w:val="Heading1"/>
        <w:spacing w:after="0"/>
      </w:pPr>
      <w:r w:rsidRPr="008A01E3">
        <w:t>ROLE</w:t>
      </w:r>
      <w:bookmarkEnd w:id="14"/>
      <w:r w:rsidR="0008174C">
        <w:t>S AND RESPONSIBILITIES OF THE SELECTED RESPONDENT</w:t>
      </w:r>
    </w:p>
    <w:p w14:paraId="3861A69F" w14:textId="77777777" w:rsidR="00E26C4D" w:rsidRDefault="00E26C4D" w:rsidP="00E26C4D">
      <w:pPr>
        <w:spacing w:after="0"/>
        <w:jc w:val="both"/>
      </w:pPr>
    </w:p>
    <w:p w14:paraId="4213ED4D" w14:textId="47631D54" w:rsidR="00041EF2" w:rsidRDefault="00041EF2" w:rsidP="00E26C4D">
      <w:pPr>
        <w:spacing w:after="0"/>
        <w:jc w:val="both"/>
      </w:pPr>
      <w:r w:rsidRPr="001C2DD8">
        <w:t xml:space="preserve">Upon approval and execution of a </w:t>
      </w:r>
      <w:r w:rsidR="00861375">
        <w:t>Lease Option Agreement</w:t>
      </w:r>
      <w:r w:rsidR="00521EB6">
        <w:t>(s)</w:t>
      </w:r>
      <w:r w:rsidRPr="001C2DD8">
        <w:t xml:space="preserve"> (</w:t>
      </w:r>
      <w:r w:rsidR="00861375">
        <w:t>LOA</w:t>
      </w:r>
      <w:r w:rsidRPr="001C2DD8">
        <w:t>)</w:t>
      </w:r>
      <w:r>
        <w:t xml:space="preserve"> with the State</w:t>
      </w:r>
      <w:r w:rsidRPr="001C2DD8">
        <w:t>, the selected Respondent</w:t>
      </w:r>
      <w:r w:rsidR="00B92C75">
        <w:t xml:space="preserve"> </w:t>
      </w:r>
      <w:r w:rsidRPr="001C2DD8">
        <w:t xml:space="preserve">shall be responsible for all </w:t>
      </w:r>
      <w:r>
        <w:t>on-site</w:t>
      </w:r>
      <w:r w:rsidRPr="001C2DD8">
        <w:t xml:space="preserve"> and </w:t>
      </w:r>
      <w:r>
        <w:t>off-site</w:t>
      </w:r>
      <w:r w:rsidRPr="001C2DD8">
        <w:t xml:space="preserve"> costs and expenses associated with the development,</w:t>
      </w:r>
      <w:r>
        <w:t xml:space="preserve"> site security and maintenance,</w:t>
      </w:r>
      <w:r w:rsidRPr="001C2DD8">
        <w:t xml:space="preserve"> construction, ownership, management, and operation of the proposed project, including but not limited to, planning, design, </w:t>
      </w:r>
      <w:r>
        <w:t xml:space="preserve">environmental clearance, </w:t>
      </w:r>
      <w:r w:rsidRPr="001C2DD8">
        <w:t xml:space="preserve">permit fees, utility charges, as more specifically set forth in the </w:t>
      </w:r>
      <w:r w:rsidR="00861375">
        <w:t>LOA</w:t>
      </w:r>
      <w:r w:rsidRPr="001C2DD8">
        <w:t xml:space="preserve"> and in accordance with the following requirements:</w:t>
      </w:r>
    </w:p>
    <w:p w14:paraId="1C811599" w14:textId="77777777" w:rsidR="00E26C4D" w:rsidRPr="001C2DD8" w:rsidRDefault="00E26C4D" w:rsidP="00E26C4D">
      <w:pPr>
        <w:spacing w:after="0"/>
        <w:jc w:val="both"/>
      </w:pPr>
    </w:p>
    <w:p w14:paraId="31734749" w14:textId="0A880E0D" w:rsidR="0093208B" w:rsidRPr="00F9348D" w:rsidRDefault="00E464C3" w:rsidP="0093208B">
      <w:pPr>
        <w:pStyle w:val="ListParagraph"/>
        <w:numPr>
          <w:ilvl w:val="0"/>
          <w:numId w:val="1"/>
        </w:numPr>
        <w:spacing w:after="0"/>
        <w:jc w:val="both"/>
      </w:pPr>
      <w:r w:rsidRPr="00F9348D">
        <w:t xml:space="preserve">The </w:t>
      </w:r>
      <w:r>
        <w:t xml:space="preserve">selected </w:t>
      </w:r>
      <w:r w:rsidR="00F57522">
        <w:t>Respondent</w:t>
      </w:r>
      <w:r w:rsidRPr="00F9348D">
        <w:t xml:space="preserve"> shall accept the </w:t>
      </w:r>
      <w:r>
        <w:t>S</w:t>
      </w:r>
      <w:r w:rsidR="00041EF2">
        <w:t>ite</w:t>
      </w:r>
      <w:r w:rsidRPr="00F9348D">
        <w:t xml:space="preserve"> in its present state and condition, as-is, without any express or implied </w:t>
      </w:r>
      <w:proofErr w:type="gramStart"/>
      <w:r w:rsidRPr="00F9348D">
        <w:t>warranties;</w:t>
      </w:r>
      <w:proofErr w:type="gramEnd"/>
    </w:p>
    <w:p w14:paraId="6D42DC66" w14:textId="16CAB31C" w:rsidR="00E464C3" w:rsidRPr="00F9348D" w:rsidRDefault="00E464C3" w:rsidP="00E26C4D">
      <w:pPr>
        <w:pStyle w:val="ListParagraph"/>
        <w:numPr>
          <w:ilvl w:val="0"/>
          <w:numId w:val="1"/>
        </w:numPr>
        <w:spacing w:after="0"/>
        <w:jc w:val="both"/>
      </w:pPr>
      <w:r w:rsidRPr="00F9348D">
        <w:t xml:space="preserve">The </w:t>
      </w:r>
      <w:r>
        <w:t xml:space="preserve">selected </w:t>
      </w:r>
      <w:r w:rsidR="00F57522">
        <w:t>Respondent</w:t>
      </w:r>
      <w:r w:rsidRPr="00F9348D">
        <w:t xml:space="preserve"> shall enter into a low-cost, long-term ground lease</w:t>
      </w:r>
      <w:r w:rsidR="00521EB6">
        <w:t>(s)</w:t>
      </w:r>
      <w:r w:rsidRPr="00F9348D">
        <w:t xml:space="preserve"> </w:t>
      </w:r>
      <w:r>
        <w:t xml:space="preserve">and regulatory </w:t>
      </w:r>
      <w:r w:rsidRPr="00F9348D">
        <w:t>agreement</w:t>
      </w:r>
      <w:r w:rsidR="00F438A8">
        <w:t xml:space="preserve"> (described further, below</w:t>
      </w:r>
      <w:proofErr w:type="gramStart"/>
      <w:r w:rsidR="00F438A8">
        <w:t>)</w:t>
      </w:r>
      <w:r w:rsidRPr="00F9348D">
        <w:t>;</w:t>
      </w:r>
      <w:proofErr w:type="gramEnd"/>
    </w:p>
    <w:p w14:paraId="390E36FB" w14:textId="4E13ABAA" w:rsidR="00E464C3" w:rsidRDefault="00E464C3" w:rsidP="00E26C4D">
      <w:pPr>
        <w:pStyle w:val="ListParagraph"/>
        <w:numPr>
          <w:ilvl w:val="0"/>
          <w:numId w:val="1"/>
        </w:numPr>
        <w:spacing w:after="0"/>
        <w:jc w:val="both"/>
      </w:pPr>
      <w:r w:rsidRPr="00F9348D">
        <w:t xml:space="preserve">The </w:t>
      </w:r>
      <w:r>
        <w:t xml:space="preserve">selected </w:t>
      </w:r>
      <w:r w:rsidR="00F57522">
        <w:t>Respondent</w:t>
      </w:r>
      <w:r w:rsidRPr="00F9348D">
        <w:t xml:space="preserve"> shall be responsible for obtaining any and all</w:t>
      </w:r>
      <w:r>
        <w:t xml:space="preserve"> approvals </w:t>
      </w:r>
      <w:r w:rsidRPr="00F9348D">
        <w:t xml:space="preserve">and all necessary building, grading, and construction permits required for the proposed project from </w:t>
      </w:r>
      <w:r w:rsidRPr="00B56D7C">
        <w:rPr>
          <w:color w:val="000000" w:themeColor="text1"/>
        </w:rPr>
        <w:t>the City</w:t>
      </w:r>
      <w:r w:rsidR="00335289" w:rsidRPr="00B56D7C">
        <w:rPr>
          <w:color w:val="000000" w:themeColor="text1"/>
        </w:rPr>
        <w:t xml:space="preserve"> or </w:t>
      </w:r>
      <w:r w:rsidR="00335289">
        <w:t xml:space="preserve">any other </w:t>
      </w:r>
      <w:proofErr w:type="gramStart"/>
      <w:r w:rsidR="001205FF">
        <w:t>agency</w:t>
      </w:r>
      <w:r w:rsidRPr="00F9348D">
        <w:t>;</w:t>
      </w:r>
      <w:proofErr w:type="gramEnd"/>
    </w:p>
    <w:p w14:paraId="716013D2" w14:textId="533EF07C" w:rsidR="00E464C3" w:rsidRDefault="00E464C3" w:rsidP="00E26C4D">
      <w:pPr>
        <w:pStyle w:val="ListParagraph"/>
        <w:numPr>
          <w:ilvl w:val="0"/>
          <w:numId w:val="1"/>
        </w:numPr>
        <w:spacing w:after="0"/>
        <w:jc w:val="both"/>
      </w:pPr>
      <w:r>
        <w:t xml:space="preserve">The selected </w:t>
      </w:r>
      <w:r w:rsidR="00F57522">
        <w:t>Respondent</w:t>
      </w:r>
      <w:r>
        <w:t xml:space="preserve"> shall agree to follow Chapter 11a and 11b of the California Building Code</w:t>
      </w:r>
      <w:r w:rsidR="00335289">
        <w:t xml:space="preserve"> (accessibility) and to implement the state’s new solar initiatives on multi-family </w:t>
      </w:r>
      <w:proofErr w:type="gramStart"/>
      <w:r w:rsidR="00335289">
        <w:t>structures;</w:t>
      </w:r>
      <w:proofErr w:type="gramEnd"/>
    </w:p>
    <w:p w14:paraId="309C99CB" w14:textId="3D2C6D04" w:rsidR="00306D54" w:rsidRPr="00F9348D" w:rsidRDefault="00E47248" w:rsidP="00E26C4D">
      <w:pPr>
        <w:pStyle w:val="ListParagraph"/>
        <w:numPr>
          <w:ilvl w:val="0"/>
          <w:numId w:val="1"/>
        </w:numPr>
        <w:spacing w:after="0"/>
        <w:jc w:val="both"/>
      </w:pPr>
      <w:r>
        <w:t xml:space="preserve">The selected Respondent shall ensure </w:t>
      </w:r>
      <w:r w:rsidRPr="00E47248">
        <w:t>payment of state prevailing wage</w:t>
      </w:r>
      <w:r>
        <w:t xml:space="preserve"> regarding construction where applicable, as is required by the </w:t>
      </w:r>
      <w:proofErr w:type="gramStart"/>
      <w:r>
        <w:t>EO</w:t>
      </w:r>
      <w:r w:rsidR="001C5963">
        <w:t>;</w:t>
      </w:r>
      <w:proofErr w:type="gramEnd"/>
    </w:p>
    <w:p w14:paraId="1F69094C" w14:textId="12D6B99D" w:rsidR="00041EF2" w:rsidRPr="001C2DD8" w:rsidRDefault="00041EF2" w:rsidP="00E26C4D">
      <w:pPr>
        <w:pStyle w:val="ListParagraph"/>
        <w:numPr>
          <w:ilvl w:val="0"/>
          <w:numId w:val="1"/>
        </w:numPr>
        <w:spacing w:after="0"/>
        <w:jc w:val="both"/>
      </w:pPr>
      <w:r w:rsidRPr="001C2DD8">
        <w:t>The selected Respondent shall be responsible for assisting DGS with compliance</w:t>
      </w:r>
      <w:r w:rsidR="008E7A41">
        <w:t xml:space="preserve"> with the </w:t>
      </w:r>
      <w:r w:rsidR="008E7A41" w:rsidRPr="001C2DD8">
        <w:t>California Environmental Quality Act (CEQA)</w:t>
      </w:r>
      <w:r w:rsidRPr="001C2DD8">
        <w:t xml:space="preserve">, including exploring the applicability of streamlining and exemption provisions, and the preparation of any </w:t>
      </w:r>
      <w:r w:rsidRPr="001C2DD8">
        <w:lastRenderedPageBreak/>
        <w:t xml:space="preserve">necessary environmental documents. </w:t>
      </w:r>
      <w:r w:rsidR="0008174C" w:rsidRPr="001C2DD8">
        <w:t xml:space="preserve">DGS shall serve as the lead agency under CEQA. </w:t>
      </w:r>
      <w:r w:rsidRPr="001C2DD8">
        <w:t xml:space="preserve">The cost of </w:t>
      </w:r>
      <w:r>
        <w:t>all required environmental review and</w:t>
      </w:r>
      <w:r w:rsidRPr="001C2DD8">
        <w:t xml:space="preserve"> compliance shall be the responsibility of the selected Respondent</w:t>
      </w:r>
      <w:r w:rsidR="00F315B1">
        <w:t xml:space="preserve">. </w:t>
      </w:r>
      <w:r w:rsidR="00306D54">
        <w:t>Please n</w:t>
      </w:r>
      <w:r w:rsidR="00F315B1" w:rsidRPr="00F315B1">
        <w:t>ote</w:t>
      </w:r>
      <w:r w:rsidR="00306D54">
        <w:t xml:space="preserve"> further that a) t</w:t>
      </w:r>
      <w:r w:rsidR="00F315B1" w:rsidRPr="00F315B1">
        <w:t>he State has determined that Senate Bill 35 does not apply to state</w:t>
      </w:r>
      <w:r w:rsidR="00306D54">
        <w:t>-owned</w:t>
      </w:r>
      <w:r w:rsidR="00F315B1" w:rsidRPr="00F315B1">
        <w:t xml:space="preserve"> land</w:t>
      </w:r>
      <w:r w:rsidR="00306D54">
        <w:t xml:space="preserve">, and b) </w:t>
      </w:r>
      <w:r w:rsidR="00F315B1">
        <w:t>i</w:t>
      </w:r>
      <w:r w:rsidRPr="001C2DD8">
        <w:t xml:space="preserve">f selected Respondent seeks any federal subsidy or funding, they shall also be responsible for facilitating compliance with the National Environmental Policy Act, </w:t>
      </w:r>
      <w:r w:rsidR="00BE1DEC">
        <w:t>(</w:t>
      </w:r>
      <w:r w:rsidRPr="001C2DD8">
        <w:t>NEPA</w:t>
      </w:r>
      <w:proofErr w:type="gramStart"/>
      <w:r w:rsidRPr="001C2DD8">
        <w:t>);</w:t>
      </w:r>
      <w:proofErr w:type="gramEnd"/>
      <w:r w:rsidRPr="001C2DD8">
        <w:t xml:space="preserve"> </w:t>
      </w:r>
    </w:p>
    <w:p w14:paraId="0E54498D" w14:textId="574C8330" w:rsidR="00F9128D" w:rsidRDefault="00041EF2" w:rsidP="00E26C4D">
      <w:pPr>
        <w:pStyle w:val="ListParagraph"/>
        <w:numPr>
          <w:ilvl w:val="0"/>
          <w:numId w:val="1"/>
        </w:numPr>
        <w:spacing w:after="0"/>
        <w:jc w:val="both"/>
      </w:pPr>
      <w:r w:rsidRPr="001C2DD8">
        <w:t xml:space="preserve">The selected Respondent shall be responsible for payment of the applicable local agency development mitigation fees and </w:t>
      </w:r>
      <w:r>
        <w:t>off-site</w:t>
      </w:r>
      <w:r w:rsidRPr="001C2DD8">
        <w:t xml:space="preserve"> facilities</w:t>
      </w:r>
      <w:r w:rsidR="00335289">
        <w:t xml:space="preserve"> and services</w:t>
      </w:r>
      <w:r w:rsidRPr="001C2DD8">
        <w:t xml:space="preserve"> fees (the selected Respondent should pursue fee </w:t>
      </w:r>
      <w:r>
        <w:t>deferments</w:t>
      </w:r>
      <w:r w:rsidRPr="001C2DD8">
        <w:t xml:space="preserve"> and other streamlining opportunities where appropriate</w:t>
      </w:r>
      <w:proofErr w:type="gramStart"/>
      <w:r w:rsidRPr="001C2DD8">
        <w:t>);</w:t>
      </w:r>
      <w:proofErr w:type="gramEnd"/>
    </w:p>
    <w:p w14:paraId="49F718EE" w14:textId="68DFA6BF" w:rsidR="0008174C" w:rsidRPr="001C2DD8" w:rsidRDefault="0008174C" w:rsidP="00E26C4D">
      <w:pPr>
        <w:pStyle w:val="ListParagraph"/>
        <w:numPr>
          <w:ilvl w:val="0"/>
          <w:numId w:val="1"/>
        </w:numPr>
        <w:spacing w:after="0"/>
        <w:jc w:val="both"/>
      </w:pPr>
      <w:r>
        <w:t>The selected Respondent will be responsible for m</w:t>
      </w:r>
      <w:r w:rsidRPr="001C2DD8">
        <w:t xml:space="preserve">eeting all milestones identified in the </w:t>
      </w:r>
      <w:proofErr w:type="gramStart"/>
      <w:r>
        <w:t>LOA</w:t>
      </w:r>
      <w:r w:rsidRPr="001C2DD8">
        <w:t>;</w:t>
      </w:r>
      <w:proofErr w:type="gramEnd"/>
    </w:p>
    <w:p w14:paraId="7B05C654" w14:textId="60B2439D" w:rsidR="00041EF2" w:rsidRDefault="00335289" w:rsidP="00E26C4D">
      <w:pPr>
        <w:pStyle w:val="ListParagraph"/>
        <w:numPr>
          <w:ilvl w:val="0"/>
          <w:numId w:val="1"/>
        </w:numPr>
        <w:spacing w:after="0"/>
        <w:jc w:val="both"/>
      </w:pPr>
      <w:r>
        <w:t>On an ongoing basis, t</w:t>
      </w:r>
      <w:r w:rsidR="00041EF2" w:rsidRPr="001C2DD8">
        <w:t>he selected Respondent must employ a variety of outreach methods to ensure all segments of the community are included in all stages of the development process</w:t>
      </w:r>
      <w:r>
        <w:t>.</w:t>
      </w:r>
      <w:r w:rsidR="00041EF2" w:rsidRPr="001C2DD8">
        <w:t xml:space="preserve"> Respondents are encouraged to reach out and involve various local community organizations to gain support for the proposed affordable housing project and respond to community/neighborhood concerns where appropriate throughout the project construction and property management.</w:t>
      </w:r>
      <w:r w:rsidR="00041EF2">
        <w:t xml:space="preserve"> Respondents also must conduct affirmative marketing to </w:t>
      </w:r>
      <w:r>
        <w:t xml:space="preserve">qualified </w:t>
      </w:r>
      <w:r w:rsidR="00041EF2">
        <w:t>households least likely to apply; and</w:t>
      </w:r>
    </w:p>
    <w:p w14:paraId="262077F1" w14:textId="1F2650AC" w:rsidR="00041EF2" w:rsidRDefault="00041EF2" w:rsidP="00E26C4D">
      <w:pPr>
        <w:pStyle w:val="ListParagraph"/>
        <w:numPr>
          <w:ilvl w:val="0"/>
          <w:numId w:val="1"/>
        </w:numPr>
        <w:spacing w:after="0"/>
        <w:jc w:val="both"/>
        <w:rPr>
          <w:rFonts w:cs="Arial"/>
          <w:color w:val="000000"/>
          <w:szCs w:val="24"/>
        </w:rPr>
      </w:pPr>
      <w:r>
        <w:rPr>
          <w:rFonts w:cs="Arial"/>
          <w:color w:val="000000"/>
          <w:szCs w:val="24"/>
        </w:rPr>
        <w:t>The selected Respondent</w:t>
      </w:r>
      <w:r w:rsidRPr="007D50D9">
        <w:rPr>
          <w:rFonts w:cs="Arial"/>
          <w:color w:val="000000"/>
          <w:szCs w:val="24"/>
        </w:rPr>
        <w:t xml:space="preserve"> shall adopt a written non-discrimination policy requiring that no person shall, on the grounds of race, color, religion, sex, gender, gender identity, gender expression, sexual orientation, marital status, national origin, ancestry, familial status, source of income, disability, age, medical condition, genetic information, citizenship, primary language, immigration status (except where explicitly prohibited by federal law), arbitrary characteristics, and all other classes of individuals protected from discrimination under federal or state fair housing laws, individuals perceived to be a member of any of the preceding classes, or any individual or person associated with any of the preceding classes be excluded from participation in, be denied the benefits of, or be subjected to discrimination under, any program or activity funded in whole or in part with program funds made available pursuant to this subchapter. </w:t>
      </w:r>
      <w:r>
        <w:rPr>
          <w:rFonts w:cs="Arial"/>
          <w:color w:val="000000"/>
          <w:szCs w:val="24"/>
        </w:rPr>
        <w:t xml:space="preserve">The selected Respondent </w:t>
      </w:r>
      <w:r w:rsidRPr="007D50D9">
        <w:rPr>
          <w:rFonts w:cs="Arial"/>
          <w:color w:val="000000"/>
          <w:szCs w:val="24"/>
        </w:rPr>
        <w:t xml:space="preserve">shall comply with the requirements contained in the Americans with Disabilities Act, the Fair Housing Amendments Act, the California Fair Employment and Housing Act, the Unruh Act, Government Code Section 11135, Section 504 of the Rehabilitation Act, and regulations promulgated pursuant to those statutes, including 24 C.F.R. Part 100, 24 C.F.R. Part 8, and 28 C.F.R. Part 35, in </w:t>
      </w:r>
      <w:proofErr w:type="gramStart"/>
      <w:r w:rsidRPr="007D50D9">
        <w:rPr>
          <w:rFonts w:cs="Arial"/>
          <w:color w:val="000000"/>
          <w:szCs w:val="24"/>
        </w:rPr>
        <w:t>all of</w:t>
      </w:r>
      <w:proofErr w:type="gramEnd"/>
      <w:r w:rsidRPr="007D50D9">
        <w:rPr>
          <w:rFonts w:cs="Arial"/>
          <w:color w:val="000000"/>
          <w:szCs w:val="24"/>
        </w:rPr>
        <w:t xml:space="preserve"> the Sponsor’s activities.</w:t>
      </w:r>
    </w:p>
    <w:p w14:paraId="1BF191E8" w14:textId="77777777" w:rsidR="00E26C4D" w:rsidRDefault="00E26C4D" w:rsidP="00E26C4D">
      <w:pPr>
        <w:pStyle w:val="ListParagraph"/>
        <w:spacing w:after="0"/>
        <w:jc w:val="both"/>
        <w:rPr>
          <w:rFonts w:cs="Arial"/>
          <w:color w:val="000000"/>
          <w:szCs w:val="24"/>
        </w:rPr>
      </w:pPr>
    </w:p>
    <w:p w14:paraId="30806752" w14:textId="406AAEFA" w:rsidR="00F74314" w:rsidRDefault="00F74314" w:rsidP="00E26C4D">
      <w:pPr>
        <w:spacing w:after="0"/>
        <w:rPr>
          <w:b/>
          <w:bCs/>
          <w:sz w:val="28"/>
          <w:szCs w:val="24"/>
        </w:rPr>
      </w:pPr>
      <w:bookmarkStart w:id="15" w:name="_Hlk79656677"/>
      <w:r w:rsidRPr="00997A65">
        <w:rPr>
          <w:b/>
          <w:bCs/>
          <w:sz w:val="28"/>
          <w:szCs w:val="24"/>
        </w:rPr>
        <w:lastRenderedPageBreak/>
        <w:t>GROUND LEASE</w:t>
      </w:r>
      <w:r w:rsidR="00AA4F77">
        <w:rPr>
          <w:b/>
          <w:bCs/>
          <w:sz w:val="28"/>
          <w:szCs w:val="24"/>
        </w:rPr>
        <w:t>(S)</w:t>
      </w:r>
      <w:r w:rsidR="00B87A66">
        <w:rPr>
          <w:b/>
          <w:bCs/>
          <w:sz w:val="28"/>
          <w:szCs w:val="24"/>
        </w:rPr>
        <w:t>, REGULATORY AGREEMENT</w:t>
      </w:r>
      <w:r w:rsidRPr="00997A65">
        <w:rPr>
          <w:b/>
          <w:bCs/>
          <w:sz w:val="28"/>
          <w:szCs w:val="24"/>
        </w:rPr>
        <w:t xml:space="preserve"> AND </w:t>
      </w:r>
      <w:r w:rsidR="00AE771E" w:rsidRPr="00997A65">
        <w:rPr>
          <w:b/>
          <w:bCs/>
          <w:sz w:val="28"/>
          <w:szCs w:val="24"/>
        </w:rPr>
        <w:t xml:space="preserve">APPLICABLE </w:t>
      </w:r>
      <w:r w:rsidR="006812CE" w:rsidRPr="00997A65">
        <w:rPr>
          <w:b/>
          <w:bCs/>
          <w:sz w:val="28"/>
          <w:szCs w:val="24"/>
        </w:rPr>
        <w:t>GOVERNMENT CODE</w:t>
      </w:r>
    </w:p>
    <w:p w14:paraId="7F06556E" w14:textId="77777777" w:rsidR="00E26C4D" w:rsidRPr="006812CE" w:rsidRDefault="00E26C4D" w:rsidP="00E26C4D">
      <w:pPr>
        <w:spacing w:after="0"/>
        <w:rPr>
          <w:b/>
          <w:bCs/>
        </w:rPr>
      </w:pPr>
    </w:p>
    <w:p w14:paraId="2A69A2D7" w14:textId="4E4865B3" w:rsidR="00E26C4D" w:rsidRDefault="00E56F9C" w:rsidP="00E26C4D">
      <w:pPr>
        <w:spacing w:after="0"/>
        <w:jc w:val="both"/>
      </w:pPr>
      <w:bookmarkStart w:id="16" w:name="_Toc20721622"/>
      <w:bookmarkEnd w:id="15"/>
      <w:r w:rsidRPr="001C2DD8">
        <w:t>The S</w:t>
      </w:r>
      <w:r>
        <w:t>ite</w:t>
      </w:r>
      <w:r w:rsidRPr="001C2DD8">
        <w:t xml:space="preserve"> is owned by the State and will remain under State ownership. The selected Respondent </w:t>
      </w:r>
      <w:r w:rsidR="00F67CF2">
        <w:t xml:space="preserve">(or Respondent Team) </w:t>
      </w:r>
      <w:r w:rsidRPr="001C2DD8">
        <w:t xml:space="preserve">will </w:t>
      </w:r>
      <w:proofErr w:type="gramStart"/>
      <w:r w:rsidRPr="001C2DD8">
        <w:t>enter into</w:t>
      </w:r>
      <w:proofErr w:type="gramEnd"/>
      <w:r w:rsidRPr="001C2DD8">
        <w:t xml:space="preserve"> a </w:t>
      </w:r>
      <w:r w:rsidR="00F02BFB">
        <w:t>ground lease</w:t>
      </w:r>
      <w:r w:rsidR="00086EC5">
        <w:t xml:space="preserve"> (or ground leases)</w:t>
      </w:r>
      <w:r w:rsidR="00F02BFB">
        <w:t xml:space="preserve"> and regulatory agreement</w:t>
      </w:r>
      <w:r w:rsidRPr="001C2DD8">
        <w:t xml:space="preserve"> for a low-cost, long-term ground lease</w:t>
      </w:r>
      <w:r w:rsidR="00086EC5">
        <w:t>(s)</w:t>
      </w:r>
      <w:r w:rsidRPr="001C2DD8">
        <w:t xml:space="preserve"> transaction (e.g., $1 annually</w:t>
      </w:r>
      <w:r w:rsidR="00F02BFB">
        <w:t>, 99-year term</w:t>
      </w:r>
      <w:r w:rsidRPr="001C2DD8">
        <w:t>)</w:t>
      </w:r>
      <w:r w:rsidR="009F45B4">
        <w:t xml:space="preserve">. </w:t>
      </w:r>
    </w:p>
    <w:p w14:paraId="4AC88558" w14:textId="7C9CE8C7" w:rsidR="009045B4" w:rsidRDefault="001C6FE7">
      <w:pPr>
        <w:spacing w:after="0"/>
        <w:jc w:val="both"/>
      </w:pPr>
      <w:r w:rsidRPr="001C6FE7">
        <w:t>DGS’</w:t>
      </w:r>
      <w:r w:rsidR="009045B4">
        <w:t>s</w:t>
      </w:r>
      <w:r w:rsidRPr="001C6FE7">
        <w:t xml:space="preserve"> leasing authority for affordable housing developments can be found in Section 14671.2 of California Government Code (the “Code”). Absent alternative leasing authority, any lease for housing development under the EO must </w:t>
      </w:r>
      <w:r w:rsidR="00D566B7">
        <w:t>conform</w:t>
      </w:r>
      <w:r w:rsidR="00D566B7" w:rsidRPr="001C6FE7">
        <w:t xml:space="preserve"> </w:t>
      </w:r>
      <w:r w:rsidRPr="001C6FE7">
        <w:t>to the parameters found within this section of statute</w:t>
      </w:r>
      <w:r w:rsidR="009045B4">
        <w:t xml:space="preserve"> </w:t>
      </w:r>
      <w:r w:rsidRPr="001C6FE7">
        <w:t xml:space="preserve">(see also Exhibit 2). </w:t>
      </w:r>
    </w:p>
    <w:p w14:paraId="0DAD562D" w14:textId="77777777" w:rsidR="00E26C4D" w:rsidRDefault="00E26C4D" w:rsidP="00E26C4D">
      <w:pPr>
        <w:spacing w:after="0"/>
        <w:jc w:val="both"/>
      </w:pPr>
    </w:p>
    <w:p w14:paraId="632A31A6" w14:textId="6E7D1FF1" w:rsidR="00F438A8" w:rsidRDefault="001C6FE7" w:rsidP="00E26C4D">
      <w:pPr>
        <w:spacing w:after="0"/>
        <w:jc w:val="both"/>
      </w:pPr>
      <w:r w:rsidRPr="001C6FE7">
        <w:t>All projects must conform with Section 14671.2 as written at the time of the lease</w:t>
      </w:r>
      <w:r w:rsidR="00086EC5">
        <w:t>(s)</w:t>
      </w:r>
      <w:r w:rsidRPr="001C6FE7">
        <w:t>.</w:t>
      </w:r>
    </w:p>
    <w:p w14:paraId="3484B8B8" w14:textId="77777777" w:rsidR="00E26C4D" w:rsidRDefault="00E26C4D" w:rsidP="00E26C4D">
      <w:pPr>
        <w:spacing w:after="0"/>
        <w:jc w:val="both"/>
      </w:pPr>
    </w:p>
    <w:p w14:paraId="25530DAC" w14:textId="77777777" w:rsidR="00491CFA" w:rsidRDefault="00491CFA" w:rsidP="00E26C4D">
      <w:pPr>
        <w:pStyle w:val="Heading1"/>
        <w:spacing w:after="0"/>
      </w:pPr>
      <w:r>
        <w:t>THE</w:t>
      </w:r>
      <w:r>
        <w:rPr>
          <w:spacing w:val="-3"/>
        </w:rPr>
        <w:t xml:space="preserve"> </w:t>
      </w:r>
      <w:r>
        <w:t>IDEAL</w:t>
      </w:r>
      <w:r>
        <w:rPr>
          <w:spacing w:val="-3"/>
        </w:rPr>
        <w:t xml:space="preserve"> </w:t>
      </w:r>
      <w:r>
        <w:t>RESPONSE</w:t>
      </w:r>
      <w:r>
        <w:rPr>
          <w:spacing w:val="-2"/>
        </w:rPr>
        <w:t xml:space="preserve"> </w:t>
      </w:r>
      <w:r>
        <w:t>TO</w:t>
      </w:r>
      <w:r>
        <w:rPr>
          <w:spacing w:val="-1"/>
        </w:rPr>
        <w:t xml:space="preserve"> </w:t>
      </w:r>
      <w:r>
        <w:t>THIS</w:t>
      </w:r>
      <w:r>
        <w:rPr>
          <w:spacing w:val="-3"/>
        </w:rPr>
        <w:t xml:space="preserve"> </w:t>
      </w:r>
      <w:r>
        <w:t>RFP</w:t>
      </w:r>
    </w:p>
    <w:p w14:paraId="79F33358" w14:textId="77777777" w:rsidR="00E26C4D" w:rsidRDefault="00E26C4D" w:rsidP="00E26C4D">
      <w:pPr>
        <w:pStyle w:val="BodyText"/>
        <w:rPr>
          <w:sz w:val="24"/>
          <w:szCs w:val="24"/>
        </w:rPr>
      </w:pPr>
    </w:p>
    <w:p w14:paraId="7E405559" w14:textId="62AF4B93" w:rsidR="00491CFA" w:rsidRPr="000A330D" w:rsidRDefault="00491CFA" w:rsidP="00E26C4D">
      <w:pPr>
        <w:pStyle w:val="BodyText"/>
        <w:rPr>
          <w:sz w:val="24"/>
          <w:szCs w:val="24"/>
        </w:rPr>
      </w:pPr>
      <w:r w:rsidRPr="000A330D">
        <w:rPr>
          <w:sz w:val="24"/>
          <w:szCs w:val="24"/>
        </w:rPr>
        <w:t>The</w:t>
      </w:r>
      <w:r w:rsidRPr="000A330D">
        <w:rPr>
          <w:spacing w:val="-3"/>
          <w:sz w:val="24"/>
          <w:szCs w:val="24"/>
        </w:rPr>
        <w:t xml:space="preserve"> </w:t>
      </w:r>
      <w:r w:rsidRPr="000A330D">
        <w:rPr>
          <w:sz w:val="24"/>
          <w:szCs w:val="24"/>
        </w:rPr>
        <w:t>State</w:t>
      </w:r>
      <w:r w:rsidRPr="000A330D">
        <w:rPr>
          <w:spacing w:val="-2"/>
          <w:sz w:val="24"/>
          <w:szCs w:val="24"/>
        </w:rPr>
        <w:t xml:space="preserve"> </w:t>
      </w:r>
      <w:r w:rsidRPr="000A330D">
        <w:rPr>
          <w:sz w:val="24"/>
          <w:szCs w:val="24"/>
        </w:rPr>
        <w:t>seeks</w:t>
      </w:r>
      <w:r w:rsidRPr="000A330D">
        <w:rPr>
          <w:spacing w:val="-2"/>
          <w:sz w:val="24"/>
          <w:szCs w:val="24"/>
        </w:rPr>
        <w:t xml:space="preserve"> </w:t>
      </w:r>
      <w:r w:rsidRPr="000A330D">
        <w:rPr>
          <w:sz w:val="24"/>
          <w:szCs w:val="24"/>
        </w:rPr>
        <w:t>responses</w:t>
      </w:r>
      <w:r w:rsidRPr="000A330D">
        <w:rPr>
          <w:spacing w:val="-2"/>
          <w:sz w:val="24"/>
          <w:szCs w:val="24"/>
        </w:rPr>
        <w:t xml:space="preserve"> </w:t>
      </w:r>
      <w:r w:rsidRPr="000A330D">
        <w:rPr>
          <w:sz w:val="24"/>
          <w:szCs w:val="24"/>
        </w:rPr>
        <w:t>that:</w:t>
      </w:r>
    </w:p>
    <w:p w14:paraId="05173DAF" w14:textId="77777777" w:rsidR="00491CFA" w:rsidRPr="000A330D" w:rsidRDefault="00491CFA" w:rsidP="00E26C4D">
      <w:pPr>
        <w:pStyle w:val="BodyText"/>
        <w:rPr>
          <w:sz w:val="24"/>
          <w:szCs w:val="24"/>
        </w:rPr>
      </w:pPr>
    </w:p>
    <w:p w14:paraId="67A609E9" w14:textId="0205BB39" w:rsidR="00491CFA" w:rsidRDefault="00491CFA" w:rsidP="00E26C4D">
      <w:pPr>
        <w:pStyle w:val="ListParagraph"/>
        <w:widowControl w:val="0"/>
        <w:numPr>
          <w:ilvl w:val="0"/>
          <w:numId w:val="21"/>
        </w:numPr>
        <w:autoSpaceDE w:val="0"/>
        <w:autoSpaceDN w:val="0"/>
        <w:spacing w:after="0"/>
        <w:ind w:left="720" w:right="660" w:hanging="270"/>
        <w:contextualSpacing w:val="0"/>
        <w:jc w:val="both"/>
        <w:rPr>
          <w:szCs w:val="24"/>
        </w:rPr>
      </w:pPr>
      <w:r w:rsidRPr="000A330D">
        <w:rPr>
          <w:szCs w:val="24"/>
        </w:rPr>
        <w:t>Are clear, concise, and to-the-point. Respondents are requested to avoid</w:t>
      </w:r>
      <w:r w:rsidRPr="000A330D">
        <w:rPr>
          <w:spacing w:val="1"/>
          <w:szCs w:val="24"/>
        </w:rPr>
        <w:t xml:space="preserve"> </w:t>
      </w:r>
      <w:r w:rsidRPr="000A330D">
        <w:rPr>
          <w:szCs w:val="24"/>
        </w:rPr>
        <w:t>inclusion of extraneous marketing materials, overly detailed specifications,</w:t>
      </w:r>
      <w:r w:rsidRPr="000A330D">
        <w:rPr>
          <w:spacing w:val="-64"/>
          <w:szCs w:val="24"/>
        </w:rPr>
        <w:t xml:space="preserve"> </w:t>
      </w:r>
      <w:r w:rsidRPr="000A330D">
        <w:rPr>
          <w:spacing w:val="-1"/>
          <w:szCs w:val="24"/>
        </w:rPr>
        <w:t xml:space="preserve">and other materials that increase the size of the </w:t>
      </w:r>
      <w:r w:rsidRPr="000A330D">
        <w:rPr>
          <w:szCs w:val="24"/>
        </w:rPr>
        <w:t>submittal without providing</w:t>
      </w:r>
      <w:r w:rsidRPr="000A330D">
        <w:rPr>
          <w:spacing w:val="-64"/>
          <w:szCs w:val="24"/>
        </w:rPr>
        <w:t xml:space="preserve"> </w:t>
      </w:r>
      <w:r w:rsidRPr="000A330D">
        <w:rPr>
          <w:szCs w:val="24"/>
        </w:rPr>
        <w:t>meaningful additional information about Respondent's vision and</w:t>
      </w:r>
      <w:r w:rsidRPr="000A330D">
        <w:rPr>
          <w:spacing w:val="1"/>
          <w:szCs w:val="24"/>
        </w:rPr>
        <w:t xml:space="preserve"> </w:t>
      </w:r>
      <w:r w:rsidRPr="000A330D">
        <w:rPr>
          <w:szCs w:val="24"/>
        </w:rPr>
        <w:t>implementation</w:t>
      </w:r>
      <w:r w:rsidRPr="000A330D">
        <w:rPr>
          <w:spacing w:val="-1"/>
          <w:szCs w:val="24"/>
        </w:rPr>
        <w:t xml:space="preserve"> </w:t>
      </w:r>
      <w:r w:rsidRPr="000A330D">
        <w:rPr>
          <w:szCs w:val="24"/>
        </w:rPr>
        <w:t>of the</w:t>
      </w:r>
      <w:r w:rsidRPr="000A330D">
        <w:rPr>
          <w:spacing w:val="-1"/>
          <w:szCs w:val="24"/>
        </w:rPr>
        <w:t xml:space="preserve"> </w:t>
      </w:r>
      <w:r w:rsidRPr="000A330D">
        <w:rPr>
          <w:szCs w:val="24"/>
        </w:rPr>
        <w:t>project</w:t>
      </w:r>
      <w:r w:rsidRPr="000A330D">
        <w:rPr>
          <w:spacing w:val="-3"/>
          <w:szCs w:val="24"/>
        </w:rPr>
        <w:t xml:space="preserve"> </w:t>
      </w:r>
      <w:r w:rsidRPr="000A330D">
        <w:rPr>
          <w:szCs w:val="24"/>
        </w:rPr>
        <w:t xml:space="preserve">objectives.  </w:t>
      </w:r>
    </w:p>
    <w:p w14:paraId="6C2ACDB3" w14:textId="77777777" w:rsidR="00E26C4D" w:rsidRPr="00E26C4D" w:rsidRDefault="00E26C4D" w:rsidP="00E26C4D">
      <w:pPr>
        <w:widowControl w:val="0"/>
        <w:autoSpaceDE w:val="0"/>
        <w:autoSpaceDN w:val="0"/>
        <w:spacing w:after="0" w:line="268" w:lineRule="auto"/>
        <w:ind w:right="660"/>
        <w:jc w:val="both"/>
        <w:rPr>
          <w:szCs w:val="24"/>
        </w:rPr>
      </w:pPr>
    </w:p>
    <w:p w14:paraId="0DC2A8E3" w14:textId="46B99661" w:rsidR="008027D3" w:rsidRDefault="008027D3" w:rsidP="00E26C4D">
      <w:pPr>
        <w:pStyle w:val="ListParagraph"/>
        <w:widowControl w:val="0"/>
        <w:numPr>
          <w:ilvl w:val="0"/>
          <w:numId w:val="21"/>
        </w:numPr>
        <w:autoSpaceDE w:val="0"/>
        <w:autoSpaceDN w:val="0"/>
        <w:spacing w:after="0" w:line="268" w:lineRule="auto"/>
        <w:ind w:left="720" w:right="660" w:hanging="270"/>
        <w:contextualSpacing w:val="0"/>
        <w:jc w:val="both"/>
        <w:rPr>
          <w:szCs w:val="24"/>
        </w:rPr>
      </w:pPr>
      <w:r>
        <w:rPr>
          <w:szCs w:val="24"/>
        </w:rPr>
        <w:t xml:space="preserve">Include all </w:t>
      </w:r>
      <w:r w:rsidR="00A7566D" w:rsidRPr="00A7566D">
        <w:rPr>
          <w:szCs w:val="24"/>
        </w:rPr>
        <w:t xml:space="preserve">the elements listed below. </w:t>
      </w:r>
    </w:p>
    <w:p w14:paraId="58CAF2FC" w14:textId="77777777" w:rsidR="00E26C4D" w:rsidRPr="00E26C4D" w:rsidRDefault="00E26C4D" w:rsidP="00E26C4D">
      <w:pPr>
        <w:widowControl w:val="0"/>
        <w:autoSpaceDE w:val="0"/>
        <w:autoSpaceDN w:val="0"/>
        <w:spacing w:after="0" w:line="268" w:lineRule="auto"/>
        <w:ind w:right="660"/>
        <w:jc w:val="both"/>
        <w:rPr>
          <w:szCs w:val="24"/>
        </w:rPr>
      </w:pPr>
    </w:p>
    <w:p w14:paraId="74E0CA57" w14:textId="20730AF8" w:rsidR="00491CFA" w:rsidRPr="008027D3" w:rsidRDefault="008027D3" w:rsidP="00E26C4D">
      <w:pPr>
        <w:pStyle w:val="ListParagraph"/>
        <w:widowControl w:val="0"/>
        <w:numPr>
          <w:ilvl w:val="0"/>
          <w:numId w:val="21"/>
        </w:numPr>
        <w:autoSpaceDE w:val="0"/>
        <w:autoSpaceDN w:val="0"/>
        <w:spacing w:after="0" w:line="268" w:lineRule="auto"/>
        <w:ind w:left="720" w:right="660" w:hanging="270"/>
        <w:contextualSpacing w:val="0"/>
        <w:jc w:val="both"/>
      </w:pPr>
      <w:r>
        <w:rPr>
          <w:szCs w:val="24"/>
        </w:rPr>
        <w:t>Stay within t</w:t>
      </w:r>
      <w:r w:rsidR="00A7566D" w:rsidRPr="008027D3">
        <w:rPr>
          <w:szCs w:val="24"/>
        </w:rPr>
        <w:t xml:space="preserve">he page limit without exhibits </w:t>
      </w:r>
      <w:r>
        <w:rPr>
          <w:szCs w:val="24"/>
        </w:rPr>
        <w:t xml:space="preserve">of </w:t>
      </w:r>
      <w:r w:rsidR="00A7566D" w:rsidRPr="008027D3">
        <w:rPr>
          <w:szCs w:val="24"/>
        </w:rPr>
        <w:t>15 pages; there is no page limit for exhibits.</w:t>
      </w:r>
    </w:p>
    <w:p w14:paraId="5E355C0D" w14:textId="77777777" w:rsidR="008027D3" w:rsidRDefault="008027D3" w:rsidP="00E26C4D">
      <w:pPr>
        <w:pStyle w:val="Heading1"/>
        <w:spacing w:after="0"/>
      </w:pPr>
    </w:p>
    <w:p w14:paraId="7EA03437" w14:textId="228D7AC5" w:rsidR="00E464C3" w:rsidRPr="00FA64F1" w:rsidRDefault="00D85801" w:rsidP="00E26C4D">
      <w:pPr>
        <w:pStyle w:val="Heading1"/>
        <w:spacing w:after="0"/>
      </w:pPr>
      <w:r>
        <w:t xml:space="preserve">EVALUATION CRITERIA AND </w:t>
      </w:r>
      <w:r w:rsidR="00E464C3" w:rsidRPr="008A01E3">
        <w:t>SUBMI</w:t>
      </w:r>
      <w:r w:rsidR="00CD6C5B">
        <w:t>SSION</w:t>
      </w:r>
      <w:r w:rsidR="00E464C3" w:rsidRPr="008A01E3">
        <w:t xml:space="preserve"> REQUIREMENTS</w:t>
      </w:r>
      <w:bookmarkEnd w:id="16"/>
    </w:p>
    <w:p w14:paraId="3240D5DD" w14:textId="71EF242A" w:rsidR="00E26C4D" w:rsidRDefault="00E26C4D" w:rsidP="00E26C4D">
      <w:pPr>
        <w:pStyle w:val="ListParagraph"/>
        <w:spacing w:after="0"/>
        <w:ind w:left="0"/>
        <w:rPr>
          <w:rFonts w:cs="Arial"/>
          <w:szCs w:val="24"/>
        </w:rPr>
      </w:pPr>
      <w:bookmarkStart w:id="17" w:name="_Toc20721628"/>
    </w:p>
    <w:p w14:paraId="2980A74F" w14:textId="15D934B0" w:rsidR="005F1667" w:rsidRPr="00C65CF0" w:rsidRDefault="005F1667" w:rsidP="005F1667">
      <w:pPr>
        <w:pStyle w:val="BodyText"/>
        <w:jc w:val="both"/>
        <w:rPr>
          <w:sz w:val="24"/>
          <w:szCs w:val="24"/>
        </w:rPr>
      </w:pPr>
      <w:r w:rsidRPr="00C65CF0">
        <w:rPr>
          <w:sz w:val="24"/>
          <w:szCs w:val="24"/>
        </w:rPr>
        <w:t>An</w:t>
      </w:r>
      <w:r w:rsidRPr="00C65CF0">
        <w:rPr>
          <w:spacing w:val="-3"/>
          <w:sz w:val="24"/>
          <w:szCs w:val="24"/>
        </w:rPr>
        <w:t xml:space="preserve"> </w:t>
      </w:r>
      <w:r w:rsidRPr="00C65CF0">
        <w:rPr>
          <w:sz w:val="24"/>
          <w:szCs w:val="24"/>
        </w:rPr>
        <w:t>evaluation</w:t>
      </w:r>
      <w:r w:rsidRPr="00C65CF0">
        <w:rPr>
          <w:spacing w:val="-3"/>
          <w:sz w:val="24"/>
          <w:szCs w:val="24"/>
        </w:rPr>
        <w:t xml:space="preserve"> </w:t>
      </w:r>
      <w:r w:rsidRPr="00C65CF0">
        <w:rPr>
          <w:sz w:val="24"/>
          <w:szCs w:val="24"/>
        </w:rPr>
        <w:t>panel</w:t>
      </w:r>
      <w:r w:rsidRPr="00C65CF0">
        <w:rPr>
          <w:spacing w:val="-2"/>
          <w:sz w:val="24"/>
          <w:szCs w:val="24"/>
        </w:rPr>
        <w:t xml:space="preserve"> </w:t>
      </w:r>
      <w:r w:rsidRPr="00C65CF0">
        <w:rPr>
          <w:sz w:val="24"/>
          <w:szCs w:val="24"/>
        </w:rPr>
        <w:t>will</w:t>
      </w:r>
      <w:r w:rsidRPr="00C65CF0">
        <w:rPr>
          <w:spacing w:val="-3"/>
          <w:sz w:val="24"/>
          <w:szCs w:val="24"/>
        </w:rPr>
        <w:t xml:space="preserve"> </w:t>
      </w:r>
      <w:r w:rsidRPr="00C65CF0">
        <w:rPr>
          <w:sz w:val="24"/>
          <w:szCs w:val="24"/>
        </w:rPr>
        <w:t>identify</w:t>
      </w:r>
      <w:r w:rsidRPr="00C65CF0">
        <w:rPr>
          <w:spacing w:val="-2"/>
          <w:sz w:val="24"/>
          <w:szCs w:val="24"/>
        </w:rPr>
        <w:t xml:space="preserve"> </w:t>
      </w:r>
      <w:r w:rsidRPr="00C65CF0">
        <w:rPr>
          <w:sz w:val="24"/>
          <w:szCs w:val="24"/>
        </w:rPr>
        <w:t>the</w:t>
      </w:r>
      <w:r w:rsidRPr="00C65CF0">
        <w:rPr>
          <w:spacing w:val="-3"/>
          <w:sz w:val="24"/>
          <w:szCs w:val="24"/>
        </w:rPr>
        <w:t xml:space="preserve"> </w:t>
      </w:r>
      <w:r w:rsidRPr="00C65CF0">
        <w:rPr>
          <w:sz w:val="24"/>
          <w:szCs w:val="24"/>
        </w:rPr>
        <w:t>most</w:t>
      </w:r>
      <w:r w:rsidRPr="00C65CF0">
        <w:rPr>
          <w:spacing w:val="-2"/>
          <w:sz w:val="24"/>
          <w:szCs w:val="24"/>
        </w:rPr>
        <w:t xml:space="preserve"> </w:t>
      </w:r>
      <w:r w:rsidRPr="00C65CF0">
        <w:rPr>
          <w:sz w:val="24"/>
          <w:szCs w:val="24"/>
        </w:rPr>
        <w:t>qualified</w:t>
      </w:r>
      <w:r w:rsidRPr="00C65CF0">
        <w:rPr>
          <w:spacing w:val="-2"/>
          <w:sz w:val="24"/>
          <w:szCs w:val="24"/>
        </w:rPr>
        <w:t xml:space="preserve"> </w:t>
      </w:r>
      <w:r w:rsidRPr="00C65CF0">
        <w:rPr>
          <w:sz w:val="24"/>
          <w:szCs w:val="24"/>
        </w:rPr>
        <w:t>responses</w:t>
      </w:r>
      <w:r w:rsidRPr="00C65CF0">
        <w:rPr>
          <w:spacing w:val="-3"/>
          <w:sz w:val="24"/>
          <w:szCs w:val="24"/>
        </w:rPr>
        <w:t xml:space="preserve"> </w:t>
      </w:r>
      <w:r w:rsidRPr="00C65CF0">
        <w:rPr>
          <w:sz w:val="24"/>
          <w:szCs w:val="24"/>
        </w:rPr>
        <w:t>to</w:t>
      </w:r>
      <w:r w:rsidRPr="00C65CF0">
        <w:rPr>
          <w:spacing w:val="-3"/>
          <w:sz w:val="24"/>
          <w:szCs w:val="24"/>
        </w:rPr>
        <w:t xml:space="preserve"> </w:t>
      </w:r>
      <w:r w:rsidRPr="00C65CF0">
        <w:rPr>
          <w:sz w:val="24"/>
          <w:szCs w:val="24"/>
        </w:rPr>
        <w:t>this</w:t>
      </w:r>
      <w:r w:rsidRPr="00C65CF0">
        <w:rPr>
          <w:spacing w:val="-2"/>
          <w:sz w:val="24"/>
          <w:szCs w:val="24"/>
        </w:rPr>
        <w:t xml:space="preserve"> </w:t>
      </w:r>
      <w:r w:rsidRPr="00C65CF0">
        <w:rPr>
          <w:sz w:val="24"/>
          <w:szCs w:val="24"/>
        </w:rPr>
        <w:t>RF</w:t>
      </w:r>
      <w:r w:rsidR="00DF3594">
        <w:rPr>
          <w:sz w:val="24"/>
          <w:szCs w:val="24"/>
        </w:rPr>
        <w:t>P</w:t>
      </w:r>
      <w:r w:rsidRPr="00C65CF0">
        <w:rPr>
          <w:sz w:val="24"/>
          <w:szCs w:val="24"/>
        </w:rPr>
        <w:t>.</w:t>
      </w:r>
    </w:p>
    <w:p w14:paraId="479F54A5" w14:textId="77777777" w:rsidR="005F1667" w:rsidRPr="00C65CF0" w:rsidRDefault="005F1667" w:rsidP="005F1667">
      <w:pPr>
        <w:pStyle w:val="BodyText"/>
        <w:jc w:val="both"/>
        <w:rPr>
          <w:sz w:val="24"/>
          <w:szCs w:val="24"/>
        </w:rPr>
      </w:pPr>
    </w:p>
    <w:p w14:paraId="467F1AB4" w14:textId="77777777" w:rsidR="005F1667" w:rsidRPr="00C65CF0" w:rsidRDefault="005F1667" w:rsidP="005F1667">
      <w:pPr>
        <w:pStyle w:val="BodyText"/>
        <w:jc w:val="both"/>
        <w:rPr>
          <w:sz w:val="24"/>
          <w:szCs w:val="24"/>
        </w:rPr>
      </w:pPr>
      <w:r w:rsidRPr="00C65CF0">
        <w:rPr>
          <w:sz w:val="24"/>
          <w:szCs w:val="24"/>
        </w:rPr>
        <w:t xml:space="preserve">The scoring criteria which will be applied to the submissions </w:t>
      </w:r>
      <w:proofErr w:type="gramStart"/>
      <w:r w:rsidRPr="00C65CF0">
        <w:rPr>
          <w:sz w:val="24"/>
          <w:szCs w:val="24"/>
        </w:rPr>
        <w:t>is located in</w:t>
      </w:r>
      <w:proofErr w:type="gramEnd"/>
      <w:r w:rsidRPr="00C65CF0">
        <w:rPr>
          <w:sz w:val="24"/>
          <w:szCs w:val="24"/>
        </w:rPr>
        <w:t xml:space="preserve"> Exhibit 7.</w:t>
      </w:r>
    </w:p>
    <w:p w14:paraId="7E4B4AC7" w14:textId="77777777" w:rsidR="005F1667" w:rsidRPr="00C65CF0" w:rsidRDefault="005F1667" w:rsidP="00E26C4D">
      <w:pPr>
        <w:pStyle w:val="ListParagraph"/>
        <w:spacing w:after="0"/>
        <w:ind w:left="0"/>
        <w:rPr>
          <w:rFonts w:cs="Arial"/>
          <w:szCs w:val="24"/>
        </w:rPr>
      </w:pPr>
    </w:p>
    <w:p w14:paraId="33A3387F" w14:textId="643FE127" w:rsidR="00BD1FF9" w:rsidRDefault="00E56F9C" w:rsidP="005D00E0">
      <w:pPr>
        <w:pStyle w:val="ListParagraph"/>
        <w:spacing w:after="0"/>
        <w:ind w:left="0"/>
        <w:jc w:val="both"/>
        <w:rPr>
          <w:rFonts w:cs="Arial"/>
          <w:szCs w:val="24"/>
        </w:rPr>
      </w:pPr>
      <w:r w:rsidRPr="00C65CF0">
        <w:rPr>
          <w:rFonts w:cs="Arial"/>
          <w:szCs w:val="24"/>
        </w:rPr>
        <w:t xml:space="preserve">The proposal must be sufficiently detailed and descriptive in the State’s sole discretion to assess the viability of the proposal. </w:t>
      </w:r>
      <w:bookmarkStart w:id="18" w:name="_Toc20721623"/>
      <w:r w:rsidRPr="001C2DD8">
        <w:rPr>
          <w:rFonts w:cs="Arial"/>
          <w:szCs w:val="24"/>
        </w:rPr>
        <w:t xml:space="preserve">The submitted proposals must meet all requirements outlined in this RFP. The State reserves the right to make its selection based on its sole and absolute discretion. In addition, the State reserves the right to reject any or all </w:t>
      </w:r>
      <w:r w:rsidRPr="001C2DD8">
        <w:rPr>
          <w:rFonts w:cs="Arial"/>
          <w:szCs w:val="24"/>
        </w:rPr>
        <w:lastRenderedPageBreak/>
        <w:t>proposals at any time for any reason.</w:t>
      </w:r>
      <w:r w:rsidR="006A5DE4">
        <w:rPr>
          <w:rFonts w:cs="Arial"/>
          <w:szCs w:val="24"/>
        </w:rPr>
        <w:t xml:space="preserve"> </w:t>
      </w:r>
      <w:r w:rsidR="006A5DE4">
        <w:rPr>
          <w:rFonts w:cs="Arial"/>
          <w:bCs/>
          <w:szCs w:val="24"/>
        </w:rPr>
        <w:t>N</w:t>
      </w:r>
      <w:r w:rsidR="006A5DE4" w:rsidRPr="001C2DD8">
        <w:rPr>
          <w:rFonts w:cs="Arial"/>
          <w:bCs/>
          <w:szCs w:val="24"/>
        </w:rPr>
        <w:t>o representation is made hereby that any contract will be awarded pursuant to this RFP or otherwise.</w:t>
      </w:r>
    </w:p>
    <w:p w14:paraId="3EB9603B" w14:textId="44DC43BE" w:rsidR="00B96840" w:rsidRDefault="00BD1FF9" w:rsidP="00BD1FF9">
      <w:pPr>
        <w:pStyle w:val="BodyText"/>
        <w:spacing w:before="219" w:line="276" w:lineRule="auto"/>
        <w:jc w:val="both"/>
        <w:rPr>
          <w:sz w:val="24"/>
          <w:szCs w:val="24"/>
        </w:rPr>
      </w:pPr>
      <w:r w:rsidRPr="001A34D7">
        <w:rPr>
          <w:sz w:val="24"/>
          <w:szCs w:val="24"/>
        </w:rPr>
        <w:t xml:space="preserve">Please note that the State has not determined the required percentage of affordable vs. market-rate housing on this site. The State is open to development concepts which are a) 100% affordable housing, or b) </w:t>
      </w:r>
      <w:r w:rsidR="00B96840">
        <w:rPr>
          <w:sz w:val="24"/>
          <w:szCs w:val="24"/>
        </w:rPr>
        <w:t>an</w:t>
      </w:r>
      <w:r w:rsidR="00B96840" w:rsidRPr="00B96840">
        <w:rPr>
          <w:sz w:val="24"/>
          <w:szCs w:val="24"/>
        </w:rPr>
        <w:t xml:space="preserve"> alternative income </w:t>
      </w:r>
      <w:proofErr w:type="gramStart"/>
      <w:r w:rsidR="00B96840" w:rsidRPr="00B96840">
        <w:rPr>
          <w:sz w:val="24"/>
          <w:szCs w:val="24"/>
        </w:rPr>
        <w:t>mix</w:t>
      </w:r>
      <w:proofErr w:type="gramEnd"/>
      <w:r w:rsidR="00B96840" w:rsidRPr="00B96840">
        <w:rPr>
          <w:sz w:val="24"/>
          <w:szCs w:val="24"/>
        </w:rPr>
        <w:t xml:space="preserve"> </w:t>
      </w:r>
      <w:r w:rsidR="00B96840">
        <w:rPr>
          <w:sz w:val="24"/>
          <w:szCs w:val="24"/>
        </w:rPr>
        <w:t xml:space="preserve">that </w:t>
      </w:r>
      <w:r w:rsidR="00B96840" w:rsidRPr="00B96840">
        <w:rPr>
          <w:sz w:val="24"/>
          <w:szCs w:val="24"/>
        </w:rPr>
        <w:t>results in a greater net gain of units affordable to lower income households and does not result in less than 20 percent of all units being affordable to lower income households and less than 10 percent of all units being affordable to very low</w:t>
      </w:r>
      <w:r w:rsidR="007D68DD">
        <w:rPr>
          <w:sz w:val="24"/>
          <w:szCs w:val="24"/>
        </w:rPr>
        <w:t>-</w:t>
      </w:r>
      <w:r w:rsidR="00B96840" w:rsidRPr="00B96840">
        <w:rPr>
          <w:sz w:val="24"/>
          <w:szCs w:val="24"/>
        </w:rPr>
        <w:t>income households</w:t>
      </w:r>
      <w:r w:rsidR="00B96840">
        <w:rPr>
          <w:sz w:val="24"/>
          <w:szCs w:val="24"/>
        </w:rPr>
        <w:t xml:space="preserve"> (see </w:t>
      </w:r>
      <w:r w:rsidRPr="001A34D7">
        <w:rPr>
          <w:sz w:val="24"/>
          <w:szCs w:val="24"/>
        </w:rPr>
        <w:t>§14671.2 of California Government Code</w:t>
      </w:r>
      <w:r w:rsidR="009E5F1B">
        <w:rPr>
          <w:sz w:val="24"/>
          <w:szCs w:val="24"/>
        </w:rPr>
        <w:t xml:space="preserve"> in </w:t>
      </w:r>
      <w:r w:rsidRPr="001A34D7">
        <w:rPr>
          <w:sz w:val="24"/>
          <w:szCs w:val="24"/>
        </w:rPr>
        <w:t xml:space="preserve">Exhibit 2). </w:t>
      </w:r>
    </w:p>
    <w:p w14:paraId="76BD2FD8" w14:textId="47122AD5" w:rsidR="00815C7D" w:rsidRDefault="00815C7D" w:rsidP="00BD1FF9">
      <w:pPr>
        <w:pStyle w:val="BodyText"/>
        <w:spacing w:before="219" w:line="276" w:lineRule="auto"/>
        <w:jc w:val="both"/>
        <w:rPr>
          <w:sz w:val="24"/>
          <w:szCs w:val="24"/>
        </w:rPr>
      </w:pPr>
      <w:r w:rsidRPr="00D61452">
        <w:rPr>
          <w:sz w:val="24"/>
          <w:szCs w:val="24"/>
        </w:rPr>
        <w:t xml:space="preserve">The Site </w:t>
      </w:r>
      <w:proofErr w:type="gramStart"/>
      <w:r w:rsidRPr="00D61452">
        <w:rPr>
          <w:sz w:val="24"/>
          <w:szCs w:val="24"/>
        </w:rPr>
        <w:t>is located in</w:t>
      </w:r>
      <w:proofErr w:type="gramEnd"/>
      <w:r w:rsidRPr="00D61452">
        <w:rPr>
          <w:sz w:val="24"/>
          <w:szCs w:val="24"/>
        </w:rPr>
        <w:t xml:space="preserve"> a Tier 3 Transit-Oriented Communities area as defined by the City of Los Angeles. It is expected that in addition to complying with §14671.2 of California Government Code the project will include </w:t>
      </w:r>
      <w:proofErr w:type="gramStart"/>
      <w:r w:rsidRPr="00D61452">
        <w:rPr>
          <w:sz w:val="24"/>
          <w:szCs w:val="24"/>
        </w:rPr>
        <w:t>a number of</w:t>
      </w:r>
      <w:proofErr w:type="gramEnd"/>
      <w:r w:rsidRPr="00D61452">
        <w:rPr>
          <w:sz w:val="24"/>
          <w:szCs w:val="24"/>
        </w:rPr>
        <w:t xml:space="preserve"> restricted on-site affordable units commensurate with those required of a Tier 3 Transit-Oriented Communities site. </w:t>
      </w:r>
    </w:p>
    <w:p w14:paraId="0AE18F95" w14:textId="74D05127" w:rsidR="00C94128" w:rsidRDefault="009569AA" w:rsidP="00BD1FF9">
      <w:pPr>
        <w:pStyle w:val="BodyText"/>
        <w:spacing w:before="219" w:line="276" w:lineRule="auto"/>
        <w:jc w:val="both"/>
        <w:rPr>
          <w:sz w:val="24"/>
          <w:szCs w:val="24"/>
        </w:rPr>
      </w:pPr>
      <w:r>
        <w:rPr>
          <w:sz w:val="24"/>
          <w:szCs w:val="24"/>
        </w:rPr>
        <w:t xml:space="preserve">Furthermore, the State </w:t>
      </w:r>
      <w:r w:rsidR="009C486E">
        <w:rPr>
          <w:sz w:val="24"/>
          <w:szCs w:val="24"/>
        </w:rPr>
        <w:t xml:space="preserve">understands </w:t>
      </w:r>
      <w:r>
        <w:rPr>
          <w:sz w:val="24"/>
          <w:szCs w:val="24"/>
        </w:rPr>
        <w:t xml:space="preserve">that </w:t>
      </w:r>
      <w:r w:rsidR="00E7315E">
        <w:rPr>
          <w:sz w:val="24"/>
          <w:szCs w:val="24"/>
        </w:rPr>
        <w:t xml:space="preserve">financial support </w:t>
      </w:r>
      <w:r w:rsidR="00DD7806">
        <w:rPr>
          <w:sz w:val="24"/>
          <w:szCs w:val="24"/>
        </w:rPr>
        <w:t xml:space="preserve">from local </w:t>
      </w:r>
      <w:r w:rsidR="00E875E1">
        <w:rPr>
          <w:sz w:val="24"/>
          <w:szCs w:val="24"/>
        </w:rPr>
        <w:t>agencies</w:t>
      </w:r>
      <w:r w:rsidR="00DD7806">
        <w:rPr>
          <w:sz w:val="24"/>
          <w:szCs w:val="24"/>
        </w:rPr>
        <w:t xml:space="preserve"> that is often necessary for </w:t>
      </w:r>
      <w:r w:rsidR="009C486E">
        <w:rPr>
          <w:sz w:val="24"/>
          <w:szCs w:val="24"/>
        </w:rPr>
        <w:t xml:space="preserve">100% affordable projects may be limited. </w:t>
      </w:r>
      <w:r w:rsidR="00564458">
        <w:rPr>
          <w:sz w:val="24"/>
          <w:szCs w:val="24"/>
        </w:rPr>
        <w:t>Therefore, the State welcomes responses which</w:t>
      </w:r>
      <w:r w:rsidR="005A7080">
        <w:rPr>
          <w:sz w:val="24"/>
          <w:szCs w:val="24"/>
        </w:rPr>
        <w:t xml:space="preserve"> </w:t>
      </w:r>
      <w:r w:rsidR="009B7A6B">
        <w:rPr>
          <w:sz w:val="24"/>
          <w:szCs w:val="24"/>
        </w:rPr>
        <w:t xml:space="preserve">leverage market-rate housing on site (yet still within the parameters </w:t>
      </w:r>
      <w:r w:rsidR="00E229B2">
        <w:rPr>
          <w:sz w:val="24"/>
          <w:szCs w:val="24"/>
        </w:rPr>
        <w:t>noted above and in Exhibit 2</w:t>
      </w:r>
      <w:r w:rsidR="009B7A6B">
        <w:rPr>
          <w:sz w:val="24"/>
          <w:szCs w:val="24"/>
        </w:rPr>
        <w:t xml:space="preserve">) to </w:t>
      </w:r>
      <w:r w:rsidR="005A7080">
        <w:rPr>
          <w:sz w:val="24"/>
          <w:szCs w:val="24"/>
        </w:rPr>
        <w:t>reduce reliance on scarce</w:t>
      </w:r>
      <w:r w:rsidR="00615C71">
        <w:rPr>
          <w:sz w:val="24"/>
          <w:szCs w:val="24"/>
        </w:rPr>
        <w:t xml:space="preserve"> local</w:t>
      </w:r>
      <w:r w:rsidR="005A7080">
        <w:rPr>
          <w:sz w:val="24"/>
          <w:szCs w:val="24"/>
        </w:rPr>
        <w:t xml:space="preserve"> public resources.</w:t>
      </w:r>
      <w:r w:rsidR="00A15B7A">
        <w:rPr>
          <w:sz w:val="24"/>
          <w:szCs w:val="24"/>
        </w:rPr>
        <w:t xml:space="preserve"> </w:t>
      </w:r>
      <w:r w:rsidR="00723E16">
        <w:rPr>
          <w:sz w:val="24"/>
          <w:szCs w:val="24"/>
        </w:rPr>
        <w:t xml:space="preserve">The State will scrutinize assumptions </w:t>
      </w:r>
      <w:r w:rsidR="00994AA3">
        <w:rPr>
          <w:sz w:val="24"/>
          <w:szCs w:val="24"/>
        </w:rPr>
        <w:t>and demand a clear pathway towards financial feasibility</w:t>
      </w:r>
      <w:r w:rsidR="00DF7220">
        <w:rPr>
          <w:sz w:val="24"/>
          <w:szCs w:val="24"/>
        </w:rPr>
        <w:t xml:space="preserve"> and speed of delivery</w:t>
      </w:r>
      <w:r w:rsidR="00CB6A8A">
        <w:rPr>
          <w:sz w:val="24"/>
          <w:szCs w:val="24"/>
        </w:rPr>
        <w:t xml:space="preserve"> (see Principle and Objective</w:t>
      </w:r>
      <w:r w:rsidR="00C85C08">
        <w:rPr>
          <w:sz w:val="24"/>
          <w:szCs w:val="24"/>
        </w:rPr>
        <w:t>s</w:t>
      </w:r>
      <w:r w:rsidR="00CB6A8A">
        <w:rPr>
          <w:sz w:val="24"/>
          <w:szCs w:val="24"/>
        </w:rPr>
        <w:t xml:space="preserve"> </w:t>
      </w:r>
      <w:r w:rsidR="001170C4">
        <w:rPr>
          <w:sz w:val="24"/>
          <w:szCs w:val="24"/>
        </w:rPr>
        <w:t>#2</w:t>
      </w:r>
      <w:r w:rsidR="00C85C08">
        <w:rPr>
          <w:sz w:val="24"/>
          <w:szCs w:val="24"/>
        </w:rPr>
        <w:t xml:space="preserve"> and #3,</w:t>
      </w:r>
      <w:r w:rsidR="001170C4">
        <w:rPr>
          <w:sz w:val="24"/>
          <w:szCs w:val="24"/>
        </w:rPr>
        <w:t xml:space="preserve"> and corresponding </w:t>
      </w:r>
      <w:r w:rsidR="008A1868">
        <w:rPr>
          <w:sz w:val="24"/>
          <w:szCs w:val="24"/>
        </w:rPr>
        <w:t>scoring in Exhibit 7)</w:t>
      </w:r>
      <w:r w:rsidR="00FF4B79">
        <w:rPr>
          <w:sz w:val="24"/>
          <w:szCs w:val="24"/>
        </w:rPr>
        <w:t xml:space="preserve">.  </w:t>
      </w:r>
      <w:r w:rsidR="00994AA3">
        <w:rPr>
          <w:sz w:val="24"/>
          <w:szCs w:val="24"/>
        </w:rPr>
        <w:t xml:space="preserve"> </w:t>
      </w:r>
      <w:r w:rsidR="009C486E">
        <w:rPr>
          <w:sz w:val="24"/>
          <w:szCs w:val="24"/>
        </w:rPr>
        <w:t xml:space="preserve">  </w:t>
      </w:r>
    </w:p>
    <w:p w14:paraId="62E694C7" w14:textId="0A4DFDE8" w:rsidR="00BD1FF9" w:rsidRDefault="00BD1FF9" w:rsidP="00BD1FF9">
      <w:pPr>
        <w:pStyle w:val="BodyText"/>
        <w:spacing w:before="219" w:line="276" w:lineRule="auto"/>
        <w:jc w:val="both"/>
        <w:rPr>
          <w:sz w:val="24"/>
          <w:szCs w:val="24"/>
        </w:rPr>
      </w:pPr>
      <w:r w:rsidRPr="001A34D7">
        <w:rPr>
          <w:sz w:val="24"/>
          <w:szCs w:val="24"/>
        </w:rPr>
        <w:t xml:space="preserve">The State welcomes </w:t>
      </w:r>
      <w:r w:rsidR="006121D8">
        <w:rPr>
          <w:sz w:val="24"/>
          <w:szCs w:val="24"/>
        </w:rPr>
        <w:t xml:space="preserve">Proposals </w:t>
      </w:r>
      <w:r w:rsidRPr="001A34D7">
        <w:rPr>
          <w:sz w:val="24"/>
          <w:szCs w:val="24"/>
        </w:rPr>
        <w:t xml:space="preserve">which represent a) one development company specializing in development of affordable housing, b) one development company with experience in both affordable and market-rate housing or c) a proposed partnership between two or more development companies with combined experience in development of affordable and market-rate housing types. The State also encourages </w:t>
      </w:r>
      <w:r w:rsidR="006121D8">
        <w:rPr>
          <w:sz w:val="24"/>
          <w:szCs w:val="24"/>
        </w:rPr>
        <w:t>Proposal</w:t>
      </w:r>
      <w:r w:rsidR="001D3246">
        <w:rPr>
          <w:sz w:val="24"/>
          <w:szCs w:val="24"/>
        </w:rPr>
        <w:t>s</w:t>
      </w:r>
      <w:r w:rsidRPr="001A34D7">
        <w:rPr>
          <w:sz w:val="24"/>
          <w:szCs w:val="24"/>
        </w:rPr>
        <w:t xml:space="preserve"> that demonstrate proficiency in a combination of both housing types and community-serving commercial uses that maximize benefit to the community and other stakeholders. Please see further information below under Evaluation Criteria.</w:t>
      </w:r>
    </w:p>
    <w:p w14:paraId="476B344A" w14:textId="3669A789" w:rsidR="0093208B" w:rsidRDefault="0093208B" w:rsidP="00BD1FF9">
      <w:pPr>
        <w:pStyle w:val="BodyText"/>
        <w:spacing w:before="219" w:line="276" w:lineRule="auto"/>
        <w:jc w:val="both"/>
        <w:rPr>
          <w:sz w:val="24"/>
          <w:szCs w:val="24"/>
        </w:rPr>
      </w:pPr>
      <w:r>
        <w:rPr>
          <w:sz w:val="24"/>
          <w:szCs w:val="24"/>
        </w:rPr>
        <w:t>Respondents are directed to Exhibit 6, Due Diligence Documents, and are expected to consider these findings in their Proposal as applicable.</w:t>
      </w:r>
    </w:p>
    <w:p w14:paraId="0E4D118F" w14:textId="77777777" w:rsidR="00285680" w:rsidRPr="001A34D7" w:rsidRDefault="00285680" w:rsidP="00BD1FF9">
      <w:pPr>
        <w:pStyle w:val="BodyText"/>
        <w:spacing w:before="219" w:line="276" w:lineRule="auto"/>
        <w:jc w:val="both"/>
        <w:rPr>
          <w:sz w:val="24"/>
          <w:szCs w:val="24"/>
        </w:rPr>
      </w:pPr>
    </w:p>
    <w:p w14:paraId="347DF28D" w14:textId="3989C07D" w:rsidR="00335763" w:rsidRDefault="001C79C7" w:rsidP="00E26C4D">
      <w:pPr>
        <w:pStyle w:val="ListParagraph"/>
        <w:spacing w:after="0"/>
        <w:ind w:left="0"/>
        <w:rPr>
          <w:rFonts w:cs="Arial"/>
          <w:szCs w:val="24"/>
        </w:rPr>
      </w:pPr>
      <w:r>
        <w:rPr>
          <w:rFonts w:cs="Arial"/>
          <w:szCs w:val="24"/>
        </w:rPr>
        <w:t>Proposal Format:</w:t>
      </w:r>
    </w:p>
    <w:p w14:paraId="7596CCBA" w14:textId="77777777" w:rsidR="00335763" w:rsidRPr="001A34D7" w:rsidRDefault="00335763" w:rsidP="00E26C4D">
      <w:pPr>
        <w:pStyle w:val="ListParagraph"/>
        <w:spacing w:after="0"/>
        <w:ind w:left="0"/>
        <w:rPr>
          <w:rFonts w:cs="Arial"/>
          <w:szCs w:val="24"/>
        </w:rPr>
      </w:pPr>
    </w:p>
    <w:bookmarkEnd w:id="18"/>
    <w:p w14:paraId="44C846C4" w14:textId="77777777" w:rsidR="00F922E8" w:rsidRPr="0037136C" w:rsidRDefault="00F922E8" w:rsidP="00F922E8">
      <w:pPr>
        <w:pStyle w:val="BodyText"/>
        <w:numPr>
          <w:ilvl w:val="0"/>
          <w:numId w:val="24"/>
        </w:numPr>
        <w:spacing w:line="276" w:lineRule="auto"/>
        <w:ind w:right="660"/>
        <w:jc w:val="both"/>
        <w:rPr>
          <w:sz w:val="24"/>
          <w:szCs w:val="24"/>
        </w:rPr>
      </w:pPr>
      <w:r w:rsidRPr="0037136C">
        <w:rPr>
          <w:sz w:val="24"/>
          <w:szCs w:val="24"/>
        </w:rPr>
        <w:t>Respondent Team Introduction</w:t>
      </w:r>
    </w:p>
    <w:p w14:paraId="524F9D13" w14:textId="691784DB" w:rsidR="00F922E8" w:rsidRPr="0037136C" w:rsidRDefault="00F922E8" w:rsidP="00F922E8">
      <w:pPr>
        <w:pStyle w:val="BodyText"/>
        <w:numPr>
          <w:ilvl w:val="1"/>
          <w:numId w:val="24"/>
        </w:numPr>
        <w:spacing w:line="276" w:lineRule="auto"/>
        <w:ind w:right="660"/>
        <w:jc w:val="both"/>
        <w:rPr>
          <w:sz w:val="24"/>
          <w:szCs w:val="24"/>
        </w:rPr>
      </w:pPr>
      <w:r w:rsidRPr="0037136C">
        <w:rPr>
          <w:sz w:val="24"/>
          <w:szCs w:val="24"/>
        </w:rPr>
        <w:t xml:space="preserve">Evaluation Criteria: </w:t>
      </w:r>
      <w:r w:rsidR="00E80C3F">
        <w:rPr>
          <w:sz w:val="24"/>
          <w:szCs w:val="24"/>
        </w:rPr>
        <w:t>Incomplete Proposals may be disqualified.</w:t>
      </w:r>
    </w:p>
    <w:p w14:paraId="5349D3DE" w14:textId="77777777" w:rsidR="00F922E8" w:rsidRPr="0037136C" w:rsidRDefault="00F922E8" w:rsidP="00F922E8">
      <w:pPr>
        <w:pStyle w:val="BodyText"/>
        <w:numPr>
          <w:ilvl w:val="1"/>
          <w:numId w:val="24"/>
        </w:numPr>
        <w:spacing w:line="276" w:lineRule="auto"/>
        <w:ind w:right="660"/>
        <w:jc w:val="both"/>
        <w:rPr>
          <w:sz w:val="24"/>
          <w:szCs w:val="24"/>
        </w:rPr>
      </w:pPr>
      <w:r w:rsidRPr="0037136C">
        <w:rPr>
          <w:sz w:val="24"/>
          <w:szCs w:val="24"/>
        </w:rPr>
        <w:t>Submission Requirements:</w:t>
      </w:r>
    </w:p>
    <w:p w14:paraId="5BB26529" w14:textId="44B68248" w:rsidR="00326221" w:rsidRPr="00335763" w:rsidRDefault="00326221" w:rsidP="00335763">
      <w:pPr>
        <w:pStyle w:val="BodyText"/>
        <w:numPr>
          <w:ilvl w:val="2"/>
          <w:numId w:val="24"/>
        </w:numPr>
        <w:spacing w:line="276" w:lineRule="auto"/>
        <w:ind w:right="660"/>
        <w:jc w:val="both"/>
        <w:rPr>
          <w:spacing w:val="-1"/>
          <w:sz w:val="24"/>
          <w:szCs w:val="24"/>
        </w:rPr>
      </w:pPr>
      <w:r w:rsidRPr="00335763">
        <w:rPr>
          <w:spacing w:val="-1"/>
          <w:sz w:val="24"/>
          <w:szCs w:val="24"/>
        </w:rPr>
        <w:lastRenderedPageBreak/>
        <w:t xml:space="preserve">Include information about the Respondent, name, and contact information of the person designated to act as the primary contact. </w:t>
      </w:r>
      <w:r w:rsidR="003D44ED" w:rsidRPr="00335763">
        <w:rPr>
          <w:spacing w:val="-1"/>
          <w:sz w:val="24"/>
          <w:szCs w:val="24"/>
        </w:rPr>
        <w:t xml:space="preserve">Identify the Respondent team principals and those authorized to execute and bind the team to an agreement. </w:t>
      </w:r>
      <w:r w:rsidRPr="00335763">
        <w:rPr>
          <w:spacing w:val="-1"/>
          <w:sz w:val="24"/>
          <w:szCs w:val="24"/>
        </w:rPr>
        <w:t xml:space="preserve">Include a statement of acceptance of all the requirements and conditions in this RFP, and that the signer has full authority to bind the Respondent. </w:t>
      </w:r>
    </w:p>
    <w:p w14:paraId="5251D00D" w14:textId="68529E67" w:rsidR="00F922E8" w:rsidRPr="0037136C" w:rsidRDefault="00F922E8" w:rsidP="00F922E8">
      <w:pPr>
        <w:pStyle w:val="BodyText"/>
        <w:numPr>
          <w:ilvl w:val="2"/>
          <w:numId w:val="24"/>
        </w:numPr>
        <w:spacing w:line="276" w:lineRule="auto"/>
        <w:ind w:right="660"/>
        <w:jc w:val="both"/>
        <w:rPr>
          <w:sz w:val="24"/>
          <w:szCs w:val="24"/>
        </w:rPr>
      </w:pPr>
      <w:proofErr w:type="gramStart"/>
      <w:r w:rsidRPr="0037136C">
        <w:rPr>
          <w:spacing w:val="-1"/>
          <w:sz w:val="24"/>
          <w:szCs w:val="24"/>
        </w:rPr>
        <w:t>Provide an introduction to</w:t>
      </w:r>
      <w:proofErr w:type="gramEnd"/>
      <w:r w:rsidRPr="0037136C">
        <w:rPr>
          <w:spacing w:val="-1"/>
          <w:sz w:val="24"/>
          <w:szCs w:val="24"/>
        </w:rPr>
        <w:t xml:space="preserve"> the Respondent Team that clearly </w:t>
      </w:r>
      <w:r w:rsidRPr="0037136C">
        <w:rPr>
          <w:sz w:val="24"/>
          <w:szCs w:val="24"/>
        </w:rPr>
        <w:t>identifies the Team’s form of organization (LLC, partnership, etc.) and business headquarters, all</w:t>
      </w:r>
      <w:r w:rsidRPr="0037136C">
        <w:rPr>
          <w:spacing w:val="1"/>
          <w:sz w:val="24"/>
          <w:szCs w:val="24"/>
        </w:rPr>
        <w:t xml:space="preserve"> </w:t>
      </w:r>
      <w:r w:rsidRPr="0037136C">
        <w:rPr>
          <w:sz w:val="24"/>
          <w:szCs w:val="24"/>
        </w:rPr>
        <w:t>equity partners or participants, and any involvement in the control over the</w:t>
      </w:r>
      <w:r w:rsidRPr="0037136C">
        <w:rPr>
          <w:spacing w:val="1"/>
          <w:sz w:val="24"/>
          <w:szCs w:val="24"/>
        </w:rPr>
        <w:t xml:space="preserve"> </w:t>
      </w:r>
      <w:r w:rsidRPr="0037136C">
        <w:rPr>
          <w:sz w:val="24"/>
          <w:szCs w:val="24"/>
        </w:rPr>
        <w:t>Developer entity by such parties and any non-equity members. The complete</w:t>
      </w:r>
      <w:r w:rsidRPr="0037136C">
        <w:rPr>
          <w:spacing w:val="1"/>
          <w:sz w:val="24"/>
          <w:szCs w:val="24"/>
        </w:rPr>
        <w:t xml:space="preserve"> </w:t>
      </w:r>
      <w:r w:rsidRPr="0037136C">
        <w:rPr>
          <w:sz w:val="24"/>
          <w:szCs w:val="24"/>
        </w:rPr>
        <w:t>Respondent team should be established as an integrated group prior to</w:t>
      </w:r>
      <w:r w:rsidRPr="0037136C">
        <w:rPr>
          <w:spacing w:val="1"/>
          <w:sz w:val="24"/>
          <w:szCs w:val="24"/>
        </w:rPr>
        <w:t xml:space="preserve"> </w:t>
      </w:r>
      <w:r w:rsidRPr="0037136C">
        <w:rPr>
          <w:sz w:val="24"/>
          <w:szCs w:val="24"/>
        </w:rPr>
        <w:t>submitting</w:t>
      </w:r>
      <w:r w:rsidRPr="0037136C">
        <w:rPr>
          <w:spacing w:val="-1"/>
          <w:sz w:val="24"/>
          <w:szCs w:val="24"/>
        </w:rPr>
        <w:t xml:space="preserve"> </w:t>
      </w:r>
      <w:r w:rsidRPr="0037136C">
        <w:rPr>
          <w:sz w:val="24"/>
          <w:szCs w:val="24"/>
        </w:rPr>
        <w:t>the</w:t>
      </w:r>
      <w:r w:rsidRPr="0037136C">
        <w:rPr>
          <w:spacing w:val="-5"/>
          <w:sz w:val="24"/>
          <w:szCs w:val="24"/>
        </w:rPr>
        <w:t xml:space="preserve"> </w:t>
      </w:r>
      <w:r w:rsidR="000F1A4A">
        <w:rPr>
          <w:sz w:val="24"/>
          <w:szCs w:val="24"/>
        </w:rPr>
        <w:t>Proposal</w:t>
      </w:r>
      <w:r w:rsidRPr="0037136C">
        <w:rPr>
          <w:sz w:val="24"/>
          <w:szCs w:val="24"/>
        </w:rPr>
        <w:t>.</w:t>
      </w:r>
    </w:p>
    <w:p w14:paraId="27A76BD9" w14:textId="77777777" w:rsidR="00F922E8" w:rsidRPr="0037136C" w:rsidRDefault="00F922E8" w:rsidP="00F922E8">
      <w:pPr>
        <w:pStyle w:val="BodyText"/>
        <w:numPr>
          <w:ilvl w:val="2"/>
          <w:numId w:val="24"/>
        </w:numPr>
        <w:spacing w:line="276" w:lineRule="auto"/>
        <w:ind w:right="660"/>
        <w:jc w:val="both"/>
        <w:rPr>
          <w:sz w:val="24"/>
          <w:szCs w:val="24"/>
        </w:rPr>
      </w:pPr>
      <w:r w:rsidRPr="0037136C">
        <w:rPr>
          <w:sz w:val="24"/>
          <w:szCs w:val="24"/>
        </w:rPr>
        <w:t>Include an organizational chart displaying reporting relationships and lines of accountability. The State reserves the right to request further documentation.</w:t>
      </w:r>
    </w:p>
    <w:p w14:paraId="5CE1379A" w14:textId="3702EC73" w:rsidR="00F922E8" w:rsidRPr="0037136C" w:rsidRDefault="00F922E8" w:rsidP="00F922E8">
      <w:pPr>
        <w:pStyle w:val="BodyText"/>
        <w:numPr>
          <w:ilvl w:val="2"/>
          <w:numId w:val="24"/>
        </w:numPr>
        <w:spacing w:line="276" w:lineRule="auto"/>
        <w:ind w:right="660"/>
        <w:jc w:val="both"/>
        <w:rPr>
          <w:sz w:val="24"/>
          <w:szCs w:val="24"/>
        </w:rPr>
      </w:pPr>
      <w:r w:rsidRPr="0037136C">
        <w:rPr>
          <w:sz w:val="24"/>
          <w:szCs w:val="24"/>
        </w:rPr>
        <w:t>If there is more than one proposed developer entity/sponsor, identify the nature of the</w:t>
      </w:r>
      <w:r w:rsidRPr="0037136C">
        <w:rPr>
          <w:spacing w:val="1"/>
          <w:sz w:val="24"/>
          <w:szCs w:val="24"/>
        </w:rPr>
        <w:t xml:space="preserve"> </w:t>
      </w:r>
      <w:r w:rsidRPr="0037136C">
        <w:rPr>
          <w:sz w:val="24"/>
          <w:szCs w:val="24"/>
        </w:rPr>
        <w:t>affiliation between the proposed developer entities. Provide clarity on the roles and</w:t>
      </w:r>
      <w:r w:rsidRPr="0037136C">
        <w:rPr>
          <w:spacing w:val="1"/>
          <w:sz w:val="24"/>
          <w:szCs w:val="24"/>
        </w:rPr>
        <w:t xml:space="preserve"> </w:t>
      </w:r>
      <w:r w:rsidRPr="0037136C">
        <w:rPr>
          <w:spacing w:val="-1"/>
          <w:sz w:val="24"/>
          <w:szCs w:val="24"/>
        </w:rPr>
        <w:t xml:space="preserve">responsibilities between the sponsors and summary points on any agreements </w:t>
      </w:r>
      <w:r w:rsidRPr="0037136C">
        <w:rPr>
          <w:sz w:val="24"/>
          <w:szCs w:val="24"/>
        </w:rPr>
        <w:t>between the parties in pursuing</w:t>
      </w:r>
      <w:r w:rsidRPr="0037136C">
        <w:rPr>
          <w:spacing w:val="-1"/>
          <w:sz w:val="24"/>
          <w:szCs w:val="24"/>
        </w:rPr>
        <w:t xml:space="preserve"> </w:t>
      </w:r>
      <w:r w:rsidRPr="0037136C">
        <w:rPr>
          <w:sz w:val="24"/>
          <w:szCs w:val="24"/>
        </w:rPr>
        <w:t>the</w:t>
      </w:r>
      <w:r w:rsidRPr="0037136C">
        <w:rPr>
          <w:spacing w:val="-4"/>
          <w:sz w:val="24"/>
          <w:szCs w:val="24"/>
        </w:rPr>
        <w:t xml:space="preserve"> </w:t>
      </w:r>
      <w:r w:rsidR="000F1A4A">
        <w:rPr>
          <w:sz w:val="24"/>
          <w:szCs w:val="24"/>
        </w:rPr>
        <w:t>Site</w:t>
      </w:r>
      <w:r w:rsidRPr="0037136C">
        <w:rPr>
          <w:sz w:val="24"/>
          <w:szCs w:val="24"/>
        </w:rPr>
        <w:t>.</w:t>
      </w:r>
    </w:p>
    <w:p w14:paraId="471EEBA2" w14:textId="16C56524" w:rsidR="00F922E8" w:rsidRPr="0037136C" w:rsidRDefault="00F922E8" w:rsidP="00F922E8">
      <w:pPr>
        <w:pStyle w:val="BodyText"/>
        <w:numPr>
          <w:ilvl w:val="2"/>
          <w:numId w:val="24"/>
        </w:numPr>
        <w:spacing w:line="276" w:lineRule="auto"/>
        <w:ind w:right="660"/>
        <w:jc w:val="both"/>
        <w:rPr>
          <w:sz w:val="24"/>
          <w:szCs w:val="24"/>
        </w:rPr>
      </w:pPr>
      <w:r w:rsidRPr="0037136C">
        <w:rPr>
          <w:sz w:val="24"/>
          <w:szCs w:val="24"/>
        </w:rPr>
        <w:t>Include</w:t>
      </w:r>
      <w:r w:rsidRPr="0037136C">
        <w:rPr>
          <w:spacing w:val="-3"/>
          <w:sz w:val="24"/>
          <w:szCs w:val="24"/>
        </w:rPr>
        <w:t xml:space="preserve"> </w:t>
      </w:r>
      <w:r w:rsidRPr="0037136C">
        <w:rPr>
          <w:sz w:val="24"/>
          <w:szCs w:val="24"/>
        </w:rPr>
        <w:t>a</w:t>
      </w:r>
      <w:r w:rsidRPr="0037136C">
        <w:rPr>
          <w:spacing w:val="-4"/>
          <w:sz w:val="24"/>
          <w:szCs w:val="24"/>
        </w:rPr>
        <w:t xml:space="preserve"> </w:t>
      </w:r>
      <w:r w:rsidRPr="0037136C">
        <w:rPr>
          <w:sz w:val="24"/>
          <w:szCs w:val="24"/>
        </w:rPr>
        <w:t>brief</w:t>
      </w:r>
      <w:r w:rsidRPr="0037136C">
        <w:rPr>
          <w:spacing w:val="-3"/>
          <w:sz w:val="24"/>
          <w:szCs w:val="24"/>
        </w:rPr>
        <w:t xml:space="preserve"> </w:t>
      </w:r>
      <w:r w:rsidRPr="0037136C">
        <w:rPr>
          <w:sz w:val="24"/>
          <w:szCs w:val="24"/>
        </w:rPr>
        <w:t>biography for each principal member of the Respondent</w:t>
      </w:r>
      <w:r w:rsidRPr="0037136C">
        <w:rPr>
          <w:spacing w:val="-3"/>
          <w:sz w:val="24"/>
          <w:szCs w:val="24"/>
        </w:rPr>
        <w:t xml:space="preserve"> </w:t>
      </w:r>
      <w:r w:rsidRPr="0037136C">
        <w:rPr>
          <w:sz w:val="24"/>
          <w:szCs w:val="24"/>
        </w:rPr>
        <w:t>Team.</w:t>
      </w:r>
    </w:p>
    <w:p w14:paraId="1D521D15" w14:textId="06AFA76E" w:rsidR="000F710A" w:rsidRPr="005B152D" w:rsidRDefault="00F922E8" w:rsidP="005B152D">
      <w:pPr>
        <w:pStyle w:val="BodyText"/>
        <w:numPr>
          <w:ilvl w:val="2"/>
          <w:numId w:val="24"/>
        </w:numPr>
        <w:spacing w:line="276" w:lineRule="auto"/>
        <w:ind w:right="660"/>
        <w:jc w:val="both"/>
        <w:rPr>
          <w:sz w:val="24"/>
          <w:szCs w:val="24"/>
        </w:rPr>
      </w:pPr>
      <w:r w:rsidRPr="0037136C">
        <w:rPr>
          <w:sz w:val="24"/>
          <w:szCs w:val="24"/>
        </w:rPr>
        <w:t xml:space="preserve">Identify the contractors, </w:t>
      </w:r>
      <w:proofErr w:type="gramStart"/>
      <w:r w:rsidR="00163171">
        <w:rPr>
          <w:sz w:val="24"/>
          <w:szCs w:val="24"/>
        </w:rPr>
        <w:t>architects</w:t>
      </w:r>
      <w:proofErr w:type="gramEnd"/>
      <w:r w:rsidR="00163171">
        <w:rPr>
          <w:sz w:val="24"/>
          <w:szCs w:val="24"/>
        </w:rPr>
        <w:t xml:space="preserve"> </w:t>
      </w:r>
      <w:r w:rsidRPr="0037136C">
        <w:rPr>
          <w:sz w:val="24"/>
          <w:szCs w:val="24"/>
        </w:rPr>
        <w:t xml:space="preserve">and development partners </w:t>
      </w:r>
      <w:r w:rsidR="00D04A94">
        <w:rPr>
          <w:sz w:val="24"/>
          <w:szCs w:val="24"/>
        </w:rPr>
        <w:t xml:space="preserve">(i.e., joint-venture partners or co-General Partners) </w:t>
      </w:r>
      <w:r w:rsidRPr="0037136C">
        <w:rPr>
          <w:sz w:val="24"/>
          <w:szCs w:val="24"/>
        </w:rPr>
        <w:t>who are member</w:t>
      </w:r>
      <w:r w:rsidR="00CB7A4F">
        <w:rPr>
          <w:sz w:val="24"/>
          <w:szCs w:val="24"/>
        </w:rPr>
        <w:t>s</w:t>
      </w:r>
      <w:r w:rsidRPr="0037136C">
        <w:rPr>
          <w:sz w:val="24"/>
          <w:szCs w:val="24"/>
        </w:rPr>
        <w:t xml:space="preserve"> of the Respondent Team.</w:t>
      </w:r>
    </w:p>
    <w:p w14:paraId="78606F88" w14:textId="77777777" w:rsidR="00F922E8" w:rsidRPr="0037136C" w:rsidRDefault="00F922E8" w:rsidP="00F922E8">
      <w:pPr>
        <w:pStyle w:val="BodyText"/>
        <w:spacing w:line="276" w:lineRule="auto"/>
        <w:ind w:left="1080" w:right="660"/>
        <w:jc w:val="both"/>
        <w:rPr>
          <w:sz w:val="24"/>
          <w:szCs w:val="24"/>
        </w:rPr>
      </w:pPr>
    </w:p>
    <w:p w14:paraId="26A3B73C" w14:textId="77777777" w:rsidR="00F922E8" w:rsidRPr="0037136C" w:rsidRDefault="00F922E8" w:rsidP="00F922E8">
      <w:pPr>
        <w:pStyle w:val="BodyText"/>
        <w:numPr>
          <w:ilvl w:val="0"/>
          <w:numId w:val="24"/>
        </w:numPr>
        <w:spacing w:line="276" w:lineRule="auto"/>
        <w:ind w:right="660"/>
        <w:jc w:val="both"/>
        <w:rPr>
          <w:sz w:val="24"/>
          <w:szCs w:val="24"/>
        </w:rPr>
      </w:pPr>
      <w:r w:rsidRPr="0037136C">
        <w:rPr>
          <w:sz w:val="24"/>
          <w:szCs w:val="24"/>
        </w:rPr>
        <w:t>Demonstration of Experience</w:t>
      </w:r>
    </w:p>
    <w:p w14:paraId="71B931F7" w14:textId="4B99CBF4" w:rsidR="00F922E8" w:rsidRPr="0037136C" w:rsidRDefault="00F922E8" w:rsidP="00F922E8">
      <w:pPr>
        <w:pStyle w:val="BodyText"/>
        <w:numPr>
          <w:ilvl w:val="1"/>
          <w:numId w:val="24"/>
        </w:numPr>
        <w:spacing w:line="276" w:lineRule="auto"/>
        <w:ind w:right="660"/>
        <w:jc w:val="both"/>
        <w:rPr>
          <w:sz w:val="24"/>
          <w:szCs w:val="24"/>
        </w:rPr>
      </w:pPr>
      <w:r w:rsidRPr="0037136C">
        <w:rPr>
          <w:sz w:val="24"/>
          <w:szCs w:val="24"/>
        </w:rPr>
        <w:t>Evaluation Criteria: The overall track record of the Respondent Team (including the development company</w:t>
      </w:r>
      <w:r w:rsidR="00CB7A4F">
        <w:rPr>
          <w:sz w:val="24"/>
          <w:szCs w:val="24"/>
        </w:rPr>
        <w:t>/</w:t>
      </w:r>
      <w:proofErr w:type="spellStart"/>
      <w:r w:rsidRPr="0037136C">
        <w:rPr>
          <w:sz w:val="24"/>
          <w:szCs w:val="24"/>
        </w:rPr>
        <w:t>ies</w:t>
      </w:r>
      <w:proofErr w:type="spellEnd"/>
      <w:r w:rsidRPr="0037136C">
        <w:rPr>
          <w:sz w:val="24"/>
          <w:szCs w:val="24"/>
        </w:rPr>
        <w:t>, its proposed project lead and any</w:t>
      </w:r>
      <w:r w:rsidRPr="0037136C">
        <w:rPr>
          <w:spacing w:val="1"/>
          <w:sz w:val="24"/>
          <w:szCs w:val="24"/>
        </w:rPr>
        <w:t xml:space="preserve"> </w:t>
      </w:r>
      <w:r w:rsidRPr="0037136C">
        <w:rPr>
          <w:spacing w:val="-1"/>
          <w:sz w:val="24"/>
          <w:szCs w:val="24"/>
        </w:rPr>
        <w:t xml:space="preserve">proposed </w:t>
      </w:r>
      <w:r w:rsidR="00C50F2C">
        <w:rPr>
          <w:spacing w:val="-1"/>
          <w:sz w:val="24"/>
          <w:szCs w:val="24"/>
        </w:rPr>
        <w:t xml:space="preserve">general </w:t>
      </w:r>
      <w:r w:rsidRPr="0037136C">
        <w:rPr>
          <w:spacing w:val="-1"/>
          <w:sz w:val="24"/>
          <w:szCs w:val="24"/>
        </w:rPr>
        <w:t>contractors</w:t>
      </w:r>
      <w:r w:rsidRPr="0037136C">
        <w:rPr>
          <w:sz w:val="24"/>
          <w:szCs w:val="24"/>
        </w:rPr>
        <w:t xml:space="preserve"> and </w:t>
      </w:r>
      <w:r w:rsidR="003931B3">
        <w:rPr>
          <w:sz w:val="24"/>
          <w:szCs w:val="24"/>
        </w:rPr>
        <w:t>architects</w:t>
      </w:r>
      <w:r w:rsidRPr="0037136C">
        <w:rPr>
          <w:spacing w:val="-1"/>
          <w:sz w:val="24"/>
          <w:szCs w:val="24"/>
        </w:rPr>
        <w:t xml:space="preserve">) </w:t>
      </w:r>
      <w:r w:rsidRPr="0037136C">
        <w:rPr>
          <w:sz w:val="24"/>
          <w:szCs w:val="24"/>
        </w:rPr>
        <w:t xml:space="preserve">in planning, financing, developing, managing, and maintaining applicable development projects, including experience developing affordable housing </w:t>
      </w:r>
      <w:r w:rsidR="00BE4F55">
        <w:rPr>
          <w:sz w:val="24"/>
          <w:szCs w:val="24"/>
        </w:rPr>
        <w:t xml:space="preserve">and/or market-rate housing </w:t>
      </w:r>
      <w:r w:rsidRPr="0037136C">
        <w:rPr>
          <w:sz w:val="24"/>
          <w:szCs w:val="24"/>
        </w:rPr>
        <w:t>in California as applicable to the proposed development program.</w:t>
      </w:r>
    </w:p>
    <w:p w14:paraId="68BEC145" w14:textId="77777777" w:rsidR="00F922E8" w:rsidRPr="0037136C" w:rsidRDefault="00F922E8" w:rsidP="00F922E8">
      <w:pPr>
        <w:pStyle w:val="BodyText"/>
        <w:numPr>
          <w:ilvl w:val="1"/>
          <w:numId w:val="24"/>
        </w:numPr>
        <w:spacing w:line="276" w:lineRule="auto"/>
        <w:ind w:right="660"/>
        <w:jc w:val="both"/>
        <w:rPr>
          <w:sz w:val="24"/>
          <w:szCs w:val="24"/>
        </w:rPr>
      </w:pPr>
      <w:r w:rsidRPr="0037136C">
        <w:rPr>
          <w:sz w:val="24"/>
          <w:szCs w:val="24"/>
        </w:rPr>
        <w:t xml:space="preserve">Submission Requirements: </w:t>
      </w:r>
    </w:p>
    <w:p w14:paraId="086461B3" w14:textId="6FC9239C" w:rsidR="0096182D" w:rsidRDefault="0096182D" w:rsidP="00F922E8">
      <w:pPr>
        <w:pStyle w:val="BodyText"/>
        <w:numPr>
          <w:ilvl w:val="2"/>
          <w:numId w:val="24"/>
        </w:numPr>
        <w:spacing w:line="276" w:lineRule="auto"/>
        <w:ind w:right="660"/>
        <w:jc w:val="both"/>
        <w:rPr>
          <w:sz w:val="24"/>
          <w:szCs w:val="24"/>
        </w:rPr>
      </w:pPr>
      <w:r>
        <w:rPr>
          <w:sz w:val="24"/>
          <w:szCs w:val="24"/>
        </w:rPr>
        <w:t xml:space="preserve">Provide </w:t>
      </w:r>
      <w:r w:rsidR="00F6297D">
        <w:rPr>
          <w:sz w:val="24"/>
          <w:szCs w:val="24"/>
        </w:rPr>
        <w:t>any new or changed information not included in your SOQ.</w:t>
      </w:r>
    </w:p>
    <w:p w14:paraId="79C1581E" w14:textId="10C92066" w:rsidR="00F922E8" w:rsidRDefault="00F922E8" w:rsidP="00F922E8">
      <w:pPr>
        <w:pStyle w:val="BodyText"/>
        <w:numPr>
          <w:ilvl w:val="2"/>
          <w:numId w:val="24"/>
        </w:numPr>
        <w:spacing w:line="276" w:lineRule="auto"/>
        <w:ind w:right="660"/>
        <w:jc w:val="both"/>
        <w:rPr>
          <w:sz w:val="24"/>
          <w:szCs w:val="24"/>
        </w:rPr>
      </w:pPr>
      <w:r w:rsidRPr="0037136C">
        <w:rPr>
          <w:sz w:val="24"/>
          <w:szCs w:val="24"/>
        </w:rPr>
        <w:t xml:space="preserve">Include information demonstrating the experience of the contractors, </w:t>
      </w:r>
      <w:proofErr w:type="gramStart"/>
      <w:r w:rsidRPr="0037136C">
        <w:rPr>
          <w:sz w:val="24"/>
          <w:szCs w:val="24"/>
        </w:rPr>
        <w:t>consultants</w:t>
      </w:r>
      <w:proofErr w:type="gramEnd"/>
      <w:r w:rsidRPr="0037136C">
        <w:rPr>
          <w:sz w:val="24"/>
          <w:szCs w:val="24"/>
        </w:rPr>
        <w:t xml:space="preserve"> and development partners your </w:t>
      </w:r>
      <w:r w:rsidR="00163CFB">
        <w:rPr>
          <w:sz w:val="24"/>
          <w:szCs w:val="24"/>
        </w:rPr>
        <w:t xml:space="preserve">Proposal </w:t>
      </w:r>
      <w:r w:rsidRPr="0037136C">
        <w:rPr>
          <w:sz w:val="24"/>
          <w:szCs w:val="24"/>
        </w:rPr>
        <w:t>identifies in response to item (1)(b)(v</w:t>
      </w:r>
      <w:r w:rsidR="00163CFB">
        <w:rPr>
          <w:sz w:val="24"/>
          <w:szCs w:val="24"/>
        </w:rPr>
        <w:t>i</w:t>
      </w:r>
      <w:r w:rsidRPr="0037136C">
        <w:rPr>
          <w:sz w:val="24"/>
          <w:szCs w:val="24"/>
        </w:rPr>
        <w:t>), above</w:t>
      </w:r>
      <w:r w:rsidR="00D017D2">
        <w:rPr>
          <w:sz w:val="24"/>
          <w:szCs w:val="24"/>
        </w:rPr>
        <w:t xml:space="preserve"> (if not already included in SOQ)</w:t>
      </w:r>
      <w:r w:rsidRPr="0037136C">
        <w:rPr>
          <w:sz w:val="24"/>
          <w:szCs w:val="24"/>
        </w:rPr>
        <w:t xml:space="preserve">. </w:t>
      </w:r>
    </w:p>
    <w:p w14:paraId="533356EF" w14:textId="0FF3915B" w:rsidR="000C0D17" w:rsidRDefault="000C0D17" w:rsidP="00F922E8">
      <w:pPr>
        <w:pStyle w:val="BodyText"/>
        <w:numPr>
          <w:ilvl w:val="2"/>
          <w:numId w:val="24"/>
        </w:numPr>
        <w:spacing w:line="276" w:lineRule="auto"/>
        <w:ind w:right="660"/>
        <w:jc w:val="both"/>
        <w:rPr>
          <w:sz w:val="24"/>
          <w:szCs w:val="24"/>
        </w:rPr>
      </w:pPr>
      <w:r>
        <w:rPr>
          <w:sz w:val="24"/>
          <w:szCs w:val="24"/>
        </w:rPr>
        <w:t>If supportive services are to be provided to residents</w:t>
      </w:r>
      <w:r w:rsidR="0085656D">
        <w:rPr>
          <w:sz w:val="24"/>
          <w:szCs w:val="24"/>
        </w:rPr>
        <w:t xml:space="preserve">, provide information which clearly establishes the experience of the supportive services </w:t>
      </w:r>
      <w:r w:rsidR="0085656D">
        <w:rPr>
          <w:sz w:val="24"/>
          <w:szCs w:val="24"/>
        </w:rPr>
        <w:lastRenderedPageBreak/>
        <w:t xml:space="preserve">provider with the specific population </w:t>
      </w:r>
      <w:r w:rsidR="006B7B5F">
        <w:rPr>
          <w:sz w:val="24"/>
          <w:szCs w:val="24"/>
        </w:rPr>
        <w:t>envisioned in the Proposal.</w:t>
      </w:r>
    </w:p>
    <w:p w14:paraId="0E1BFD78" w14:textId="6D750870" w:rsidR="00F328F2" w:rsidRPr="0037136C" w:rsidRDefault="00F328F2" w:rsidP="00F922E8">
      <w:pPr>
        <w:pStyle w:val="BodyText"/>
        <w:numPr>
          <w:ilvl w:val="2"/>
          <w:numId w:val="24"/>
        </w:numPr>
        <w:spacing w:line="276" w:lineRule="auto"/>
        <w:ind w:right="660"/>
        <w:jc w:val="both"/>
        <w:rPr>
          <w:sz w:val="24"/>
          <w:szCs w:val="24"/>
        </w:rPr>
      </w:pPr>
      <w:r>
        <w:rPr>
          <w:sz w:val="24"/>
          <w:szCs w:val="24"/>
        </w:rPr>
        <w:t>Provide a statement that all material changes to the</w:t>
      </w:r>
      <w:r w:rsidR="00B168BE">
        <w:rPr>
          <w:sz w:val="24"/>
          <w:szCs w:val="24"/>
        </w:rPr>
        <w:t xml:space="preserve"> submission requirements of the RFQ have been included in this</w:t>
      </w:r>
      <w:r w:rsidR="001408DB">
        <w:rPr>
          <w:sz w:val="24"/>
          <w:szCs w:val="24"/>
        </w:rPr>
        <w:t xml:space="preserve"> Proposal.</w:t>
      </w:r>
      <w:r w:rsidR="00B168BE">
        <w:rPr>
          <w:sz w:val="24"/>
          <w:szCs w:val="24"/>
        </w:rPr>
        <w:t xml:space="preserve"> </w:t>
      </w:r>
    </w:p>
    <w:p w14:paraId="7739A935" w14:textId="77777777" w:rsidR="00F922E8" w:rsidRPr="006351EB" w:rsidRDefault="00F922E8" w:rsidP="00F922E8">
      <w:pPr>
        <w:pStyle w:val="BodyText"/>
        <w:spacing w:line="276" w:lineRule="auto"/>
        <w:ind w:left="1080" w:right="660"/>
        <w:jc w:val="both"/>
        <w:rPr>
          <w:sz w:val="24"/>
          <w:szCs w:val="24"/>
        </w:rPr>
      </w:pPr>
    </w:p>
    <w:p w14:paraId="4B9356A1" w14:textId="77777777" w:rsidR="00C85A21" w:rsidRPr="006351EB" w:rsidRDefault="00C85A21" w:rsidP="00C85A21">
      <w:pPr>
        <w:pStyle w:val="BodyText"/>
        <w:numPr>
          <w:ilvl w:val="0"/>
          <w:numId w:val="24"/>
        </w:numPr>
        <w:spacing w:line="276" w:lineRule="auto"/>
        <w:ind w:right="660"/>
        <w:jc w:val="both"/>
        <w:rPr>
          <w:sz w:val="24"/>
          <w:szCs w:val="24"/>
        </w:rPr>
      </w:pPr>
      <w:r w:rsidRPr="006351EB">
        <w:rPr>
          <w:sz w:val="24"/>
          <w:szCs w:val="24"/>
        </w:rPr>
        <w:t>Equity and Community Outreach</w:t>
      </w:r>
    </w:p>
    <w:p w14:paraId="6E6F497C" w14:textId="257FBE63" w:rsidR="00C85A21" w:rsidRPr="006351EB" w:rsidRDefault="00C85A21" w:rsidP="00C85A21">
      <w:pPr>
        <w:pStyle w:val="BodyText"/>
        <w:numPr>
          <w:ilvl w:val="1"/>
          <w:numId w:val="24"/>
        </w:numPr>
        <w:spacing w:line="276" w:lineRule="auto"/>
        <w:ind w:right="660"/>
        <w:jc w:val="both"/>
        <w:rPr>
          <w:sz w:val="24"/>
          <w:szCs w:val="24"/>
        </w:rPr>
      </w:pPr>
      <w:r w:rsidRPr="006351EB">
        <w:rPr>
          <w:sz w:val="24"/>
          <w:szCs w:val="24"/>
        </w:rPr>
        <w:t xml:space="preserve">Evaluation Criteria: Respondent Team’s detailed approach to achieve the Principles and Objectives listed below, given their criticality to the overall success of the </w:t>
      </w:r>
      <w:r w:rsidR="002108ED" w:rsidRPr="006351EB">
        <w:rPr>
          <w:sz w:val="24"/>
          <w:szCs w:val="24"/>
        </w:rPr>
        <w:t>Site</w:t>
      </w:r>
      <w:r w:rsidRPr="006351EB">
        <w:rPr>
          <w:sz w:val="24"/>
          <w:szCs w:val="24"/>
        </w:rPr>
        <w:t>.</w:t>
      </w:r>
    </w:p>
    <w:p w14:paraId="3E630293" w14:textId="77777777" w:rsidR="00C85A21" w:rsidRPr="006351EB" w:rsidRDefault="00C85A21" w:rsidP="00C85A21">
      <w:pPr>
        <w:pStyle w:val="BodyText"/>
        <w:numPr>
          <w:ilvl w:val="1"/>
          <w:numId w:val="24"/>
        </w:numPr>
        <w:spacing w:line="276" w:lineRule="auto"/>
        <w:ind w:right="660"/>
        <w:jc w:val="both"/>
        <w:rPr>
          <w:sz w:val="24"/>
          <w:szCs w:val="24"/>
        </w:rPr>
      </w:pPr>
      <w:r w:rsidRPr="006351EB">
        <w:rPr>
          <w:sz w:val="24"/>
          <w:szCs w:val="24"/>
        </w:rPr>
        <w:t>Submission Requirements:</w:t>
      </w:r>
    </w:p>
    <w:p w14:paraId="776683DC" w14:textId="268E999C" w:rsidR="00C85A21" w:rsidRPr="006351EB" w:rsidRDefault="00C85A21" w:rsidP="00C85A21">
      <w:pPr>
        <w:pStyle w:val="BodyText"/>
        <w:numPr>
          <w:ilvl w:val="2"/>
          <w:numId w:val="24"/>
        </w:numPr>
        <w:spacing w:line="276" w:lineRule="auto"/>
        <w:ind w:right="660"/>
        <w:jc w:val="both"/>
        <w:rPr>
          <w:sz w:val="24"/>
          <w:szCs w:val="24"/>
        </w:rPr>
      </w:pPr>
      <w:r w:rsidRPr="006351EB">
        <w:rPr>
          <w:sz w:val="24"/>
          <w:szCs w:val="24"/>
        </w:rPr>
        <w:t>Provide a</w:t>
      </w:r>
      <w:r w:rsidR="002108ED" w:rsidRPr="006351EB">
        <w:rPr>
          <w:sz w:val="24"/>
          <w:szCs w:val="24"/>
        </w:rPr>
        <w:t xml:space="preserve"> high-level</w:t>
      </w:r>
      <w:r w:rsidRPr="006351EB">
        <w:rPr>
          <w:sz w:val="24"/>
          <w:szCs w:val="24"/>
        </w:rPr>
        <w:t xml:space="preserve"> plan to achieve the Principle and Objective of Community Outreach, Partnership and Collaboration. Address the means and methods by which the public will participate in the development process and the process by which you will incorporate that feedback into the design and execution of the project. Describe the sequence of community feedback with other components of the predevelopment process. Explain how the proposed approach will address the needs and concerns of the community and stakeholders including the </w:t>
      </w:r>
      <w:proofErr w:type="gramStart"/>
      <w:r w:rsidR="002108ED" w:rsidRPr="006351EB">
        <w:rPr>
          <w:bCs/>
          <w:iCs/>
          <w:spacing w:val="-1"/>
          <w:sz w:val="24"/>
          <w:szCs w:val="24"/>
        </w:rPr>
        <w:t>City</w:t>
      </w:r>
      <w:proofErr w:type="gramEnd"/>
      <w:r w:rsidRPr="006351EB">
        <w:rPr>
          <w:sz w:val="24"/>
          <w:szCs w:val="24"/>
        </w:rPr>
        <w:t xml:space="preserve">. Describe how the </w:t>
      </w:r>
      <w:proofErr w:type="gramStart"/>
      <w:r w:rsidRPr="006351EB">
        <w:rPr>
          <w:sz w:val="24"/>
          <w:szCs w:val="24"/>
        </w:rPr>
        <w:t>general public</w:t>
      </w:r>
      <w:proofErr w:type="gramEnd"/>
      <w:r w:rsidRPr="006351EB">
        <w:rPr>
          <w:sz w:val="24"/>
          <w:szCs w:val="24"/>
        </w:rPr>
        <w:t xml:space="preserve"> will be informed of development progress and how public comments will be collected and addressed during all phases of development.</w:t>
      </w:r>
    </w:p>
    <w:p w14:paraId="32DD938C" w14:textId="77777777" w:rsidR="00C85A21" w:rsidRPr="006351EB" w:rsidRDefault="00C85A21" w:rsidP="00C85A21">
      <w:pPr>
        <w:pStyle w:val="BodyText"/>
        <w:numPr>
          <w:ilvl w:val="2"/>
          <w:numId w:val="24"/>
        </w:numPr>
        <w:spacing w:line="276" w:lineRule="auto"/>
        <w:ind w:right="660"/>
        <w:jc w:val="both"/>
        <w:rPr>
          <w:sz w:val="24"/>
          <w:szCs w:val="24"/>
        </w:rPr>
      </w:pPr>
      <w:r w:rsidRPr="006351EB">
        <w:rPr>
          <w:sz w:val="24"/>
          <w:szCs w:val="24"/>
        </w:rPr>
        <w:t>Provide a detailed plan to achieve the Principle and Objective of Equity. Detail the near- and long-term strategies you will implement to achieve measurable outcomes fostering inclusive communities and achieving racial equity, providing fair housing choice, and creating opportunities for all Californians.</w:t>
      </w:r>
    </w:p>
    <w:p w14:paraId="1B92D386" w14:textId="77777777" w:rsidR="00F922E8" w:rsidRPr="0037136C" w:rsidRDefault="00F922E8" w:rsidP="009F0A56">
      <w:pPr>
        <w:pStyle w:val="BodyText"/>
        <w:spacing w:line="276" w:lineRule="auto"/>
        <w:ind w:right="660"/>
        <w:jc w:val="both"/>
        <w:rPr>
          <w:sz w:val="24"/>
          <w:szCs w:val="24"/>
        </w:rPr>
      </w:pPr>
    </w:p>
    <w:p w14:paraId="6AC97AEB" w14:textId="77777777" w:rsidR="00F922E8" w:rsidRPr="0037136C" w:rsidRDefault="00F922E8" w:rsidP="00F922E8">
      <w:pPr>
        <w:pStyle w:val="BodyText"/>
        <w:numPr>
          <w:ilvl w:val="0"/>
          <w:numId w:val="24"/>
        </w:numPr>
        <w:spacing w:line="276" w:lineRule="auto"/>
        <w:ind w:right="660"/>
        <w:jc w:val="both"/>
        <w:rPr>
          <w:sz w:val="24"/>
          <w:szCs w:val="24"/>
        </w:rPr>
      </w:pPr>
      <w:r w:rsidRPr="0037136C">
        <w:rPr>
          <w:sz w:val="24"/>
          <w:szCs w:val="24"/>
        </w:rPr>
        <w:t>Demonstration of Financial Capacity</w:t>
      </w:r>
    </w:p>
    <w:p w14:paraId="4E7D6EE6" w14:textId="1C819981" w:rsidR="00F922E8" w:rsidRPr="0037136C" w:rsidRDefault="00F922E8" w:rsidP="00F922E8">
      <w:pPr>
        <w:pStyle w:val="BodyText"/>
        <w:numPr>
          <w:ilvl w:val="1"/>
          <w:numId w:val="24"/>
        </w:numPr>
        <w:spacing w:line="276" w:lineRule="auto"/>
        <w:ind w:right="660"/>
        <w:jc w:val="both"/>
        <w:rPr>
          <w:sz w:val="24"/>
          <w:szCs w:val="24"/>
        </w:rPr>
      </w:pPr>
      <w:r w:rsidRPr="0037136C">
        <w:rPr>
          <w:sz w:val="24"/>
          <w:szCs w:val="24"/>
        </w:rPr>
        <w:t xml:space="preserve">Evaluation Criteria: The financial capacity of Respondent Team to complete and manage the </w:t>
      </w:r>
      <w:r w:rsidR="00C30AC0">
        <w:rPr>
          <w:sz w:val="24"/>
          <w:szCs w:val="24"/>
        </w:rPr>
        <w:t>Site</w:t>
      </w:r>
      <w:r w:rsidRPr="0037136C">
        <w:rPr>
          <w:sz w:val="24"/>
          <w:szCs w:val="24"/>
        </w:rPr>
        <w:t>, including demonstrated abilities in financial innovation, adaptability, and command of emerging opportunities.</w:t>
      </w:r>
    </w:p>
    <w:p w14:paraId="3D144C31" w14:textId="77777777" w:rsidR="00F922E8" w:rsidRPr="0037136C" w:rsidRDefault="00F922E8" w:rsidP="00F922E8">
      <w:pPr>
        <w:pStyle w:val="BodyText"/>
        <w:numPr>
          <w:ilvl w:val="1"/>
          <w:numId w:val="24"/>
        </w:numPr>
        <w:spacing w:line="276" w:lineRule="auto"/>
        <w:ind w:right="660"/>
        <w:jc w:val="both"/>
        <w:rPr>
          <w:sz w:val="24"/>
          <w:szCs w:val="24"/>
        </w:rPr>
      </w:pPr>
      <w:r w:rsidRPr="0037136C">
        <w:rPr>
          <w:sz w:val="24"/>
          <w:szCs w:val="24"/>
        </w:rPr>
        <w:t xml:space="preserve">Submission Requirements: </w:t>
      </w:r>
    </w:p>
    <w:p w14:paraId="4EBBB716" w14:textId="77777777" w:rsidR="00F922E8" w:rsidRPr="0037136C" w:rsidRDefault="00F922E8" w:rsidP="00F922E8">
      <w:pPr>
        <w:pStyle w:val="BodyText"/>
        <w:numPr>
          <w:ilvl w:val="2"/>
          <w:numId w:val="24"/>
        </w:numPr>
        <w:spacing w:line="276" w:lineRule="auto"/>
        <w:ind w:right="660"/>
        <w:jc w:val="both"/>
        <w:rPr>
          <w:sz w:val="24"/>
          <w:szCs w:val="24"/>
        </w:rPr>
      </w:pPr>
      <w:r w:rsidRPr="0037136C">
        <w:rPr>
          <w:spacing w:val="-1"/>
          <w:sz w:val="24"/>
          <w:szCs w:val="24"/>
        </w:rPr>
        <w:t xml:space="preserve">Provide a statement describing the Respondent’s experience </w:t>
      </w:r>
      <w:r w:rsidRPr="0037136C">
        <w:rPr>
          <w:sz w:val="24"/>
          <w:szCs w:val="24"/>
        </w:rPr>
        <w:t>and track record in securing funding for affordable</w:t>
      </w:r>
      <w:r w:rsidRPr="0037136C">
        <w:rPr>
          <w:spacing w:val="-4"/>
          <w:sz w:val="24"/>
          <w:szCs w:val="24"/>
        </w:rPr>
        <w:t xml:space="preserve"> </w:t>
      </w:r>
      <w:r w:rsidRPr="0037136C">
        <w:rPr>
          <w:sz w:val="24"/>
          <w:szCs w:val="24"/>
        </w:rPr>
        <w:t>projects.</w:t>
      </w:r>
    </w:p>
    <w:p w14:paraId="65F212C5" w14:textId="1C06F2D4" w:rsidR="00F922E8" w:rsidRPr="00FE4E33" w:rsidRDefault="00F922E8" w:rsidP="00FE4E33">
      <w:pPr>
        <w:pStyle w:val="BodyText"/>
        <w:numPr>
          <w:ilvl w:val="2"/>
          <w:numId w:val="24"/>
        </w:numPr>
        <w:spacing w:line="276" w:lineRule="auto"/>
        <w:ind w:right="660"/>
        <w:jc w:val="both"/>
        <w:rPr>
          <w:sz w:val="24"/>
          <w:szCs w:val="24"/>
        </w:rPr>
      </w:pPr>
      <w:r w:rsidRPr="0037136C">
        <w:rPr>
          <w:sz w:val="24"/>
          <w:szCs w:val="24"/>
        </w:rPr>
        <w:t>Include most recent audited financial statements in an exhibit (one year)</w:t>
      </w:r>
      <w:r w:rsidR="00FE4E33">
        <w:rPr>
          <w:sz w:val="24"/>
          <w:szCs w:val="24"/>
        </w:rPr>
        <w:t xml:space="preserve"> for each developer (or joint-venture or co-General Partner, as applicable) of the Respondent Team</w:t>
      </w:r>
      <w:r w:rsidRPr="0037136C">
        <w:rPr>
          <w:sz w:val="24"/>
          <w:szCs w:val="24"/>
        </w:rPr>
        <w:t>.</w:t>
      </w:r>
    </w:p>
    <w:p w14:paraId="7F6D0463" w14:textId="77777777" w:rsidR="00FE4E33" w:rsidRPr="0037136C" w:rsidRDefault="00FE4E33" w:rsidP="00FE4E33">
      <w:pPr>
        <w:pStyle w:val="BodyText"/>
        <w:spacing w:line="276" w:lineRule="auto"/>
        <w:ind w:left="1080" w:right="660"/>
        <w:jc w:val="both"/>
        <w:rPr>
          <w:sz w:val="24"/>
          <w:szCs w:val="24"/>
        </w:rPr>
      </w:pPr>
    </w:p>
    <w:p w14:paraId="12C6F386" w14:textId="77777777" w:rsidR="00F922E8" w:rsidRPr="0037136C" w:rsidRDefault="00F922E8" w:rsidP="00F922E8">
      <w:pPr>
        <w:pStyle w:val="BodyText"/>
        <w:numPr>
          <w:ilvl w:val="0"/>
          <w:numId w:val="24"/>
        </w:numPr>
        <w:spacing w:line="276" w:lineRule="auto"/>
        <w:ind w:right="660"/>
        <w:jc w:val="both"/>
        <w:rPr>
          <w:sz w:val="24"/>
          <w:szCs w:val="24"/>
        </w:rPr>
      </w:pPr>
      <w:r w:rsidRPr="0037136C">
        <w:rPr>
          <w:sz w:val="24"/>
          <w:szCs w:val="24"/>
        </w:rPr>
        <w:t>Development Concept</w:t>
      </w:r>
    </w:p>
    <w:p w14:paraId="75791AFE" w14:textId="72B393EC" w:rsidR="00F922E8" w:rsidRPr="0037136C" w:rsidRDefault="00F922E8" w:rsidP="00F922E8">
      <w:pPr>
        <w:pStyle w:val="BodyText"/>
        <w:numPr>
          <w:ilvl w:val="1"/>
          <w:numId w:val="24"/>
        </w:numPr>
        <w:spacing w:line="276" w:lineRule="auto"/>
        <w:ind w:right="660"/>
        <w:jc w:val="both"/>
        <w:rPr>
          <w:sz w:val="24"/>
          <w:szCs w:val="24"/>
        </w:rPr>
      </w:pPr>
      <w:r w:rsidRPr="0037136C">
        <w:rPr>
          <w:sz w:val="24"/>
          <w:szCs w:val="24"/>
        </w:rPr>
        <w:t xml:space="preserve">Evaluation Criteria: The development program and the ability of that program to meet the applicable Principles and Objectives as described in </w:t>
      </w:r>
      <w:r w:rsidRPr="0037136C">
        <w:rPr>
          <w:sz w:val="24"/>
          <w:szCs w:val="24"/>
        </w:rPr>
        <w:lastRenderedPageBreak/>
        <w:t>this RF</w:t>
      </w:r>
      <w:r w:rsidR="00B310E7">
        <w:rPr>
          <w:sz w:val="24"/>
          <w:szCs w:val="24"/>
        </w:rPr>
        <w:t>P</w:t>
      </w:r>
      <w:r w:rsidRPr="0037136C">
        <w:rPr>
          <w:sz w:val="24"/>
          <w:szCs w:val="24"/>
        </w:rPr>
        <w:t>.</w:t>
      </w:r>
    </w:p>
    <w:p w14:paraId="420D6EC5" w14:textId="77777777" w:rsidR="00F922E8" w:rsidRPr="0037136C" w:rsidRDefault="00F922E8" w:rsidP="00F922E8">
      <w:pPr>
        <w:pStyle w:val="BodyText"/>
        <w:numPr>
          <w:ilvl w:val="1"/>
          <w:numId w:val="24"/>
        </w:numPr>
        <w:spacing w:line="276" w:lineRule="auto"/>
        <w:ind w:right="660"/>
        <w:jc w:val="both"/>
        <w:rPr>
          <w:sz w:val="24"/>
          <w:szCs w:val="24"/>
        </w:rPr>
      </w:pPr>
      <w:r w:rsidRPr="0037136C">
        <w:rPr>
          <w:sz w:val="24"/>
          <w:szCs w:val="24"/>
        </w:rPr>
        <w:t xml:space="preserve">Submission Requirements: </w:t>
      </w:r>
    </w:p>
    <w:p w14:paraId="185F5602" w14:textId="0BD4CFA6" w:rsidR="00F922E8" w:rsidRPr="0037136C" w:rsidRDefault="00F922E8" w:rsidP="00F922E8">
      <w:pPr>
        <w:pStyle w:val="BodyText"/>
        <w:numPr>
          <w:ilvl w:val="2"/>
          <w:numId w:val="24"/>
        </w:numPr>
        <w:spacing w:line="276" w:lineRule="auto"/>
        <w:ind w:right="660"/>
        <w:jc w:val="both"/>
        <w:rPr>
          <w:sz w:val="24"/>
          <w:szCs w:val="24"/>
        </w:rPr>
      </w:pPr>
      <w:r w:rsidRPr="0037136C">
        <w:rPr>
          <w:sz w:val="24"/>
          <w:szCs w:val="24"/>
        </w:rPr>
        <w:t xml:space="preserve">Describe the development program detailing </w:t>
      </w:r>
      <w:r w:rsidR="00D17962" w:rsidRPr="0037136C">
        <w:rPr>
          <w:sz w:val="24"/>
          <w:szCs w:val="24"/>
        </w:rPr>
        <w:t xml:space="preserve">the </w:t>
      </w:r>
      <w:r w:rsidRPr="0037136C">
        <w:rPr>
          <w:sz w:val="24"/>
          <w:szCs w:val="24"/>
        </w:rPr>
        <w:t xml:space="preserve">uses you envision for the </w:t>
      </w:r>
      <w:r w:rsidR="00C30AC0">
        <w:rPr>
          <w:sz w:val="24"/>
          <w:szCs w:val="24"/>
        </w:rPr>
        <w:t>Site</w:t>
      </w:r>
      <w:r w:rsidRPr="0037136C">
        <w:rPr>
          <w:sz w:val="24"/>
          <w:szCs w:val="24"/>
        </w:rPr>
        <w:t>. Provide information, preferably in table format, which clearly quantifie</w:t>
      </w:r>
      <w:r w:rsidR="00444DCD">
        <w:rPr>
          <w:sz w:val="24"/>
          <w:szCs w:val="24"/>
        </w:rPr>
        <w:t>s</w:t>
      </w:r>
      <w:r w:rsidRPr="0037136C">
        <w:rPr>
          <w:sz w:val="24"/>
          <w:szCs w:val="24"/>
        </w:rPr>
        <w:t xml:space="preserve"> relevant metric</w:t>
      </w:r>
      <w:r w:rsidR="00444DCD">
        <w:rPr>
          <w:sz w:val="24"/>
          <w:szCs w:val="24"/>
        </w:rPr>
        <w:t>s</w:t>
      </w:r>
      <w:r w:rsidRPr="0037136C">
        <w:rPr>
          <w:sz w:val="24"/>
          <w:szCs w:val="24"/>
        </w:rPr>
        <w:t xml:space="preserve"> (i.e., number of lower-income, moderate-income, and market rate housing units, square feet of commercial space, square feet of open space, </w:t>
      </w:r>
      <w:r w:rsidR="00EB26FE">
        <w:rPr>
          <w:sz w:val="24"/>
          <w:szCs w:val="24"/>
        </w:rPr>
        <w:t xml:space="preserve">building height, number of stories, total parking space, </w:t>
      </w:r>
      <w:r w:rsidRPr="0037136C">
        <w:rPr>
          <w:sz w:val="24"/>
          <w:szCs w:val="24"/>
        </w:rPr>
        <w:t xml:space="preserve">etc.). </w:t>
      </w:r>
    </w:p>
    <w:p w14:paraId="0DB88528" w14:textId="40A15BB4" w:rsidR="00EC064F" w:rsidRDefault="00F922E8" w:rsidP="00EC064F">
      <w:pPr>
        <w:pStyle w:val="BodyText"/>
        <w:numPr>
          <w:ilvl w:val="2"/>
          <w:numId w:val="24"/>
        </w:numPr>
        <w:spacing w:line="276" w:lineRule="auto"/>
        <w:ind w:right="660"/>
        <w:jc w:val="both"/>
        <w:rPr>
          <w:sz w:val="24"/>
          <w:szCs w:val="24"/>
        </w:rPr>
      </w:pPr>
      <w:r w:rsidRPr="0037136C">
        <w:rPr>
          <w:sz w:val="24"/>
          <w:szCs w:val="24"/>
        </w:rPr>
        <w:t xml:space="preserve">Provide a narrative description of the approach to the architectural, urban and landscape design </w:t>
      </w:r>
      <w:r w:rsidR="00C30AC0">
        <w:rPr>
          <w:sz w:val="24"/>
          <w:szCs w:val="24"/>
        </w:rPr>
        <w:t>of the Site</w:t>
      </w:r>
      <w:r w:rsidRPr="0037136C">
        <w:rPr>
          <w:sz w:val="24"/>
          <w:szCs w:val="24"/>
        </w:rPr>
        <w:t>, including architectural character, building densities, massing,</w:t>
      </w:r>
      <w:r w:rsidR="00EB26FE">
        <w:rPr>
          <w:sz w:val="24"/>
          <w:szCs w:val="24"/>
        </w:rPr>
        <w:t xml:space="preserve"> amenities,</w:t>
      </w:r>
      <w:r w:rsidRPr="0037136C">
        <w:rPr>
          <w:sz w:val="24"/>
          <w:szCs w:val="24"/>
        </w:rPr>
        <w:t xml:space="preserve"> relationship to the </w:t>
      </w:r>
      <w:r w:rsidR="00B310E7">
        <w:rPr>
          <w:sz w:val="24"/>
          <w:szCs w:val="24"/>
        </w:rPr>
        <w:t>immediate neighborhood</w:t>
      </w:r>
      <w:r w:rsidRPr="0037136C">
        <w:rPr>
          <w:sz w:val="24"/>
          <w:szCs w:val="24"/>
        </w:rPr>
        <w:t>, character of parks and other public spaces, and other design elements. Describe how the envisioned improvements and amenities relate to and support adjacent or nearby uses and/or neighborhoods.</w:t>
      </w:r>
    </w:p>
    <w:p w14:paraId="0947E707" w14:textId="0C4D3A6E" w:rsidR="0063727C" w:rsidRPr="00EC064F" w:rsidRDefault="00AD2CD9" w:rsidP="00EC064F">
      <w:pPr>
        <w:pStyle w:val="BodyText"/>
        <w:numPr>
          <w:ilvl w:val="2"/>
          <w:numId w:val="24"/>
        </w:numPr>
        <w:spacing w:line="276" w:lineRule="auto"/>
        <w:ind w:right="660"/>
        <w:jc w:val="both"/>
        <w:rPr>
          <w:sz w:val="24"/>
          <w:szCs w:val="24"/>
        </w:rPr>
      </w:pPr>
      <w:r>
        <w:rPr>
          <w:sz w:val="24"/>
          <w:szCs w:val="24"/>
        </w:rPr>
        <w:t>De</w:t>
      </w:r>
      <w:r w:rsidR="00A35F19">
        <w:rPr>
          <w:sz w:val="24"/>
          <w:szCs w:val="24"/>
        </w:rPr>
        <w:t>scribe in</w:t>
      </w:r>
      <w:r w:rsidR="00CF1530">
        <w:rPr>
          <w:sz w:val="24"/>
          <w:szCs w:val="24"/>
        </w:rPr>
        <w:t xml:space="preserve"> brief</w:t>
      </w:r>
      <w:r w:rsidR="00A35F19">
        <w:rPr>
          <w:sz w:val="24"/>
          <w:szCs w:val="24"/>
        </w:rPr>
        <w:t xml:space="preserve"> detail how the development concept considers current </w:t>
      </w:r>
      <w:r w:rsidR="00DE4566">
        <w:rPr>
          <w:sz w:val="24"/>
          <w:szCs w:val="24"/>
        </w:rPr>
        <w:t>and p</w:t>
      </w:r>
      <w:r w:rsidR="00CF1530">
        <w:rPr>
          <w:sz w:val="24"/>
          <w:szCs w:val="24"/>
        </w:rPr>
        <w:t xml:space="preserve">roposed city and regional planning efforts, such as general </w:t>
      </w:r>
      <w:r w:rsidR="002A2916">
        <w:rPr>
          <w:sz w:val="24"/>
          <w:szCs w:val="24"/>
        </w:rPr>
        <w:t xml:space="preserve">and specific plans. Similarly, briefly discuss </w:t>
      </w:r>
      <w:r w:rsidR="004B13F3">
        <w:rPr>
          <w:sz w:val="24"/>
          <w:szCs w:val="24"/>
        </w:rPr>
        <w:t xml:space="preserve">coordination with </w:t>
      </w:r>
      <w:r w:rsidR="002A2916">
        <w:rPr>
          <w:sz w:val="24"/>
          <w:szCs w:val="24"/>
        </w:rPr>
        <w:t xml:space="preserve">business improvement </w:t>
      </w:r>
      <w:r w:rsidR="004B13F3">
        <w:rPr>
          <w:sz w:val="24"/>
          <w:szCs w:val="24"/>
        </w:rPr>
        <w:t>districts as applicable and related fees, if any.</w:t>
      </w:r>
    </w:p>
    <w:p w14:paraId="0D87B2A9" w14:textId="7221975B" w:rsidR="00F922E8" w:rsidRPr="0037136C" w:rsidRDefault="00F922E8" w:rsidP="00F922E8">
      <w:pPr>
        <w:pStyle w:val="BodyText"/>
        <w:numPr>
          <w:ilvl w:val="2"/>
          <w:numId w:val="24"/>
        </w:numPr>
        <w:spacing w:line="276" w:lineRule="auto"/>
        <w:ind w:right="660"/>
        <w:jc w:val="both"/>
        <w:rPr>
          <w:sz w:val="24"/>
          <w:szCs w:val="24"/>
        </w:rPr>
      </w:pPr>
      <w:r w:rsidRPr="0037136C">
        <w:rPr>
          <w:sz w:val="24"/>
          <w:szCs w:val="24"/>
        </w:rPr>
        <w:t xml:space="preserve">Address how and the extent to which the </w:t>
      </w:r>
      <w:r w:rsidR="00876FC7">
        <w:rPr>
          <w:sz w:val="24"/>
          <w:szCs w:val="24"/>
        </w:rPr>
        <w:t xml:space="preserve">Site </w:t>
      </w:r>
      <w:r w:rsidRPr="0037136C">
        <w:rPr>
          <w:sz w:val="24"/>
          <w:szCs w:val="24"/>
        </w:rPr>
        <w:t>will support the Principle and Objective of Accessibility.</w:t>
      </w:r>
    </w:p>
    <w:p w14:paraId="378C9B8F" w14:textId="6502C6CE" w:rsidR="00F922E8" w:rsidRPr="0037136C" w:rsidRDefault="00F922E8" w:rsidP="00F922E8">
      <w:pPr>
        <w:pStyle w:val="BodyText"/>
        <w:numPr>
          <w:ilvl w:val="2"/>
          <w:numId w:val="24"/>
        </w:numPr>
        <w:spacing w:line="276" w:lineRule="auto"/>
        <w:ind w:right="660"/>
        <w:jc w:val="both"/>
        <w:rPr>
          <w:sz w:val="24"/>
          <w:szCs w:val="24"/>
        </w:rPr>
      </w:pPr>
      <w:r w:rsidRPr="0037136C">
        <w:rPr>
          <w:sz w:val="24"/>
          <w:szCs w:val="24"/>
        </w:rPr>
        <w:t xml:space="preserve">Address how and the extent to which the </w:t>
      </w:r>
      <w:r w:rsidR="00876FC7">
        <w:rPr>
          <w:sz w:val="24"/>
          <w:szCs w:val="24"/>
        </w:rPr>
        <w:t xml:space="preserve">Site </w:t>
      </w:r>
      <w:r w:rsidRPr="0037136C">
        <w:rPr>
          <w:sz w:val="24"/>
          <w:szCs w:val="24"/>
        </w:rPr>
        <w:t>will support the Principle and Objective of Sustainability.</w:t>
      </w:r>
    </w:p>
    <w:p w14:paraId="3213A06C" w14:textId="77777777" w:rsidR="00615565" w:rsidRPr="009C02D6" w:rsidRDefault="00F922E8" w:rsidP="00615565">
      <w:pPr>
        <w:pStyle w:val="BodyText"/>
        <w:numPr>
          <w:ilvl w:val="2"/>
          <w:numId w:val="24"/>
        </w:numPr>
        <w:spacing w:line="276" w:lineRule="auto"/>
        <w:ind w:right="660"/>
        <w:jc w:val="both"/>
        <w:rPr>
          <w:sz w:val="24"/>
          <w:szCs w:val="24"/>
        </w:rPr>
      </w:pPr>
      <w:r w:rsidRPr="0037136C">
        <w:rPr>
          <w:sz w:val="24"/>
          <w:szCs w:val="24"/>
        </w:rPr>
        <w:t xml:space="preserve">Describe your approach to the </w:t>
      </w:r>
      <w:r w:rsidR="00876FC7">
        <w:rPr>
          <w:sz w:val="24"/>
          <w:szCs w:val="24"/>
        </w:rPr>
        <w:t xml:space="preserve">Site specifically regarding </w:t>
      </w:r>
      <w:r w:rsidRPr="0037136C">
        <w:rPr>
          <w:sz w:val="24"/>
          <w:szCs w:val="24"/>
        </w:rPr>
        <w:t xml:space="preserve">leveraging State Sovereignty and the opportunities and challenges it may provide. </w:t>
      </w:r>
      <w:r w:rsidRPr="009C02D6">
        <w:rPr>
          <w:sz w:val="24"/>
          <w:szCs w:val="24"/>
        </w:rPr>
        <w:t>See Exhibit 4.</w:t>
      </w:r>
    </w:p>
    <w:p w14:paraId="627FA2C4" w14:textId="1F011D0C" w:rsidR="00F31721" w:rsidRPr="009C02D6" w:rsidRDefault="003A492A" w:rsidP="00F31721">
      <w:pPr>
        <w:pStyle w:val="BodyText"/>
        <w:numPr>
          <w:ilvl w:val="2"/>
          <w:numId w:val="25"/>
        </w:numPr>
        <w:spacing w:line="276" w:lineRule="auto"/>
        <w:ind w:right="660"/>
        <w:jc w:val="both"/>
        <w:rPr>
          <w:sz w:val="24"/>
          <w:szCs w:val="24"/>
        </w:rPr>
      </w:pPr>
      <w:r>
        <w:rPr>
          <w:sz w:val="24"/>
          <w:szCs w:val="24"/>
        </w:rPr>
        <w:t xml:space="preserve">Timing Efficiency and Financial Feasibility </w:t>
      </w:r>
      <w:r w:rsidR="00F31721" w:rsidRPr="009C02D6">
        <w:rPr>
          <w:sz w:val="24"/>
          <w:szCs w:val="24"/>
        </w:rPr>
        <w:t xml:space="preserve">is of critical importance to this </w:t>
      </w:r>
      <w:proofErr w:type="gramStart"/>
      <w:r w:rsidR="00F31721" w:rsidRPr="009C02D6">
        <w:rPr>
          <w:sz w:val="24"/>
          <w:szCs w:val="24"/>
        </w:rPr>
        <w:t>site in particular</w:t>
      </w:r>
      <w:proofErr w:type="gramEnd"/>
      <w:r w:rsidR="00F31721" w:rsidRPr="009C02D6">
        <w:rPr>
          <w:sz w:val="24"/>
          <w:szCs w:val="24"/>
        </w:rPr>
        <w:t xml:space="preserve">.  </w:t>
      </w:r>
    </w:p>
    <w:p w14:paraId="55942E8A" w14:textId="77777777" w:rsidR="00F31721" w:rsidRPr="009C02D6" w:rsidRDefault="00F31721" w:rsidP="00F31721">
      <w:pPr>
        <w:pStyle w:val="BodyText"/>
        <w:numPr>
          <w:ilvl w:val="3"/>
          <w:numId w:val="25"/>
        </w:numPr>
        <w:spacing w:line="276" w:lineRule="auto"/>
        <w:ind w:right="660"/>
        <w:jc w:val="both"/>
        <w:rPr>
          <w:sz w:val="24"/>
          <w:szCs w:val="24"/>
        </w:rPr>
      </w:pPr>
      <w:r w:rsidRPr="009C02D6">
        <w:rPr>
          <w:sz w:val="24"/>
          <w:szCs w:val="24"/>
        </w:rPr>
        <w:t>Please describe how you would seek to accomplish this objective through innovative financing and/or other techniques.</w:t>
      </w:r>
    </w:p>
    <w:p w14:paraId="1A34E0A4" w14:textId="68C291F7" w:rsidR="00F922E8" w:rsidRPr="009C02D6" w:rsidRDefault="00F31721" w:rsidP="009C02D6">
      <w:pPr>
        <w:pStyle w:val="BodyText"/>
        <w:numPr>
          <w:ilvl w:val="3"/>
          <w:numId w:val="25"/>
        </w:numPr>
        <w:spacing w:line="276" w:lineRule="auto"/>
        <w:ind w:right="660"/>
        <w:jc w:val="both"/>
        <w:rPr>
          <w:sz w:val="24"/>
          <w:szCs w:val="24"/>
        </w:rPr>
      </w:pPr>
      <w:r w:rsidRPr="009C02D6">
        <w:rPr>
          <w:sz w:val="24"/>
          <w:szCs w:val="24"/>
        </w:rPr>
        <w:t xml:space="preserve">Please provide a development schedule in an exhibit to your </w:t>
      </w:r>
      <w:r w:rsidR="00C31263">
        <w:rPr>
          <w:sz w:val="24"/>
          <w:szCs w:val="24"/>
        </w:rPr>
        <w:t>Proposal</w:t>
      </w:r>
      <w:r w:rsidRPr="009C02D6">
        <w:rPr>
          <w:sz w:val="24"/>
          <w:szCs w:val="24"/>
        </w:rPr>
        <w:t xml:space="preserve"> which shows your expectations under the plan you describe per the item immediately above. This schedule may be in any format (Word, Excel, Project, etc.), yet must include all milestones commencing with execution of the LOA and including entitlement, design benchmarks, ground-breaking, financing applications and awards, certificate of occupancy and conversion. Assume </w:t>
      </w:r>
      <w:r w:rsidR="007C4E90">
        <w:rPr>
          <w:sz w:val="24"/>
          <w:szCs w:val="24"/>
        </w:rPr>
        <w:t>January</w:t>
      </w:r>
      <w:r w:rsidR="007C4E90" w:rsidRPr="009C02D6">
        <w:rPr>
          <w:sz w:val="24"/>
          <w:szCs w:val="24"/>
        </w:rPr>
        <w:t xml:space="preserve"> </w:t>
      </w:r>
      <w:r w:rsidR="007C4E90">
        <w:rPr>
          <w:sz w:val="24"/>
          <w:szCs w:val="24"/>
        </w:rPr>
        <w:t>3</w:t>
      </w:r>
      <w:r w:rsidRPr="009C02D6">
        <w:rPr>
          <w:sz w:val="24"/>
          <w:szCs w:val="24"/>
        </w:rPr>
        <w:t>1, 202</w:t>
      </w:r>
      <w:r w:rsidR="007C4E90">
        <w:rPr>
          <w:sz w:val="24"/>
          <w:szCs w:val="24"/>
        </w:rPr>
        <w:t>2</w:t>
      </w:r>
      <w:r w:rsidR="009E5F1B">
        <w:rPr>
          <w:sz w:val="24"/>
          <w:szCs w:val="24"/>
        </w:rPr>
        <w:t>,</w:t>
      </w:r>
      <w:r w:rsidRPr="009C02D6">
        <w:rPr>
          <w:sz w:val="24"/>
          <w:szCs w:val="24"/>
        </w:rPr>
        <w:t xml:space="preserve"> for the execution of LOA, and if proposing the use of Low-Income Housing Tax Credits, further assume that the 2022 and/or 2023 CTCAC calendar(s) mimics the 2021 CTCAC calendar.</w:t>
      </w:r>
    </w:p>
    <w:p w14:paraId="5E5641ED" w14:textId="77B6FD2C" w:rsidR="00CA3DA3" w:rsidRPr="0053229D" w:rsidRDefault="009C02D6" w:rsidP="00CA3DA3">
      <w:pPr>
        <w:pStyle w:val="BodyText"/>
        <w:numPr>
          <w:ilvl w:val="2"/>
          <w:numId w:val="24"/>
        </w:numPr>
        <w:spacing w:line="276" w:lineRule="auto"/>
        <w:ind w:right="660"/>
        <w:jc w:val="both"/>
        <w:rPr>
          <w:sz w:val="24"/>
          <w:szCs w:val="24"/>
        </w:rPr>
      </w:pPr>
      <w:r>
        <w:rPr>
          <w:sz w:val="24"/>
          <w:szCs w:val="24"/>
        </w:rPr>
        <w:lastRenderedPageBreak/>
        <w:t xml:space="preserve"> </w:t>
      </w:r>
      <w:r w:rsidR="00CA3DA3" w:rsidRPr="0053229D">
        <w:rPr>
          <w:sz w:val="24"/>
          <w:szCs w:val="24"/>
        </w:rPr>
        <w:t>Provide the following in an exhibit to the Proposal:</w:t>
      </w:r>
    </w:p>
    <w:p w14:paraId="6122D0F1" w14:textId="716F7AD9" w:rsidR="00CA3DA3" w:rsidRPr="0053229D" w:rsidRDefault="00CA3DA3" w:rsidP="00CA3DA3">
      <w:pPr>
        <w:pStyle w:val="BodyText"/>
        <w:numPr>
          <w:ilvl w:val="3"/>
          <w:numId w:val="24"/>
        </w:numPr>
        <w:spacing w:line="276" w:lineRule="auto"/>
        <w:ind w:right="660"/>
        <w:jc w:val="both"/>
        <w:rPr>
          <w:sz w:val="24"/>
          <w:szCs w:val="24"/>
        </w:rPr>
      </w:pPr>
      <w:r w:rsidRPr="0053229D">
        <w:rPr>
          <w:sz w:val="24"/>
          <w:szCs w:val="24"/>
        </w:rPr>
        <w:t>Site plan,</w:t>
      </w:r>
      <w:r w:rsidR="0010476D">
        <w:rPr>
          <w:sz w:val="24"/>
          <w:szCs w:val="24"/>
        </w:rPr>
        <w:t xml:space="preserve"> floor plans,</w:t>
      </w:r>
      <w:r w:rsidRPr="0053229D">
        <w:rPr>
          <w:sz w:val="24"/>
          <w:szCs w:val="24"/>
        </w:rPr>
        <w:t xml:space="preserve"> building elevations, and rendering of the proposed development. </w:t>
      </w:r>
    </w:p>
    <w:p w14:paraId="09C21803" w14:textId="77777777" w:rsidR="00DA592D" w:rsidRPr="0053229D" w:rsidRDefault="00CA3DA3" w:rsidP="00DA592D">
      <w:pPr>
        <w:pStyle w:val="BodyText"/>
        <w:numPr>
          <w:ilvl w:val="3"/>
          <w:numId w:val="24"/>
        </w:numPr>
        <w:spacing w:line="276" w:lineRule="auto"/>
        <w:ind w:right="660"/>
        <w:jc w:val="both"/>
        <w:rPr>
          <w:sz w:val="24"/>
          <w:szCs w:val="24"/>
        </w:rPr>
      </w:pPr>
      <w:r w:rsidRPr="0053229D">
        <w:rPr>
          <w:sz w:val="24"/>
          <w:szCs w:val="24"/>
        </w:rPr>
        <w:t>The site plan should illustrate the proposed development concept for the Site, including proposed building(s) footprint, proposed open spaces and landscape design concept(s), parking, and vehicular and pedestrian access.</w:t>
      </w:r>
    </w:p>
    <w:p w14:paraId="5A13859D" w14:textId="77777777" w:rsidR="0053229D" w:rsidRPr="0053229D" w:rsidRDefault="00CA3DA3" w:rsidP="0053229D">
      <w:pPr>
        <w:pStyle w:val="BodyText"/>
        <w:numPr>
          <w:ilvl w:val="3"/>
          <w:numId w:val="24"/>
        </w:numPr>
        <w:spacing w:line="276" w:lineRule="auto"/>
        <w:ind w:right="660"/>
        <w:jc w:val="both"/>
        <w:rPr>
          <w:sz w:val="24"/>
          <w:szCs w:val="24"/>
        </w:rPr>
      </w:pPr>
      <w:r w:rsidRPr="0053229D">
        <w:rPr>
          <w:sz w:val="24"/>
          <w:szCs w:val="24"/>
        </w:rPr>
        <w:t>A ground floor plan should show proposed ground floor usage (e.g., common areas, management office space, apartment units, etc.). Additionally, a roof plan should illustrate any rooftop amenities, or illustrate pertinent features or anticipated screening of equipment.</w:t>
      </w:r>
      <w:r w:rsidR="00DA592D" w:rsidRPr="0053229D">
        <w:rPr>
          <w:sz w:val="24"/>
          <w:szCs w:val="24"/>
        </w:rPr>
        <w:t xml:space="preserve"> Other floor plans should show </w:t>
      </w:r>
      <w:r w:rsidR="00133B09" w:rsidRPr="0053229D">
        <w:rPr>
          <w:sz w:val="24"/>
          <w:szCs w:val="24"/>
        </w:rPr>
        <w:t xml:space="preserve">how the units are configured on the floor; </w:t>
      </w:r>
      <w:r w:rsidR="0053229D" w:rsidRPr="0053229D">
        <w:rPr>
          <w:sz w:val="24"/>
          <w:szCs w:val="24"/>
        </w:rPr>
        <w:t>greater detail is not required.</w:t>
      </w:r>
    </w:p>
    <w:p w14:paraId="2D3CD155" w14:textId="2E15F31E" w:rsidR="00CA3DA3" w:rsidRPr="00AC6716" w:rsidRDefault="00CA3DA3" w:rsidP="0053229D">
      <w:pPr>
        <w:pStyle w:val="BodyText"/>
        <w:numPr>
          <w:ilvl w:val="3"/>
          <w:numId w:val="24"/>
        </w:numPr>
        <w:spacing w:line="276" w:lineRule="auto"/>
        <w:ind w:right="660"/>
        <w:jc w:val="both"/>
        <w:rPr>
          <w:sz w:val="24"/>
          <w:szCs w:val="24"/>
        </w:rPr>
      </w:pPr>
      <w:r w:rsidRPr="0053229D">
        <w:rPr>
          <w:sz w:val="24"/>
          <w:szCs w:val="24"/>
        </w:rPr>
        <w:t>Respondents must at least submit the front elevation (e.g., street view) of the Site. Other views are welcome but not required.</w:t>
      </w:r>
    </w:p>
    <w:p w14:paraId="799AAE52" w14:textId="77777777" w:rsidR="00F922E8" w:rsidRPr="0037136C" w:rsidRDefault="00F922E8" w:rsidP="00F922E8">
      <w:pPr>
        <w:pStyle w:val="BodyText"/>
        <w:spacing w:line="276" w:lineRule="auto"/>
        <w:ind w:left="1080" w:right="660"/>
        <w:jc w:val="both"/>
        <w:rPr>
          <w:sz w:val="24"/>
          <w:szCs w:val="24"/>
        </w:rPr>
      </w:pPr>
    </w:p>
    <w:p w14:paraId="3E1E6937" w14:textId="77777777" w:rsidR="00F922E8" w:rsidRPr="0037136C" w:rsidRDefault="00F922E8" w:rsidP="00F922E8">
      <w:pPr>
        <w:pStyle w:val="BodyText"/>
        <w:numPr>
          <w:ilvl w:val="0"/>
          <w:numId w:val="24"/>
        </w:numPr>
        <w:spacing w:line="276" w:lineRule="auto"/>
        <w:ind w:right="660"/>
        <w:jc w:val="both"/>
        <w:rPr>
          <w:sz w:val="24"/>
          <w:szCs w:val="24"/>
        </w:rPr>
      </w:pPr>
      <w:r w:rsidRPr="0037136C">
        <w:rPr>
          <w:sz w:val="24"/>
          <w:szCs w:val="24"/>
        </w:rPr>
        <w:t>Financial Feasibility</w:t>
      </w:r>
    </w:p>
    <w:p w14:paraId="2FB72C56" w14:textId="77777777" w:rsidR="00F922E8" w:rsidRPr="0037136C" w:rsidRDefault="00F922E8" w:rsidP="00F922E8">
      <w:pPr>
        <w:pStyle w:val="BodyText"/>
        <w:numPr>
          <w:ilvl w:val="1"/>
          <w:numId w:val="24"/>
        </w:numPr>
        <w:spacing w:line="276" w:lineRule="auto"/>
        <w:ind w:right="660"/>
        <w:jc w:val="both"/>
        <w:rPr>
          <w:sz w:val="24"/>
          <w:szCs w:val="24"/>
        </w:rPr>
      </w:pPr>
      <w:r w:rsidRPr="0037136C">
        <w:rPr>
          <w:sz w:val="24"/>
          <w:szCs w:val="24"/>
        </w:rPr>
        <w:t xml:space="preserve">Evaluation Criteria: the financial underwriting of the component parts of the development plan, the coordination of those components, and the extent to which the underwriting achieves the applicable Principles and Objectives. </w:t>
      </w:r>
    </w:p>
    <w:p w14:paraId="212CB26A" w14:textId="77777777" w:rsidR="00F922E8" w:rsidRPr="0037136C" w:rsidRDefault="00F922E8" w:rsidP="00F922E8">
      <w:pPr>
        <w:pStyle w:val="BodyText"/>
        <w:numPr>
          <w:ilvl w:val="1"/>
          <w:numId w:val="24"/>
        </w:numPr>
        <w:spacing w:line="276" w:lineRule="auto"/>
        <w:ind w:right="660"/>
        <w:jc w:val="both"/>
        <w:rPr>
          <w:sz w:val="24"/>
          <w:szCs w:val="24"/>
        </w:rPr>
      </w:pPr>
      <w:r w:rsidRPr="0037136C">
        <w:rPr>
          <w:sz w:val="24"/>
          <w:szCs w:val="24"/>
        </w:rPr>
        <w:t>Submission Requirements:</w:t>
      </w:r>
    </w:p>
    <w:p w14:paraId="4AC557CF" w14:textId="7FAC0C7C" w:rsidR="00F922E8" w:rsidRPr="0037136C" w:rsidRDefault="00F922E8" w:rsidP="00F922E8">
      <w:pPr>
        <w:pStyle w:val="BodyText"/>
        <w:numPr>
          <w:ilvl w:val="2"/>
          <w:numId w:val="24"/>
        </w:numPr>
        <w:spacing w:line="276" w:lineRule="auto"/>
        <w:ind w:right="660"/>
        <w:jc w:val="both"/>
        <w:rPr>
          <w:sz w:val="24"/>
          <w:szCs w:val="24"/>
        </w:rPr>
      </w:pPr>
      <w:r w:rsidRPr="0037136C">
        <w:rPr>
          <w:sz w:val="24"/>
          <w:szCs w:val="24"/>
        </w:rPr>
        <w:t xml:space="preserve">Summarize your financing plan with the </w:t>
      </w:r>
      <w:r w:rsidR="00876FC7">
        <w:rPr>
          <w:sz w:val="24"/>
          <w:szCs w:val="24"/>
        </w:rPr>
        <w:t>Proposal</w:t>
      </w:r>
      <w:r w:rsidRPr="0037136C">
        <w:rPr>
          <w:sz w:val="24"/>
          <w:szCs w:val="24"/>
        </w:rPr>
        <w:t>.</w:t>
      </w:r>
    </w:p>
    <w:p w14:paraId="39C6F0A8" w14:textId="77777777" w:rsidR="004017A5" w:rsidRDefault="00F922E8" w:rsidP="00285680">
      <w:pPr>
        <w:pStyle w:val="BodyText"/>
        <w:numPr>
          <w:ilvl w:val="2"/>
          <w:numId w:val="24"/>
        </w:numPr>
        <w:spacing w:line="276" w:lineRule="auto"/>
        <w:ind w:right="660"/>
        <w:jc w:val="both"/>
        <w:rPr>
          <w:sz w:val="24"/>
          <w:szCs w:val="24"/>
        </w:rPr>
      </w:pPr>
      <w:r w:rsidRPr="0037136C">
        <w:rPr>
          <w:sz w:val="24"/>
          <w:szCs w:val="24"/>
        </w:rPr>
        <w:t xml:space="preserve">In an exhibit(s) to the </w:t>
      </w:r>
      <w:r w:rsidR="00876FC7">
        <w:rPr>
          <w:sz w:val="24"/>
          <w:szCs w:val="24"/>
        </w:rPr>
        <w:t>Proposal</w:t>
      </w:r>
      <w:r w:rsidRPr="0037136C">
        <w:rPr>
          <w:sz w:val="24"/>
          <w:szCs w:val="24"/>
        </w:rPr>
        <w:t xml:space="preserve">, </w:t>
      </w:r>
      <w:r w:rsidR="00333FA1" w:rsidRPr="00333FA1">
        <w:rPr>
          <w:sz w:val="24"/>
          <w:szCs w:val="24"/>
        </w:rPr>
        <w:t>include a working electronic copy(</w:t>
      </w:r>
      <w:proofErr w:type="spellStart"/>
      <w:r w:rsidR="00333FA1" w:rsidRPr="00333FA1">
        <w:rPr>
          <w:sz w:val="24"/>
          <w:szCs w:val="24"/>
        </w:rPr>
        <w:t>ies</w:t>
      </w:r>
      <w:proofErr w:type="spellEnd"/>
      <w:r w:rsidR="00333FA1" w:rsidRPr="00333FA1">
        <w:rPr>
          <w:sz w:val="24"/>
          <w:szCs w:val="24"/>
        </w:rPr>
        <w:t>) of the financial model(s) for the project in Microsoft Excel format.</w:t>
      </w:r>
      <w:r w:rsidR="00020D2E">
        <w:rPr>
          <w:sz w:val="24"/>
          <w:szCs w:val="24"/>
        </w:rPr>
        <w:t xml:space="preserve"> The State reserves the right to request additional calculations</w:t>
      </w:r>
      <w:r w:rsidR="00B041BC">
        <w:rPr>
          <w:sz w:val="24"/>
          <w:szCs w:val="24"/>
        </w:rPr>
        <w:t xml:space="preserve"> and/or tables should the submitted model be deemed incomplete.</w:t>
      </w:r>
      <w:r w:rsidR="00123E08">
        <w:rPr>
          <w:sz w:val="24"/>
          <w:szCs w:val="24"/>
        </w:rPr>
        <w:t xml:space="preserve"> </w:t>
      </w:r>
    </w:p>
    <w:p w14:paraId="0FC68F19" w14:textId="0BB06C1A" w:rsidR="00F922E8" w:rsidRDefault="004017A5" w:rsidP="00285680">
      <w:pPr>
        <w:pStyle w:val="BodyText"/>
        <w:numPr>
          <w:ilvl w:val="2"/>
          <w:numId w:val="24"/>
        </w:numPr>
        <w:spacing w:line="276" w:lineRule="auto"/>
        <w:ind w:right="660"/>
        <w:jc w:val="both"/>
        <w:rPr>
          <w:sz w:val="24"/>
          <w:szCs w:val="24"/>
        </w:rPr>
      </w:pPr>
      <w:r>
        <w:rPr>
          <w:sz w:val="24"/>
          <w:szCs w:val="24"/>
        </w:rPr>
        <w:t xml:space="preserve">If the Proposal </w:t>
      </w:r>
      <w:r w:rsidR="00251A3B">
        <w:rPr>
          <w:sz w:val="24"/>
          <w:szCs w:val="24"/>
        </w:rPr>
        <w:t xml:space="preserve">includes both income-restricted and unrestricted market-rate </w:t>
      </w:r>
      <w:r w:rsidR="00DD5E29">
        <w:rPr>
          <w:sz w:val="24"/>
          <w:szCs w:val="24"/>
        </w:rPr>
        <w:t>units</w:t>
      </w:r>
      <w:r w:rsidR="00251A3B">
        <w:rPr>
          <w:sz w:val="24"/>
          <w:szCs w:val="24"/>
        </w:rPr>
        <w:t xml:space="preserve">, </w:t>
      </w:r>
      <w:r w:rsidR="00252CF7">
        <w:rPr>
          <w:sz w:val="24"/>
          <w:szCs w:val="24"/>
        </w:rPr>
        <w:t>submit one financial model for each housing type.</w:t>
      </w:r>
    </w:p>
    <w:p w14:paraId="0F9F2400" w14:textId="0EA5747E" w:rsidR="00252CF7" w:rsidRPr="0071132C" w:rsidRDefault="00252CF7" w:rsidP="00285680">
      <w:pPr>
        <w:pStyle w:val="BodyText"/>
        <w:numPr>
          <w:ilvl w:val="2"/>
          <w:numId w:val="24"/>
        </w:numPr>
        <w:spacing w:line="276" w:lineRule="auto"/>
        <w:ind w:right="660"/>
        <w:jc w:val="both"/>
        <w:rPr>
          <w:sz w:val="24"/>
          <w:szCs w:val="24"/>
        </w:rPr>
      </w:pPr>
      <w:r>
        <w:rPr>
          <w:sz w:val="24"/>
          <w:szCs w:val="24"/>
        </w:rPr>
        <w:t xml:space="preserve">If proposing </w:t>
      </w:r>
      <w:r w:rsidR="00DD5E29">
        <w:rPr>
          <w:sz w:val="24"/>
          <w:szCs w:val="24"/>
        </w:rPr>
        <w:t>“i</w:t>
      </w:r>
      <w:r w:rsidR="00D0476B">
        <w:rPr>
          <w:sz w:val="24"/>
          <w:szCs w:val="24"/>
        </w:rPr>
        <w:t xml:space="preserve">ncome </w:t>
      </w:r>
      <w:r w:rsidR="00DD5E29">
        <w:rPr>
          <w:sz w:val="24"/>
          <w:szCs w:val="24"/>
        </w:rPr>
        <w:t>a</w:t>
      </w:r>
      <w:r w:rsidR="00D0476B">
        <w:rPr>
          <w:sz w:val="24"/>
          <w:szCs w:val="24"/>
        </w:rPr>
        <w:t>veraging</w:t>
      </w:r>
      <w:r w:rsidR="00DD5E29">
        <w:rPr>
          <w:sz w:val="24"/>
          <w:szCs w:val="24"/>
        </w:rPr>
        <w:t>”</w:t>
      </w:r>
      <w:r w:rsidR="00D0476B">
        <w:rPr>
          <w:sz w:val="24"/>
          <w:szCs w:val="24"/>
        </w:rPr>
        <w:t xml:space="preserve"> including income-restricted units at 80%</w:t>
      </w:r>
      <w:r w:rsidR="00DD5E29">
        <w:rPr>
          <w:sz w:val="24"/>
          <w:szCs w:val="24"/>
        </w:rPr>
        <w:t xml:space="preserve"> AMI and/or unrestricted market-rate units, </w:t>
      </w:r>
      <w:r w:rsidR="00C92500">
        <w:rPr>
          <w:sz w:val="24"/>
          <w:szCs w:val="24"/>
        </w:rPr>
        <w:t xml:space="preserve">be certain to include market-rate rent </w:t>
      </w:r>
      <w:proofErr w:type="spellStart"/>
      <w:r w:rsidR="00C92500">
        <w:rPr>
          <w:sz w:val="24"/>
          <w:szCs w:val="24"/>
        </w:rPr>
        <w:t>comparables</w:t>
      </w:r>
      <w:proofErr w:type="spellEnd"/>
      <w:r w:rsidR="00C92500">
        <w:rPr>
          <w:sz w:val="24"/>
          <w:szCs w:val="24"/>
        </w:rPr>
        <w:t xml:space="preserve"> and include a comparison between proposed rents and market rents</w:t>
      </w:r>
      <w:r w:rsidR="00400A14">
        <w:rPr>
          <w:sz w:val="24"/>
          <w:szCs w:val="24"/>
        </w:rPr>
        <w:t xml:space="preserve"> across each unit type</w:t>
      </w:r>
      <w:r w:rsidR="002455B3">
        <w:rPr>
          <w:sz w:val="24"/>
          <w:szCs w:val="24"/>
        </w:rPr>
        <w:t xml:space="preserve"> (studio, one-bedroom, etc.).</w:t>
      </w:r>
    </w:p>
    <w:p w14:paraId="0B83FC01" w14:textId="77777777" w:rsidR="00F922E8" w:rsidRPr="0037136C" w:rsidRDefault="00F922E8" w:rsidP="00F922E8">
      <w:pPr>
        <w:pStyle w:val="BodyText"/>
        <w:spacing w:line="276" w:lineRule="auto"/>
        <w:ind w:left="1080" w:right="660"/>
        <w:jc w:val="both"/>
        <w:rPr>
          <w:sz w:val="24"/>
          <w:szCs w:val="24"/>
        </w:rPr>
      </w:pPr>
    </w:p>
    <w:p w14:paraId="616776C5" w14:textId="77777777" w:rsidR="00F922E8" w:rsidRPr="0037136C" w:rsidRDefault="00F922E8" w:rsidP="00F922E8">
      <w:pPr>
        <w:pStyle w:val="BodyText"/>
        <w:numPr>
          <w:ilvl w:val="0"/>
          <w:numId w:val="24"/>
        </w:numPr>
        <w:spacing w:line="276" w:lineRule="auto"/>
        <w:ind w:right="660"/>
        <w:jc w:val="both"/>
        <w:rPr>
          <w:sz w:val="24"/>
          <w:szCs w:val="24"/>
        </w:rPr>
      </w:pPr>
      <w:r w:rsidRPr="0037136C">
        <w:rPr>
          <w:sz w:val="24"/>
          <w:szCs w:val="24"/>
        </w:rPr>
        <w:t>Additional Requirements and Representations</w:t>
      </w:r>
    </w:p>
    <w:p w14:paraId="59445D8C" w14:textId="32B97A1E" w:rsidR="00F922E8" w:rsidRPr="0037136C" w:rsidRDefault="00F922E8" w:rsidP="00F922E8">
      <w:pPr>
        <w:pStyle w:val="BodyText"/>
        <w:numPr>
          <w:ilvl w:val="1"/>
          <w:numId w:val="24"/>
        </w:numPr>
        <w:spacing w:line="276" w:lineRule="auto"/>
        <w:ind w:right="660"/>
        <w:jc w:val="both"/>
        <w:rPr>
          <w:sz w:val="24"/>
          <w:szCs w:val="24"/>
        </w:rPr>
      </w:pPr>
      <w:r w:rsidRPr="0037136C">
        <w:rPr>
          <w:sz w:val="24"/>
          <w:szCs w:val="24"/>
        </w:rPr>
        <w:t xml:space="preserve">Evaluation Criteria: </w:t>
      </w:r>
      <w:r w:rsidR="0071132C">
        <w:rPr>
          <w:sz w:val="24"/>
          <w:szCs w:val="24"/>
        </w:rPr>
        <w:t>May result in disqualified Proposal.</w:t>
      </w:r>
    </w:p>
    <w:p w14:paraId="2EC5B8F9" w14:textId="77777777" w:rsidR="00F922E8" w:rsidRPr="0037136C" w:rsidRDefault="00F922E8" w:rsidP="00F922E8">
      <w:pPr>
        <w:pStyle w:val="BodyText"/>
        <w:numPr>
          <w:ilvl w:val="1"/>
          <w:numId w:val="24"/>
        </w:numPr>
        <w:spacing w:line="276" w:lineRule="auto"/>
        <w:ind w:right="660"/>
        <w:jc w:val="both"/>
        <w:rPr>
          <w:sz w:val="24"/>
          <w:szCs w:val="24"/>
        </w:rPr>
      </w:pPr>
      <w:r w:rsidRPr="0037136C">
        <w:rPr>
          <w:sz w:val="24"/>
          <w:szCs w:val="24"/>
        </w:rPr>
        <w:t xml:space="preserve">Submission Requirements: </w:t>
      </w:r>
    </w:p>
    <w:p w14:paraId="7255FE9F" w14:textId="137B5672" w:rsidR="00F922E8" w:rsidRPr="0037136C" w:rsidRDefault="00F922E8" w:rsidP="00F922E8">
      <w:pPr>
        <w:pStyle w:val="BodyText"/>
        <w:numPr>
          <w:ilvl w:val="2"/>
          <w:numId w:val="24"/>
        </w:numPr>
        <w:spacing w:line="276" w:lineRule="auto"/>
        <w:ind w:right="660"/>
        <w:jc w:val="both"/>
        <w:rPr>
          <w:sz w:val="24"/>
          <w:szCs w:val="24"/>
        </w:rPr>
      </w:pPr>
      <w:r w:rsidRPr="0037136C">
        <w:rPr>
          <w:sz w:val="24"/>
          <w:szCs w:val="24"/>
        </w:rPr>
        <w:t xml:space="preserve">In their </w:t>
      </w:r>
      <w:r w:rsidR="0071132C">
        <w:rPr>
          <w:sz w:val="24"/>
          <w:szCs w:val="24"/>
        </w:rPr>
        <w:t>Proposal</w:t>
      </w:r>
      <w:r w:rsidRPr="0037136C">
        <w:rPr>
          <w:sz w:val="24"/>
          <w:szCs w:val="24"/>
        </w:rPr>
        <w:t>, Respondents must include an exhibit which identifies all of the following, as applicable, if any of</w:t>
      </w:r>
      <w:r w:rsidRPr="0037136C">
        <w:rPr>
          <w:spacing w:val="1"/>
          <w:sz w:val="24"/>
          <w:szCs w:val="24"/>
        </w:rPr>
        <w:t xml:space="preserve"> </w:t>
      </w:r>
      <w:r w:rsidRPr="0037136C">
        <w:rPr>
          <w:sz w:val="24"/>
          <w:szCs w:val="24"/>
        </w:rPr>
        <w:t xml:space="preserve">them occurred within five years of the submission of the </w:t>
      </w:r>
      <w:r w:rsidR="0071132C">
        <w:rPr>
          <w:sz w:val="24"/>
          <w:szCs w:val="24"/>
        </w:rPr>
        <w:t>Proposal</w:t>
      </w:r>
      <w:r w:rsidRPr="0037136C">
        <w:rPr>
          <w:sz w:val="24"/>
          <w:szCs w:val="24"/>
        </w:rPr>
        <w:t>: defaults, any</w:t>
      </w:r>
      <w:r w:rsidRPr="0037136C">
        <w:rPr>
          <w:spacing w:val="1"/>
          <w:sz w:val="24"/>
          <w:szCs w:val="24"/>
        </w:rPr>
        <w:t xml:space="preserve"> </w:t>
      </w:r>
      <w:r w:rsidRPr="0037136C">
        <w:rPr>
          <w:sz w:val="24"/>
          <w:szCs w:val="24"/>
        </w:rPr>
        <w:t>judgments, court orders, pending litigation, contractual disputes, violation notices, or</w:t>
      </w:r>
      <w:r w:rsidRPr="0037136C">
        <w:rPr>
          <w:spacing w:val="1"/>
          <w:sz w:val="24"/>
          <w:szCs w:val="24"/>
        </w:rPr>
        <w:t xml:space="preserve"> </w:t>
      </w:r>
      <w:r w:rsidRPr="0037136C">
        <w:rPr>
          <w:sz w:val="24"/>
          <w:szCs w:val="24"/>
        </w:rPr>
        <w:t>other</w:t>
      </w:r>
      <w:r w:rsidRPr="0037136C">
        <w:rPr>
          <w:spacing w:val="-4"/>
          <w:sz w:val="24"/>
          <w:szCs w:val="24"/>
        </w:rPr>
        <w:t xml:space="preserve"> </w:t>
      </w:r>
      <w:r w:rsidRPr="0037136C">
        <w:rPr>
          <w:sz w:val="24"/>
          <w:szCs w:val="24"/>
        </w:rPr>
        <w:t>matters</w:t>
      </w:r>
      <w:r w:rsidRPr="0037136C">
        <w:rPr>
          <w:spacing w:val="-4"/>
          <w:sz w:val="24"/>
          <w:szCs w:val="24"/>
        </w:rPr>
        <w:t xml:space="preserve"> </w:t>
      </w:r>
      <w:r w:rsidRPr="0037136C">
        <w:rPr>
          <w:sz w:val="24"/>
          <w:szCs w:val="24"/>
        </w:rPr>
        <w:lastRenderedPageBreak/>
        <w:t>reflecting</w:t>
      </w:r>
      <w:r w:rsidRPr="0037136C">
        <w:rPr>
          <w:spacing w:val="-4"/>
          <w:sz w:val="24"/>
          <w:szCs w:val="24"/>
        </w:rPr>
        <w:t xml:space="preserve"> </w:t>
      </w:r>
      <w:r w:rsidRPr="0037136C">
        <w:rPr>
          <w:sz w:val="24"/>
          <w:szCs w:val="24"/>
        </w:rPr>
        <w:t>a</w:t>
      </w:r>
      <w:r w:rsidRPr="0037136C">
        <w:rPr>
          <w:spacing w:val="-3"/>
          <w:sz w:val="24"/>
          <w:szCs w:val="24"/>
        </w:rPr>
        <w:t xml:space="preserve"> </w:t>
      </w:r>
      <w:r w:rsidRPr="0037136C">
        <w:rPr>
          <w:sz w:val="24"/>
          <w:szCs w:val="24"/>
        </w:rPr>
        <w:t>violation</w:t>
      </w:r>
      <w:r w:rsidRPr="0037136C">
        <w:rPr>
          <w:spacing w:val="-4"/>
          <w:sz w:val="24"/>
          <w:szCs w:val="24"/>
        </w:rPr>
        <w:t xml:space="preserve"> </w:t>
      </w:r>
      <w:r w:rsidRPr="0037136C">
        <w:rPr>
          <w:sz w:val="24"/>
          <w:szCs w:val="24"/>
        </w:rPr>
        <w:t>of</w:t>
      </w:r>
      <w:r w:rsidRPr="0037136C">
        <w:rPr>
          <w:spacing w:val="-4"/>
          <w:sz w:val="24"/>
          <w:szCs w:val="24"/>
        </w:rPr>
        <w:t xml:space="preserve"> </w:t>
      </w:r>
      <w:r w:rsidRPr="0037136C">
        <w:rPr>
          <w:sz w:val="24"/>
          <w:szCs w:val="24"/>
        </w:rPr>
        <w:t>applicable</w:t>
      </w:r>
      <w:r w:rsidRPr="0037136C">
        <w:rPr>
          <w:spacing w:val="-3"/>
          <w:sz w:val="24"/>
          <w:szCs w:val="24"/>
        </w:rPr>
        <w:t xml:space="preserve"> </w:t>
      </w:r>
      <w:r w:rsidRPr="0037136C">
        <w:rPr>
          <w:sz w:val="24"/>
          <w:szCs w:val="24"/>
        </w:rPr>
        <w:t>regulations</w:t>
      </w:r>
      <w:r w:rsidRPr="0037136C">
        <w:rPr>
          <w:spacing w:val="-4"/>
          <w:sz w:val="24"/>
          <w:szCs w:val="24"/>
        </w:rPr>
        <w:t xml:space="preserve"> </w:t>
      </w:r>
      <w:r w:rsidRPr="0037136C">
        <w:rPr>
          <w:sz w:val="24"/>
          <w:szCs w:val="24"/>
        </w:rPr>
        <w:t>related</w:t>
      </w:r>
      <w:r w:rsidRPr="0037136C">
        <w:rPr>
          <w:spacing w:val="-3"/>
          <w:sz w:val="24"/>
          <w:szCs w:val="24"/>
        </w:rPr>
        <w:t xml:space="preserve"> </w:t>
      </w:r>
      <w:r w:rsidRPr="0037136C">
        <w:rPr>
          <w:sz w:val="24"/>
          <w:szCs w:val="24"/>
        </w:rPr>
        <w:t>to</w:t>
      </w:r>
      <w:r w:rsidRPr="0037136C">
        <w:rPr>
          <w:spacing w:val="-4"/>
          <w:sz w:val="24"/>
          <w:szCs w:val="24"/>
        </w:rPr>
        <w:t xml:space="preserve"> </w:t>
      </w:r>
      <w:r w:rsidRPr="0037136C">
        <w:rPr>
          <w:sz w:val="24"/>
          <w:szCs w:val="24"/>
        </w:rPr>
        <w:t>the</w:t>
      </w:r>
      <w:r w:rsidRPr="0037136C">
        <w:rPr>
          <w:spacing w:val="-4"/>
          <w:sz w:val="24"/>
          <w:szCs w:val="24"/>
        </w:rPr>
        <w:t xml:space="preserve"> </w:t>
      </w:r>
      <w:r w:rsidRPr="0037136C">
        <w:rPr>
          <w:sz w:val="24"/>
          <w:szCs w:val="24"/>
        </w:rPr>
        <w:t>operations</w:t>
      </w:r>
      <w:r w:rsidRPr="0037136C">
        <w:rPr>
          <w:spacing w:val="-4"/>
          <w:sz w:val="24"/>
          <w:szCs w:val="24"/>
        </w:rPr>
        <w:t xml:space="preserve"> </w:t>
      </w:r>
      <w:r w:rsidRPr="0037136C">
        <w:rPr>
          <w:sz w:val="24"/>
          <w:szCs w:val="24"/>
        </w:rPr>
        <w:t>or projects undertaken by the Developer entity or any of its individual members or</w:t>
      </w:r>
      <w:r w:rsidRPr="0037136C">
        <w:rPr>
          <w:spacing w:val="1"/>
          <w:sz w:val="24"/>
          <w:szCs w:val="24"/>
        </w:rPr>
        <w:t xml:space="preserve"> </w:t>
      </w:r>
      <w:r w:rsidRPr="0037136C">
        <w:rPr>
          <w:sz w:val="24"/>
          <w:szCs w:val="24"/>
        </w:rPr>
        <w:t>affiliates exercising direct or indirect control over the development entity, including all</w:t>
      </w:r>
      <w:r w:rsidRPr="0037136C">
        <w:rPr>
          <w:spacing w:val="1"/>
          <w:sz w:val="24"/>
          <w:szCs w:val="24"/>
        </w:rPr>
        <w:t xml:space="preserve"> </w:t>
      </w:r>
      <w:r w:rsidRPr="0037136C">
        <w:rPr>
          <w:sz w:val="24"/>
          <w:szCs w:val="24"/>
        </w:rPr>
        <w:t>key</w:t>
      </w:r>
      <w:r w:rsidRPr="0037136C">
        <w:rPr>
          <w:spacing w:val="-1"/>
          <w:sz w:val="24"/>
          <w:szCs w:val="24"/>
        </w:rPr>
        <w:t xml:space="preserve"> </w:t>
      </w:r>
      <w:r w:rsidRPr="0037136C">
        <w:rPr>
          <w:sz w:val="24"/>
          <w:szCs w:val="24"/>
        </w:rPr>
        <w:t>persons on the Respondent</w:t>
      </w:r>
      <w:r w:rsidRPr="0037136C">
        <w:rPr>
          <w:spacing w:val="-1"/>
          <w:sz w:val="24"/>
          <w:szCs w:val="24"/>
        </w:rPr>
        <w:t xml:space="preserve"> </w:t>
      </w:r>
      <w:r w:rsidRPr="0037136C">
        <w:rPr>
          <w:sz w:val="24"/>
          <w:szCs w:val="24"/>
        </w:rPr>
        <w:t>team.</w:t>
      </w:r>
    </w:p>
    <w:p w14:paraId="6816159E" w14:textId="362FD41D" w:rsidR="00F922E8" w:rsidRPr="0037136C" w:rsidRDefault="00F922E8" w:rsidP="00F922E8">
      <w:pPr>
        <w:pStyle w:val="BodyText"/>
        <w:numPr>
          <w:ilvl w:val="2"/>
          <w:numId w:val="24"/>
        </w:numPr>
        <w:spacing w:line="276" w:lineRule="auto"/>
        <w:ind w:right="660"/>
        <w:jc w:val="both"/>
        <w:rPr>
          <w:sz w:val="24"/>
          <w:szCs w:val="24"/>
        </w:rPr>
      </w:pPr>
      <w:r w:rsidRPr="0037136C">
        <w:rPr>
          <w:sz w:val="24"/>
          <w:szCs w:val="24"/>
        </w:rPr>
        <w:t xml:space="preserve">Respondents must certify that none of the items listed in the exhibit described above will in any way impede their ability to execute upon the business plan inherent with the </w:t>
      </w:r>
      <w:r w:rsidR="00C75890">
        <w:rPr>
          <w:sz w:val="24"/>
          <w:szCs w:val="24"/>
        </w:rPr>
        <w:t>Proposal</w:t>
      </w:r>
      <w:r w:rsidRPr="0037136C">
        <w:rPr>
          <w:sz w:val="24"/>
          <w:szCs w:val="24"/>
        </w:rPr>
        <w:t>.</w:t>
      </w:r>
    </w:p>
    <w:p w14:paraId="324831FB" w14:textId="7BE44E0B" w:rsidR="00F922E8" w:rsidRPr="0037136C" w:rsidRDefault="00F922E8" w:rsidP="00F922E8">
      <w:pPr>
        <w:pStyle w:val="BodyText"/>
        <w:numPr>
          <w:ilvl w:val="2"/>
          <w:numId w:val="24"/>
        </w:numPr>
        <w:spacing w:line="276" w:lineRule="auto"/>
        <w:ind w:right="660"/>
        <w:jc w:val="both"/>
        <w:rPr>
          <w:sz w:val="24"/>
          <w:szCs w:val="24"/>
        </w:rPr>
      </w:pPr>
      <w:r w:rsidRPr="0037136C">
        <w:rPr>
          <w:sz w:val="24"/>
          <w:szCs w:val="24"/>
        </w:rPr>
        <w:t xml:space="preserve">Respondents must certify the completeness of the information provided in their </w:t>
      </w:r>
      <w:r w:rsidR="00C75890">
        <w:rPr>
          <w:sz w:val="24"/>
          <w:szCs w:val="24"/>
        </w:rPr>
        <w:t>Proposal</w:t>
      </w:r>
      <w:r w:rsidRPr="0037136C">
        <w:rPr>
          <w:sz w:val="24"/>
          <w:szCs w:val="24"/>
        </w:rPr>
        <w:t>. The omission of information that the State deems material (determined in its</w:t>
      </w:r>
      <w:r w:rsidRPr="0037136C">
        <w:rPr>
          <w:spacing w:val="1"/>
          <w:sz w:val="24"/>
          <w:szCs w:val="24"/>
        </w:rPr>
        <w:t xml:space="preserve"> </w:t>
      </w:r>
      <w:r w:rsidRPr="0037136C">
        <w:rPr>
          <w:sz w:val="24"/>
          <w:szCs w:val="24"/>
        </w:rPr>
        <w:t xml:space="preserve">sole discretion) will result in the </w:t>
      </w:r>
      <w:r w:rsidR="00C75890">
        <w:rPr>
          <w:sz w:val="24"/>
          <w:szCs w:val="24"/>
        </w:rPr>
        <w:t>Proposal</w:t>
      </w:r>
      <w:r w:rsidR="00C75890" w:rsidRPr="0037136C">
        <w:rPr>
          <w:sz w:val="24"/>
          <w:szCs w:val="24"/>
        </w:rPr>
        <w:t xml:space="preserve"> </w:t>
      </w:r>
      <w:r w:rsidRPr="0037136C">
        <w:rPr>
          <w:sz w:val="24"/>
          <w:szCs w:val="24"/>
        </w:rPr>
        <w:t xml:space="preserve">being deemed non-responsive. The State will determine, in the State’s sole discretion, whether to </w:t>
      </w:r>
      <w:r w:rsidR="00B317B2">
        <w:rPr>
          <w:sz w:val="24"/>
          <w:szCs w:val="24"/>
        </w:rPr>
        <w:t xml:space="preserve">a) </w:t>
      </w:r>
      <w:r w:rsidRPr="0037136C">
        <w:rPr>
          <w:sz w:val="24"/>
          <w:szCs w:val="24"/>
        </w:rPr>
        <w:t xml:space="preserve">further review or evaluate </w:t>
      </w:r>
      <w:r w:rsidR="00B317B2">
        <w:rPr>
          <w:sz w:val="24"/>
          <w:szCs w:val="24"/>
        </w:rPr>
        <w:t xml:space="preserve">Proposals </w:t>
      </w:r>
      <w:r w:rsidRPr="0037136C">
        <w:rPr>
          <w:sz w:val="24"/>
          <w:szCs w:val="24"/>
        </w:rPr>
        <w:t>that</w:t>
      </w:r>
      <w:r w:rsidRPr="0037136C">
        <w:rPr>
          <w:spacing w:val="-1"/>
          <w:sz w:val="24"/>
          <w:szCs w:val="24"/>
        </w:rPr>
        <w:t xml:space="preserve"> </w:t>
      </w:r>
      <w:r w:rsidRPr="0037136C">
        <w:rPr>
          <w:sz w:val="24"/>
          <w:szCs w:val="24"/>
        </w:rPr>
        <w:t>it</w:t>
      </w:r>
      <w:r w:rsidRPr="0037136C">
        <w:rPr>
          <w:spacing w:val="1"/>
          <w:sz w:val="24"/>
          <w:szCs w:val="24"/>
        </w:rPr>
        <w:t xml:space="preserve"> </w:t>
      </w:r>
      <w:r w:rsidRPr="0037136C">
        <w:rPr>
          <w:sz w:val="24"/>
          <w:szCs w:val="24"/>
        </w:rPr>
        <w:t>deems non-responsive</w:t>
      </w:r>
      <w:r w:rsidR="00B317B2">
        <w:rPr>
          <w:sz w:val="24"/>
          <w:szCs w:val="24"/>
        </w:rPr>
        <w:t xml:space="preserve">, b) request additional information, and/or c) which information </w:t>
      </w:r>
      <w:r w:rsidR="009148B1">
        <w:rPr>
          <w:sz w:val="24"/>
          <w:szCs w:val="24"/>
        </w:rPr>
        <w:t>to request, if any</w:t>
      </w:r>
      <w:r w:rsidRPr="0037136C">
        <w:rPr>
          <w:sz w:val="24"/>
          <w:szCs w:val="24"/>
        </w:rPr>
        <w:t>.</w:t>
      </w:r>
    </w:p>
    <w:p w14:paraId="16B22D06" w14:textId="17ADCB2E" w:rsidR="00F922E8" w:rsidRDefault="00F922E8" w:rsidP="00F922E8">
      <w:pPr>
        <w:pStyle w:val="BodyText"/>
        <w:numPr>
          <w:ilvl w:val="2"/>
          <w:numId w:val="24"/>
        </w:numPr>
        <w:spacing w:line="276" w:lineRule="auto"/>
        <w:ind w:right="660"/>
        <w:jc w:val="both"/>
        <w:rPr>
          <w:sz w:val="24"/>
          <w:szCs w:val="24"/>
        </w:rPr>
      </w:pPr>
      <w:r w:rsidRPr="0037136C">
        <w:rPr>
          <w:sz w:val="24"/>
          <w:szCs w:val="24"/>
        </w:rPr>
        <w:t>Provide detail for any assessed and/or outstanding CDLAC and/or CTCAC Negative Points and/or outstanding HCD compliance issues.</w:t>
      </w:r>
    </w:p>
    <w:p w14:paraId="015850AC" w14:textId="7BF347F4" w:rsidR="00AC6CDF" w:rsidRDefault="00AC6CDF" w:rsidP="00AC6CDF">
      <w:pPr>
        <w:pStyle w:val="BodyText"/>
        <w:spacing w:line="276" w:lineRule="auto"/>
        <w:ind w:right="660"/>
        <w:jc w:val="both"/>
        <w:rPr>
          <w:sz w:val="24"/>
          <w:szCs w:val="24"/>
        </w:rPr>
      </w:pPr>
    </w:p>
    <w:p w14:paraId="3F1C53C0" w14:textId="16985AD0" w:rsidR="00AF0068" w:rsidRDefault="00AF0068" w:rsidP="00AC6CDF">
      <w:pPr>
        <w:pStyle w:val="BodyText"/>
        <w:spacing w:line="276" w:lineRule="auto"/>
        <w:ind w:right="660"/>
        <w:jc w:val="both"/>
        <w:rPr>
          <w:sz w:val="24"/>
          <w:szCs w:val="24"/>
        </w:rPr>
      </w:pPr>
    </w:p>
    <w:p w14:paraId="4CB6FC43" w14:textId="380D1A43" w:rsidR="00B37674" w:rsidRPr="008C0C03" w:rsidRDefault="008C0C03" w:rsidP="00B75968">
      <w:pPr>
        <w:jc w:val="center"/>
        <w:rPr>
          <w:b/>
          <w:bCs/>
          <w:sz w:val="28"/>
          <w:szCs w:val="24"/>
        </w:rPr>
      </w:pPr>
      <w:bookmarkStart w:id="19" w:name="_Hlk79565470"/>
      <w:bookmarkEnd w:id="17"/>
      <w:r>
        <w:br w:type="page"/>
      </w:r>
      <w:r w:rsidR="00B37674" w:rsidRPr="008C0C03">
        <w:rPr>
          <w:b/>
          <w:bCs/>
          <w:sz w:val="28"/>
          <w:szCs w:val="24"/>
        </w:rPr>
        <w:lastRenderedPageBreak/>
        <w:t>EXHIBIT</w:t>
      </w:r>
      <w:r w:rsidR="00B37674" w:rsidRPr="008C0C03">
        <w:rPr>
          <w:b/>
          <w:bCs/>
          <w:spacing w:val="-8"/>
          <w:sz w:val="28"/>
          <w:szCs w:val="24"/>
        </w:rPr>
        <w:t xml:space="preserve"> </w:t>
      </w:r>
      <w:r w:rsidR="00B37674" w:rsidRPr="008C0C03">
        <w:rPr>
          <w:b/>
          <w:bCs/>
          <w:sz w:val="28"/>
          <w:szCs w:val="24"/>
        </w:rPr>
        <w:t>LIST</w:t>
      </w:r>
    </w:p>
    <w:p w14:paraId="22F8756D" w14:textId="77777777" w:rsidR="00B37674" w:rsidRDefault="00B37674" w:rsidP="00E26C4D">
      <w:pPr>
        <w:pStyle w:val="BodyText"/>
        <w:rPr>
          <w:b/>
          <w:sz w:val="30"/>
        </w:rPr>
      </w:pPr>
    </w:p>
    <w:p w14:paraId="71259842" w14:textId="77777777" w:rsidR="006F4033" w:rsidRPr="00B41EE2" w:rsidRDefault="00B37674" w:rsidP="00B41EE2">
      <w:r w:rsidRPr="00B41EE2">
        <w:t xml:space="preserve">EXHIBIT 1. </w:t>
      </w:r>
      <w:r w:rsidRPr="00B41EE2">
        <w:tab/>
        <w:t>EO N-06-19</w:t>
      </w:r>
    </w:p>
    <w:p w14:paraId="5F054A3B" w14:textId="71A20EFB" w:rsidR="00B37674" w:rsidRPr="00B41EE2" w:rsidRDefault="00B37674" w:rsidP="00B41EE2">
      <w:r w:rsidRPr="00B41EE2">
        <w:t>EXHIBIT 2.</w:t>
      </w:r>
      <w:r w:rsidRPr="00B41EE2">
        <w:tab/>
        <w:t>Government Code Section 14671.2</w:t>
      </w:r>
    </w:p>
    <w:p w14:paraId="23C88D5D" w14:textId="363625B1" w:rsidR="006F4033" w:rsidRPr="00B41EE2" w:rsidRDefault="00B37674" w:rsidP="00B41EE2">
      <w:r w:rsidRPr="00B41EE2">
        <w:t>EXHIBIT 3.</w:t>
      </w:r>
      <w:r w:rsidRPr="00B41EE2">
        <w:tab/>
        <w:t>Site Information and Maps</w:t>
      </w:r>
    </w:p>
    <w:p w14:paraId="655ABB54" w14:textId="492822B6" w:rsidR="00B37674" w:rsidRPr="00B41EE2" w:rsidRDefault="00B37674" w:rsidP="00B41EE2">
      <w:r w:rsidRPr="00B41EE2">
        <w:t xml:space="preserve">EXHIBIT 4. </w:t>
      </w:r>
      <w:r w:rsidRPr="00B41EE2">
        <w:tab/>
        <w:t xml:space="preserve">State Sovereignty and Entitlements Under EO N-06-19  </w:t>
      </w:r>
    </w:p>
    <w:p w14:paraId="606381FF" w14:textId="76F8E45F" w:rsidR="00B37674" w:rsidRPr="00B41EE2" w:rsidRDefault="00B37674" w:rsidP="00B41EE2">
      <w:r w:rsidRPr="00B41EE2">
        <w:t xml:space="preserve">EXHIBIT 5. </w:t>
      </w:r>
      <w:r w:rsidRPr="00B41EE2">
        <w:tab/>
        <w:t>Frequently Asked Questions</w:t>
      </w:r>
    </w:p>
    <w:p w14:paraId="5AC2B0CB" w14:textId="4733CA9B" w:rsidR="00E50640" w:rsidRPr="00B41EE2" w:rsidRDefault="00B37674" w:rsidP="00B41EE2">
      <w:r w:rsidRPr="00B41EE2">
        <w:t xml:space="preserve">EXHIBIT 6. </w:t>
      </w:r>
      <w:r w:rsidRPr="00B41EE2">
        <w:tab/>
      </w:r>
      <w:r w:rsidR="00470219" w:rsidRPr="00B41EE2">
        <w:t>Links to Due Diligence Documents</w:t>
      </w:r>
    </w:p>
    <w:p w14:paraId="1DECE913" w14:textId="2145FBED" w:rsidR="000E6AE3" w:rsidRPr="00B41EE2" w:rsidRDefault="000E6AE3" w:rsidP="00B41EE2">
      <w:r w:rsidRPr="00B41EE2">
        <w:t xml:space="preserve">EXHIBIT 7. </w:t>
      </w:r>
      <w:r w:rsidRPr="00B41EE2">
        <w:tab/>
      </w:r>
      <w:r w:rsidR="00ED20E6" w:rsidRPr="00B41EE2">
        <w:t xml:space="preserve">RFP Scoring </w:t>
      </w:r>
    </w:p>
    <w:p w14:paraId="71B3A0AD" w14:textId="77777777" w:rsidR="00414546" w:rsidRPr="00E50640" w:rsidRDefault="00414546" w:rsidP="00E26C4D">
      <w:pPr>
        <w:pStyle w:val="ListParagraph"/>
        <w:spacing w:after="0"/>
        <w:rPr>
          <w:color w:val="0000FF"/>
          <w:szCs w:val="24"/>
        </w:rPr>
      </w:pPr>
    </w:p>
    <w:bookmarkEnd w:id="19"/>
    <w:p w14:paraId="34571149" w14:textId="2A8DD8CE" w:rsidR="00470219" w:rsidRDefault="00470219" w:rsidP="00E26C4D">
      <w:pPr>
        <w:spacing w:after="0"/>
        <w:rPr>
          <w:rFonts w:eastAsia="Calibri" w:cs="Times New Roman"/>
          <w:b/>
          <w:bCs/>
          <w:color w:val="0000FF"/>
          <w:sz w:val="28"/>
          <w:szCs w:val="24"/>
        </w:rPr>
      </w:pPr>
      <w:r>
        <w:rPr>
          <w:rFonts w:eastAsia="Calibri" w:cs="Times New Roman"/>
          <w:color w:val="0000FF"/>
        </w:rPr>
        <w:br w:type="page"/>
      </w:r>
    </w:p>
    <w:p w14:paraId="63F987EE" w14:textId="77777777" w:rsidR="000F5B4C" w:rsidRPr="00BF52FE" w:rsidRDefault="000F5B4C" w:rsidP="00E26C4D">
      <w:pPr>
        <w:spacing w:after="0"/>
        <w:jc w:val="center"/>
        <w:rPr>
          <w:b/>
          <w:bCs/>
          <w:sz w:val="28"/>
          <w:szCs w:val="28"/>
        </w:rPr>
      </w:pPr>
      <w:r w:rsidRPr="00BF52FE">
        <w:rPr>
          <w:b/>
          <w:bCs/>
          <w:sz w:val="28"/>
          <w:szCs w:val="28"/>
        </w:rPr>
        <w:lastRenderedPageBreak/>
        <w:t>EXHIBIT 1 - EO N-06-19</w:t>
      </w:r>
    </w:p>
    <w:p w14:paraId="76E0B297" w14:textId="77777777" w:rsidR="000F5B4C" w:rsidRPr="004F5C98" w:rsidRDefault="000F5B4C" w:rsidP="00E26C4D">
      <w:pPr>
        <w:spacing w:after="0"/>
        <w:jc w:val="center"/>
        <w:rPr>
          <w:szCs w:val="24"/>
        </w:rPr>
      </w:pPr>
    </w:p>
    <w:p w14:paraId="253031BC" w14:textId="77777777" w:rsidR="000F5B4C" w:rsidRPr="00BF52FE" w:rsidRDefault="000F5B4C" w:rsidP="00E26C4D">
      <w:pPr>
        <w:spacing w:after="0"/>
        <w:jc w:val="center"/>
        <w:rPr>
          <w:i/>
          <w:iCs/>
          <w:szCs w:val="24"/>
        </w:rPr>
      </w:pPr>
      <w:r w:rsidRPr="00BF52FE">
        <w:rPr>
          <w:i/>
          <w:iCs/>
          <w:szCs w:val="24"/>
        </w:rPr>
        <w:t>(The rest of this page has intentionally been left blank).</w:t>
      </w:r>
    </w:p>
    <w:p w14:paraId="1EC3218B" w14:textId="6FA3F03F" w:rsidR="000F5B4C" w:rsidRDefault="000F5B4C" w:rsidP="00E26C4D">
      <w:pPr>
        <w:spacing w:after="0"/>
        <w:rPr>
          <w:rFonts w:eastAsia="Calibri" w:cs="Times New Roman"/>
          <w:b/>
          <w:bCs/>
          <w:color w:val="0000FF"/>
          <w:sz w:val="28"/>
          <w:szCs w:val="24"/>
        </w:rPr>
      </w:pPr>
      <w:r>
        <w:rPr>
          <w:rFonts w:eastAsia="Calibri" w:cs="Times New Roman"/>
          <w:color w:val="0000FF"/>
        </w:rPr>
        <w:br w:type="page"/>
      </w:r>
    </w:p>
    <w:p w14:paraId="7DEC4FB1" w14:textId="77777777" w:rsidR="000B652E" w:rsidRDefault="000B652E" w:rsidP="00E26C4D">
      <w:pPr>
        <w:spacing w:after="0"/>
        <w:jc w:val="center"/>
        <w:rPr>
          <w:b/>
          <w:bCs/>
          <w:sz w:val="28"/>
          <w:szCs w:val="28"/>
        </w:rPr>
      </w:pPr>
    </w:p>
    <w:p w14:paraId="26FE4C74" w14:textId="3990AA91" w:rsidR="000151D2" w:rsidRPr="00BF52FE" w:rsidRDefault="000151D2" w:rsidP="00E26C4D">
      <w:pPr>
        <w:spacing w:after="0"/>
        <w:jc w:val="center"/>
        <w:rPr>
          <w:b/>
          <w:bCs/>
          <w:sz w:val="28"/>
          <w:szCs w:val="28"/>
        </w:rPr>
      </w:pPr>
      <w:r w:rsidRPr="00BF52FE">
        <w:rPr>
          <w:b/>
          <w:bCs/>
          <w:sz w:val="28"/>
          <w:szCs w:val="28"/>
        </w:rPr>
        <w:t>EXHIBIT 2. – GOVERNMENT CODE SECTION 14671.2</w:t>
      </w:r>
    </w:p>
    <w:p w14:paraId="72CE580D" w14:textId="77777777" w:rsidR="00BB7785" w:rsidRPr="004F5C98" w:rsidRDefault="00BB7785" w:rsidP="00E26C4D">
      <w:pPr>
        <w:spacing w:after="0"/>
        <w:rPr>
          <w:szCs w:val="24"/>
        </w:rPr>
      </w:pPr>
    </w:p>
    <w:p w14:paraId="6B292651" w14:textId="77777777" w:rsidR="00BB7699" w:rsidRPr="00BB7699" w:rsidRDefault="00726FE8" w:rsidP="00BB7699">
      <w:pPr>
        <w:pStyle w:val="CommentText"/>
        <w:rPr>
          <w:sz w:val="24"/>
          <w:szCs w:val="24"/>
        </w:rPr>
      </w:pPr>
      <w:hyperlink r:id="rId12" w:history="1">
        <w:r w:rsidR="00BB7699" w:rsidRPr="00BB7699">
          <w:rPr>
            <w:rStyle w:val="Hyperlink"/>
            <w:sz w:val="24"/>
            <w:szCs w:val="24"/>
          </w:rPr>
          <w:t>https://leginfo.legislature.ca.gov/faces/codes_displaySection.xhtml?lawCode=GOV&amp;sectionNum=14671.2</w:t>
        </w:r>
      </w:hyperlink>
    </w:p>
    <w:p w14:paraId="23973332" w14:textId="6DBA4364" w:rsidR="000B652E" w:rsidRDefault="000B652E" w:rsidP="00E26C4D">
      <w:pPr>
        <w:spacing w:after="0"/>
        <w:rPr>
          <w:rFonts w:eastAsia="Calibri" w:cs="Times New Roman"/>
          <w:color w:val="0000FF"/>
          <w:sz w:val="28"/>
          <w:szCs w:val="24"/>
        </w:rPr>
      </w:pPr>
      <w:r>
        <w:rPr>
          <w:rFonts w:eastAsia="Calibri" w:cs="Times New Roman"/>
          <w:b/>
          <w:bCs/>
          <w:color w:val="0000FF"/>
        </w:rPr>
        <w:br w:type="page"/>
      </w:r>
    </w:p>
    <w:p w14:paraId="0EEDB673" w14:textId="77777777" w:rsidR="00884F52" w:rsidRPr="00BF52FE" w:rsidRDefault="00884F52" w:rsidP="00E26C4D">
      <w:pPr>
        <w:spacing w:after="0"/>
        <w:jc w:val="center"/>
        <w:rPr>
          <w:b/>
          <w:bCs/>
          <w:sz w:val="28"/>
          <w:szCs w:val="28"/>
        </w:rPr>
      </w:pPr>
      <w:r w:rsidRPr="00BF52FE">
        <w:rPr>
          <w:b/>
          <w:bCs/>
          <w:sz w:val="28"/>
          <w:szCs w:val="28"/>
        </w:rPr>
        <w:lastRenderedPageBreak/>
        <w:t>EXHIBIT 3 – SITE INFORMATION AND MAPS</w:t>
      </w:r>
    </w:p>
    <w:p w14:paraId="6F15AB12" w14:textId="77777777" w:rsidR="00285B75" w:rsidRDefault="00285B75" w:rsidP="00285B75">
      <w:pPr>
        <w:pStyle w:val="ListParagraph"/>
        <w:spacing w:after="0" w:line="240" w:lineRule="auto"/>
        <w:ind w:left="360"/>
        <w:jc w:val="both"/>
        <w:rPr>
          <w:rFonts w:cs="Arial"/>
          <w:szCs w:val="24"/>
        </w:rPr>
      </w:pPr>
    </w:p>
    <w:p w14:paraId="17D9AC35" w14:textId="6410AEFA" w:rsidR="00410D6A" w:rsidRPr="00410D6A" w:rsidRDefault="00410D6A" w:rsidP="00285B75">
      <w:pPr>
        <w:pStyle w:val="ListParagraph"/>
        <w:numPr>
          <w:ilvl w:val="0"/>
          <w:numId w:val="20"/>
        </w:numPr>
        <w:spacing w:after="0" w:line="240" w:lineRule="auto"/>
        <w:ind w:left="360"/>
        <w:jc w:val="both"/>
        <w:rPr>
          <w:rFonts w:cs="Arial"/>
          <w:szCs w:val="24"/>
        </w:rPr>
      </w:pPr>
      <w:r w:rsidRPr="00410D6A">
        <w:rPr>
          <w:rFonts w:cs="Arial"/>
          <w:szCs w:val="24"/>
        </w:rPr>
        <w:t>1405 S. Broadway/1400 S. Hill Street, Los Angeles</w:t>
      </w:r>
      <w:r w:rsidR="00347AEF">
        <w:rPr>
          <w:rFonts w:cs="Arial"/>
          <w:szCs w:val="24"/>
        </w:rPr>
        <w:t>, CA</w:t>
      </w:r>
    </w:p>
    <w:p w14:paraId="14B03989" w14:textId="77777777" w:rsidR="00410D6A" w:rsidRPr="00410D6A" w:rsidRDefault="00410D6A" w:rsidP="00285B75">
      <w:pPr>
        <w:pStyle w:val="ListParagraph"/>
        <w:numPr>
          <w:ilvl w:val="0"/>
          <w:numId w:val="20"/>
        </w:numPr>
        <w:spacing w:after="0" w:line="240" w:lineRule="auto"/>
        <w:ind w:left="360"/>
        <w:jc w:val="both"/>
        <w:rPr>
          <w:rFonts w:cs="Arial"/>
          <w:szCs w:val="24"/>
        </w:rPr>
      </w:pPr>
      <w:r w:rsidRPr="00410D6A">
        <w:rPr>
          <w:rFonts w:cs="Arial"/>
          <w:szCs w:val="24"/>
        </w:rPr>
        <w:t xml:space="preserve">Building(s): 29,521 </w:t>
      </w:r>
      <w:proofErr w:type="spellStart"/>
      <w:r w:rsidRPr="00410D6A">
        <w:rPr>
          <w:rFonts w:cs="Arial"/>
          <w:szCs w:val="24"/>
        </w:rPr>
        <w:t>s.f.</w:t>
      </w:r>
      <w:proofErr w:type="spellEnd"/>
    </w:p>
    <w:p w14:paraId="479BECCC" w14:textId="77777777" w:rsidR="00410D6A" w:rsidRPr="00410D6A" w:rsidRDefault="00410D6A" w:rsidP="00285B75">
      <w:pPr>
        <w:pStyle w:val="ListParagraph"/>
        <w:numPr>
          <w:ilvl w:val="0"/>
          <w:numId w:val="20"/>
        </w:numPr>
        <w:spacing w:after="0" w:line="240" w:lineRule="auto"/>
        <w:ind w:left="360"/>
        <w:jc w:val="both"/>
        <w:rPr>
          <w:rFonts w:cs="Arial"/>
          <w:szCs w:val="24"/>
        </w:rPr>
      </w:pPr>
      <w:r w:rsidRPr="00410D6A">
        <w:rPr>
          <w:rFonts w:cs="Arial"/>
          <w:szCs w:val="24"/>
        </w:rPr>
        <w:t>Parcel: 5133-003-902</w:t>
      </w:r>
    </w:p>
    <w:p w14:paraId="314732E4" w14:textId="77777777" w:rsidR="00FD771A" w:rsidRDefault="00410D6A" w:rsidP="00FD771A">
      <w:pPr>
        <w:pStyle w:val="ListParagraph"/>
        <w:numPr>
          <w:ilvl w:val="0"/>
          <w:numId w:val="20"/>
        </w:numPr>
        <w:spacing w:after="0" w:line="240" w:lineRule="auto"/>
        <w:ind w:left="360"/>
        <w:jc w:val="both"/>
        <w:rPr>
          <w:rFonts w:cs="Arial"/>
          <w:szCs w:val="24"/>
        </w:rPr>
      </w:pPr>
      <w:r w:rsidRPr="00410D6A">
        <w:rPr>
          <w:rFonts w:cs="Arial"/>
          <w:szCs w:val="24"/>
        </w:rPr>
        <w:t>Size: 1.46 acres</w:t>
      </w:r>
    </w:p>
    <w:p w14:paraId="0FFE2841" w14:textId="67E81A15" w:rsidR="005E6CE2" w:rsidRPr="00815C7D" w:rsidRDefault="00FD771A">
      <w:pPr>
        <w:pStyle w:val="ListParagraph"/>
        <w:numPr>
          <w:ilvl w:val="0"/>
          <w:numId w:val="20"/>
        </w:numPr>
        <w:spacing w:after="0" w:line="240" w:lineRule="auto"/>
        <w:ind w:left="360"/>
        <w:jc w:val="both"/>
        <w:rPr>
          <w:rFonts w:cs="Arial"/>
          <w:szCs w:val="24"/>
        </w:rPr>
      </w:pPr>
      <w:r w:rsidRPr="00FD771A">
        <w:rPr>
          <w:rFonts w:cs="Arial"/>
          <w:szCs w:val="24"/>
        </w:rPr>
        <w:t xml:space="preserve">Note: </w:t>
      </w:r>
      <w:r>
        <w:t xml:space="preserve">Pursuant to Executive Order </w:t>
      </w:r>
      <w:hyperlink r:id="rId13" w:history="1">
        <w:r w:rsidRPr="00D34485">
          <w:rPr>
            <w:rStyle w:val="Hyperlink"/>
          </w:rPr>
          <w:t>N-23-20</w:t>
        </w:r>
      </w:hyperlink>
      <w:r>
        <w:t>, the City of Los Angeles may propose the use of the property as a temporary shelter.  The terms of any agreement for shelter use will require the City to terminate shelter operations as required to meet the schedule for construction of the affordable housing development.</w:t>
      </w:r>
    </w:p>
    <w:p w14:paraId="5AF73C06" w14:textId="6F888B23" w:rsidR="002801DC" w:rsidRDefault="002801DC" w:rsidP="00285B75">
      <w:pPr>
        <w:pStyle w:val="ListParagraph"/>
        <w:numPr>
          <w:ilvl w:val="0"/>
          <w:numId w:val="20"/>
        </w:numPr>
        <w:spacing w:after="0" w:line="240" w:lineRule="auto"/>
        <w:ind w:left="360"/>
        <w:jc w:val="both"/>
        <w:rPr>
          <w:rFonts w:cs="Arial"/>
          <w:szCs w:val="24"/>
        </w:rPr>
      </w:pPr>
      <w:r>
        <w:rPr>
          <w:rFonts w:cs="Arial"/>
          <w:szCs w:val="24"/>
        </w:rPr>
        <w:t xml:space="preserve">Formerly used by the California Employment Development Department </w:t>
      </w:r>
      <w:r w:rsidR="006D2798">
        <w:rPr>
          <w:rFonts w:cs="Arial"/>
          <w:szCs w:val="24"/>
        </w:rPr>
        <w:t>(“EDD”)</w:t>
      </w:r>
    </w:p>
    <w:p w14:paraId="644EA843" w14:textId="1E51DF58" w:rsidR="0044349F" w:rsidRDefault="0044349F" w:rsidP="00285B75">
      <w:pPr>
        <w:pStyle w:val="ListParagraph"/>
        <w:numPr>
          <w:ilvl w:val="0"/>
          <w:numId w:val="20"/>
        </w:numPr>
        <w:spacing w:after="0" w:line="240" w:lineRule="auto"/>
        <w:ind w:left="360"/>
        <w:jc w:val="both"/>
        <w:rPr>
          <w:rFonts w:cs="Arial"/>
          <w:szCs w:val="24"/>
        </w:rPr>
      </w:pPr>
      <w:r>
        <w:rPr>
          <w:rFonts w:cs="Arial"/>
          <w:szCs w:val="24"/>
        </w:rPr>
        <w:t xml:space="preserve">The State expects </w:t>
      </w:r>
      <w:r w:rsidR="00740A54">
        <w:rPr>
          <w:rFonts w:cs="Arial"/>
          <w:szCs w:val="24"/>
        </w:rPr>
        <w:t xml:space="preserve">adequate </w:t>
      </w:r>
      <w:r>
        <w:rPr>
          <w:rFonts w:cs="Arial"/>
          <w:szCs w:val="24"/>
        </w:rPr>
        <w:t xml:space="preserve">utilities to be available to the site, the selected Respondent will need to confirm as part of their customary </w:t>
      </w:r>
      <w:r w:rsidR="00740A54">
        <w:rPr>
          <w:rFonts w:cs="Arial"/>
          <w:szCs w:val="24"/>
        </w:rPr>
        <w:t>due diligence process.</w:t>
      </w:r>
    </w:p>
    <w:p w14:paraId="26319B7B" w14:textId="728DF872" w:rsidR="00FD2BDA" w:rsidRDefault="00740A54" w:rsidP="00285B75">
      <w:pPr>
        <w:pStyle w:val="ListParagraph"/>
        <w:numPr>
          <w:ilvl w:val="0"/>
          <w:numId w:val="20"/>
        </w:numPr>
        <w:spacing w:after="0"/>
        <w:ind w:left="360"/>
        <w:jc w:val="both"/>
        <w:rPr>
          <w:szCs w:val="24"/>
        </w:rPr>
      </w:pPr>
      <w:r w:rsidRPr="00740A54">
        <w:rPr>
          <w:szCs w:val="24"/>
        </w:rPr>
        <w:t xml:space="preserve">There are two existing structures on the </w:t>
      </w:r>
      <w:r w:rsidR="00FD2BDA">
        <w:rPr>
          <w:szCs w:val="24"/>
        </w:rPr>
        <w:t>s</w:t>
      </w:r>
      <w:r w:rsidRPr="00740A54">
        <w:rPr>
          <w:szCs w:val="24"/>
        </w:rPr>
        <w:t xml:space="preserve">ite. The first single story building is approximately 29,512 </w:t>
      </w:r>
      <w:r w:rsidR="00FD2BDA">
        <w:rPr>
          <w:szCs w:val="24"/>
        </w:rPr>
        <w:t xml:space="preserve">square feet </w:t>
      </w:r>
      <w:r w:rsidRPr="00740A54">
        <w:rPr>
          <w:szCs w:val="24"/>
        </w:rPr>
        <w:t>gross building area (GBA) and the second single story building is approximately 14,880 GBA</w:t>
      </w:r>
      <w:r w:rsidR="00FD2BDA">
        <w:rPr>
          <w:szCs w:val="24"/>
        </w:rPr>
        <w:t xml:space="preserve">. Both buildings are </w:t>
      </w:r>
      <w:r w:rsidRPr="00740A54">
        <w:rPr>
          <w:szCs w:val="24"/>
        </w:rPr>
        <w:t>reportedly in poor/fair condition</w:t>
      </w:r>
      <w:r w:rsidR="00FD2BDA">
        <w:rPr>
          <w:szCs w:val="24"/>
        </w:rPr>
        <w:t>. The State expects the selected Respondent to demolish the existing improvements.</w:t>
      </w:r>
    </w:p>
    <w:p w14:paraId="58FCAA5E" w14:textId="4964A4EF" w:rsidR="00410D6A" w:rsidRPr="00D66287" w:rsidRDefault="00D66287" w:rsidP="00285B75">
      <w:pPr>
        <w:pStyle w:val="ListParagraph"/>
        <w:numPr>
          <w:ilvl w:val="0"/>
          <w:numId w:val="20"/>
        </w:numPr>
        <w:spacing w:after="0"/>
        <w:ind w:left="360"/>
        <w:jc w:val="both"/>
        <w:rPr>
          <w:szCs w:val="24"/>
        </w:rPr>
      </w:pPr>
      <w:r w:rsidRPr="00D66287">
        <w:rPr>
          <w:szCs w:val="24"/>
        </w:rPr>
        <w:t>The subject property is currently zoned PF-2D-O (Public Facilities); however, the properties surrounding the subject are zoned C2-2D-O. The subject property is located within the Greater South Park Business Improvement District of Downtown Los Angeles.</w:t>
      </w:r>
      <w:r w:rsidR="00085720" w:rsidRPr="00085720">
        <w:rPr>
          <w:noProof/>
        </w:rPr>
        <w:t xml:space="preserve"> </w:t>
      </w:r>
    </w:p>
    <w:p w14:paraId="32C61829" w14:textId="668B15EB" w:rsidR="00410D6A" w:rsidRDefault="00410D6A" w:rsidP="00E26C4D">
      <w:pPr>
        <w:spacing w:after="0" w:line="240" w:lineRule="auto"/>
        <w:rPr>
          <w:rFonts w:cs="Arial"/>
          <w:szCs w:val="24"/>
        </w:rPr>
      </w:pPr>
    </w:p>
    <w:p w14:paraId="74999DB4" w14:textId="6AC516B3" w:rsidR="00410D6A" w:rsidRPr="00685BAA" w:rsidRDefault="00085720" w:rsidP="00E26C4D">
      <w:pPr>
        <w:spacing w:after="0" w:line="240" w:lineRule="auto"/>
        <w:rPr>
          <w:rFonts w:cs="Arial"/>
          <w:szCs w:val="24"/>
        </w:rPr>
      </w:pPr>
      <w:r>
        <w:rPr>
          <w:noProof/>
        </w:rPr>
        <w:drawing>
          <wp:inline distT="0" distB="0" distL="0" distR="0" wp14:anchorId="4F26532C" wp14:editId="081A5BB5">
            <wp:extent cx="2960176" cy="2159422"/>
            <wp:effectExtent l="0" t="0" r="0" b="0"/>
            <wp:docPr id="10" name="Picture 10" descr="Zoomed out aerial image of 1405 S. Broadway/1400 S. Hill Street, Los Angeles,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Zoomed out aerial image of 1405 S. Broadway/1400 S. Hill Street, Los Angeles, CA"/>
                    <pic:cNvPicPr/>
                  </pic:nvPicPr>
                  <pic:blipFill rotWithShape="1">
                    <a:blip r:embed="rId14" cstate="print">
                      <a:extLst>
                        <a:ext uri="{28A0092B-C50C-407E-A947-70E740481C1C}">
                          <a14:useLocalDpi xmlns:a14="http://schemas.microsoft.com/office/drawing/2010/main" val="0"/>
                        </a:ext>
                      </a:extLst>
                    </a:blip>
                    <a:srcRect l="7600" r="8086"/>
                    <a:stretch/>
                  </pic:blipFill>
                  <pic:spPr bwMode="auto">
                    <a:xfrm>
                      <a:off x="0" y="0"/>
                      <a:ext cx="2968426" cy="2165440"/>
                    </a:xfrm>
                    <a:prstGeom prst="rect">
                      <a:avLst/>
                    </a:prstGeom>
                    <a:ln>
                      <a:noFill/>
                    </a:ln>
                    <a:extLst>
                      <a:ext uri="{53640926-AAD7-44D8-BBD7-CCE9431645EC}">
                        <a14:shadowObscured xmlns:a14="http://schemas.microsoft.com/office/drawing/2010/main"/>
                      </a:ext>
                    </a:extLst>
                  </pic:spPr>
                </pic:pic>
              </a:graphicData>
            </a:graphic>
          </wp:inline>
        </w:drawing>
      </w:r>
      <w:r w:rsidRPr="00C37F8E">
        <w:rPr>
          <w:noProof/>
        </w:rPr>
        <w:drawing>
          <wp:inline distT="0" distB="0" distL="0" distR="0" wp14:anchorId="2604D0C8" wp14:editId="396E993D">
            <wp:extent cx="2905760" cy="2046884"/>
            <wp:effectExtent l="0" t="0" r="8890" b="0"/>
            <wp:docPr id="1" name="Picture 1" descr="Zoomed in aerial image of 1405 S. Broadway/1400 S. Hill Street, Los Angeles,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oomed in aerial image of 1405 S. Broadway/1400 S. Hill Street, Los Angeles, CA"/>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3797" cy="2059590"/>
                    </a:xfrm>
                    <a:prstGeom prst="rect">
                      <a:avLst/>
                    </a:prstGeom>
                    <a:effectLst>
                      <a:glow>
                        <a:schemeClr val="accent1"/>
                      </a:glow>
                      <a:softEdge rad="76200"/>
                    </a:effectLst>
                  </pic:spPr>
                </pic:pic>
              </a:graphicData>
            </a:graphic>
          </wp:inline>
        </w:drawing>
      </w:r>
    </w:p>
    <w:p w14:paraId="4444072A" w14:textId="3A28493E" w:rsidR="00410D6A" w:rsidRPr="00685BAA" w:rsidRDefault="00410D6A" w:rsidP="00E26C4D">
      <w:pPr>
        <w:spacing w:after="0"/>
        <w:rPr>
          <w:rFonts w:cs="Arial"/>
          <w:szCs w:val="24"/>
        </w:rPr>
      </w:pPr>
    </w:p>
    <w:p w14:paraId="00D3AB02" w14:textId="000844D5" w:rsidR="00410D6A" w:rsidRPr="00685BAA" w:rsidRDefault="00410D6A" w:rsidP="00E26C4D">
      <w:pPr>
        <w:spacing w:after="0"/>
        <w:rPr>
          <w:rFonts w:cs="Arial"/>
          <w:szCs w:val="24"/>
        </w:rPr>
      </w:pPr>
    </w:p>
    <w:p w14:paraId="5354098C" w14:textId="5B691927" w:rsidR="00410D6A" w:rsidRPr="00685BAA" w:rsidRDefault="00410D6A" w:rsidP="00E26C4D">
      <w:pPr>
        <w:spacing w:after="0"/>
        <w:rPr>
          <w:rFonts w:cs="Arial"/>
          <w:szCs w:val="24"/>
        </w:rPr>
      </w:pPr>
    </w:p>
    <w:p w14:paraId="0D93DD60" w14:textId="182205B6" w:rsidR="00410D6A" w:rsidRDefault="00410D6A" w:rsidP="00E26C4D">
      <w:pPr>
        <w:spacing w:after="0"/>
        <w:rPr>
          <w:rFonts w:eastAsia="Calibri" w:cs="Times New Roman"/>
          <w:color w:val="0000FF"/>
          <w:sz w:val="28"/>
          <w:szCs w:val="24"/>
        </w:rPr>
      </w:pPr>
      <w:r>
        <w:rPr>
          <w:rFonts w:eastAsia="Calibri" w:cs="Times New Roman"/>
          <w:b/>
          <w:bCs/>
          <w:color w:val="0000FF"/>
        </w:rPr>
        <w:br w:type="page"/>
      </w:r>
    </w:p>
    <w:p w14:paraId="634F7503" w14:textId="77777777" w:rsidR="009F1DB3" w:rsidRDefault="009F1DB3" w:rsidP="009F1DB3">
      <w:pPr>
        <w:spacing w:after="0"/>
        <w:jc w:val="center"/>
        <w:rPr>
          <w:b/>
          <w:bCs/>
          <w:sz w:val="28"/>
          <w:szCs w:val="28"/>
        </w:rPr>
      </w:pPr>
      <w:r w:rsidRPr="00363A5E">
        <w:rPr>
          <w:b/>
          <w:bCs/>
          <w:sz w:val="28"/>
          <w:szCs w:val="28"/>
        </w:rPr>
        <w:lastRenderedPageBreak/>
        <w:t>EXHIBIT 4 – STATE SOVEREIGNTY</w:t>
      </w:r>
      <w:r>
        <w:rPr>
          <w:b/>
          <w:bCs/>
          <w:sz w:val="28"/>
          <w:szCs w:val="28"/>
        </w:rPr>
        <w:t xml:space="preserve"> AND ENTITLEMENTS </w:t>
      </w:r>
    </w:p>
    <w:p w14:paraId="7A48D186" w14:textId="77777777" w:rsidR="009F1DB3" w:rsidRPr="00363A5E" w:rsidRDefault="009F1DB3" w:rsidP="009F1DB3">
      <w:pPr>
        <w:spacing w:after="0"/>
        <w:jc w:val="center"/>
        <w:rPr>
          <w:b/>
          <w:bCs/>
          <w:sz w:val="28"/>
          <w:szCs w:val="28"/>
        </w:rPr>
      </w:pPr>
      <w:r>
        <w:rPr>
          <w:b/>
          <w:bCs/>
          <w:sz w:val="28"/>
          <w:szCs w:val="28"/>
        </w:rPr>
        <w:t>UNDER E.O. N-06-19</w:t>
      </w:r>
    </w:p>
    <w:p w14:paraId="5E183FAB" w14:textId="77777777" w:rsidR="009F1DB3" w:rsidRDefault="009F1DB3" w:rsidP="0063733C">
      <w:pPr>
        <w:rPr>
          <w:b/>
          <w:bCs/>
          <w:szCs w:val="24"/>
          <w:u w:val="single"/>
        </w:rPr>
      </w:pPr>
    </w:p>
    <w:p w14:paraId="6AE01D9B" w14:textId="4C97294D" w:rsidR="0063733C" w:rsidRDefault="0063733C" w:rsidP="0063733C">
      <w:pPr>
        <w:rPr>
          <w:b/>
          <w:bCs/>
          <w:szCs w:val="24"/>
          <w:u w:val="single"/>
        </w:rPr>
      </w:pPr>
      <w:r>
        <w:rPr>
          <w:b/>
          <w:bCs/>
          <w:szCs w:val="24"/>
          <w:u w:val="single"/>
        </w:rPr>
        <w:t>Introduction of Exhibit Topics</w:t>
      </w:r>
    </w:p>
    <w:p w14:paraId="32DCBA39" w14:textId="77777777" w:rsidR="0063733C" w:rsidRPr="000E16A2" w:rsidRDefault="0063733C" w:rsidP="0063733C">
      <w:pPr>
        <w:pStyle w:val="ListParagraph"/>
        <w:numPr>
          <w:ilvl w:val="0"/>
          <w:numId w:val="28"/>
        </w:numPr>
        <w:spacing w:after="160" w:line="259" w:lineRule="auto"/>
        <w:rPr>
          <w:szCs w:val="24"/>
        </w:rPr>
      </w:pPr>
      <w:r w:rsidRPr="000E16A2">
        <w:rPr>
          <w:szCs w:val="24"/>
        </w:rPr>
        <w:t>State Sovereignty</w:t>
      </w:r>
    </w:p>
    <w:p w14:paraId="58E0DA5F" w14:textId="77777777" w:rsidR="0063733C" w:rsidRPr="000E16A2" w:rsidRDefault="0063733C" w:rsidP="0063733C">
      <w:pPr>
        <w:pStyle w:val="ListParagraph"/>
        <w:numPr>
          <w:ilvl w:val="0"/>
          <w:numId w:val="28"/>
        </w:numPr>
        <w:spacing w:after="160" w:line="259" w:lineRule="auto"/>
        <w:rPr>
          <w:szCs w:val="24"/>
        </w:rPr>
      </w:pPr>
      <w:r w:rsidRPr="000E16A2">
        <w:rPr>
          <w:szCs w:val="24"/>
        </w:rPr>
        <w:t>Comparison Table</w:t>
      </w:r>
    </w:p>
    <w:p w14:paraId="45265B28" w14:textId="77777777" w:rsidR="0063733C" w:rsidRPr="000E16A2" w:rsidRDefault="0063733C" w:rsidP="0063733C">
      <w:pPr>
        <w:pStyle w:val="ListParagraph"/>
        <w:numPr>
          <w:ilvl w:val="0"/>
          <w:numId w:val="28"/>
        </w:numPr>
        <w:spacing w:after="160" w:line="259" w:lineRule="auto"/>
        <w:rPr>
          <w:szCs w:val="24"/>
        </w:rPr>
      </w:pPr>
      <w:r w:rsidRPr="000E16A2">
        <w:rPr>
          <w:szCs w:val="24"/>
        </w:rPr>
        <w:t>Additional Information</w:t>
      </w:r>
    </w:p>
    <w:p w14:paraId="6B83F5E7" w14:textId="77777777" w:rsidR="0063733C" w:rsidRPr="00C82FF9" w:rsidRDefault="0063733C" w:rsidP="0063733C">
      <w:pPr>
        <w:rPr>
          <w:b/>
          <w:bCs/>
          <w:szCs w:val="24"/>
          <w:u w:val="single"/>
        </w:rPr>
      </w:pPr>
      <w:r>
        <w:rPr>
          <w:b/>
          <w:bCs/>
          <w:szCs w:val="24"/>
          <w:u w:val="single"/>
        </w:rPr>
        <w:t>State Sovereignty</w:t>
      </w:r>
    </w:p>
    <w:p w14:paraId="2E739841" w14:textId="1D2B4503" w:rsidR="0063733C" w:rsidRDefault="0063733C" w:rsidP="0063733C">
      <w:pPr>
        <w:jc w:val="both"/>
        <w:rPr>
          <w:szCs w:val="24"/>
        </w:rPr>
      </w:pPr>
      <w:bookmarkStart w:id="20" w:name="_Hlk70346550"/>
      <w:r w:rsidRPr="00977EBD">
        <w:rPr>
          <w:szCs w:val="24"/>
        </w:rPr>
        <w:t xml:space="preserve">This </w:t>
      </w:r>
      <w:r>
        <w:rPr>
          <w:szCs w:val="24"/>
        </w:rPr>
        <w:t>discussion</w:t>
      </w:r>
      <w:r w:rsidRPr="00977EBD">
        <w:rPr>
          <w:szCs w:val="24"/>
        </w:rPr>
        <w:t xml:space="preserve"> is offered </w:t>
      </w:r>
      <w:r>
        <w:rPr>
          <w:szCs w:val="24"/>
        </w:rPr>
        <w:t>as a practitioner’s</w:t>
      </w:r>
      <w:r w:rsidRPr="00977EBD">
        <w:rPr>
          <w:szCs w:val="24"/>
        </w:rPr>
        <w:t xml:space="preserve"> understating of</w:t>
      </w:r>
      <w:r>
        <w:rPr>
          <w:szCs w:val="24"/>
        </w:rPr>
        <w:t xml:space="preserve"> preemption of local land use authority under</w:t>
      </w:r>
      <w:r w:rsidRPr="00977EBD">
        <w:rPr>
          <w:szCs w:val="24"/>
        </w:rPr>
        <w:t xml:space="preserve"> State Sovereignty and how </w:t>
      </w:r>
      <w:r>
        <w:rPr>
          <w:szCs w:val="24"/>
        </w:rPr>
        <w:t xml:space="preserve">exercising State Sovereignty </w:t>
      </w:r>
      <w:r w:rsidRPr="00977EBD">
        <w:rPr>
          <w:szCs w:val="24"/>
        </w:rPr>
        <w:t>can</w:t>
      </w:r>
      <w:r>
        <w:rPr>
          <w:szCs w:val="24"/>
        </w:rPr>
        <w:t xml:space="preserve"> be beneficial</w:t>
      </w:r>
      <w:r w:rsidRPr="00977EBD">
        <w:rPr>
          <w:szCs w:val="24"/>
        </w:rPr>
        <w:t xml:space="preserve"> for deliver</w:t>
      </w:r>
      <w:r>
        <w:rPr>
          <w:szCs w:val="24"/>
        </w:rPr>
        <w:t>ing</w:t>
      </w:r>
      <w:r w:rsidRPr="00977EBD">
        <w:rPr>
          <w:szCs w:val="24"/>
        </w:rPr>
        <w:t xml:space="preserve"> affordable housing </w:t>
      </w:r>
      <w:r>
        <w:rPr>
          <w:szCs w:val="24"/>
        </w:rPr>
        <w:t xml:space="preserve">and other uses </w:t>
      </w:r>
      <w:r w:rsidRPr="00977EBD">
        <w:rPr>
          <w:szCs w:val="24"/>
        </w:rPr>
        <w:t xml:space="preserve">by developers on land provided by the </w:t>
      </w:r>
      <w:r>
        <w:rPr>
          <w:szCs w:val="24"/>
        </w:rPr>
        <w:t>S</w:t>
      </w:r>
      <w:r w:rsidRPr="00977EBD">
        <w:rPr>
          <w:szCs w:val="24"/>
        </w:rPr>
        <w:t>tate subject to a long-term ground lease</w:t>
      </w:r>
      <w:r w:rsidR="00086EC5">
        <w:rPr>
          <w:szCs w:val="24"/>
        </w:rPr>
        <w:t xml:space="preserve"> or ground leases</w:t>
      </w:r>
      <w:r w:rsidRPr="00977EBD">
        <w:rPr>
          <w:szCs w:val="24"/>
        </w:rPr>
        <w:t>.</w:t>
      </w:r>
      <w:r>
        <w:rPr>
          <w:szCs w:val="24"/>
        </w:rPr>
        <w:t xml:space="preserve"> </w:t>
      </w:r>
    </w:p>
    <w:p w14:paraId="23A4BFCB" w14:textId="77777777" w:rsidR="0063733C" w:rsidRDefault="0063733C" w:rsidP="0063733C">
      <w:pPr>
        <w:jc w:val="both"/>
        <w:rPr>
          <w:szCs w:val="24"/>
        </w:rPr>
      </w:pPr>
      <w:r>
        <w:rPr>
          <w:szCs w:val="24"/>
        </w:rPr>
        <w:t>The intention of this guidance is to give potential Respondents an initial understanding of this framework; however, the precise roles and responsibilities among the State and the local jurisdiction for this project will be arrived at via an iterative process and tri-party conversations with the selected Respondent.</w:t>
      </w:r>
    </w:p>
    <w:p w14:paraId="05C66E7E" w14:textId="3B2938EE" w:rsidR="0063733C" w:rsidRPr="00977EBD" w:rsidRDefault="0063733C" w:rsidP="0063733C">
      <w:pPr>
        <w:jc w:val="both"/>
        <w:rPr>
          <w:szCs w:val="24"/>
        </w:rPr>
      </w:pPr>
      <w:r w:rsidRPr="003B6E4E">
        <w:rPr>
          <w:szCs w:val="24"/>
        </w:rPr>
        <w:t xml:space="preserve">The concept of sovereignty suggests a hierarchy of governmental authority that has the federal government at its apex, then moves downward to </w:t>
      </w:r>
      <w:r>
        <w:rPr>
          <w:szCs w:val="24"/>
        </w:rPr>
        <w:t>S</w:t>
      </w:r>
      <w:r w:rsidRPr="003B6E4E">
        <w:rPr>
          <w:szCs w:val="24"/>
        </w:rPr>
        <w:t xml:space="preserve">tate government, and follows to local governments, such as cities </w:t>
      </w:r>
      <w:r>
        <w:rPr>
          <w:szCs w:val="24"/>
        </w:rPr>
        <w:t xml:space="preserve">and </w:t>
      </w:r>
      <w:r w:rsidRPr="003B6E4E">
        <w:rPr>
          <w:szCs w:val="24"/>
        </w:rPr>
        <w:t>counties</w:t>
      </w:r>
      <w:r>
        <w:rPr>
          <w:szCs w:val="24"/>
        </w:rPr>
        <w:t>. While l</w:t>
      </w:r>
      <w:r w:rsidRPr="003B6E4E">
        <w:rPr>
          <w:szCs w:val="24"/>
        </w:rPr>
        <w:t xml:space="preserve">and use regulation in California historically has been a function of local government under the grant of police power contained in </w:t>
      </w:r>
      <w:r>
        <w:rPr>
          <w:szCs w:val="24"/>
        </w:rPr>
        <w:t>A</w:t>
      </w:r>
      <w:r w:rsidRPr="003B6E4E">
        <w:rPr>
          <w:szCs w:val="24"/>
        </w:rPr>
        <w:t xml:space="preserve">rticle XI, </w:t>
      </w:r>
      <w:r>
        <w:rPr>
          <w:szCs w:val="24"/>
        </w:rPr>
        <w:t>S</w:t>
      </w:r>
      <w:r w:rsidRPr="003B6E4E">
        <w:rPr>
          <w:szCs w:val="24"/>
        </w:rPr>
        <w:t>ection 7 of the California Constitution</w:t>
      </w:r>
      <w:r>
        <w:rPr>
          <w:szCs w:val="24"/>
        </w:rPr>
        <w:t>, a</w:t>
      </w:r>
      <w:r w:rsidRPr="00B8176C">
        <w:rPr>
          <w:szCs w:val="24"/>
        </w:rPr>
        <w:t xml:space="preserve"> </w:t>
      </w:r>
      <w:r>
        <w:rPr>
          <w:szCs w:val="24"/>
        </w:rPr>
        <w:t>S</w:t>
      </w:r>
      <w:r w:rsidRPr="00B8176C">
        <w:rPr>
          <w:szCs w:val="24"/>
        </w:rPr>
        <w:t>tate agency is immune from local regulation unless the Legislature expressly waives immunity in a statute or the California Constitution</w:t>
      </w:r>
      <w:r>
        <w:rPr>
          <w:szCs w:val="24"/>
        </w:rPr>
        <w:t>.</w:t>
      </w:r>
    </w:p>
    <w:bookmarkEnd w:id="20"/>
    <w:p w14:paraId="28899B47" w14:textId="77777777" w:rsidR="0063733C" w:rsidRDefault="0063733C" w:rsidP="0063733C">
      <w:pPr>
        <w:jc w:val="both"/>
        <w:rPr>
          <w:szCs w:val="24"/>
        </w:rPr>
      </w:pPr>
      <w:r>
        <w:rPr>
          <w:szCs w:val="24"/>
        </w:rPr>
        <w:t>Identifying and adapting a State Sovereignty framework early in the project delivery process under the authority of E.O. N-06-19 is helpful to the overall success of the project because it affects many aspects of entitlement. As an overview:</w:t>
      </w:r>
    </w:p>
    <w:p w14:paraId="4216B043" w14:textId="396D1194" w:rsidR="0063733C" w:rsidRDefault="0063733C" w:rsidP="0063733C">
      <w:pPr>
        <w:pStyle w:val="ListParagraph"/>
        <w:numPr>
          <w:ilvl w:val="0"/>
          <w:numId w:val="26"/>
        </w:numPr>
        <w:spacing w:after="160" w:line="259" w:lineRule="auto"/>
        <w:jc w:val="both"/>
        <w:rPr>
          <w:szCs w:val="24"/>
        </w:rPr>
      </w:pPr>
      <w:r>
        <w:rPr>
          <w:szCs w:val="24"/>
        </w:rPr>
        <w:t xml:space="preserve">Land Use: For purposes under E.O. N-06-19, the project is not subject to local zoning or the </w:t>
      </w:r>
      <w:r w:rsidRPr="006F6F6B">
        <w:rPr>
          <w:szCs w:val="24"/>
        </w:rPr>
        <w:t>Subdivision Map Act</w:t>
      </w:r>
      <w:r>
        <w:rPr>
          <w:szCs w:val="24"/>
        </w:rPr>
        <w:t xml:space="preserve"> when developing a property for State use. Under the auspices of HCD, which has control and possession of the land that will be subject to the long-term ground lease</w:t>
      </w:r>
      <w:r w:rsidR="004507D5">
        <w:rPr>
          <w:szCs w:val="24"/>
        </w:rPr>
        <w:t>(s)</w:t>
      </w:r>
      <w:r>
        <w:rPr>
          <w:szCs w:val="24"/>
        </w:rPr>
        <w:t>, the development of improvements on this land does not have to conform to existing local zoning.</w:t>
      </w:r>
    </w:p>
    <w:p w14:paraId="7B74D97F" w14:textId="77777777" w:rsidR="0063733C" w:rsidRPr="00224970" w:rsidRDefault="0063733C" w:rsidP="0063733C">
      <w:pPr>
        <w:pStyle w:val="ListParagraph"/>
        <w:numPr>
          <w:ilvl w:val="0"/>
          <w:numId w:val="26"/>
        </w:numPr>
        <w:spacing w:after="160" w:line="259" w:lineRule="auto"/>
        <w:jc w:val="both"/>
        <w:rPr>
          <w:szCs w:val="24"/>
        </w:rPr>
      </w:pPr>
      <w:r>
        <w:rPr>
          <w:szCs w:val="24"/>
        </w:rPr>
        <w:t xml:space="preserve">Per </w:t>
      </w:r>
      <w:r w:rsidRPr="00FB3CC0">
        <w:rPr>
          <w:szCs w:val="24"/>
        </w:rPr>
        <w:t>Executive Order N-06-19</w:t>
      </w:r>
      <w:r>
        <w:rPr>
          <w:szCs w:val="24"/>
        </w:rPr>
        <w:t>:</w:t>
      </w:r>
      <w:r w:rsidRPr="00FB3CC0">
        <w:rPr>
          <w:szCs w:val="24"/>
        </w:rPr>
        <w:t xml:space="preserve"> “local zoning ordinances do not govern the use of </w:t>
      </w:r>
      <w:r>
        <w:rPr>
          <w:szCs w:val="24"/>
        </w:rPr>
        <w:t>S</w:t>
      </w:r>
      <w:r w:rsidRPr="00FB3CC0">
        <w:rPr>
          <w:szCs w:val="24"/>
        </w:rPr>
        <w:t>tate property, and the State possesses legal authority to enter into low-cost, long-term leasing agreements with housing developers and accelerate housing development on state-owned land as a public use.”</w:t>
      </w:r>
      <w:r>
        <w:rPr>
          <w:szCs w:val="24"/>
        </w:rPr>
        <w:t xml:space="preserve"> Furthermore, the State has </w:t>
      </w:r>
      <w:r>
        <w:rPr>
          <w:szCs w:val="24"/>
        </w:rPr>
        <w:lastRenderedPageBreak/>
        <w:t xml:space="preserve">statutory authority to enter into leasing agreements </w:t>
      </w:r>
      <w:r w:rsidRPr="00B90489">
        <w:rPr>
          <w:szCs w:val="24"/>
        </w:rPr>
        <w:t>per Government Code Section 14671.2.</w:t>
      </w:r>
    </w:p>
    <w:p w14:paraId="4CC8D133" w14:textId="77777777" w:rsidR="0063733C" w:rsidRDefault="0063733C" w:rsidP="0063733C">
      <w:pPr>
        <w:pStyle w:val="ListParagraph"/>
        <w:numPr>
          <w:ilvl w:val="0"/>
          <w:numId w:val="26"/>
        </w:numPr>
        <w:spacing w:after="160" w:line="259" w:lineRule="auto"/>
        <w:jc w:val="both"/>
        <w:rPr>
          <w:szCs w:val="24"/>
        </w:rPr>
      </w:pPr>
      <w:r>
        <w:rPr>
          <w:szCs w:val="24"/>
        </w:rPr>
        <w:t>P</w:t>
      </w:r>
      <w:r w:rsidRPr="00D50E64">
        <w:rPr>
          <w:szCs w:val="24"/>
        </w:rPr>
        <w:t>roject design</w:t>
      </w:r>
      <w:r>
        <w:rPr>
          <w:szCs w:val="24"/>
        </w:rPr>
        <w:t>: use of State Sovereignty</w:t>
      </w:r>
      <w:r w:rsidRPr="00D50E64">
        <w:rPr>
          <w:szCs w:val="24"/>
        </w:rPr>
        <w:t xml:space="preserve"> can facilitate greater density</w:t>
      </w:r>
      <w:r>
        <w:rPr>
          <w:szCs w:val="24"/>
        </w:rPr>
        <w:t>.</w:t>
      </w:r>
    </w:p>
    <w:p w14:paraId="4F0E794D" w14:textId="45F1F462" w:rsidR="0063733C" w:rsidRDefault="0063733C" w:rsidP="0063733C">
      <w:pPr>
        <w:pStyle w:val="ListParagraph"/>
        <w:numPr>
          <w:ilvl w:val="0"/>
          <w:numId w:val="26"/>
        </w:numPr>
        <w:spacing w:after="160" w:line="259" w:lineRule="auto"/>
        <w:jc w:val="both"/>
        <w:rPr>
          <w:szCs w:val="24"/>
        </w:rPr>
      </w:pPr>
      <w:r>
        <w:rPr>
          <w:szCs w:val="24"/>
        </w:rPr>
        <w:t xml:space="preserve">Streamline Processing: SB35 is not currently available for State use; DGS is </w:t>
      </w:r>
      <w:r w:rsidR="00CA3030">
        <w:rPr>
          <w:szCs w:val="24"/>
        </w:rPr>
        <w:t xml:space="preserve">always </w:t>
      </w:r>
      <w:r>
        <w:rPr>
          <w:szCs w:val="24"/>
        </w:rPr>
        <w:t xml:space="preserve">lead CEQA agency. </w:t>
      </w:r>
    </w:p>
    <w:p w14:paraId="79506EC3" w14:textId="77777777" w:rsidR="0063733C" w:rsidRPr="00D50E64" w:rsidRDefault="0063733C" w:rsidP="0063733C">
      <w:pPr>
        <w:pStyle w:val="ListParagraph"/>
        <w:numPr>
          <w:ilvl w:val="0"/>
          <w:numId w:val="26"/>
        </w:numPr>
        <w:spacing w:after="160" w:line="259" w:lineRule="auto"/>
        <w:jc w:val="both"/>
        <w:rPr>
          <w:szCs w:val="24"/>
        </w:rPr>
      </w:pPr>
      <w:r>
        <w:rPr>
          <w:szCs w:val="24"/>
        </w:rPr>
        <w:t>C</w:t>
      </w:r>
      <w:r w:rsidRPr="00D50E64">
        <w:rPr>
          <w:szCs w:val="24"/>
        </w:rPr>
        <w:t>onstruction</w:t>
      </w:r>
      <w:r>
        <w:rPr>
          <w:szCs w:val="24"/>
        </w:rPr>
        <w:t xml:space="preserve">: The State itself provides certain approvals (see Permitting under Comparison Table below) yet leverages local resources. </w:t>
      </w:r>
    </w:p>
    <w:p w14:paraId="1DB62F58" w14:textId="77777777" w:rsidR="0063733C" w:rsidRDefault="0063733C" w:rsidP="0063733C">
      <w:pPr>
        <w:rPr>
          <w:szCs w:val="24"/>
        </w:rPr>
      </w:pPr>
      <w:r>
        <w:rPr>
          <w:szCs w:val="24"/>
        </w:rPr>
        <w:t>Respondents are encouraged to:</w:t>
      </w:r>
    </w:p>
    <w:p w14:paraId="71430A39" w14:textId="77777777" w:rsidR="0063733C" w:rsidRDefault="0063733C" w:rsidP="0063733C">
      <w:pPr>
        <w:pStyle w:val="ListParagraph"/>
        <w:numPr>
          <w:ilvl w:val="0"/>
          <w:numId w:val="27"/>
        </w:numPr>
        <w:spacing w:after="160" w:line="259" w:lineRule="auto"/>
        <w:jc w:val="both"/>
        <w:rPr>
          <w:szCs w:val="24"/>
        </w:rPr>
      </w:pPr>
      <w:r>
        <w:rPr>
          <w:szCs w:val="24"/>
        </w:rPr>
        <w:t>Think creatively regarding how the framework of State Sovereignty can be adapted to further the Program Principles and Objectives.</w:t>
      </w:r>
    </w:p>
    <w:p w14:paraId="33EC22F2" w14:textId="77777777" w:rsidR="0063733C" w:rsidRPr="00E53E38" w:rsidRDefault="0063733C" w:rsidP="0063733C">
      <w:pPr>
        <w:pStyle w:val="ListParagraph"/>
        <w:numPr>
          <w:ilvl w:val="0"/>
          <w:numId w:val="27"/>
        </w:numPr>
        <w:spacing w:after="160" w:line="259" w:lineRule="auto"/>
        <w:jc w:val="both"/>
        <w:rPr>
          <w:szCs w:val="24"/>
        </w:rPr>
      </w:pPr>
      <w:r>
        <w:rPr>
          <w:szCs w:val="24"/>
        </w:rPr>
        <w:t>Be mindful that:</w:t>
      </w:r>
    </w:p>
    <w:p w14:paraId="050569AC" w14:textId="77777777" w:rsidR="0063733C" w:rsidRPr="00241D29" w:rsidRDefault="0063733C" w:rsidP="0063733C">
      <w:pPr>
        <w:pStyle w:val="ListParagraph"/>
        <w:numPr>
          <w:ilvl w:val="1"/>
          <w:numId w:val="27"/>
        </w:numPr>
        <w:spacing w:after="160" w:line="259" w:lineRule="auto"/>
        <w:jc w:val="both"/>
        <w:rPr>
          <w:szCs w:val="24"/>
        </w:rPr>
      </w:pPr>
      <w:r>
        <w:rPr>
          <w:szCs w:val="24"/>
        </w:rPr>
        <w:t xml:space="preserve">Local jurisdiction cooperation will be needed for utility access, site ingress/egress, and other matters. </w:t>
      </w:r>
    </w:p>
    <w:p w14:paraId="3BB39119" w14:textId="77777777" w:rsidR="0063733C" w:rsidRPr="00E53E38" w:rsidRDefault="0063733C" w:rsidP="0063733C">
      <w:pPr>
        <w:pStyle w:val="ListParagraph"/>
        <w:numPr>
          <w:ilvl w:val="1"/>
          <w:numId w:val="27"/>
        </w:numPr>
        <w:spacing w:after="160" w:line="259" w:lineRule="auto"/>
        <w:jc w:val="both"/>
        <w:rPr>
          <w:szCs w:val="24"/>
        </w:rPr>
      </w:pPr>
      <w:r>
        <w:rPr>
          <w:szCs w:val="24"/>
        </w:rPr>
        <w:t>Integrating local input remains a priority as noted in the Program Principles &amp; Objectives.</w:t>
      </w:r>
    </w:p>
    <w:p w14:paraId="72D24CF6" w14:textId="77777777" w:rsidR="0063733C" w:rsidRDefault="0063733C" w:rsidP="0063733C">
      <w:pPr>
        <w:pStyle w:val="ListParagraph"/>
        <w:ind w:left="1505"/>
        <w:rPr>
          <w:szCs w:val="24"/>
        </w:rPr>
      </w:pPr>
    </w:p>
    <w:p w14:paraId="08DF7441" w14:textId="77777777" w:rsidR="0063733C" w:rsidRPr="009F1DB3" w:rsidRDefault="0063733C" w:rsidP="0063733C">
      <w:pPr>
        <w:rPr>
          <w:rFonts w:cs="Arial"/>
          <w:b/>
          <w:bCs/>
          <w:szCs w:val="24"/>
          <w:u w:val="single"/>
        </w:rPr>
      </w:pPr>
      <w:r w:rsidRPr="009F1DB3">
        <w:rPr>
          <w:rFonts w:cs="Arial"/>
          <w:b/>
          <w:bCs/>
          <w:szCs w:val="24"/>
          <w:u w:val="single"/>
        </w:rPr>
        <w:t>Comparison Table</w:t>
      </w:r>
    </w:p>
    <w:tbl>
      <w:tblPr>
        <w:tblStyle w:val="PlainTable51"/>
        <w:tblW w:w="0" w:type="auto"/>
        <w:tblLook w:val="04A0" w:firstRow="1" w:lastRow="0" w:firstColumn="1" w:lastColumn="0" w:noHBand="0" w:noVBand="1"/>
      </w:tblPr>
      <w:tblGrid>
        <w:gridCol w:w="2585"/>
        <w:gridCol w:w="2223"/>
        <w:gridCol w:w="1855"/>
        <w:gridCol w:w="2697"/>
      </w:tblGrid>
      <w:tr w:rsidR="0063733C" w:rsidRPr="009F1DB3" w14:paraId="2CF2FE98" w14:textId="77777777" w:rsidTr="00A859F4">
        <w:trPr>
          <w:cnfStyle w:val="100000000000" w:firstRow="1" w:lastRow="0" w:firstColumn="0" w:lastColumn="0" w:oddVBand="0" w:evenVBand="0" w:oddHBand="0" w:evenHBand="0" w:firstRowFirstColumn="0" w:firstRowLastColumn="0" w:lastRowFirstColumn="0" w:lastRowLastColumn="0"/>
          <w:trHeight w:val="648"/>
        </w:trPr>
        <w:tc>
          <w:tcPr>
            <w:cnfStyle w:val="001000000100" w:firstRow="0" w:lastRow="0" w:firstColumn="1" w:lastColumn="0" w:oddVBand="0" w:evenVBand="0" w:oddHBand="0" w:evenHBand="0" w:firstRowFirstColumn="1" w:firstRowLastColumn="0" w:lastRowFirstColumn="0" w:lastRowLastColumn="0"/>
            <w:tcW w:w="2668" w:type="dxa"/>
            <w:tcBorders>
              <w:bottom w:val="single" w:sz="8" w:space="0" w:color="000000" w:themeColor="text1"/>
            </w:tcBorders>
          </w:tcPr>
          <w:p w14:paraId="7F7B90E4" w14:textId="77777777" w:rsidR="0063733C" w:rsidRPr="009F1DB3" w:rsidRDefault="0063733C" w:rsidP="00A859F4">
            <w:pPr>
              <w:jc w:val="left"/>
              <w:rPr>
                <w:rFonts w:ascii="Arial" w:hAnsi="Arial" w:cs="Arial"/>
                <w:i w:val="0"/>
                <w:iCs w:val="0"/>
                <w:sz w:val="24"/>
                <w:szCs w:val="24"/>
                <w:u w:val="single"/>
              </w:rPr>
            </w:pPr>
            <w:r w:rsidRPr="009F1DB3">
              <w:rPr>
                <w:rFonts w:ascii="Arial" w:hAnsi="Arial" w:cs="Arial"/>
                <w:i w:val="0"/>
                <w:iCs w:val="0"/>
                <w:sz w:val="24"/>
                <w:szCs w:val="24"/>
                <w:u w:val="single"/>
              </w:rPr>
              <w:t>Category</w:t>
            </w:r>
          </w:p>
        </w:tc>
        <w:tc>
          <w:tcPr>
            <w:tcW w:w="2226" w:type="dxa"/>
            <w:tcBorders>
              <w:bottom w:val="single" w:sz="8" w:space="0" w:color="000000" w:themeColor="text1"/>
            </w:tcBorders>
          </w:tcPr>
          <w:p w14:paraId="42726C45" w14:textId="77777777" w:rsidR="0063733C" w:rsidRPr="009F1DB3" w:rsidRDefault="0063733C" w:rsidP="00A859F4">
            <w:pPr>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4"/>
                <w:szCs w:val="24"/>
                <w:u w:val="single"/>
              </w:rPr>
            </w:pPr>
            <w:r w:rsidRPr="009F1DB3">
              <w:rPr>
                <w:rFonts w:ascii="Arial" w:hAnsi="Arial" w:cs="Arial"/>
                <w:i w:val="0"/>
                <w:iCs w:val="0"/>
                <w:sz w:val="24"/>
                <w:szCs w:val="24"/>
                <w:u w:val="single"/>
              </w:rPr>
              <w:t>Item</w:t>
            </w:r>
          </w:p>
        </w:tc>
        <w:tc>
          <w:tcPr>
            <w:tcW w:w="1878" w:type="dxa"/>
            <w:tcBorders>
              <w:bottom w:val="single" w:sz="8" w:space="0" w:color="000000" w:themeColor="text1"/>
            </w:tcBorders>
          </w:tcPr>
          <w:p w14:paraId="3AB06D35" w14:textId="77777777" w:rsidR="0063733C" w:rsidRPr="009F1DB3" w:rsidRDefault="0063733C" w:rsidP="00A859F4">
            <w:pPr>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4"/>
                <w:szCs w:val="24"/>
                <w:u w:val="single"/>
              </w:rPr>
            </w:pPr>
            <w:r w:rsidRPr="009F1DB3">
              <w:rPr>
                <w:rFonts w:ascii="Arial" w:hAnsi="Arial" w:cs="Arial"/>
                <w:i w:val="0"/>
                <w:iCs w:val="0"/>
                <w:sz w:val="24"/>
                <w:szCs w:val="24"/>
                <w:u w:val="single"/>
              </w:rPr>
              <w:t>No State Sovereignty (typical path)</w:t>
            </w:r>
          </w:p>
        </w:tc>
        <w:tc>
          <w:tcPr>
            <w:tcW w:w="2804" w:type="dxa"/>
            <w:tcBorders>
              <w:bottom w:val="single" w:sz="8" w:space="0" w:color="000000" w:themeColor="text1"/>
            </w:tcBorders>
          </w:tcPr>
          <w:p w14:paraId="1D5A5170" w14:textId="77777777" w:rsidR="0063733C" w:rsidRPr="009F1DB3" w:rsidRDefault="0063733C" w:rsidP="00A859F4">
            <w:pPr>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4"/>
                <w:szCs w:val="24"/>
                <w:u w:val="single"/>
              </w:rPr>
            </w:pPr>
            <w:r w:rsidRPr="009F1DB3">
              <w:rPr>
                <w:rFonts w:ascii="Arial" w:hAnsi="Arial" w:cs="Arial"/>
                <w:i w:val="0"/>
                <w:iCs w:val="0"/>
                <w:sz w:val="24"/>
                <w:szCs w:val="24"/>
                <w:u w:val="single"/>
              </w:rPr>
              <w:t>Use of State Sovereignty</w:t>
            </w:r>
          </w:p>
        </w:tc>
      </w:tr>
      <w:tr w:rsidR="0063733C" w:rsidRPr="009F1DB3" w14:paraId="5F5A4CAF" w14:textId="77777777" w:rsidTr="00A85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dxa"/>
            <w:tcBorders>
              <w:top w:val="single" w:sz="8" w:space="0" w:color="000000" w:themeColor="text1"/>
            </w:tcBorders>
          </w:tcPr>
          <w:p w14:paraId="011DDCF2" w14:textId="77777777" w:rsidR="0063733C" w:rsidRPr="009F1DB3" w:rsidRDefault="0063733C" w:rsidP="00A859F4">
            <w:pPr>
              <w:jc w:val="left"/>
              <w:rPr>
                <w:rFonts w:ascii="Arial" w:hAnsi="Arial" w:cs="Arial"/>
                <w:i w:val="0"/>
                <w:iCs w:val="0"/>
                <w:sz w:val="24"/>
                <w:szCs w:val="24"/>
              </w:rPr>
            </w:pPr>
            <w:r w:rsidRPr="009F1DB3">
              <w:rPr>
                <w:rFonts w:ascii="Arial" w:hAnsi="Arial" w:cs="Arial"/>
                <w:i w:val="0"/>
                <w:iCs w:val="0"/>
                <w:sz w:val="24"/>
                <w:szCs w:val="24"/>
              </w:rPr>
              <w:t>Land-Use</w:t>
            </w:r>
          </w:p>
        </w:tc>
        <w:tc>
          <w:tcPr>
            <w:tcW w:w="2226" w:type="dxa"/>
          </w:tcPr>
          <w:p w14:paraId="71B1ED94"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Zoning</w:t>
            </w:r>
          </w:p>
          <w:p w14:paraId="51F43369"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78" w:type="dxa"/>
          </w:tcPr>
          <w:p w14:paraId="20653710"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City/County determines</w:t>
            </w:r>
          </w:p>
        </w:tc>
        <w:tc>
          <w:tcPr>
            <w:tcW w:w="2804" w:type="dxa"/>
          </w:tcPr>
          <w:p w14:paraId="65FE1436"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State determines</w:t>
            </w:r>
          </w:p>
        </w:tc>
      </w:tr>
      <w:tr w:rsidR="0063733C" w:rsidRPr="009F1DB3" w14:paraId="1DC20D9A" w14:textId="77777777" w:rsidTr="00A859F4">
        <w:tc>
          <w:tcPr>
            <w:cnfStyle w:val="001000000000" w:firstRow="0" w:lastRow="0" w:firstColumn="1" w:lastColumn="0" w:oddVBand="0" w:evenVBand="0" w:oddHBand="0" w:evenHBand="0" w:firstRowFirstColumn="0" w:firstRowLastColumn="0" w:lastRowFirstColumn="0" w:lastRowLastColumn="0"/>
            <w:tcW w:w="2668" w:type="dxa"/>
          </w:tcPr>
          <w:p w14:paraId="263CB316" w14:textId="77777777" w:rsidR="0063733C" w:rsidRPr="009F1DB3" w:rsidRDefault="0063733C" w:rsidP="00A859F4">
            <w:pPr>
              <w:jc w:val="left"/>
              <w:rPr>
                <w:rFonts w:ascii="Arial" w:hAnsi="Arial" w:cs="Arial"/>
                <w:i w:val="0"/>
                <w:iCs w:val="0"/>
                <w:sz w:val="24"/>
                <w:szCs w:val="24"/>
              </w:rPr>
            </w:pPr>
          </w:p>
        </w:tc>
        <w:tc>
          <w:tcPr>
            <w:tcW w:w="2226" w:type="dxa"/>
          </w:tcPr>
          <w:p w14:paraId="01AF20D9"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City/County</w:t>
            </w:r>
          </w:p>
          <w:p w14:paraId="368BCDBE"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Planning Dept Approvals</w:t>
            </w:r>
          </w:p>
          <w:p w14:paraId="2C60D29C"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78" w:type="dxa"/>
          </w:tcPr>
          <w:p w14:paraId="197C7A53"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Required in most cases</w:t>
            </w:r>
          </w:p>
        </w:tc>
        <w:tc>
          <w:tcPr>
            <w:tcW w:w="2804" w:type="dxa"/>
          </w:tcPr>
          <w:p w14:paraId="576D78D9"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State’s discretion</w:t>
            </w:r>
          </w:p>
        </w:tc>
      </w:tr>
      <w:tr w:rsidR="0063733C" w:rsidRPr="009F1DB3" w14:paraId="40B52FFC" w14:textId="77777777" w:rsidTr="00A85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dxa"/>
          </w:tcPr>
          <w:p w14:paraId="38908E95" w14:textId="77777777" w:rsidR="0063733C" w:rsidRPr="009F1DB3" w:rsidRDefault="0063733C" w:rsidP="00A859F4">
            <w:pPr>
              <w:jc w:val="left"/>
              <w:rPr>
                <w:rFonts w:ascii="Arial" w:hAnsi="Arial" w:cs="Arial"/>
                <w:i w:val="0"/>
                <w:iCs w:val="0"/>
                <w:sz w:val="24"/>
                <w:szCs w:val="24"/>
              </w:rPr>
            </w:pPr>
          </w:p>
        </w:tc>
        <w:tc>
          <w:tcPr>
            <w:tcW w:w="2226" w:type="dxa"/>
          </w:tcPr>
          <w:p w14:paraId="1CBAC877"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SB35</w:t>
            </w:r>
          </w:p>
          <w:p w14:paraId="44A94B02"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DAF5409"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78" w:type="dxa"/>
          </w:tcPr>
          <w:p w14:paraId="3A379B9C"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Can be used in some cases</w:t>
            </w:r>
          </w:p>
        </w:tc>
        <w:tc>
          <w:tcPr>
            <w:tcW w:w="2804" w:type="dxa"/>
          </w:tcPr>
          <w:p w14:paraId="02598E4F"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Not currently available or applicable</w:t>
            </w:r>
          </w:p>
        </w:tc>
      </w:tr>
      <w:tr w:rsidR="0063733C" w:rsidRPr="009F1DB3" w14:paraId="371515C5" w14:textId="77777777" w:rsidTr="00A859F4">
        <w:tc>
          <w:tcPr>
            <w:cnfStyle w:val="001000000000" w:firstRow="0" w:lastRow="0" w:firstColumn="1" w:lastColumn="0" w:oddVBand="0" w:evenVBand="0" w:oddHBand="0" w:evenHBand="0" w:firstRowFirstColumn="0" w:firstRowLastColumn="0" w:lastRowFirstColumn="0" w:lastRowLastColumn="0"/>
            <w:tcW w:w="2668" w:type="dxa"/>
          </w:tcPr>
          <w:p w14:paraId="01FEB4BD" w14:textId="77777777" w:rsidR="0063733C" w:rsidRPr="009F1DB3" w:rsidRDefault="0063733C" w:rsidP="00A859F4">
            <w:pPr>
              <w:jc w:val="left"/>
              <w:rPr>
                <w:rFonts w:ascii="Arial" w:hAnsi="Arial" w:cs="Arial"/>
                <w:i w:val="0"/>
                <w:iCs w:val="0"/>
                <w:sz w:val="24"/>
                <w:szCs w:val="24"/>
              </w:rPr>
            </w:pPr>
          </w:p>
        </w:tc>
        <w:tc>
          <w:tcPr>
            <w:tcW w:w="2226" w:type="dxa"/>
          </w:tcPr>
          <w:p w14:paraId="23686724"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 xml:space="preserve">Project-level </w:t>
            </w:r>
          </w:p>
          <w:p w14:paraId="7749978F"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 xml:space="preserve">CEQA Approval </w:t>
            </w:r>
          </w:p>
          <w:p w14:paraId="5D4844BB"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8819679"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78" w:type="dxa"/>
          </w:tcPr>
          <w:p w14:paraId="5E765FF2"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Local jurisdiction is lead agency</w:t>
            </w:r>
          </w:p>
        </w:tc>
        <w:tc>
          <w:tcPr>
            <w:tcW w:w="2804" w:type="dxa"/>
          </w:tcPr>
          <w:p w14:paraId="7E4BA565"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DGS is lead agency; see below</w:t>
            </w:r>
          </w:p>
        </w:tc>
      </w:tr>
      <w:tr w:rsidR="0063733C" w:rsidRPr="009F1DB3" w14:paraId="040BCD79" w14:textId="77777777" w:rsidTr="00A85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dxa"/>
            <w:tcBorders>
              <w:bottom w:val="single" w:sz="8" w:space="0" w:color="000000" w:themeColor="text1"/>
            </w:tcBorders>
          </w:tcPr>
          <w:p w14:paraId="3EF0E6A1" w14:textId="77777777" w:rsidR="0063733C" w:rsidRPr="009F1DB3" w:rsidRDefault="0063733C" w:rsidP="00A859F4">
            <w:pPr>
              <w:jc w:val="left"/>
              <w:rPr>
                <w:rFonts w:ascii="Arial" w:hAnsi="Arial" w:cs="Arial"/>
                <w:i w:val="0"/>
                <w:iCs w:val="0"/>
                <w:sz w:val="24"/>
                <w:szCs w:val="24"/>
              </w:rPr>
            </w:pPr>
          </w:p>
        </w:tc>
        <w:tc>
          <w:tcPr>
            <w:tcW w:w="2226" w:type="dxa"/>
            <w:tcBorders>
              <w:bottom w:val="single" w:sz="8" w:space="0" w:color="000000" w:themeColor="text1"/>
            </w:tcBorders>
          </w:tcPr>
          <w:p w14:paraId="3ACC93F1"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Regional Housing Needs Assessment</w:t>
            </w:r>
          </w:p>
          <w:p w14:paraId="55545C24"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78" w:type="dxa"/>
            <w:tcBorders>
              <w:bottom w:val="single" w:sz="8" w:space="0" w:color="000000" w:themeColor="text1"/>
            </w:tcBorders>
          </w:tcPr>
          <w:p w14:paraId="205FB7E2"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Units produced apply to local jurisdiction RHNA goals</w:t>
            </w:r>
          </w:p>
        </w:tc>
        <w:tc>
          <w:tcPr>
            <w:tcW w:w="2804" w:type="dxa"/>
            <w:tcBorders>
              <w:bottom w:val="single" w:sz="8" w:space="0" w:color="000000" w:themeColor="text1"/>
            </w:tcBorders>
          </w:tcPr>
          <w:p w14:paraId="131E14AC"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Units produced apply to local jurisdiction RHNA goals; see below</w:t>
            </w:r>
          </w:p>
        </w:tc>
      </w:tr>
      <w:tr w:rsidR="0063733C" w:rsidRPr="009F1DB3" w14:paraId="59E5D53E" w14:textId="77777777" w:rsidTr="00A859F4">
        <w:tc>
          <w:tcPr>
            <w:cnfStyle w:val="001000000000" w:firstRow="0" w:lastRow="0" w:firstColumn="1" w:lastColumn="0" w:oddVBand="0" w:evenVBand="0" w:oddHBand="0" w:evenHBand="0" w:firstRowFirstColumn="0" w:firstRowLastColumn="0" w:lastRowFirstColumn="0" w:lastRowLastColumn="0"/>
            <w:tcW w:w="2668" w:type="dxa"/>
          </w:tcPr>
          <w:p w14:paraId="53D65D45" w14:textId="77777777" w:rsidR="0063733C" w:rsidRPr="009F1DB3" w:rsidRDefault="0063733C" w:rsidP="00A859F4">
            <w:pPr>
              <w:jc w:val="left"/>
              <w:rPr>
                <w:rFonts w:ascii="Arial" w:hAnsi="Arial" w:cs="Arial"/>
                <w:i w:val="0"/>
                <w:iCs w:val="0"/>
                <w:sz w:val="24"/>
                <w:szCs w:val="24"/>
              </w:rPr>
            </w:pPr>
            <w:r w:rsidRPr="009F1DB3">
              <w:rPr>
                <w:rFonts w:ascii="Arial" w:hAnsi="Arial" w:cs="Arial"/>
                <w:i w:val="0"/>
                <w:iCs w:val="0"/>
                <w:sz w:val="24"/>
                <w:szCs w:val="24"/>
              </w:rPr>
              <w:t>Permitting</w:t>
            </w:r>
          </w:p>
        </w:tc>
        <w:tc>
          <w:tcPr>
            <w:tcW w:w="2226" w:type="dxa"/>
          </w:tcPr>
          <w:p w14:paraId="61C4F063"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Plan Review</w:t>
            </w:r>
          </w:p>
          <w:p w14:paraId="5B46FB60"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78" w:type="dxa"/>
          </w:tcPr>
          <w:p w14:paraId="4D2683EA"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Local jurisdiction</w:t>
            </w:r>
          </w:p>
        </w:tc>
        <w:tc>
          <w:tcPr>
            <w:tcW w:w="2804" w:type="dxa"/>
          </w:tcPr>
          <w:p w14:paraId="599F9361"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Hybrid model; see below</w:t>
            </w:r>
          </w:p>
        </w:tc>
      </w:tr>
      <w:tr w:rsidR="0063733C" w:rsidRPr="009F1DB3" w14:paraId="36EBDB37" w14:textId="77777777" w:rsidTr="00A85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dxa"/>
          </w:tcPr>
          <w:p w14:paraId="61327FAB" w14:textId="77777777" w:rsidR="0063733C" w:rsidRPr="009F1DB3" w:rsidRDefault="0063733C" w:rsidP="00A859F4">
            <w:pPr>
              <w:jc w:val="left"/>
              <w:rPr>
                <w:rFonts w:ascii="Arial" w:hAnsi="Arial" w:cs="Arial"/>
                <w:i w:val="0"/>
                <w:iCs w:val="0"/>
                <w:sz w:val="24"/>
                <w:szCs w:val="24"/>
              </w:rPr>
            </w:pPr>
          </w:p>
        </w:tc>
        <w:tc>
          <w:tcPr>
            <w:tcW w:w="2226" w:type="dxa"/>
          </w:tcPr>
          <w:p w14:paraId="69589C49"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Building Permit</w:t>
            </w:r>
          </w:p>
          <w:p w14:paraId="07707C35"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78" w:type="dxa"/>
          </w:tcPr>
          <w:p w14:paraId="0159AF03"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Local jurisdiction</w:t>
            </w:r>
          </w:p>
        </w:tc>
        <w:tc>
          <w:tcPr>
            <w:tcW w:w="2804" w:type="dxa"/>
          </w:tcPr>
          <w:p w14:paraId="689BAA94"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DGS</w:t>
            </w:r>
          </w:p>
        </w:tc>
      </w:tr>
      <w:tr w:rsidR="0063733C" w:rsidRPr="009F1DB3" w14:paraId="1F5BE950" w14:textId="77777777" w:rsidTr="00A859F4">
        <w:tc>
          <w:tcPr>
            <w:cnfStyle w:val="001000000000" w:firstRow="0" w:lastRow="0" w:firstColumn="1" w:lastColumn="0" w:oddVBand="0" w:evenVBand="0" w:oddHBand="0" w:evenHBand="0" w:firstRowFirstColumn="0" w:firstRowLastColumn="0" w:lastRowFirstColumn="0" w:lastRowLastColumn="0"/>
            <w:tcW w:w="2668" w:type="dxa"/>
          </w:tcPr>
          <w:p w14:paraId="11459E0E" w14:textId="77777777" w:rsidR="0063733C" w:rsidRPr="009F1DB3" w:rsidRDefault="0063733C" w:rsidP="00A859F4">
            <w:pPr>
              <w:jc w:val="left"/>
              <w:rPr>
                <w:rFonts w:ascii="Arial" w:hAnsi="Arial" w:cs="Arial"/>
                <w:i w:val="0"/>
                <w:iCs w:val="0"/>
                <w:sz w:val="24"/>
                <w:szCs w:val="24"/>
              </w:rPr>
            </w:pPr>
          </w:p>
        </w:tc>
        <w:tc>
          <w:tcPr>
            <w:tcW w:w="2226" w:type="dxa"/>
          </w:tcPr>
          <w:p w14:paraId="36CD4718"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Temp. Cert. of Occupancy</w:t>
            </w:r>
          </w:p>
          <w:p w14:paraId="7C2D2C8C"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78" w:type="dxa"/>
          </w:tcPr>
          <w:p w14:paraId="6C12E5FA"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Local jurisdiction</w:t>
            </w:r>
          </w:p>
        </w:tc>
        <w:tc>
          <w:tcPr>
            <w:tcW w:w="2804" w:type="dxa"/>
          </w:tcPr>
          <w:p w14:paraId="2C0D900C"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DGS</w:t>
            </w:r>
          </w:p>
        </w:tc>
      </w:tr>
      <w:tr w:rsidR="0063733C" w:rsidRPr="009F1DB3" w14:paraId="4E6568CF" w14:textId="77777777" w:rsidTr="00A85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dxa"/>
            <w:tcBorders>
              <w:bottom w:val="single" w:sz="8" w:space="0" w:color="000000" w:themeColor="text1"/>
            </w:tcBorders>
          </w:tcPr>
          <w:p w14:paraId="24126A72" w14:textId="77777777" w:rsidR="0063733C" w:rsidRPr="009F1DB3" w:rsidRDefault="0063733C" w:rsidP="00A859F4">
            <w:pPr>
              <w:jc w:val="left"/>
              <w:rPr>
                <w:rFonts w:ascii="Arial" w:hAnsi="Arial" w:cs="Arial"/>
                <w:i w:val="0"/>
                <w:iCs w:val="0"/>
                <w:sz w:val="24"/>
                <w:szCs w:val="24"/>
              </w:rPr>
            </w:pPr>
          </w:p>
        </w:tc>
        <w:tc>
          <w:tcPr>
            <w:tcW w:w="2226" w:type="dxa"/>
            <w:tcBorders>
              <w:bottom w:val="single" w:sz="8" w:space="0" w:color="000000" w:themeColor="text1"/>
            </w:tcBorders>
          </w:tcPr>
          <w:p w14:paraId="718A5CB8"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Certificate of Occupancy</w:t>
            </w:r>
          </w:p>
          <w:p w14:paraId="6413FFB8"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78" w:type="dxa"/>
            <w:tcBorders>
              <w:bottom w:val="single" w:sz="8" w:space="0" w:color="000000" w:themeColor="text1"/>
            </w:tcBorders>
          </w:tcPr>
          <w:p w14:paraId="6E461FDD"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Local jurisdiction</w:t>
            </w:r>
          </w:p>
        </w:tc>
        <w:tc>
          <w:tcPr>
            <w:tcW w:w="2804" w:type="dxa"/>
            <w:tcBorders>
              <w:bottom w:val="single" w:sz="8" w:space="0" w:color="000000" w:themeColor="text1"/>
            </w:tcBorders>
          </w:tcPr>
          <w:p w14:paraId="13416251"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DGS</w:t>
            </w:r>
          </w:p>
        </w:tc>
      </w:tr>
      <w:tr w:rsidR="0063733C" w:rsidRPr="009F1DB3" w14:paraId="48569DB7" w14:textId="77777777" w:rsidTr="00A859F4">
        <w:tc>
          <w:tcPr>
            <w:cnfStyle w:val="001000000000" w:firstRow="0" w:lastRow="0" w:firstColumn="1" w:lastColumn="0" w:oddVBand="0" w:evenVBand="0" w:oddHBand="0" w:evenHBand="0" w:firstRowFirstColumn="0" w:firstRowLastColumn="0" w:lastRowFirstColumn="0" w:lastRowLastColumn="0"/>
            <w:tcW w:w="2668" w:type="dxa"/>
          </w:tcPr>
          <w:p w14:paraId="2372AD8F" w14:textId="77777777" w:rsidR="0063733C" w:rsidRPr="009F1DB3" w:rsidRDefault="0063733C" w:rsidP="00A859F4">
            <w:pPr>
              <w:jc w:val="left"/>
              <w:rPr>
                <w:rFonts w:ascii="Arial" w:hAnsi="Arial" w:cs="Arial"/>
                <w:sz w:val="24"/>
                <w:szCs w:val="24"/>
              </w:rPr>
            </w:pPr>
            <w:r w:rsidRPr="009F1DB3">
              <w:rPr>
                <w:rFonts w:ascii="Arial" w:hAnsi="Arial" w:cs="Arial"/>
                <w:i w:val="0"/>
                <w:iCs w:val="0"/>
                <w:sz w:val="24"/>
                <w:szCs w:val="24"/>
              </w:rPr>
              <w:t>Plan Review,</w:t>
            </w:r>
          </w:p>
          <w:p w14:paraId="0179110F" w14:textId="77777777" w:rsidR="0063733C" w:rsidRPr="009F1DB3" w:rsidRDefault="0063733C" w:rsidP="00A859F4">
            <w:pPr>
              <w:jc w:val="left"/>
              <w:rPr>
                <w:rFonts w:ascii="Arial" w:hAnsi="Arial" w:cs="Arial"/>
                <w:i w:val="0"/>
                <w:iCs w:val="0"/>
                <w:sz w:val="24"/>
                <w:szCs w:val="24"/>
              </w:rPr>
            </w:pPr>
            <w:r w:rsidRPr="009F1DB3">
              <w:rPr>
                <w:rFonts w:ascii="Arial" w:hAnsi="Arial" w:cs="Arial"/>
                <w:i w:val="0"/>
                <w:iCs w:val="0"/>
                <w:sz w:val="24"/>
                <w:szCs w:val="24"/>
              </w:rPr>
              <w:t>Inspections and Approvals</w:t>
            </w:r>
          </w:p>
        </w:tc>
        <w:tc>
          <w:tcPr>
            <w:tcW w:w="2226" w:type="dxa"/>
          </w:tcPr>
          <w:p w14:paraId="1C901237"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Fire and Life Safety</w:t>
            </w:r>
          </w:p>
        </w:tc>
        <w:tc>
          <w:tcPr>
            <w:tcW w:w="1878" w:type="dxa"/>
          </w:tcPr>
          <w:p w14:paraId="5E179070"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Local Authority</w:t>
            </w:r>
          </w:p>
        </w:tc>
        <w:tc>
          <w:tcPr>
            <w:tcW w:w="2804" w:type="dxa"/>
          </w:tcPr>
          <w:p w14:paraId="490CF077"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DGS primary, unless delegated. Local</w:t>
            </w:r>
          </w:p>
          <w:p w14:paraId="1071EA3D"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Authority for emergency</w:t>
            </w:r>
          </w:p>
          <w:p w14:paraId="7D33D3F0"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response and access regardless of delegation.</w:t>
            </w:r>
          </w:p>
        </w:tc>
      </w:tr>
      <w:tr w:rsidR="0063733C" w:rsidRPr="009F1DB3" w14:paraId="53FF846F" w14:textId="77777777" w:rsidTr="00A85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dxa"/>
          </w:tcPr>
          <w:p w14:paraId="3DED5550" w14:textId="77777777" w:rsidR="0063733C" w:rsidRPr="009F1DB3" w:rsidRDefault="0063733C" w:rsidP="00A859F4">
            <w:pPr>
              <w:jc w:val="left"/>
              <w:rPr>
                <w:rFonts w:ascii="Arial" w:hAnsi="Arial" w:cs="Arial"/>
                <w:i w:val="0"/>
                <w:iCs w:val="0"/>
                <w:sz w:val="24"/>
                <w:szCs w:val="24"/>
              </w:rPr>
            </w:pPr>
          </w:p>
        </w:tc>
        <w:tc>
          <w:tcPr>
            <w:tcW w:w="2226" w:type="dxa"/>
          </w:tcPr>
          <w:p w14:paraId="54EEC41D"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Structural</w:t>
            </w:r>
          </w:p>
          <w:p w14:paraId="66E67582"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78" w:type="dxa"/>
          </w:tcPr>
          <w:p w14:paraId="3236E86D"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Local Authority</w:t>
            </w:r>
          </w:p>
        </w:tc>
        <w:tc>
          <w:tcPr>
            <w:tcW w:w="2804" w:type="dxa"/>
          </w:tcPr>
          <w:p w14:paraId="7F7F5C29"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DGS primary, unless delegated.</w:t>
            </w:r>
          </w:p>
        </w:tc>
      </w:tr>
      <w:tr w:rsidR="0063733C" w:rsidRPr="009F1DB3" w14:paraId="23C32F66" w14:textId="77777777" w:rsidTr="00A859F4">
        <w:tc>
          <w:tcPr>
            <w:cnfStyle w:val="001000000000" w:firstRow="0" w:lastRow="0" w:firstColumn="1" w:lastColumn="0" w:oddVBand="0" w:evenVBand="0" w:oddHBand="0" w:evenHBand="0" w:firstRowFirstColumn="0" w:firstRowLastColumn="0" w:lastRowFirstColumn="0" w:lastRowLastColumn="0"/>
            <w:tcW w:w="2668" w:type="dxa"/>
            <w:tcBorders>
              <w:bottom w:val="single" w:sz="8" w:space="0" w:color="000000" w:themeColor="text1"/>
            </w:tcBorders>
          </w:tcPr>
          <w:p w14:paraId="0C8873C3" w14:textId="77777777" w:rsidR="0063733C" w:rsidRPr="009F1DB3" w:rsidRDefault="0063733C" w:rsidP="00A859F4">
            <w:pPr>
              <w:jc w:val="left"/>
              <w:rPr>
                <w:rFonts w:ascii="Arial" w:hAnsi="Arial" w:cs="Arial"/>
                <w:i w:val="0"/>
                <w:iCs w:val="0"/>
                <w:sz w:val="24"/>
                <w:szCs w:val="24"/>
              </w:rPr>
            </w:pPr>
          </w:p>
        </w:tc>
        <w:tc>
          <w:tcPr>
            <w:tcW w:w="2226" w:type="dxa"/>
            <w:tcBorders>
              <w:bottom w:val="single" w:sz="8" w:space="0" w:color="000000" w:themeColor="text1"/>
            </w:tcBorders>
          </w:tcPr>
          <w:p w14:paraId="69CDC6B8"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Accessibility</w:t>
            </w:r>
          </w:p>
          <w:p w14:paraId="164D7A9B"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78" w:type="dxa"/>
            <w:tcBorders>
              <w:bottom w:val="single" w:sz="8" w:space="0" w:color="000000" w:themeColor="text1"/>
            </w:tcBorders>
          </w:tcPr>
          <w:p w14:paraId="35654627"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Local Authority</w:t>
            </w:r>
          </w:p>
        </w:tc>
        <w:tc>
          <w:tcPr>
            <w:tcW w:w="2804" w:type="dxa"/>
            <w:tcBorders>
              <w:bottom w:val="single" w:sz="8" w:space="0" w:color="000000" w:themeColor="text1"/>
            </w:tcBorders>
          </w:tcPr>
          <w:p w14:paraId="094128B4"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DGS primary, unless delegated.</w:t>
            </w:r>
          </w:p>
        </w:tc>
      </w:tr>
      <w:tr w:rsidR="0063733C" w:rsidRPr="009F1DB3" w14:paraId="3B0E5285" w14:textId="77777777" w:rsidTr="00A85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dxa"/>
            <w:tcBorders>
              <w:top w:val="single" w:sz="8" w:space="0" w:color="000000" w:themeColor="text1"/>
              <w:bottom w:val="single" w:sz="4" w:space="0" w:color="auto"/>
            </w:tcBorders>
          </w:tcPr>
          <w:p w14:paraId="11FE23C4" w14:textId="77777777" w:rsidR="0063733C" w:rsidRPr="009F1DB3" w:rsidRDefault="0063733C" w:rsidP="00A859F4">
            <w:pPr>
              <w:jc w:val="left"/>
              <w:rPr>
                <w:rFonts w:ascii="Arial" w:hAnsi="Arial" w:cs="Arial"/>
                <w:i w:val="0"/>
                <w:iCs w:val="0"/>
                <w:sz w:val="24"/>
                <w:szCs w:val="24"/>
              </w:rPr>
            </w:pPr>
            <w:r w:rsidRPr="009F1DB3">
              <w:rPr>
                <w:rFonts w:ascii="Arial" w:hAnsi="Arial" w:cs="Arial"/>
                <w:i w:val="0"/>
                <w:iCs w:val="0"/>
                <w:sz w:val="24"/>
                <w:szCs w:val="24"/>
              </w:rPr>
              <w:t>Inspection Fees</w:t>
            </w:r>
          </w:p>
        </w:tc>
        <w:tc>
          <w:tcPr>
            <w:tcW w:w="2226" w:type="dxa"/>
            <w:tcBorders>
              <w:top w:val="single" w:sz="8" w:space="0" w:color="000000" w:themeColor="text1"/>
              <w:bottom w:val="single" w:sz="4" w:space="0" w:color="auto"/>
            </w:tcBorders>
          </w:tcPr>
          <w:p w14:paraId="5DAEC329"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481D523"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3DA6001"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BA1DA5B"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B42C6A7"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BCBB63C"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78" w:type="dxa"/>
            <w:tcBorders>
              <w:top w:val="single" w:sz="8" w:space="0" w:color="000000" w:themeColor="text1"/>
              <w:bottom w:val="single" w:sz="4" w:space="0" w:color="auto"/>
            </w:tcBorders>
          </w:tcPr>
          <w:p w14:paraId="711ACCCC"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Determined by local jurisdiction.</w:t>
            </w:r>
          </w:p>
        </w:tc>
        <w:tc>
          <w:tcPr>
            <w:tcW w:w="2804" w:type="dxa"/>
            <w:tcBorders>
              <w:top w:val="single" w:sz="8" w:space="0" w:color="000000" w:themeColor="text1"/>
              <w:bottom w:val="single" w:sz="4" w:space="0" w:color="auto"/>
            </w:tcBorders>
          </w:tcPr>
          <w:p w14:paraId="2C2FA65F"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 xml:space="preserve">For pro forma purposes, assume the same cost as local jurisdiction. DGS fees are dependent upon project duration, staffing requirements and special conditions. </w:t>
            </w:r>
          </w:p>
        </w:tc>
      </w:tr>
      <w:tr w:rsidR="0063733C" w:rsidRPr="009F1DB3" w14:paraId="6BC8240E" w14:textId="77777777" w:rsidTr="00A859F4">
        <w:tc>
          <w:tcPr>
            <w:cnfStyle w:val="001000000000" w:firstRow="0" w:lastRow="0" w:firstColumn="1" w:lastColumn="0" w:oddVBand="0" w:evenVBand="0" w:oddHBand="0" w:evenHBand="0" w:firstRowFirstColumn="0" w:firstRowLastColumn="0" w:lastRowFirstColumn="0" w:lastRowLastColumn="0"/>
            <w:tcW w:w="2668" w:type="dxa"/>
            <w:tcBorders>
              <w:top w:val="single" w:sz="4" w:space="0" w:color="auto"/>
            </w:tcBorders>
          </w:tcPr>
          <w:p w14:paraId="2F808126" w14:textId="77777777" w:rsidR="0063733C" w:rsidRPr="009F1DB3" w:rsidRDefault="0063733C" w:rsidP="00A859F4">
            <w:pPr>
              <w:jc w:val="left"/>
              <w:rPr>
                <w:rFonts w:ascii="Arial" w:hAnsi="Arial" w:cs="Arial"/>
                <w:i w:val="0"/>
                <w:iCs w:val="0"/>
                <w:sz w:val="24"/>
                <w:szCs w:val="24"/>
              </w:rPr>
            </w:pPr>
            <w:r w:rsidRPr="009F1DB3">
              <w:rPr>
                <w:rFonts w:ascii="Arial" w:hAnsi="Arial" w:cs="Arial"/>
                <w:i w:val="0"/>
                <w:iCs w:val="0"/>
                <w:sz w:val="24"/>
                <w:szCs w:val="24"/>
              </w:rPr>
              <w:t>Utility Connections</w:t>
            </w:r>
          </w:p>
        </w:tc>
        <w:tc>
          <w:tcPr>
            <w:tcW w:w="2226" w:type="dxa"/>
            <w:tcBorders>
              <w:top w:val="single" w:sz="4" w:space="0" w:color="auto"/>
            </w:tcBorders>
          </w:tcPr>
          <w:p w14:paraId="6FE7578F"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Water</w:t>
            </w:r>
          </w:p>
          <w:p w14:paraId="1916F11A"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78" w:type="dxa"/>
            <w:tcBorders>
              <w:top w:val="single" w:sz="4" w:space="0" w:color="auto"/>
            </w:tcBorders>
          </w:tcPr>
          <w:p w14:paraId="202C3881"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Coordinate with local agencies</w:t>
            </w:r>
          </w:p>
        </w:tc>
        <w:tc>
          <w:tcPr>
            <w:tcW w:w="2804" w:type="dxa"/>
            <w:tcBorders>
              <w:top w:val="single" w:sz="4" w:space="0" w:color="auto"/>
            </w:tcBorders>
          </w:tcPr>
          <w:p w14:paraId="5B808055"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Same</w:t>
            </w:r>
          </w:p>
        </w:tc>
      </w:tr>
      <w:tr w:rsidR="0063733C" w:rsidRPr="009F1DB3" w14:paraId="4A24ABE9" w14:textId="77777777" w:rsidTr="00A85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dxa"/>
          </w:tcPr>
          <w:p w14:paraId="781C0B7E" w14:textId="77777777" w:rsidR="0063733C" w:rsidRPr="009F1DB3" w:rsidRDefault="0063733C" w:rsidP="00A859F4">
            <w:pPr>
              <w:jc w:val="left"/>
              <w:rPr>
                <w:rFonts w:ascii="Arial" w:hAnsi="Arial" w:cs="Arial"/>
                <w:i w:val="0"/>
                <w:iCs w:val="0"/>
                <w:sz w:val="24"/>
                <w:szCs w:val="24"/>
              </w:rPr>
            </w:pPr>
          </w:p>
        </w:tc>
        <w:tc>
          <w:tcPr>
            <w:tcW w:w="2226" w:type="dxa"/>
          </w:tcPr>
          <w:p w14:paraId="66F1DBE1"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Sewer/Stormwater</w:t>
            </w:r>
          </w:p>
          <w:p w14:paraId="678D315C"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78" w:type="dxa"/>
          </w:tcPr>
          <w:p w14:paraId="2EAB8278"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Coordinate with local agencies</w:t>
            </w:r>
          </w:p>
        </w:tc>
        <w:tc>
          <w:tcPr>
            <w:tcW w:w="2804" w:type="dxa"/>
          </w:tcPr>
          <w:p w14:paraId="04B90C97"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Same</w:t>
            </w:r>
          </w:p>
        </w:tc>
      </w:tr>
      <w:tr w:rsidR="0063733C" w:rsidRPr="009F1DB3" w14:paraId="27ED28BC" w14:textId="77777777" w:rsidTr="00A859F4">
        <w:tc>
          <w:tcPr>
            <w:cnfStyle w:val="001000000000" w:firstRow="0" w:lastRow="0" w:firstColumn="1" w:lastColumn="0" w:oddVBand="0" w:evenVBand="0" w:oddHBand="0" w:evenHBand="0" w:firstRowFirstColumn="0" w:firstRowLastColumn="0" w:lastRowFirstColumn="0" w:lastRowLastColumn="0"/>
            <w:tcW w:w="2668" w:type="dxa"/>
            <w:tcBorders>
              <w:bottom w:val="single" w:sz="4" w:space="0" w:color="auto"/>
            </w:tcBorders>
          </w:tcPr>
          <w:p w14:paraId="7BE3E62D" w14:textId="77777777" w:rsidR="0063733C" w:rsidRPr="009F1DB3" w:rsidRDefault="0063733C" w:rsidP="00A859F4">
            <w:pPr>
              <w:jc w:val="left"/>
              <w:rPr>
                <w:rFonts w:ascii="Arial" w:hAnsi="Arial" w:cs="Arial"/>
                <w:i w:val="0"/>
                <w:iCs w:val="0"/>
                <w:sz w:val="24"/>
                <w:szCs w:val="24"/>
              </w:rPr>
            </w:pPr>
          </w:p>
        </w:tc>
        <w:tc>
          <w:tcPr>
            <w:tcW w:w="2226" w:type="dxa"/>
            <w:tcBorders>
              <w:bottom w:val="single" w:sz="4" w:space="0" w:color="auto"/>
            </w:tcBorders>
          </w:tcPr>
          <w:p w14:paraId="7102590F"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Electric</w:t>
            </w:r>
          </w:p>
          <w:p w14:paraId="021F9973"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78" w:type="dxa"/>
            <w:tcBorders>
              <w:bottom w:val="single" w:sz="4" w:space="0" w:color="auto"/>
            </w:tcBorders>
          </w:tcPr>
          <w:p w14:paraId="114E9424"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Coordinate with local agencies</w:t>
            </w:r>
          </w:p>
        </w:tc>
        <w:tc>
          <w:tcPr>
            <w:tcW w:w="2804" w:type="dxa"/>
            <w:tcBorders>
              <w:bottom w:val="single" w:sz="4" w:space="0" w:color="auto"/>
            </w:tcBorders>
          </w:tcPr>
          <w:p w14:paraId="0E95E7E0"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Same</w:t>
            </w:r>
          </w:p>
        </w:tc>
      </w:tr>
      <w:tr w:rsidR="0063733C" w:rsidRPr="009F1DB3" w14:paraId="054E85B8" w14:textId="77777777" w:rsidTr="00A85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dxa"/>
            <w:tcBorders>
              <w:top w:val="single" w:sz="4" w:space="0" w:color="auto"/>
              <w:bottom w:val="single" w:sz="4" w:space="0" w:color="auto"/>
            </w:tcBorders>
          </w:tcPr>
          <w:p w14:paraId="50407C27" w14:textId="77777777" w:rsidR="0063733C" w:rsidRPr="009F1DB3" w:rsidRDefault="0063733C" w:rsidP="00A859F4">
            <w:pPr>
              <w:jc w:val="left"/>
              <w:rPr>
                <w:rFonts w:ascii="Arial" w:hAnsi="Arial" w:cs="Arial"/>
                <w:i w:val="0"/>
                <w:iCs w:val="0"/>
                <w:sz w:val="24"/>
                <w:szCs w:val="24"/>
              </w:rPr>
            </w:pPr>
            <w:r w:rsidRPr="009F1DB3">
              <w:rPr>
                <w:rFonts w:ascii="Arial" w:hAnsi="Arial" w:cs="Arial"/>
                <w:i w:val="0"/>
                <w:iCs w:val="0"/>
                <w:sz w:val="24"/>
                <w:szCs w:val="24"/>
              </w:rPr>
              <w:t>Environmental Approvals</w:t>
            </w:r>
          </w:p>
        </w:tc>
        <w:tc>
          <w:tcPr>
            <w:tcW w:w="2226" w:type="dxa"/>
            <w:tcBorders>
              <w:top w:val="single" w:sz="4" w:space="0" w:color="auto"/>
              <w:bottom w:val="single" w:sz="4" w:space="0" w:color="auto"/>
            </w:tcBorders>
          </w:tcPr>
          <w:p w14:paraId="54E7C56D"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Air Quality</w:t>
            </w:r>
          </w:p>
        </w:tc>
        <w:tc>
          <w:tcPr>
            <w:tcW w:w="1878" w:type="dxa"/>
            <w:tcBorders>
              <w:top w:val="single" w:sz="4" w:space="0" w:color="auto"/>
              <w:bottom w:val="single" w:sz="4" w:space="0" w:color="auto"/>
            </w:tcBorders>
          </w:tcPr>
          <w:p w14:paraId="5A8DB798"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 xml:space="preserve">Local Air Quality Management District </w:t>
            </w:r>
          </w:p>
        </w:tc>
        <w:tc>
          <w:tcPr>
            <w:tcW w:w="2804" w:type="dxa"/>
            <w:tcBorders>
              <w:top w:val="single" w:sz="4" w:space="0" w:color="auto"/>
              <w:bottom w:val="single" w:sz="4" w:space="0" w:color="auto"/>
            </w:tcBorders>
          </w:tcPr>
          <w:p w14:paraId="09C929A0"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Same</w:t>
            </w:r>
          </w:p>
        </w:tc>
      </w:tr>
      <w:tr w:rsidR="0063733C" w:rsidRPr="009F1DB3" w14:paraId="14B9D1AC" w14:textId="77777777" w:rsidTr="00A859F4">
        <w:tc>
          <w:tcPr>
            <w:cnfStyle w:val="001000000000" w:firstRow="0" w:lastRow="0" w:firstColumn="1" w:lastColumn="0" w:oddVBand="0" w:evenVBand="0" w:oddHBand="0" w:evenHBand="0" w:firstRowFirstColumn="0" w:firstRowLastColumn="0" w:lastRowFirstColumn="0" w:lastRowLastColumn="0"/>
            <w:tcW w:w="2668" w:type="dxa"/>
            <w:tcBorders>
              <w:top w:val="single" w:sz="4" w:space="0" w:color="auto"/>
              <w:bottom w:val="single" w:sz="4" w:space="0" w:color="auto"/>
            </w:tcBorders>
          </w:tcPr>
          <w:p w14:paraId="306C85DD" w14:textId="77777777" w:rsidR="0063733C" w:rsidRPr="009F1DB3" w:rsidRDefault="0063733C" w:rsidP="00A859F4">
            <w:pPr>
              <w:jc w:val="left"/>
              <w:rPr>
                <w:rFonts w:ascii="Arial" w:hAnsi="Arial" w:cs="Arial"/>
                <w:i w:val="0"/>
                <w:iCs w:val="0"/>
                <w:sz w:val="24"/>
                <w:szCs w:val="24"/>
              </w:rPr>
            </w:pPr>
            <w:r w:rsidRPr="009F1DB3">
              <w:rPr>
                <w:rFonts w:ascii="Arial" w:hAnsi="Arial" w:cs="Arial"/>
                <w:i w:val="0"/>
                <w:iCs w:val="0"/>
                <w:sz w:val="24"/>
                <w:szCs w:val="24"/>
              </w:rPr>
              <w:t>Emergency Services</w:t>
            </w:r>
          </w:p>
        </w:tc>
        <w:tc>
          <w:tcPr>
            <w:tcW w:w="2226" w:type="dxa"/>
            <w:tcBorders>
              <w:top w:val="single" w:sz="4" w:space="0" w:color="auto"/>
              <w:bottom w:val="single" w:sz="4" w:space="0" w:color="auto"/>
            </w:tcBorders>
          </w:tcPr>
          <w:p w14:paraId="4E583498"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Fire</w:t>
            </w:r>
          </w:p>
        </w:tc>
        <w:tc>
          <w:tcPr>
            <w:tcW w:w="1878" w:type="dxa"/>
            <w:tcBorders>
              <w:top w:val="single" w:sz="4" w:space="0" w:color="auto"/>
              <w:bottom w:val="single" w:sz="4" w:space="0" w:color="auto"/>
            </w:tcBorders>
          </w:tcPr>
          <w:p w14:paraId="28E685BC"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Coordinate with local agencies.</w:t>
            </w:r>
          </w:p>
        </w:tc>
        <w:tc>
          <w:tcPr>
            <w:tcW w:w="2804" w:type="dxa"/>
            <w:tcBorders>
              <w:top w:val="single" w:sz="4" w:space="0" w:color="auto"/>
              <w:bottom w:val="single" w:sz="4" w:space="0" w:color="auto"/>
            </w:tcBorders>
          </w:tcPr>
          <w:p w14:paraId="2EA540F5" w14:textId="77777777" w:rsidR="0063733C" w:rsidRPr="009F1DB3" w:rsidRDefault="0063733C" w:rsidP="00A859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1DB3">
              <w:rPr>
                <w:rFonts w:ascii="Arial" w:hAnsi="Arial" w:cs="Arial"/>
                <w:sz w:val="24"/>
                <w:szCs w:val="24"/>
              </w:rPr>
              <w:t>Local Agencies to approve Emergency Services access and site requirements</w:t>
            </w:r>
          </w:p>
        </w:tc>
      </w:tr>
      <w:tr w:rsidR="0063733C" w:rsidRPr="009F1DB3" w14:paraId="69F5CCF1" w14:textId="77777777" w:rsidTr="00A85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dxa"/>
            <w:tcBorders>
              <w:top w:val="single" w:sz="4" w:space="0" w:color="auto"/>
              <w:bottom w:val="single" w:sz="4" w:space="0" w:color="auto"/>
            </w:tcBorders>
          </w:tcPr>
          <w:p w14:paraId="37AD5EB8" w14:textId="77777777" w:rsidR="0063733C" w:rsidRPr="009F1DB3" w:rsidRDefault="0063733C" w:rsidP="00A859F4">
            <w:pPr>
              <w:jc w:val="left"/>
              <w:rPr>
                <w:rFonts w:ascii="Arial" w:hAnsi="Arial" w:cs="Arial"/>
                <w:i w:val="0"/>
                <w:iCs w:val="0"/>
                <w:sz w:val="24"/>
                <w:szCs w:val="24"/>
              </w:rPr>
            </w:pPr>
            <w:r w:rsidRPr="009F1DB3">
              <w:rPr>
                <w:rFonts w:ascii="Arial" w:hAnsi="Arial" w:cs="Arial"/>
                <w:i w:val="0"/>
                <w:iCs w:val="0"/>
                <w:sz w:val="24"/>
                <w:szCs w:val="24"/>
              </w:rPr>
              <w:t>Real Estate Tax</w:t>
            </w:r>
          </w:p>
        </w:tc>
        <w:tc>
          <w:tcPr>
            <w:tcW w:w="2226" w:type="dxa"/>
            <w:tcBorders>
              <w:top w:val="single" w:sz="4" w:space="0" w:color="auto"/>
              <w:bottom w:val="single" w:sz="4" w:space="0" w:color="auto"/>
            </w:tcBorders>
          </w:tcPr>
          <w:p w14:paraId="11178B45"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78" w:type="dxa"/>
            <w:tcBorders>
              <w:top w:val="single" w:sz="4" w:space="0" w:color="auto"/>
              <w:bottom w:val="single" w:sz="4" w:space="0" w:color="auto"/>
            </w:tcBorders>
          </w:tcPr>
          <w:p w14:paraId="4F46820C"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t xml:space="preserve">Welfare exemption often sought and obtained </w:t>
            </w:r>
            <w:r w:rsidRPr="009F1DB3">
              <w:rPr>
                <w:rFonts w:ascii="Arial" w:hAnsi="Arial" w:cs="Arial"/>
                <w:sz w:val="24"/>
                <w:szCs w:val="24"/>
              </w:rPr>
              <w:lastRenderedPageBreak/>
              <w:t>for affordable housing, which eliminates or reduces property taxes. All other commercial and residential uses are taxable.</w:t>
            </w:r>
          </w:p>
        </w:tc>
        <w:tc>
          <w:tcPr>
            <w:tcW w:w="2804" w:type="dxa"/>
            <w:tcBorders>
              <w:top w:val="single" w:sz="4" w:space="0" w:color="auto"/>
              <w:bottom w:val="single" w:sz="4" w:space="0" w:color="auto"/>
            </w:tcBorders>
          </w:tcPr>
          <w:p w14:paraId="5EF7F819" w14:textId="77777777" w:rsidR="0063733C" w:rsidRPr="009F1DB3" w:rsidRDefault="0063733C" w:rsidP="00A859F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1DB3">
              <w:rPr>
                <w:rFonts w:ascii="Arial" w:hAnsi="Arial" w:cs="Arial"/>
                <w:sz w:val="24"/>
                <w:szCs w:val="24"/>
              </w:rPr>
              <w:lastRenderedPageBreak/>
              <w:t>To be determined</w:t>
            </w:r>
          </w:p>
        </w:tc>
      </w:tr>
    </w:tbl>
    <w:p w14:paraId="15C42F0B" w14:textId="77777777" w:rsidR="0063733C" w:rsidRPr="009F1DB3" w:rsidRDefault="0063733C" w:rsidP="0063733C">
      <w:pPr>
        <w:rPr>
          <w:rFonts w:cs="Arial"/>
          <w:szCs w:val="24"/>
        </w:rPr>
      </w:pPr>
    </w:p>
    <w:p w14:paraId="3501F74C" w14:textId="224D6548" w:rsidR="00884F52" w:rsidRPr="009F1DB3" w:rsidRDefault="00884F52" w:rsidP="0063733C">
      <w:pPr>
        <w:pStyle w:val="Heading1"/>
        <w:spacing w:after="0"/>
        <w:rPr>
          <w:rFonts w:eastAsia="Calibri" w:cs="Arial"/>
          <w:b w:val="0"/>
          <w:bCs w:val="0"/>
          <w:color w:val="0000FF"/>
          <w:sz w:val="24"/>
        </w:rPr>
      </w:pPr>
    </w:p>
    <w:p w14:paraId="6E1CB787" w14:textId="5EB99D98" w:rsidR="00410D6A" w:rsidRDefault="00410D6A" w:rsidP="00E26C4D">
      <w:pPr>
        <w:pStyle w:val="Heading1"/>
        <w:spacing w:after="0"/>
        <w:rPr>
          <w:rFonts w:eastAsia="Calibri" w:cs="Times New Roman"/>
          <w:b w:val="0"/>
          <w:bCs w:val="0"/>
          <w:color w:val="0000FF"/>
        </w:rPr>
      </w:pPr>
    </w:p>
    <w:p w14:paraId="11DFAB43" w14:textId="4CB9D10D" w:rsidR="00410D6A" w:rsidRDefault="00410D6A" w:rsidP="00E26C4D">
      <w:pPr>
        <w:spacing w:after="0"/>
        <w:rPr>
          <w:rFonts w:eastAsia="Calibri" w:cs="Times New Roman"/>
          <w:color w:val="0000FF"/>
          <w:sz w:val="28"/>
          <w:szCs w:val="24"/>
        </w:rPr>
      </w:pPr>
      <w:r>
        <w:rPr>
          <w:rFonts w:eastAsia="Calibri" w:cs="Times New Roman"/>
          <w:b/>
          <w:bCs/>
          <w:color w:val="0000FF"/>
        </w:rPr>
        <w:br w:type="page"/>
      </w:r>
    </w:p>
    <w:p w14:paraId="442A7084" w14:textId="77777777" w:rsidR="005B5DD0" w:rsidRPr="009908DC" w:rsidRDefault="005B5DD0" w:rsidP="005B5DD0">
      <w:pPr>
        <w:pStyle w:val="BodyText"/>
        <w:rPr>
          <w:sz w:val="18"/>
        </w:rPr>
      </w:pPr>
    </w:p>
    <w:p w14:paraId="2B2B535E" w14:textId="77777777" w:rsidR="005B5DD0" w:rsidRDefault="005B5DD0" w:rsidP="005B5DD0">
      <w:pPr>
        <w:spacing w:after="0"/>
        <w:jc w:val="center"/>
        <w:rPr>
          <w:rFonts w:cs="Arial"/>
          <w:b/>
          <w:bCs/>
          <w:sz w:val="28"/>
          <w:szCs w:val="28"/>
        </w:rPr>
      </w:pPr>
      <w:bookmarkStart w:id="21" w:name="State_of_California"/>
      <w:bookmarkEnd w:id="21"/>
      <w:r w:rsidRPr="00363A5E">
        <w:rPr>
          <w:rFonts w:cs="Arial"/>
          <w:b/>
          <w:bCs/>
          <w:sz w:val="28"/>
          <w:szCs w:val="28"/>
        </w:rPr>
        <w:t xml:space="preserve">EXHIBIT </w:t>
      </w:r>
      <w:r>
        <w:rPr>
          <w:rFonts w:cs="Arial"/>
          <w:b/>
          <w:bCs/>
          <w:sz w:val="28"/>
          <w:szCs w:val="28"/>
        </w:rPr>
        <w:t>5</w:t>
      </w:r>
      <w:r w:rsidRPr="00363A5E">
        <w:rPr>
          <w:rFonts w:cs="Arial"/>
          <w:b/>
          <w:bCs/>
          <w:sz w:val="28"/>
          <w:szCs w:val="28"/>
        </w:rPr>
        <w:t xml:space="preserve"> – </w:t>
      </w:r>
      <w:r>
        <w:rPr>
          <w:rFonts w:cs="Arial"/>
          <w:b/>
          <w:bCs/>
          <w:sz w:val="28"/>
          <w:szCs w:val="28"/>
        </w:rPr>
        <w:t xml:space="preserve">FREQUENTLY ASKED QUESTIONS </w:t>
      </w:r>
    </w:p>
    <w:p w14:paraId="382A07B4" w14:textId="65654462" w:rsidR="005B5DD0" w:rsidRDefault="005B5DD0" w:rsidP="005B5DD0">
      <w:pPr>
        <w:spacing w:after="0"/>
        <w:jc w:val="center"/>
        <w:rPr>
          <w:rFonts w:cs="Arial"/>
          <w:b/>
          <w:bCs/>
          <w:sz w:val="28"/>
          <w:szCs w:val="28"/>
        </w:rPr>
      </w:pPr>
      <w:r>
        <w:rPr>
          <w:rFonts w:cs="Arial"/>
          <w:b/>
          <w:bCs/>
          <w:sz w:val="28"/>
          <w:szCs w:val="28"/>
        </w:rPr>
        <w:t>REGARDING SITES UNDER THE N-06-19 PROGRAM</w:t>
      </w:r>
    </w:p>
    <w:p w14:paraId="78FD61DA" w14:textId="3C80E975" w:rsidR="000B6A3D" w:rsidRDefault="000B6A3D" w:rsidP="005B5DD0">
      <w:pPr>
        <w:spacing w:after="0"/>
        <w:jc w:val="center"/>
        <w:rPr>
          <w:rFonts w:cs="Arial"/>
          <w:b/>
          <w:bCs/>
          <w:sz w:val="28"/>
          <w:szCs w:val="28"/>
        </w:rPr>
      </w:pPr>
    </w:p>
    <w:p w14:paraId="5705E19A" w14:textId="7DA72DBF" w:rsidR="006A7AB6" w:rsidRDefault="006A7AB6" w:rsidP="005B5DD0">
      <w:pPr>
        <w:spacing w:after="0"/>
        <w:jc w:val="center"/>
        <w:rPr>
          <w:rFonts w:cs="Arial"/>
          <w:b/>
          <w:bCs/>
          <w:sz w:val="28"/>
          <w:szCs w:val="28"/>
        </w:rPr>
      </w:pPr>
    </w:p>
    <w:p w14:paraId="1193069B" w14:textId="482EC6DE" w:rsidR="006A7AB6" w:rsidRPr="0001498F" w:rsidRDefault="006A7AB6" w:rsidP="0001498F">
      <w:pPr>
        <w:spacing w:after="0"/>
        <w:jc w:val="both"/>
        <w:rPr>
          <w:rFonts w:cs="Arial"/>
          <w:i/>
          <w:iCs/>
          <w:sz w:val="28"/>
          <w:szCs w:val="28"/>
          <w:u w:val="single"/>
        </w:rPr>
      </w:pPr>
      <w:r>
        <w:rPr>
          <w:rFonts w:cs="Arial"/>
          <w:i/>
          <w:iCs/>
          <w:sz w:val="28"/>
          <w:szCs w:val="28"/>
          <w:u w:val="single"/>
        </w:rPr>
        <w:t>Note: these are questions written</w:t>
      </w:r>
      <w:r w:rsidR="00915111">
        <w:rPr>
          <w:rFonts w:cs="Arial"/>
          <w:i/>
          <w:iCs/>
          <w:sz w:val="28"/>
          <w:szCs w:val="28"/>
          <w:u w:val="single"/>
        </w:rPr>
        <w:t xml:space="preserve"> and submitted</w:t>
      </w:r>
      <w:r>
        <w:rPr>
          <w:rFonts w:cs="Arial"/>
          <w:i/>
          <w:iCs/>
          <w:sz w:val="28"/>
          <w:szCs w:val="28"/>
          <w:u w:val="single"/>
        </w:rPr>
        <w:t xml:space="preserve"> by </w:t>
      </w:r>
      <w:r w:rsidR="00915111">
        <w:rPr>
          <w:rFonts w:cs="Arial"/>
          <w:i/>
          <w:iCs/>
          <w:sz w:val="28"/>
          <w:szCs w:val="28"/>
          <w:u w:val="single"/>
        </w:rPr>
        <w:t>Respondents to earlier RFQ/RFP’s, with answers provided by the State</w:t>
      </w:r>
      <w:r w:rsidR="0001498F">
        <w:rPr>
          <w:rFonts w:cs="Arial"/>
          <w:i/>
          <w:iCs/>
          <w:sz w:val="28"/>
          <w:szCs w:val="28"/>
          <w:u w:val="single"/>
        </w:rPr>
        <w:t xml:space="preserve">. These are </w:t>
      </w:r>
      <w:r w:rsidR="00915111">
        <w:rPr>
          <w:rFonts w:cs="Arial"/>
          <w:i/>
          <w:iCs/>
          <w:sz w:val="28"/>
          <w:szCs w:val="28"/>
          <w:u w:val="single"/>
        </w:rPr>
        <w:t>included here</w:t>
      </w:r>
      <w:r w:rsidR="00287164">
        <w:rPr>
          <w:rFonts w:cs="Arial"/>
          <w:i/>
          <w:iCs/>
          <w:sz w:val="28"/>
          <w:szCs w:val="28"/>
          <w:u w:val="single"/>
        </w:rPr>
        <w:t xml:space="preserve"> for reference.  Some questions and answers may not apply in the case of this RFQ/RFP.</w:t>
      </w:r>
    </w:p>
    <w:p w14:paraId="3F7653F7" w14:textId="77777777" w:rsidR="005B5DD0" w:rsidRDefault="005B5DD0" w:rsidP="005B5DD0">
      <w:pPr>
        <w:spacing w:after="0"/>
        <w:rPr>
          <w:rFonts w:cs="Arial"/>
        </w:rPr>
      </w:pPr>
    </w:p>
    <w:p w14:paraId="398000D3" w14:textId="77777777" w:rsidR="005B5DD0" w:rsidRPr="009908DC" w:rsidRDefault="005B5DD0" w:rsidP="005B5DD0">
      <w:pPr>
        <w:pStyle w:val="ListParagraph"/>
        <w:numPr>
          <w:ilvl w:val="0"/>
          <w:numId w:val="29"/>
        </w:numPr>
        <w:spacing w:after="0" w:line="240" w:lineRule="auto"/>
        <w:jc w:val="both"/>
        <w:rPr>
          <w:rFonts w:cs="Arial"/>
        </w:rPr>
      </w:pPr>
      <w:r>
        <w:rPr>
          <w:rFonts w:cs="Arial"/>
        </w:rPr>
        <w:t>In the case of a multi-site RFQ, c</w:t>
      </w:r>
      <w:r w:rsidRPr="009908DC">
        <w:rPr>
          <w:rFonts w:cs="Arial"/>
        </w:rPr>
        <w:t>onsidering that the sites have very different contexts and may have different populations, our qualifications for each site would be specific to that site and we may have different partners. If an organization is responding to more than one site, should we submit two separate sets of qualifications/proposals?</w:t>
      </w:r>
      <w:r>
        <w:rPr>
          <w:rFonts w:cs="Arial"/>
        </w:rPr>
        <w:t xml:space="preserve"> </w:t>
      </w:r>
    </w:p>
    <w:p w14:paraId="7EAC6D2C" w14:textId="77777777" w:rsidR="005B5DD0" w:rsidRPr="009908DC" w:rsidRDefault="005B5DD0" w:rsidP="005B5DD0">
      <w:pPr>
        <w:spacing w:after="0"/>
        <w:jc w:val="both"/>
        <w:rPr>
          <w:rFonts w:cs="Arial"/>
        </w:rPr>
      </w:pPr>
    </w:p>
    <w:p w14:paraId="37E53EF9" w14:textId="77777777" w:rsidR="005B5DD0" w:rsidRPr="00AD03E6" w:rsidRDefault="005B5DD0" w:rsidP="005B5DD0">
      <w:pPr>
        <w:spacing w:after="0"/>
        <w:jc w:val="both"/>
        <w:rPr>
          <w:rFonts w:cs="Arial"/>
          <w:color w:val="CC0000"/>
        </w:rPr>
      </w:pPr>
      <w:r w:rsidRPr="00AD03E6">
        <w:rPr>
          <w:rFonts w:cs="Arial"/>
          <w:color w:val="CC0000"/>
        </w:rPr>
        <w:t xml:space="preserve">We ask that you describe your qualifications for all sites in one SOQ and stay within the page limit, yet you can use multiple exhibits to denote different sets of qualifications and/or partners.  If doing so, please provide clear guidance as to which exhibit pertains to which or multiple sites. </w:t>
      </w:r>
    </w:p>
    <w:p w14:paraId="70ADB863" w14:textId="77777777" w:rsidR="005B5DD0" w:rsidRPr="009908DC" w:rsidRDefault="005B5DD0" w:rsidP="005B5DD0">
      <w:pPr>
        <w:spacing w:after="0"/>
        <w:jc w:val="both"/>
        <w:rPr>
          <w:rFonts w:cs="Arial"/>
        </w:rPr>
      </w:pPr>
    </w:p>
    <w:p w14:paraId="53879750" w14:textId="072D4D2C" w:rsidR="005B5DD0" w:rsidRPr="009908DC" w:rsidRDefault="005B5DD0" w:rsidP="005B5DD0">
      <w:pPr>
        <w:pStyle w:val="ListParagraph"/>
        <w:numPr>
          <w:ilvl w:val="0"/>
          <w:numId w:val="29"/>
        </w:numPr>
        <w:spacing w:after="0" w:line="240" w:lineRule="auto"/>
        <w:jc w:val="both"/>
        <w:rPr>
          <w:rFonts w:cs="Arial"/>
        </w:rPr>
      </w:pPr>
      <w:r w:rsidRPr="009908DC">
        <w:rPr>
          <w:rFonts w:cs="Arial"/>
        </w:rPr>
        <w:t>Will there be an opportunity to visit the site</w:t>
      </w:r>
      <w:r>
        <w:rPr>
          <w:rFonts w:cs="Arial"/>
        </w:rPr>
        <w:t>(s)</w:t>
      </w:r>
      <w:r w:rsidRPr="009908DC">
        <w:rPr>
          <w:rFonts w:cs="Arial"/>
        </w:rPr>
        <w:t xml:space="preserve"> prior to the deadline? </w:t>
      </w:r>
    </w:p>
    <w:p w14:paraId="13C4C0E4" w14:textId="77777777" w:rsidR="005B5DD0" w:rsidRPr="009908DC" w:rsidRDefault="005B5DD0" w:rsidP="005B5DD0">
      <w:pPr>
        <w:spacing w:after="0"/>
        <w:jc w:val="both"/>
        <w:rPr>
          <w:rFonts w:cs="Arial"/>
        </w:rPr>
      </w:pPr>
    </w:p>
    <w:p w14:paraId="7E28A2B9" w14:textId="6EB9F7D7" w:rsidR="005B5DD0" w:rsidRPr="00AD03E6" w:rsidRDefault="005B5DD0" w:rsidP="005B5DD0">
      <w:pPr>
        <w:spacing w:after="0"/>
        <w:jc w:val="both"/>
        <w:rPr>
          <w:rFonts w:cs="Arial"/>
          <w:color w:val="C00000"/>
        </w:rPr>
      </w:pPr>
      <w:r w:rsidRPr="00AD03E6">
        <w:rPr>
          <w:rFonts w:cs="Arial"/>
          <w:color w:val="C00000"/>
        </w:rPr>
        <w:t>Respondents are welcome to independently assess the site(s) from publicly accessible vantage points.  No right of entry to subject properties is either given or implied through this RF</w:t>
      </w:r>
      <w:r w:rsidR="000B6A3D" w:rsidRPr="00AD03E6">
        <w:rPr>
          <w:rFonts w:cs="Arial"/>
          <w:color w:val="C00000"/>
        </w:rPr>
        <w:t>Q/P</w:t>
      </w:r>
      <w:r w:rsidRPr="00AD03E6">
        <w:rPr>
          <w:rFonts w:cs="Arial"/>
          <w:color w:val="C00000"/>
        </w:rPr>
        <w:t>. There will be no guided site visits. Please do not disturb current tenants, where applicable.  We expect the existing improvements to be demolished by the developer as part of their construction of the housing.</w:t>
      </w:r>
    </w:p>
    <w:p w14:paraId="77F78060" w14:textId="77777777" w:rsidR="005B5DD0" w:rsidRPr="009908DC" w:rsidRDefault="005B5DD0" w:rsidP="005B5DD0">
      <w:pPr>
        <w:spacing w:after="0"/>
        <w:jc w:val="both"/>
        <w:rPr>
          <w:rFonts w:cs="Arial"/>
        </w:rPr>
      </w:pPr>
    </w:p>
    <w:p w14:paraId="6D04D5BD" w14:textId="77777777" w:rsidR="005B5DD0" w:rsidRPr="009908DC" w:rsidRDefault="005B5DD0" w:rsidP="005B5DD0">
      <w:pPr>
        <w:pStyle w:val="ListParagraph"/>
        <w:numPr>
          <w:ilvl w:val="0"/>
          <w:numId w:val="29"/>
        </w:numPr>
        <w:spacing w:after="0" w:line="240" w:lineRule="auto"/>
        <w:jc w:val="both"/>
        <w:rPr>
          <w:rFonts w:cs="Arial"/>
        </w:rPr>
      </w:pPr>
      <w:r w:rsidRPr="009908DC">
        <w:rPr>
          <w:rFonts w:cs="Arial"/>
        </w:rPr>
        <w:t>Are we allowed to submit two responses for both the RFQ and RFP stages (assuming we’re invited to apply for the RFP)?</w:t>
      </w:r>
    </w:p>
    <w:p w14:paraId="6D889F08" w14:textId="77777777" w:rsidR="005B5DD0" w:rsidRPr="009908DC" w:rsidRDefault="005B5DD0" w:rsidP="005B5DD0">
      <w:pPr>
        <w:spacing w:after="0"/>
        <w:jc w:val="both"/>
        <w:rPr>
          <w:rFonts w:cs="Arial"/>
        </w:rPr>
      </w:pPr>
    </w:p>
    <w:p w14:paraId="2D49DAFC" w14:textId="77777777" w:rsidR="005B5DD0" w:rsidRPr="00AD03E6" w:rsidRDefault="005B5DD0" w:rsidP="005B5DD0">
      <w:pPr>
        <w:spacing w:after="0"/>
        <w:jc w:val="both"/>
        <w:rPr>
          <w:rFonts w:cs="Arial"/>
          <w:color w:val="C00000"/>
        </w:rPr>
      </w:pPr>
      <w:r w:rsidRPr="00AD03E6">
        <w:rPr>
          <w:rFonts w:cs="Arial"/>
          <w:color w:val="C00000"/>
        </w:rPr>
        <w:t>Please only provide one response to the RFQ.  If a proposal is requested, we will request up to one proposal per site.</w:t>
      </w:r>
    </w:p>
    <w:p w14:paraId="0562D0BD" w14:textId="77777777" w:rsidR="005B5DD0" w:rsidRPr="009908DC" w:rsidRDefault="005B5DD0" w:rsidP="005B5DD0">
      <w:pPr>
        <w:pStyle w:val="ListParagraph"/>
        <w:spacing w:after="0"/>
        <w:ind w:left="1440"/>
        <w:contextualSpacing w:val="0"/>
        <w:jc w:val="both"/>
        <w:rPr>
          <w:rFonts w:cs="Arial"/>
        </w:rPr>
      </w:pPr>
    </w:p>
    <w:p w14:paraId="3AEE984F" w14:textId="77777777" w:rsidR="005B5DD0" w:rsidRPr="009908DC" w:rsidRDefault="005B5DD0" w:rsidP="005B5DD0">
      <w:pPr>
        <w:pStyle w:val="ListParagraph"/>
        <w:numPr>
          <w:ilvl w:val="0"/>
          <w:numId w:val="29"/>
        </w:numPr>
        <w:spacing w:after="0" w:line="240" w:lineRule="auto"/>
        <w:jc w:val="both"/>
        <w:rPr>
          <w:rFonts w:cs="Arial"/>
        </w:rPr>
      </w:pPr>
      <w:r w:rsidRPr="009908DC">
        <w:rPr>
          <w:rFonts w:cs="Arial"/>
        </w:rPr>
        <w:t>Will the site</w:t>
      </w:r>
      <w:r>
        <w:rPr>
          <w:rFonts w:cs="Arial"/>
        </w:rPr>
        <w:t>(s)</w:t>
      </w:r>
      <w:r w:rsidRPr="009908DC">
        <w:rPr>
          <w:rFonts w:cs="Arial"/>
        </w:rPr>
        <w:t xml:space="preserve"> be delivered with utilities stubbed to site permit ready? </w:t>
      </w:r>
    </w:p>
    <w:p w14:paraId="6E55EAA2" w14:textId="77777777" w:rsidR="005B5DD0" w:rsidRPr="00AD03E6" w:rsidRDefault="005B5DD0" w:rsidP="005B5DD0">
      <w:pPr>
        <w:spacing w:after="0"/>
        <w:jc w:val="both"/>
        <w:rPr>
          <w:rFonts w:cs="Arial"/>
          <w:color w:val="C00000"/>
        </w:rPr>
      </w:pPr>
    </w:p>
    <w:p w14:paraId="7117442E" w14:textId="77777777" w:rsidR="005B5DD0" w:rsidRPr="00AD03E6" w:rsidRDefault="005B5DD0" w:rsidP="005B5DD0">
      <w:pPr>
        <w:spacing w:after="0"/>
        <w:jc w:val="both"/>
        <w:rPr>
          <w:rFonts w:cs="Arial"/>
          <w:color w:val="C00000"/>
        </w:rPr>
      </w:pPr>
      <w:r w:rsidRPr="00AD03E6">
        <w:rPr>
          <w:rFonts w:cs="Arial"/>
          <w:color w:val="C00000"/>
        </w:rPr>
        <w:t>Sites will be delivered as is. Conditions will vary from site-to-site.</w:t>
      </w:r>
    </w:p>
    <w:p w14:paraId="249F9851" w14:textId="77777777" w:rsidR="005B5DD0" w:rsidRPr="009908DC" w:rsidRDefault="005B5DD0" w:rsidP="005B5DD0">
      <w:pPr>
        <w:pStyle w:val="ListParagraph"/>
        <w:spacing w:after="0"/>
        <w:jc w:val="both"/>
        <w:rPr>
          <w:rFonts w:cs="Arial"/>
        </w:rPr>
      </w:pPr>
    </w:p>
    <w:p w14:paraId="19A31BCB" w14:textId="77777777" w:rsidR="005B5DD0" w:rsidRPr="009908DC" w:rsidRDefault="005B5DD0" w:rsidP="005B5DD0">
      <w:pPr>
        <w:pStyle w:val="ListParagraph"/>
        <w:numPr>
          <w:ilvl w:val="0"/>
          <w:numId w:val="29"/>
        </w:numPr>
        <w:spacing w:after="0" w:line="240" w:lineRule="auto"/>
        <w:jc w:val="both"/>
        <w:rPr>
          <w:rFonts w:cs="Arial"/>
        </w:rPr>
      </w:pPr>
      <w:r w:rsidRPr="009908DC">
        <w:rPr>
          <w:rFonts w:cs="Arial"/>
        </w:rPr>
        <w:t>What off</w:t>
      </w:r>
      <w:r>
        <w:rPr>
          <w:rFonts w:cs="Arial"/>
        </w:rPr>
        <w:t>-</w:t>
      </w:r>
      <w:r w:rsidRPr="009908DC">
        <w:rPr>
          <w:rFonts w:cs="Arial"/>
        </w:rPr>
        <w:t>sites will need to be done at whose cost? </w:t>
      </w:r>
    </w:p>
    <w:p w14:paraId="216DEF59" w14:textId="77777777" w:rsidR="005B5DD0" w:rsidRPr="009908DC" w:rsidRDefault="005B5DD0" w:rsidP="005B5DD0">
      <w:pPr>
        <w:spacing w:after="0"/>
        <w:jc w:val="both"/>
        <w:rPr>
          <w:rFonts w:cs="Arial"/>
          <w:color w:val="FF0000"/>
        </w:rPr>
      </w:pPr>
    </w:p>
    <w:p w14:paraId="1183F071" w14:textId="77777777" w:rsidR="005B5DD0" w:rsidRPr="00AD03E6" w:rsidRDefault="005B5DD0" w:rsidP="005B5DD0">
      <w:pPr>
        <w:spacing w:after="0"/>
        <w:jc w:val="both"/>
        <w:rPr>
          <w:rFonts w:cs="Arial"/>
          <w:color w:val="C00000"/>
        </w:rPr>
      </w:pPr>
      <w:r w:rsidRPr="00AD03E6">
        <w:rPr>
          <w:rFonts w:cs="Arial"/>
          <w:color w:val="C00000"/>
        </w:rPr>
        <w:lastRenderedPageBreak/>
        <w:t>Customary off-site improvements will be expected, with the cost included in the project’s construction budget. Conditions will vary from site-to-site.</w:t>
      </w:r>
    </w:p>
    <w:p w14:paraId="0DABE0FE" w14:textId="77777777" w:rsidR="005B5DD0" w:rsidRPr="009908DC" w:rsidRDefault="005B5DD0" w:rsidP="005B5DD0">
      <w:pPr>
        <w:pStyle w:val="ListParagraph"/>
        <w:spacing w:after="0"/>
        <w:jc w:val="both"/>
        <w:rPr>
          <w:rFonts w:cs="Arial"/>
        </w:rPr>
      </w:pPr>
    </w:p>
    <w:p w14:paraId="15E31DC2" w14:textId="77777777" w:rsidR="005B5DD0" w:rsidRPr="009908DC" w:rsidRDefault="005B5DD0" w:rsidP="005B5DD0">
      <w:pPr>
        <w:pStyle w:val="ListParagraph"/>
        <w:numPr>
          <w:ilvl w:val="0"/>
          <w:numId w:val="29"/>
        </w:numPr>
        <w:spacing w:after="0" w:line="240" w:lineRule="auto"/>
        <w:jc w:val="both"/>
        <w:rPr>
          <w:rFonts w:cs="Arial"/>
        </w:rPr>
      </w:pPr>
      <w:r w:rsidRPr="009908DC">
        <w:rPr>
          <w:rFonts w:cs="Arial"/>
        </w:rPr>
        <w:t>Will there be a process to streamline permitting with one or just a few points if contact?</w:t>
      </w:r>
    </w:p>
    <w:p w14:paraId="44F958C5" w14:textId="77777777" w:rsidR="005B5DD0" w:rsidRPr="009908DC" w:rsidRDefault="005B5DD0" w:rsidP="005B5DD0">
      <w:pPr>
        <w:spacing w:after="0"/>
        <w:jc w:val="both"/>
        <w:rPr>
          <w:rFonts w:cs="Arial"/>
        </w:rPr>
      </w:pPr>
    </w:p>
    <w:p w14:paraId="2CCF475F" w14:textId="77777777" w:rsidR="005B5DD0" w:rsidRPr="00AD03E6" w:rsidRDefault="005B5DD0" w:rsidP="005B5DD0">
      <w:pPr>
        <w:spacing w:after="0"/>
        <w:jc w:val="both"/>
        <w:rPr>
          <w:rFonts w:cs="Arial"/>
          <w:color w:val="C00000"/>
        </w:rPr>
      </w:pPr>
      <w:r w:rsidRPr="00AD03E6">
        <w:rPr>
          <w:rFonts w:cs="Arial"/>
          <w:color w:val="C00000"/>
        </w:rPr>
        <w:t>There will be an assigned DGS staff person for each site who will be the single point of contact for all matters relating to DGS for all stages of development.</w:t>
      </w:r>
    </w:p>
    <w:p w14:paraId="26F1DE21" w14:textId="77777777" w:rsidR="005B5DD0" w:rsidRPr="009908DC" w:rsidRDefault="005B5DD0" w:rsidP="005B5DD0">
      <w:pPr>
        <w:spacing w:after="0"/>
        <w:jc w:val="both"/>
        <w:rPr>
          <w:rFonts w:cs="Arial"/>
        </w:rPr>
      </w:pPr>
    </w:p>
    <w:p w14:paraId="27E370EE" w14:textId="77777777" w:rsidR="005B5DD0" w:rsidRPr="009908DC" w:rsidRDefault="005B5DD0" w:rsidP="005B5DD0">
      <w:pPr>
        <w:spacing w:after="0"/>
        <w:jc w:val="both"/>
        <w:rPr>
          <w:rFonts w:cs="Arial"/>
        </w:rPr>
      </w:pPr>
    </w:p>
    <w:p w14:paraId="5B70253D" w14:textId="77777777" w:rsidR="005B5DD0" w:rsidRPr="009908DC" w:rsidRDefault="005B5DD0" w:rsidP="005B5DD0">
      <w:pPr>
        <w:pStyle w:val="ListParagraph"/>
        <w:numPr>
          <w:ilvl w:val="0"/>
          <w:numId w:val="29"/>
        </w:numPr>
        <w:spacing w:after="0" w:line="240" w:lineRule="auto"/>
        <w:jc w:val="both"/>
        <w:rPr>
          <w:rFonts w:cs="Arial"/>
        </w:rPr>
      </w:pPr>
      <w:r w:rsidRPr="009908DC">
        <w:rPr>
          <w:rFonts w:cs="Arial"/>
        </w:rPr>
        <w:t>Are there any requirements for subcontractors or trades working the site?</w:t>
      </w:r>
    </w:p>
    <w:p w14:paraId="785179A3" w14:textId="77777777" w:rsidR="005B5DD0" w:rsidRPr="009908DC" w:rsidRDefault="005B5DD0" w:rsidP="005B5DD0">
      <w:pPr>
        <w:spacing w:after="0"/>
        <w:jc w:val="both"/>
        <w:rPr>
          <w:rFonts w:cs="Arial"/>
        </w:rPr>
      </w:pPr>
    </w:p>
    <w:p w14:paraId="68B4524E" w14:textId="77777777" w:rsidR="005B5DD0" w:rsidRPr="00AD03E6" w:rsidRDefault="005B5DD0" w:rsidP="005B5DD0">
      <w:pPr>
        <w:spacing w:after="0"/>
        <w:jc w:val="both"/>
        <w:rPr>
          <w:rFonts w:cs="Arial"/>
          <w:color w:val="C00000"/>
        </w:rPr>
      </w:pPr>
      <w:r w:rsidRPr="00AD03E6">
        <w:rPr>
          <w:rFonts w:cs="Arial"/>
          <w:color w:val="C00000"/>
        </w:rPr>
        <w:t>Currently, the program includes a prevailing wage requirement. This does not preclude future contracting or labor regulations.</w:t>
      </w:r>
    </w:p>
    <w:p w14:paraId="68C67059" w14:textId="77777777" w:rsidR="005B5DD0" w:rsidRPr="009908DC" w:rsidRDefault="005B5DD0" w:rsidP="005B5DD0">
      <w:pPr>
        <w:spacing w:after="0"/>
        <w:jc w:val="both"/>
        <w:rPr>
          <w:rFonts w:cs="Arial"/>
        </w:rPr>
      </w:pPr>
    </w:p>
    <w:p w14:paraId="1FD0E365" w14:textId="77777777" w:rsidR="005B5DD0" w:rsidRPr="009908DC" w:rsidRDefault="005B5DD0" w:rsidP="005B5DD0">
      <w:pPr>
        <w:pStyle w:val="ListParagraph"/>
        <w:numPr>
          <w:ilvl w:val="0"/>
          <w:numId w:val="29"/>
        </w:numPr>
        <w:spacing w:after="0" w:line="240" w:lineRule="auto"/>
        <w:jc w:val="both"/>
        <w:rPr>
          <w:rFonts w:cs="Arial"/>
        </w:rPr>
      </w:pPr>
      <w:r w:rsidRPr="009908DC">
        <w:rPr>
          <w:rFonts w:cs="Arial"/>
        </w:rPr>
        <w:t>Will parking requirements be eased depending on the population? </w:t>
      </w:r>
    </w:p>
    <w:p w14:paraId="2BB06419" w14:textId="77777777" w:rsidR="005B5DD0" w:rsidRPr="009908DC" w:rsidRDefault="005B5DD0" w:rsidP="005B5DD0">
      <w:pPr>
        <w:spacing w:after="0"/>
        <w:jc w:val="both"/>
        <w:rPr>
          <w:rFonts w:cs="Arial"/>
        </w:rPr>
      </w:pPr>
    </w:p>
    <w:p w14:paraId="28FCD4B9" w14:textId="77777777" w:rsidR="005B5DD0" w:rsidRPr="00AD03E6" w:rsidRDefault="005B5DD0" w:rsidP="005B5DD0">
      <w:pPr>
        <w:spacing w:after="0"/>
        <w:jc w:val="both"/>
        <w:rPr>
          <w:rFonts w:cs="Arial"/>
          <w:color w:val="C00000"/>
        </w:rPr>
      </w:pPr>
      <w:r w:rsidRPr="00AD03E6">
        <w:rPr>
          <w:rFonts w:cs="Arial"/>
          <w:color w:val="C00000"/>
        </w:rPr>
        <w:t>Parking requirements will be determined via discussions with DGS, the city, and the developer.</w:t>
      </w:r>
    </w:p>
    <w:p w14:paraId="0679752F" w14:textId="77777777" w:rsidR="005B5DD0" w:rsidRPr="009908DC" w:rsidRDefault="005B5DD0" w:rsidP="005B5DD0">
      <w:pPr>
        <w:spacing w:after="0"/>
        <w:jc w:val="both"/>
        <w:rPr>
          <w:rFonts w:cs="Arial"/>
        </w:rPr>
      </w:pPr>
    </w:p>
    <w:p w14:paraId="7C91337C" w14:textId="77777777" w:rsidR="005B5DD0" w:rsidRPr="009908DC" w:rsidRDefault="005B5DD0" w:rsidP="005B5DD0">
      <w:pPr>
        <w:pStyle w:val="ListParagraph"/>
        <w:numPr>
          <w:ilvl w:val="0"/>
          <w:numId w:val="29"/>
        </w:numPr>
        <w:spacing w:after="0" w:line="240" w:lineRule="auto"/>
        <w:jc w:val="both"/>
        <w:rPr>
          <w:rFonts w:cs="Arial"/>
        </w:rPr>
      </w:pPr>
      <w:r w:rsidRPr="009908DC">
        <w:rPr>
          <w:rFonts w:cs="Arial"/>
        </w:rPr>
        <w:t>Does every unit have to ADA complaint or just a percentage?</w:t>
      </w:r>
    </w:p>
    <w:p w14:paraId="69710AB7" w14:textId="77777777" w:rsidR="005B5DD0" w:rsidRPr="009908DC" w:rsidRDefault="005B5DD0" w:rsidP="005B5DD0">
      <w:pPr>
        <w:spacing w:after="0"/>
        <w:jc w:val="both"/>
        <w:rPr>
          <w:rFonts w:cs="Arial"/>
        </w:rPr>
      </w:pPr>
    </w:p>
    <w:p w14:paraId="30B4F343" w14:textId="77777777" w:rsidR="005B5DD0" w:rsidRPr="00AD03E6" w:rsidRDefault="005B5DD0" w:rsidP="005B5DD0">
      <w:pPr>
        <w:spacing w:after="0"/>
        <w:jc w:val="both"/>
        <w:rPr>
          <w:rFonts w:cs="Arial"/>
          <w:color w:val="C00000"/>
        </w:rPr>
      </w:pPr>
      <w:r w:rsidRPr="00AD03E6">
        <w:rPr>
          <w:rFonts w:cs="Arial"/>
          <w:color w:val="C00000"/>
        </w:rPr>
        <w:t>Minimum accessibility requirements are established by the California Building Code. The Excess Sites program seeks to maximize access in balance with other objectives.</w:t>
      </w:r>
    </w:p>
    <w:p w14:paraId="28E51095" w14:textId="77777777" w:rsidR="005B5DD0" w:rsidRPr="009908DC" w:rsidRDefault="005B5DD0" w:rsidP="005B5DD0">
      <w:pPr>
        <w:spacing w:after="0"/>
        <w:jc w:val="both"/>
        <w:rPr>
          <w:rFonts w:cs="Arial"/>
        </w:rPr>
      </w:pPr>
    </w:p>
    <w:p w14:paraId="76B9E34A" w14:textId="77777777" w:rsidR="005B5DD0" w:rsidRPr="009908DC" w:rsidRDefault="005B5DD0" w:rsidP="005B5DD0">
      <w:pPr>
        <w:pStyle w:val="ListParagraph"/>
        <w:numPr>
          <w:ilvl w:val="0"/>
          <w:numId w:val="29"/>
        </w:numPr>
        <w:spacing w:after="0" w:line="240" w:lineRule="auto"/>
        <w:jc w:val="both"/>
        <w:rPr>
          <w:rFonts w:cs="Arial"/>
        </w:rPr>
      </w:pPr>
      <w:r w:rsidRPr="009908DC">
        <w:rPr>
          <w:rFonts w:cs="Arial"/>
        </w:rPr>
        <w:t>Is any of this contingent on services being provided? </w:t>
      </w:r>
    </w:p>
    <w:p w14:paraId="545192CE" w14:textId="77777777" w:rsidR="005B5DD0" w:rsidRPr="009908DC" w:rsidRDefault="005B5DD0" w:rsidP="005B5DD0">
      <w:pPr>
        <w:pStyle w:val="ListParagraph"/>
        <w:spacing w:after="0"/>
        <w:jc w:val="both"/>
        <w:rPr>
          <w:rFonts w:cs="Arial"/>
        </w:rPr>
      </w:pPr>
    </w:p>
    <w:p w14:paraId="5879CBAA" w14:textId="77777777" w:rsidR="005B5DD0" w:rsidRPr="00AD03E6" w:rsidRDefault="005B5DD0" w:rsidP="005B5DD0">
      <w:pPr>
        <w:spacing w:after="0"/>
        <w:jc w:val="both"/>
        <w:rPr>
          <w:rFonts w:cs="Arial"/>
          <w:color w:val="C00000"/>
        </w:rPr>
      </w:pPr>
      <w:r w:rsidRPr="00AD03E6">
        <w:rPr>
          <w:rFonts w:cs="Arial"/>
          <w:color w:val="C00000"/>
        </w:rPr>
        <w:t>It is expected that on-site social services are provided to the levels customary and/or required for low-income housing.</w:t>
      </w:r>
    </w:p>
    <w:p w14:paraId="53872900" w14:textId="77777777" w:rsidR="005B5DD0" w:rsidRPr="009908DC" w:rsidRDefault="005B5DD0" w:rsidP="005B5DD0">
      <w:pPr>
        <w:spacing w:after="0"/>
        <w:jc w:val="both"/>
        <w:rPr>
          <w:rFonts w:cs="Arial"/>
        </w:rPr>
      </w:pPr>
    </w:p>
    <w:p w14:paraId="033CC297" w14:textId="28238655" w:rsidR="005B5DD0" w:rsidRPr="009908DC" w:rsidRDefault="005B5DD0" w:rsidP="005B5DD0">
      <w:pPr>
        <w:pStyle w:val="ListParagraph"/>
        <w:numPr>
          <w:ilvl w:val="0"/>
          <w:numId w:val="29"/>
        </w:numPr>
        <w:spacing w:after="0" w:line="240" w:lineRule="auto"/>
        <w:jc w:val="both"/>
        <w:rPr>
          <w:rFonts w:cs="Arial"/>
        </w:rPr>
      </w:pPr>
      <w:r w:rsidRPr="009908DC">
        <w:rPr>
          <w:rFonts w:cs="Arial"/>
        </w:rPr>
        <w:t>Do we have responsibility for qualifying Residents</w:t>
      </w:r>
      <w:r w:rsidR="00BD449A">
        <w:rPr>
          <w:rFonts w:cs="Arial"/>
        </w:rPr>
        <w:t xml:space="preserve"> for</w:t>
      </w:r>
      <w:r w:rsidRPr="009908DC">
        <w:rPr>
          <w:rFonts w:cs="Arial"/>
        </w:rPr>
        <w:t xml:space="preserve"> </w:t>
      </w:r>
      <w:r w:rsidR="00BD449A">
        <w:rPr>
          <w:rFonts w:cs="Arial"/>
        </w:rPr>
        <w:t>S</w:t>
      </w:r>
      <w:r w:rsidRPr="009908DC">
        <w:rPr>
          <w:rFonts w:cs="Arial"/>
        </w:rPr>
        <w:t xml:space="preserve">ection 8 or </w:t>
      </w:r>
      <w:proofErr w:type="gramStart"/>
      <w:r w:rsidRPr="009908DC">
        <w:rPr>
          <w:rFonts w:cs="Arial"/>
        </w:rPr>
        <w:t>Veterans</w:t>
      </w:r>
      <w:proofErr w:type="gramEnd"/>
      <w:r w:rsidRPr="009908DC">
        <w:rPr>
          <w:rFonts w:cs="Arial"/>
        </w:rPr>
        <w:t xml:space="preserve"> voucher or similar?</w:t>
      </w:r>
    </w:p>
    <w:p w14:paraId="4D01C94F" w14:textId="77777777" w:rsidR="005B5DD0" w:rsidRPr="009908DC" w:rsidRDefault="005B5DD0" w:rsidP="005B5DD0">
      <w:pPr>
        <w:spacing w:after="0"/>
        <w:jc w:val="both"/>
        <w:rPr>
          <w:rFonts w:cs="Arial"/>
        </w:rPr>
      </w:pPr>
    </w:p>
    <w:p w14:paraId="5894CD37" w14:textId="77777777" w:rsidR="005B5DD0" w:rsidRPr="00AD03E6" w:rsidRDefault="005B5DD0" w:rsidP="005B5DD0">
      <w:pPr>
        <w:spacing w:after="0"/>
        <w:jc w:val="both"/>
        <w:rPr>
          <w:rFonts w:cs="Arial"/>
          <w:color w:val="C00000"/>
        </w:rPr>
      </w:pPr>
      <w:r w:rsidRPr="00AD03E6">
        <w:rPr>
          <w:rFonts w:cs="Arial"/>
          <w:color w:val="C00000"/>
        </w:rPr>
        <w:t>It will be the developer’s responsibility to a) obtain the Section 8 vouchers they deem necessary for the project, and b) qualify residents against the requirements of all funding sources including Section 8 if applicable.</w:t>
      </w:r>
    </w:p>
    <w:p w14:paraId="5F91AEF0" w14:textId="77777777" w:rsidR="005B5DD0" w:rsidRPr="009908DC" w:rsidRDefault="005B5DD0" w:rsidP="005B5DD0">
      <w:pPr>
        <w:spacing w:after="0"/>
        <w:jc w:val="both"/>
        <w:rPr>
          <w:rFonts w:cs="Arial"/>
        </w:rPr>
      </w:pPr>
      <w:r w:rsidRPr="009908DC">
        <w:rPr>
          <w:rFonts w:cs="Arial"/>
        </w:rPr>
        <w:t> </w:t>
      </w:r>
    </w:p>
    <w:p w14:paraId="72F125F8" w14:textId="418A1519" w:rsidR="005B5DD0" w:rsidRPr="009908DC" w:rsidRDefault="005B5DD0" w:rsidP="005B5DD0">
      <w:pPr>
        <w:pStyle w:val="ListParagraph"/>
        <w:numPr>
          <w:ilvl w:val="0"/>
          <w:numId w:val="29"/>
        </w:numPr>
        <w:spacing w:after="0" w:line="240" w:lineRule="auto"/>
        <w:jc w:val="both"/>
        <w:rPr>
          <w:rFonts w:cs="Arial"/>
        </w:rPr>
      </w:pPr>
      <w:r w:rsidRPr="009908DC">
        <w:rPr>
          <w:rFonts w:cs="Arial"/>
        </w:rPr>
        <w:t>Who at the state will be responsible for handling all the entitlement work under the State Sovereignty act?</w:t>
      </w:r>
    </w:p>
    <w:p w14:paraId="284A93CE" w14:textId="77777777" w:rsidR="005B5DD0" w:rsidRPr="009908DC" w:rsidRDefault="005B5DD0" w:rsidP="005B5DD0">
      <w:pPr>
        <w:spacing w:after="0"/>
        <w:jc w:val="both"/>
        <w:rPr>
          <w:rFonts w:cs="Arial"/>
        </w:rPr>
      </w:pPr>
    </w:p>
    <w:p w14:paraId="5015114A" w14:textId="77777777" w:rsidR="005B5DD0" w:rsidRPr="00AD03E6" w:rsidRDefault="005B5DD0" w:rsidP="005B5DD0">
      <w:pPr>
        <w:spacing w:after="0"/>
        <w:jc w:val="both"/>
        <w:rPr>
          <w:rFonts w:cs="Arial"/>
          <w:color w:val="C00000"/>
        </w:rPr>
      </w:pPr>
      <w:r w:rsidRPr="00AD03E6">
        <w:rPr>
          <w:rFonts w:cs="Arial"/>
          <w:color w:val="C00000"/>
        </w:rPr>
        <w:t>The Department of General Services will represent the State with regards to project approvals.</w:t>
      </w:r>
    </w:p>
    <w:p w14:paraId="53451A59" w14:textId="77777777" w:rsidR="005B5DD0" w:rsidRPr="00DD4286" w:rsidRDefault="005B5DD0" w:rsidP="005B5DD0">
      <w:pPr>
        <w:spacing w:after="0"/>
        <w:jc w:val="both"/>
        <w:rPr>
          <w:rFonts w:cs="Arial"/>
        </w:rPr>
      </w:pPr>
    </w:p>
    <w:p w14:paraId="1D10B9B3" w14:textId="77777777" w:rsidR="005B5DD0" w:rsidRPr="009908DC" w:rsidRDefault="005B5DD0" w:rsidP="005B5DD0">
      <w:pPr>
        <w:pStyle w:val="ListParagraph"/>
        <w:numPr>
          <w:ilvl w:val="0"/>
          <w:numId w:val="29"/>
        </w:numPr>
        <w:spacing w:after="0" w:line="240" w:lineRule="auto"/>
        <w:jc w:val="both"/>
        <w:rPr>
          <w:rFonts w:cs="Arial"/>
        </w:rPr>
      </w:pPr>
      <w:r w:rsidRPr="009908DC">
        <w:rPr>
          <w:rFonts w:cs="Arial"/>
        </w:rPr>
        <w:t>What is the maximum density allowed by the state?</w:t>
      </w:r>
    </w:p>
    <w:p w14:paraId="25B0DB0D" w14:textId="77777777" w:rsidR="005B5DD0" w:rsidRPr="009908DC" w:rsidRDefault="005B5DD0" w:rsidP="005B5DD0">
      <w:pPr>
        <w:spacing w:after="0"/>
        <w:jc w:val="both"/>
        <w:rPr>
          <w:rFonts w:cs="Arial"/>
        </w:rPr>
      </w:pPr>
    </w:p>
    <w:p w14:paraId="0CD03F18" w14:textId="77777777" w:rsidR="005B5DD0" w:rsidRPr="00AD03E6" w:rsidRDefault="005B5DD0" w:rsidP="005B5DD0">
      <w:pPr>
        <w:spacing w:after="0"/>
        <w:jc w:val="both"/>
        <w:rPr>
          <w:rFonts w:cs="Arial"/>
          <w:color w:val="C00000"/>
        </w:rPr>
      </w:pPr>
      <w:r w:rsidRPr="00AD03E6">
        <w:rPr>
          <w:rFonts w:cs="Arial"/>
          <w:color w:val="C00000"/>
        </w:rPr>
        <w:t>The state does not have a maximum density limit. However, respondents are encouraged to review the program Principles and Objectives when determining density and consider local context.</w:t>
      </w:r>
    </w:p>
    <w:p w14:paraId="2C112621" w14:textId="77777777" w:rsidR="005B5DD0" w:rsidRPr="009908DC" w:rsidRDefault="005B5DD0" w:rsidP="005B5DD0">
      <w:pPr>
        <w:pStyle w:val="ListParagraph"/>
        <w:spacing w:after="0"/>
        <w:jc w:val="both"/>
        <w:rPr>
          <w:rFonts w:cs="Arial"/>
        </w:rPr>
      </w:pPr>
    </w:p>
    <w:p w14:paraId="28F0927C" w14:textId="77777777" w:rsidR="005B5DD0" w:rsidRPr="009908DC" w:rsidRDefault="005B5DD0" w:rsidP="005B5DD0">
      <w:pPr>
        <w:pStyle w:val="ListParagraph"/>
        <w:numPr>
          <w:ilvl w:val="0"/>
          <w:numId w:val="29"/>
        </w:numPr>
        <w:spacing w:after="0" w:line="240" w:lineRule="auto"/>
        <w:jc w:val="both"/>
        <w:rPr>
          <w:rFonts w:cs="Arial"/>
        </w:rPr>
      </w:pPr>
      <w:r w:rsidRPr="009908DC">
        <w:rPr>
          <w:rFonts w:cs="Arial"/>
        </w:rPr>
        <w:t>What is the estimated closing date of these sites?  Is the ability to close quickly attractive to the state?</w:t>
      </w:r>
    </w:p>
    <w:p w14:paraId="3030785D" w14:textId="77777777" w:rsidR="005B5DD0" w:rsidRPr="009908DC" w:rsidRDefault="005B5DD0" w:rsidP="005B5DD0">
      <w:pPr>
        <w:spacing w:after="0"/>
        <w:jc w:val="both"/>
        <w:rPr>
          <w:rFonts w:cs="Arial"/>
        </w:rPr>
      </w:pPr>
    </w:p>
    <w:p w14:paraId="4E864F0B" w14:textId="69E10A0F" w:rsidR="005B5DD0" w:rsidRPr="00AD03E6" w:rsidRDefault="005B5DD0" w:rsidP="005B5DD0">
      <w:pPr>
        <w:spacing w:after="0"/>
        <w:jc w:val="both"/>
        <w:rPr>
          <w:rFonts w:cs="Arial"/>
          <w:color w:val="C00000"/>
        </w:rPr>
      </w:pPr>
      <w:r w:rsidRPr="00AD03E6">
        <w:rPr>
          <w:rFonts w:cs="Arial"/>
          <w:color w:val="C00000"/>
        </w:rPr>
        <w:t>There is no estimated closing date; however, as per Principle and Objective #</w:t>
      </w:r>
      <w:r w:rsidR="009E5FD9" w:rsidRPr="00AD03E6">
        <w:rPr>
          <w:rFonts w:cs="Arial"/>
          <w:color w:val="C00000"/>
        </w:rPr>
        <w:t>3</w:t>
      </w:r>
      <w:r w:rsidRPr="00AD03E6">
        <w:rPr>
          <w:rFonts w:cs="Arial"/>
          <w:color w:val="C00000"/>
        </w:rPr>
        <w:t>, timing efficiency is important and will be a scoring criterium at the RFP stage.</w:t>
      </w:r>
    </w:p>
    <w:p w14:paraId="119328DF" w14:textId="77777777" w:rsidR="005B5DD0" w:rsidRPr="009908DC" w:rsidRDefault="005B5DD0" w:rsidP="005B5DD0">
      <w:pPr>
        <w:pStyle w:val="ListParagraph"/>
        <w:spacing w:after="0"/>
        <w:jc w:val="both"/>
        <w:rPr>
          <w:rFonts w:cs="Arial"/>
        </w:rPr>
      </w:pPr>
    </w:p>
    <w:p w14:paraId="5593BE9D" w14:textId="77777777" w:rsidR="005B5DD0" w:rsidRPr="009908DC" w:rsidRDefault="005B5DD0" w:rsidP="005B5DD0">
      <w:pPr>
        <w:pStyle w:val="ListParagraph"/>
        <w:numPr>
          <w:ilvl w:val="0"/>
          <w:numId w:val="29"/>
        </w:numPr>
        <w:spacing w:after="0" w:line="240" w:lineRule="auto"/>
        <w:jc w:val="both"/>
        <w:rPr>
          <w:rFonts w:cs="Arial"/>
        </w:rPr>
      </w:pPr>
      <w:r w:rsidRPr="009908DC">
        <w:rPr>
          <w:rFonts w:cs="Arial"/>
        </w:rPr>
        <w:t>Is there a security deposit required to be made for each site?</w:t>
      </w:r>
    </w:p>
    <w:p w14:paraId="20047171" w14:textId="77777777" w:rsidR="005B5DD0" w:rsidRPr="009908DC" w:rsidRDefault="005B5DD0" w:rsidP="005B5DD0">
      <w:pPr>
        <w:spacing w:after="0"/>
        <w:jc w:val="both"/>
        <w:rPr>
          <w:rFonts w:cs="Arial"/>
        </w:rPr>
      </w:pPr>
    </w:p>
    <w:p w14:paraId="6580BECF" w14:textId="77777777" w:rsidR="005B5DD0" w:rsidRPr="009908DC" w:rsidRDefault="005B5DD0" w:rsidP="005B5DD0">
      <w:pPr>
        <w:spacing w:after="0"/>
        <w:jc w:val="both"/>
        <w:rPr>
          <w:rFonts w:cs="Arial"/>
        </w:rPr>
      </w:pPr>
      <w:r w:rsidRPr="00AD03E6">
        <w:rPr>
          <w:rFonts w:cs="Arial"/>
          <w:color w:val="C00000"/>
        </w:rPr>
        <w:t>No.</w:t>
      </w:r>
      <w:r w:rsidRPr="009908DC">
        <w:rPr>
          <w:rFonts w:cs="Arial"/>
        </w:rPr>
        <w:br/>
      </w:r>
    </w:p>
    <w:p w14:paraId="17250556" w14:textId="2E4A4D0F" w:rsidR="005B5DD0" w:rsidRPr="009908DC" w:rsidRDefault="003524B6" w:rsidP="005B5DD0">
      <w:pPr>
        <w:pStyle w:val="ListParagraph"/>
        <w:numPr>
          <w:ilvl w:val="0"/>
          <w:numId w:val="29"/>
        </w:numPr>
        <w:spacing w:after="0" w:line="240" w:lineRule="auto"/>
        <w:jc w:val="both"/>
        <w:rPr>
          <w:rFonts w:cs="Arial"/>
        </w:rPr>
      </w:pPr>
      <w:r>
        <w:rPr>
          <w:rFonts w:cs="Arial"/>
        </w:rPr>
        <w:t>Are</w:t>
      </w:r>
      <w:r w:rsidR="005B5DD0" w:rsidRPr="009908DC">
        <w:rPr>
          <w:rFonts w:cs="Arial"/>
        </w:rPr>
        <w:t xml:space="preserve"> there any existing ALTA Surveys that can be provided?</w:t>
      </w:r>
    </w:p>
    <w:p w14:paraId="024A6A92" w14:textId="77777777" w:rsidR="005B5DD0" w:rsidRPr="009908DC" w:rsidRDefault="005B5DD0" w:rsidP="005B5DD0">
      <w:pPr>
        <w:spacing w:after="0"/>
        <w:jc w:val="both"/>
        <w:rPr>
          <w:rFonts w:cs="Arial"/>
        </w:rPr>
      </w:pPr>
    </w:p>
    <w:p w14:paraId="7BE70A99" w14:textId="77777777" w:rsidR="005B5DD0" w:rsidRPr="00AD03E6" w:rsidRDefault="005B5DD0" w:rsidP="005B5DD0">
      <w:pPr>
        <w:spacing w:after="0"/>
        <w:jc w:val="both"/>
        <w:rPr>
          <w:rFonts w:cs="Arial"/>
          <w:color w:val="C00000"/>
        </w:rPr>
      </w:pPr>
      <w:r w:rsidRPr="00AD03E6">
        <w:rPr>
          <w:rFonts w:cs="Arial"/>
          <w:color w:val="C00000"/>
        </w:rPr>
        <w:t>No.</w:t>
      </w:r>
    </w:p>
    <w:p w14:paraId="698E8C30" w14:textId="77777777" w:rsidR="005B5DD0" w:rsidRPr="009908DC" w:rsidRDefault="005B5DD0" w:rsidP="005B5DD0">
      <w:pPr>
        <w:pStyle w:val="ListParagraph"/>
        <w:spacing w:after="0"/>
        <w:jc w:val="both"/>
        <w:rPr>
          <w:rFonts w:cs="Arial"/>
        </w:rPr>
      </w:pPr>
    </w:p>
    <w:p w14:paraId="1CA500E8" w14:textId="77777777" w:rsidR="005B5DD0" w:rsidRPr="009908DC" w:rsidRDefault="005B5DD0" w:rsidP="005B5DD0">
      <w:pPr>
        <w:pStyle w:val="ListParagraph"/>
        <w:numPr>
          <w:ilvl w:val="0"/>
          <w:numId w:val="29"/>
        </w:numPr>
        <w:spacing w:after="0" w:line="240" w:lineRule="auto"/>
        <w:jc w:val="both"/>
        <w:rPr>
          <w:rFonts w:cs="Arial"/>
        </w:rPr>
      </w:pPr>
      <w:r w:rsidRPr="009908DC">
        <w:rPr>
          <w:rFonts w:cs="Arial"/>
        </w:rPr>
        <w:t>Do any of the sites have disadvantaged business enterprise requirements?</w:t>
      </w:r>
    </w:p>
    <w:p w14:paraId="0120743D" w14:textId="77777777" w:rsidR="005B5DD0" w:rsidRPr="009908DC" w:rsidRDefault="005B5DD0" w:rsidP="005B5DD0">
      <w:pPr>
        <w:spacing w:after="0"/>
        <w:jc w:val="both"/>
        <w:rPr>
          <w:rFonts w:cs="Arial"/>
        </w:rPr>
      </w:pPr>
    </w:p>
    <w:p w14:paraId="5518053A" w14:textId="77777777" w:rsidR="005B5DD0" w:rsidRPr="00AD03E6" w:rsidRDefault="005B5DD0" w:rsidP="005B5DD0">
      <w:pPr>
        <w:spacing w:after="0"/>
        <w:jc w:val="both"/>
        <w:rPr>
          <w:rFonts w:cs="Arial"/>
          <w:color w:val="C00000"/>
        </w:rPr>
      </w:pPr>
      <w:r w:rsidRPr="00AD03E6">
        <w:rPr>
          <w:rFonts w:cs="Arial"/>
          <w:color w:val="C00000"/>
        </w:rPr>
        <w:t>To be determined.</w:t>
      </w:r>
    </w:p>
    <w:p w14:paraId="158D5D56" w14:textId="77777777" w:rsidR="005B5DD0" w:rsidRPr="009908DC" w:rsidRDefault="005B5DD0" w:rsidP="005B5DD0">
      <w:pPr>
        <w:spacing w:after="0"/>
        <w:jc w:val="both"/>
        <w:rPr>
          <w:rFonts w:cs="Arial"/>
        </w:rPr>
      </w:pPr>
    </w:p>
    <w:p w14:paraId="6B427452" w14:textId="77777777" w:rsidR="005B5DD0" w:rsidRPr="009908DC" w:rsidRDefault="005B5DD0" w:rsidP="005B5DD0">
      <w:pPr>
        <w:pStyle w:val="ListParagraph"/>
        <w:numPr>
          <w:ilvl w:val="0"/>
          <w:numId w:val="29"/>
        </w:numPr>
        <w:spacing w:after="0" w:line="240" w:lineRule="auto"/>
        <w:jc w:val="both"/>
        <w:rPr>
          <w:rFonts w:cs="Arial"/>
        </w:rPr>
      </w:pPr>
      <w:r w:rsidRPr="009908DC">
        <w:rPr>
          <w:rFonts w:cs="Arial"/>
        </w:rPr>
        <w:t xml:space="preserve">Will any of these sites have to </w:t>
      </w:r>
      <w:r>
        <w:rPr>
          <w:rFonts w:cs="Arial"/>
        </w:rPr>
        <w:t xml:space="preserve">be </w:t>
      </w:r>
      <w:r w:rsidRPr="009908DC">
        <w:rPr>
          <w:rFonts w:cs="Arial"/>
        </w:rPr>
        <w:t>utilized for interim or permanent supportive housing?</w:t>
      </w:r>
    </w:p>
    <w:p w14:paraId="6F7563F3" w14:textId="77777777" w:rsidR="005B5DD0" w:rsidRPr="009908DC" w:rsidRDefault="005B5DD0" w:rsidP="005B5DD0">
      <w:pPr>
        <w:spacing w:after="0"/>
        <w:jc w:val="both"/>
        <w:rPr>
          <w:rFonts w:cs="Arial"/>
        </w:rPr>
      </w:pPr>
    </w:p>
    <w:p w14:paraId="05884C5B" w14:textId="77777777" w:rsidR="005B5DD0" w:rsidRPr="00AD03E6" w:rsidRDefault="005B5DD0" w:rsidP="005B5DD0">
      <w:pPr>
        <w:spacing w:after="0"/>
        <w:jc w:val="both"/>
        <w:rPr>
          <w:rFonts w:cs="Arial"/>
          <w:color w:val="C00000"/>
        </w:rPr>
      </w:pPr>
      <w:r w:rsidRPr="00AD03E6">
        <w:rPr>
          <w:rFonts w:cs="Arial"/>
          <w:color w:val="C00000"/>
        </w:rPr>
        <w:t>Interim supportive housing is not currently contemplated for these sites. Permanent supportive housing is not a requirement; however, respondents are encouraged to review Principle &amp; Objective #1 as well as the government code in Exhibit 2 regarding housing affordability.</w:t>
      </w:r>
    </w:p>
    <w:p w14:paraId="58E5E1E6" w14:textId="77777777" w:rsidR="005B5DD0" w:rsidRPr="009908DC" w:rsidRDefault="005B5DD0" w:rsidP="005B5DD0">
      <w:pPr>
        <w:pStyle w:val="ListParagraph"/>
        <w:spacing w:after="0"/>
        <w:jc w:val="both"/>
        <w:rPr>
          <w:rFonts w:cs="Arial"/>
        </w:rPr>
      </w:pPr>
    </w:p>
    <w:p w14:paraId="06182028" w14:textId="77777777" w:rsidR="005B5DD0" w:rsidRPr="009908DC" w:rsidRDefault="005B5DD0" w:rsidP="005B5DD0">
      <w:pPr>
        <w:spacing w:after="0"/>
        <w:jc w:val="both"/>
        <w:rPr>
          <w:rFonts w:cs="Arial"/>
          <w:color w:val="FF0000"/>
        </w:rPr>
      </w:pPr>
    </w:p>
    <w:p w14:paraId="0F95C3E8" w14:textId="44BDE5EC" w:rsidR="00410D6A" w:rsidRDefault="00410D6A" w:rsidP="00E26C4D">
      <w:pPr>
        <w:pStyle w:val="Heading1"/>
        <w:spacing w:after="0"/>
        <w:rPr>
          <w:rFonts w:eastAsia="Calibri" w:cs="Times New Roman"/>
          <w:b w:val="0"/>
          <w:bCs w:val="0"/>
          <w:color w:val="0000FF"/>
        </w:rPr>
      </w:pPr>
    </w:p>
    <w:p w14:paraId="6D501AFE" w14:textId="352869C0" w:rsidR="00410D6A" w:rsidRDefault="00410D6A" w:rsidP="00E26C4D">
      <w:pPr>
        <w:pStyle w:val="Heading1"/>
        <w:spacing w:after="0"/>
        <w:rPr>
          <w:rFonts w:eastAsia="Calibri" w:cs="Times New Roman"/>
          <w:b w:val="0"/>
          <w:bCs w:val="0"/>
          <w:color w:val="0000FF"/>
        </w:rPr>
      </w:pPr>
    </w:p>
    <w:p w14:paraId="6A6DBEBE" w14:textId="0F3B709E" w:rsidR="00410D6A" w:rsidRDefault="00410D6A" w:rsidP="00E26C4D">
      <w:pPr>
        <w:spacing w:after="0"/>
        <w:rPr>
          <w:rFonts w:eastAsia="Calibri" w:cs="Times New Roman"/>
          <w:color w:val="0000FF"/>
          <w:sz w:val="28"/>
          <w:szCs w:val="24"/>
        </w:rPr>
      </w:pPr>
      <w:r>
        <w:rPr>
          <w:rFonts w:eastAsia="Calibri" w:cs="Times New Roman"/>
          <w:b/>
          <w:bCs/>
          <w:color w:val="0000FF"/>
        </w:rPr>
        <w:br w:type="page"/>
      </w:r>
    </w:p>
    <w:p w14:paraId="7535E9E7" w14:textId="249A1121" w:rsidR="00E414A7" w:rsidRDefault="00E414A7" w:rsidP="00E414A7">
      <w:pPr>
        <w:spacing w:after="0"/>
        <w:jc w:val="center"/>
        <w:rPr>
          <w:rFonts w:cs="Arial"/>
          <w:b/>
          <w:bCs/>
          <w:sz w:val="28"/>
          <w:szCs w:val="28"/>
        </w:rPr>
      </w:pPr>
      <w:r w:rsidRPr="00363A5E">
        <w:rPr>
          <w:rFonts w:cs="Arial"/>
          <w:b/>
          <w:bCs/>
          <w:sz w:val="28"/>
          <w:szCs w:val="28"/>
        </w:rPr>
        <w:lastRenderedPageBreak/>
        <w:t xml:space="preserve">EXHIBIT </w:t>
      </w:r>
      <w:r>
        <w:rPr>
          <w:rFonts w:cs="Arial"/>
          <w:b/>
          <w:bCs/>
          <w:sz w:val="28"/>
          <w:szCs w:val="28"/>
        </w:rPr>
        <w:t>6</w:t>
      </w:r>
      <w:r w:rsidRPr="00363A5E">
        <w:rPr>
          <w:rFonts w:cs="Arial"/>
          <w:b/>
          <w:bCs/>
          <w:sz w:val="28"/>
          <w:szCs w:val="28"/>
        </w:rPr>
        <w:t xml:space="preserve"> – </w:t>
      </w:r>
      <w:r w:rsidR="007324DD">
        <w:rPr>
          <w:rFonts w:cs="Arial"/>
          <w:b/>
          <w:bCs/>
          <w:sz w:val="28"/>
          <w:szCs w:val="28"/>
        </w:rPr>
        <w:t>LINKS TO DUE DILIGENCE DOCUMENTS</w:t>
      </w:r>
    </w:p>
    <w:p w14:paraId="765C1EF5" w14:textId="461F670B" w:rsidR="00410D6A" w:rsidRDefault="00410D6A" w:rsidP="00E26C4D">
      <w:pPr>
        <w:pStyle w:val="Heading1"/>
        <w:spacing w:after="0"/>
        <w:rPr>
          <w:rFonts w:eastAsia="Calibri" w:cs="Times New Roman"/>
          <w:b w:val="0"/>
          <w:bCs w:val="0"/>
          <w:color w:val="0000FF"/>
        </w:rPr>
      </w:pPr>
    </w:p>
    <w:p w14:paraId="7A665BB6" w14:textId="77777777" w:rsidR="001056FE" w:rsidRDefault="001056FE" w:rsidP="001056FE">
      <w:pPr>
        <w:pStyle w:val="Heading1"/>
        <w:spacing w:after="0"/>
        <w:rPr>
          <w:rFonts w:eastAsia="Calibri" w:cs="Times New Roman"/>
          <w:b w:val="0"/>
          <w:bCs w:val="0"/>
          <w:color w:val="0000FF"/>
        </w:rPr>
      </w:pPr>
    </w:p>
    <w:p w14:paraId="43D95A7D" w14:textId="77777777" w:rsidR="001056FE" w:rsidRDefault="00726FE8" w:rsidP="001056FE">
      <w:hyperlink r:id="rId16" w:history="1">
        <w:r w:rsidR="001056FE">
          <w:rPr>
            <w:rStyle w:val="Hyperlink"/>
          </w:rPr>
          <w:t>https://dgscloud.box.com/s/4wh02zpc4q5vo31f7ex5qai069y4c8zr</w:t>
        </w:r>
      </w:hyperlink>
    </w:p>
    <w:p w14:paraId="3ED1318A" w14:textId="77777777" w:rsidR="001056FE" w:rsidRDefault="001056FE" w:rsidP="00E26C4D">
      <w:pPr>
        <w:pStyle w:val="Heading1"/>
        <w:spacing w:after="0"/>
        <w:rPr>
          <w:rFonts w:eastAsia="Calibri" w:cs="Times New Roman"/>
          <w:b w:val="0"/>
          <w:bCs w:val="0"/>
          <w:color w:val="0000FF"/>
        </w:rPr>
      </w:pPr>
    </w:p>
    <w:p w14:paraId="39A01ACB" w14:textId="77777777" w:rsidR="008E3BB9" w:rsidRDefault="008E3BB9" w:rsidP="006D4BF2">
      <w:pPr>
        <w:pStyle w:val="Heading1"/>
        <w:spacing w:after="0"/>
        <w:rPr>
          <w:rFonts w:eastAsia="Calibri" w:cs="Times New Roman"/>
          <w:b w:val="0"/>
          <w:bCs w:val="0"/>
          <w:color w:val="000000" w:themeColor="text1"/>
        </w:rPr>
      </w:pPr>
    </w:p>
    <w:p w14:paraId="668451C0" w14:textId="4DCF37E6" w:rsidR="006D4BF2" w:rsidRDefault="00BA7EDE" w:rsidP="00BA7EDE">
      <w:pPr>
        <w:pStyle w:val="Heading1"/>
        <w:numPr>
          <w:ilvl w:val="0"/>
          <w:numId w:val="32"/>
        </w:numPr>
        <w:spacing w:after="0"/>
        <w:rPr>
          <w:rFonts w:eastAsia="Calibri" w:cs="Times New Roman"/>
          <w:b w:val="0"/>
          <w:bCs w:val="0"/>
          <w:color w:val="000000" w:themeColor="text1"/>
        </w:rPr>
      </w:pPr>
      <w:r>
        <w:rPr>
          <w:rFonts w:eastAsia="Calibri" w:cs="Times New Roman"/>
          <w:b w:val="0"/>
          <w:bCs w:val="0"/>
          <w:color w:val="000000" w:themeColor="text1"/>
        </w:rPr>
        <w:t>Appraisal</w:t>
      </w:r>
    </w:p>
    <w:p w14:paraId="21A04F65" w14:textId="166171D2" w:rsidR="00BA7EDE" w:rsidRDefault="00BA7EDE" w:rsidP="00BA7EDE">
      <w:pPr>
        <w:pStyle w:val="Heading1"/>
        <w:numPr>
          <w:ilvl w:val="0"/>
          <w:numId w:val="32"/>
        </w:numPr>
        <w:spacing w:after="0"/>
        <w:rPr>
          <w:rFonts w:eastAsia="Calibri" w:cs="Times New Roman"/>
          <w:b w:val="0"/>
          <w:bCs w:val="0"/>
          <w:color w:val="000000" w:themeColor="text1"/>
        </w:rPr>
      </w:pPr>
      <w:r>
        <w:rPr>
          <w:rFonts w:eastAsia="Calibri" w:cs="Times New Roman"/>
          <w:b w:val="0"/>
          <w:bCs w:val="0"/>
          <w:color w:val="000000" w:themeColor="text1"/>
        </w:rPr>
        <w:t>Phase 1 ESA</w:t>
      </w:r>
    </w:p>
    <w:p w14:paraId="335836D1" w14:textId="412FB149" w:rsidR="00BA7EDE" w:rsidRDefault="00BA7EDE" w:rsidP="00BA7EDE">
      <w:pPr>
        <w:pStyle w:val="Heading1"/>
        <w:numPr>
          <w:ilvl w:val="0"/>
          <w:numId w:val="32"/>
        </w:numPr>
        <w:spacing w:after="0"/>
        <w:rPr>
          <w:rFonts w:eastAsia="Calibri" w:cs="Times New Roman"/>
          <w:b w:val="0"/>
          <w:bCs w:val="0"/>
          <w:color w:val="000000" w:themeColor="text1"/>
        </w:rPr>
      </w:pPr>
      <w:r>
        <w:rPr>
          <w:rFonts w:eastAsia="Calibri" w:cs="Times New Roman"/>
          <w:b w:val="0"/>
          <w:bCs w:val="0"/>
          <w:color w:val="000000" w:themeColor="text1"/>
        </w:rPr>
        <w:t>Plotted Easement</w:t>
      </w:r>
    </w:p>
    <w:p w14:paraId="5DB12179" w14:textId="37D87D34" w:rsidR="00BA7EDE" w:rsidRDefault="00BA7EDE" w:rsidP="00BA7EDE">
      <w:pPr>
        <w:pStyle w:val="Heading1"/>
        <w:numPr>
          <w:ilvl w:val="0"/>
          <w:numId w:val="32"/>
        </w:numPr>
        <w:spacing w:after="0"/>
        <w:rPr>
          <w:rFonts w:eastAsia="Calibri" w:cs="Times New Roman"/>
          <w:b w:val="0"/>
          <w:bCs w:val="0"/>
          <w:color w:val="000000" w:themeColor="text1"/>
        </w:rPr>
      </w:pPr>
      <w:r>
        <w:rPr>
          <w:rFonts w:eastAsia="Calibri" w:cs="Times New Roman"/>
          <w:b w:val="0"/>
          <w:bCs w:val="0"/>
          <w:color w:val="000000" w:themeColor="text1"/>
        </w:rPr>
        <w:t>Preliminary Title Report</w:t>
      </w:r>
    </w:p>
    <w:p w14:paraId="0747FFA6" w14:textId="00604520" w:rsidR="001C3CB5" w:rsidRDefault="001C3CB5" w:rsidP="00BA7EDE">
      <w:pPr>
        <w:pStyle w:val="Heading1"/>
        <w:numPr>
          <w:ilvl w:val="0"/>
          <w:numId w:val="32"/>
        </w:numPr>
        <w:spacing w:after="0"/>
        <w:rPr>
          <w:rFonts w:eastAsia="Calibri" w:cs="Times New Roman"/>
          <w:b w:val="0"/>
          <w:bCs w:val="0"/>
          <w:color w:val="000000" w:themeColor="text1"/>
        </w:rPr>
      </w:pPr>
      <w:r>
        <w:rPr>
          <w:rFonts w:eastAsia="Calibri" w:cs="Times New Roman"/>
          <w:b w:val="0"/>
          <w:bCs w:val="0"/>
          <w:color w:val="000000" w:themeColor="text1"/>
        </w:rPr>
        <w:t>Asbestos Report</w:t>
      </w:r>
    </w:p>
    <w:p w14:paraId="436EB44E" w14:textId="628C34D5" w:rsidR="001D5F04" w:rsidRDefault="001D5F04" w:rsidP="00BA7EDE">
      <w:pPr>
        <w:pStyle w:val="Heading1"/>
        <w:numPr>
          <w:ilvl w:val="0"/>
          <w:numId w:val="32"/>
        </w:numPr>
        <w:spacing w:after="0"/>
        <w:rPr>
          <w:rFonts w:eastAsia="Calibri" w:cs="Times New Roman"/>
          <w:b w:val="0"/>
          <w:bCs w:val="0"/>
          <w:color w:val="000000" w:themeColor="text1"/>
        </w:rPr>
      </w:pPr>
      <w:r>
        <w:rPr>
          <w:rFonts w:eastAsia="Calibri" w:cs="Times New Roman"/>
          <w:b w:val="0"/>
          <w:bCs w:val="0"/>
          <w:color w:val="000000" w:themeColor="text1"/>
        </w:rPr>
        <w:t>Form of Lease Option Agreement</w:t>
      </w:r>
    </w:p>
    <w:p w14:paraId="37D3BEF3" w14:textId="36B2572B" w:rsidR="001D5F04" w:rsidRPr="006D4BF2" w:rsidRDefault="001D5F04" w:rsidP="00BA7EDE">
      <w:pPr>
        <w:pStyle w:val="Heading1"/>
        <w:numPr>
          <w:ilvl w:val="0"/>
          <w:numId w:val="32"/>
        </w:numPr>
        <w:spacing w:after="0"/>
        <w:rPr>
          <w:rFonts w:eastAsia="Calibri" w:cs="Times New Roman"/>
          <w:b w:val="0"/>
          <w:bCs w:val="0"/>
          <w:color w:val="000000" w:themeColor="text1"/>
        </w:rPr>
      </w:pPr>
      <w:r>
        <w:rPr>
          <w:rFonts w:eastAsia="Calibri" w:cs="Times New Roman"/>
          <w:b w:val="0"/>
          <w:bCs w:val="0"/>
          <w:color w:val="000000" w:themeColor="text1"/>
        </w:rPr>
        <w:t>Form of Ground Lease Agreement</w:t>
      </w:r>
      <w:r w:rsidR="001056FE">
        <w:rPr>
          <w:rFonts w:eastAsia="Calibri" w:cs="Times New Roman"/>
          <w:b w:val="0"/>
          <w:bCs w:val="0"/>
          <w:color w:val="000000" w:themeColor="text1"/>
        </w:rPr>
        <w:t xml:space="preserve"> and Regulatory Agreement</w:t>
      </w:r>
    </w:p>
    <w:p w14:paraId="67CD1F0B" w14:textId="25392719" w:rsidR="009C5C39" w:rsidRPr="001056FE" w:rsidRDefault="009C5C39" w:rsidP="001056FE">
      <w:pPr>
        <w:pStyle w:val="Heading1"/>
        <w:tabs>
          <w:tab w:val="left" w:pos="7112"/>
        </w:tabs>
        <w:spacing w:after="0"/>
        <w:rPr>
          <w:rFonts w:eastAsia="Calibri" w:cs="Times New Roman"/>
          <w:b w:val="0"/>
          <w:bCs w:val="0"/>
          <w:color w:val="000000" w:themeColor="text1"/>
        </w:rPr>
      </w:pPr>
    </w:p>
    <w:p w14:paraId="41F83D77" w14:textId="4577F9A2" w:rsidR="0091610E" w:rsidRDefault="0091610E" w:rsidP="0091610E">
      <w:pPr>
        <w:rPr>
          <w:rFonts w:cs="Arial"/>
          <w:i/>
          <w:iCs/>
        </w:rPr>
      </w:pPr>
      <w:r>
        <w:rPr>
          <w:rFonts w:cs="Arial"/>
          <w:i/>
          <w:iCs/>
        </w:rPr>
        <w:t xml:space="preserve">Note: </w:t>
      </w:r>
      <w:proofErr w:type="gramStart"/>
      <w:r>
        <w:rPr>
          <w:rFonts w:cs="Arial"/>
          <w:i/>
          <w:iCs/>
        </w:rPr>
        <w:t>the</w:t>
      </w:r>
      <w:proofErr w:type="gramEnd"/>
      <w:r>
        <w:rPr>
          <w:rFonts w:cs="Arial"/>
          <w:i/>
          <w:iCs/>
        </w:rPr>
        <w:t xml:space="preserve"> Ground Lease, Regulatory Agreement, and Lease Option Agreement included in attachments are templates and may be modified by the State prior to signing.</w:t>
      </w:r>
    </w:p>
    <w:p w14:paraId="53F3D1C2" w14:textId="0B2267E4" w:rsidR="00961B09" w:rsidRDefault="00961B09">
      <w:pPr>
        <w:rPr>
          <w:rFonts w:eastAsia="Calibri" w:cs="Times New Roman"/>
          <w:color w:val="0000FF"/>
          <w:sz w:val="28"/>
          <w:szCs w:val="24"/>
        </w:rPr>
      </w:pPr>
      <w:r>
        <w:rPr>
          <w:rFonts w:eastAsia="Calibri" w:cs="Times New Roman"/>
          <w:b/>
          <w:bCs/>
          <w:color w:val="0000FF"/>
        </w:rPr>
        <w:br w:type="page"/>
      </w:r>
    </w:p>
    <w:p w14:paraId="69A0A086" w14:textId="42C00E82" w:rsidR="00177843" w:rsidRDefault="00177843" w:rsidP="00177843">
      <w:pPr>
        <w:spacing w:after="0"/>
        <w:jc w:val="center"/>
        <w:rPr>
          <w:rFonts w:cs="Arial"/>
          <w:b/>
          <w:bCs/>
          <w:sz w:val="28"/>
          <w:szCs w:val="28"/>
        </w:rPr>
      </w:pPr>
      <w:r w:rsidRPr="00363A5E">
        <w:rPr>
          <w:rFonts w:cs="Arial"/>
          <w:b/>
          <w:bCs/>
          <w:sz w:val="28"/>
          <w:szCs w:val="28"/>
        </w:rPr>
        <w:lastRenderedPageBreak/>
        <w:t xml:space="preserve">EXHIBIT </w:t>
      </w:r>
      <w:r>
        <w:rPr>
          <w:rFonts w:cs="Arial"/>
          <w:b/>
          <w:bCs/>
          <w:sz w:val="28"/>
          <w:szCs w:val="28"/>
        </w:rPr>
        <w:t>7</w:t>
      </w:r>
      <w:r w:rsidRPr="00363A5E">
        <w:rPr>
          <w:rFonts w:cs="Arial"/>
          <w:b/>
          <w:bCs/>
          <w:sz w:val="28"/>
          <w:szCs w:val="28"/>
        </w:rPr>
        <w:t xml:space="preserve"> – </w:t>
      </w:r>
      <w:r>
        <w:rPr>
          <w:rFonts w:cs="Arial"/>
          <w:b/>
          <w:bCs/>
          <w:sz w:val="28"/>
          <w:szCs w:val="28"/>
        </w:rPr>
        <w:t>SCORING CRITERIA</w:t>
      </w:r>
    </w:p>
    <w:p w14:paraId="71196209" w14:textId="77777777" w:rsidR="00177843" w:rsidRDefault="00177843" w:rsidP="00177843">
      <w:pPr>
        <w:spacing w:after="0"/>
        <w:jc w:val="center"/>
        <w:rPr>
          <w:rFonts w:cs="Arial"/>
          <w:b/>
          <w:bCs/>
          <w:sz w:val="28"/>
          <w:szCs w:val="28"/>
        </w:rPr>
      </w:pPr>
    </w:p>
    <w:p w14:paraId="6A40A931" w14:textId="77777777" w:rsidR="00177843" w:rsidRPr="00BF52FE" w:rsidRDefault="00177843" w:rsidP="00177843">
      <w:pPr>
        <w:spacing w:after="0"/>
        <w:jc w:val="center"/>
        <w:rPr>
          <w:i/>
          <w:iCs/>
          <w:szCs w:val="24"/>
        </w:rPr>
      </w:pPr>
      <w:r w:rsidRPr="00BF52FE">
        <w:rPr>
          <w:i/>
          <w:iCs/>
          <w:szCs w:val="24"/>
        </w:rPr>
        <w:t>(The rest of this page has intentionally been left blank).</w:t>
      </w:r>
    </w:p>
    <w:p w14:paraId="0EB5B77A" w14:textId="77777777" w:rsidR="00961B09" w:rsidRPr="00BB7785" w:rsidRDefault="00961B09" w:rsidP="00E26C4D">
      <w:pPr>
        <w:pStyle w:val="Heading1"/>
        <w:spacing w:after="0"/>
        <w:rPr>
          <w:rFonts w:eastAsia="Calibri" w:cs="Times New Roman"/>
          <w:b w:val="0"/>
          <w:bCs w:val="0"/>
          <w:color w:val="0000FF"/>
        </w:rPr>
      </w:pPr>
    </w:p>
    <w:sectPr w:rsidR="00961B09" w:rsidRPr="00BB7785" w:rsidSect="00E464C3">
      <w:headerReference w:type="default" r:id="rId17"/>
      <w:footerReference w:type="default" r:id="rId1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B2ED" w14:textId="77777777" w:rsidR="00D84C3F" w:rsidRDefault="00D84C3F" w:rsidP="00E464C3">
      <w:pPr>
        <w:spacing w:after="0" w:line="240" w:lineRule="auto"/>
      </w:pPr>
      <w:r>
        <w:separator/>
      </w:r>
    </w:p>
  </w:endnote>
  <w:endnote w:type="continuationSeparator" w:id="0">
    <w:p w14:paraId="27DA615E" w14:textId="77777777" w:rsidR="00D84C3F" w:rsidRDefault="00D84C3F" w:rsidP="00E4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4D81" w14:textId="6BBEAB2B" w:rsidR="001C5963" w:rsidRDefault="001C5963" w:rsidP="00F23F0C">
    <w:pPr>
      <w:pStyle w:val="Footer"/>
    </w:pPr>
    <w:r>
      <w:t>EO N-06-19 RFP No</w:t>
    </w:r>
    <w:r w:rsidRPr="00BD0934">
      <w:rPr>
        <w:color w:val="000000" w:themeColor="text1"/>
      </w:rPr>
      <w:t>. 2-21</w:t>
    </w:r>
    <w:r>
      <w:t xml:space="preserve"> </w:t>
    </w:r>
    <w:r>
      <w:tab/>
    </w:r>
    <w:r>
      <w:tab/>
    </w:r>
    <w:sdt>
      <w:sdtPr>
        <w:id w:val="-2365574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6758" w14:textId="77777777" w:rsidR="00D84C3F" w:rsidRDefault="00D84C3F" w:rsidP="00E464C3">
      <w:pPr>
        <w:spacing w:after="0" w:line="240" w:lineRule="auto"/>
      </w:pPr>
      <w:r>
        <w:separator/>
      </w:r>
    </w:p>
  </w:footnote>
  <w:footnote w:type="continuationSeparator" w:id="0">
    <w:p w14:paraId="6E3BC1E9" w14:textId="77777777" w:rsidR="00D84C3F" w:rsidRDefault="00D84C3F" w:rsidP="00E46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37F2" w14:textId="255A70CB" w:rsidR="001C5963" w:rsidRDefault="001C5963" w:rsidP="00E464C3">
    <w:pPr>
      <w:pStyle w:val="Header"/>
      <w:spacing w:after="120"/>
    </w:pPr>
    <w:r w:rsidRPr="00F708E7">
      <w:rPr>
        <w:noProof/>
      </w:rPr>
      <w:drawing>
        <wp:inline distT="0" distB="0" distL="0" distR="0" wp14:anchorId="01720D2F" wp14:editId="0F707FB8">
          <wp:extent cx="545465" cy="234315"/>
          <wp:effectExtent l="0" t="0" r="6985" b="0"/>
          <wp:docPr id="2" name="Picture 2" descr="Department of Gener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_hires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5465" cy="234315"/>
                  </a:xfrm>
                  <a:prstGeom prst="rect">
                    <a:avLst/>
                  </a:prstGeom>
                  <a:noFill/>
                  <a:ln>
                    <a:noFill/>
                  </a:ln>
                </pic:spPr>
              </pic:pic>
            </a:graphicData>
          </a:graphic>
        </wp:inline>
      </w:drawing>
    </w:r>
    <w:r>
      <w:t xml:space="preserve">  </w:t>
    </w:r>
    <w:r w:rsidRPr="00F708E7">
      <w:rPr>
        <w:noProof/>
      </w:rPr>
      <w:drawing>
        <wp:inline distT="0" distB="0" distL="0" distR="0" wp14:anchorId="69E07FCC" wp14:editId="6493A52A">
          <wp:extent cx="494665" cy="494665"/>
          <wp:effectExtent l="0" t="0" r="635" b="635"/>
          <wp:docPr id="3" name="Picture 3" descr="California H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HC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6FC"/>
    <w:multiLevelType w:val="hybridMultilevel"/>
    <w:tmpl w:val="D3BC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24EB3"/>
    <w:multiLevelType w:val="multilevel"/>
    <w:tmpl w:val="325A324A"/>
    <w:lvl w:ilvl="0">
      <w:start w:val="1"/>
      <w:numFmt w:val="upperRoman"/>
      <w:pStyle w:val="Style1"/>
      <w:lvlText w:val="%1."/>
      <w:lvlJc w:val="left"/>
      <w:pPr>
        <w:ind w:left="9000" w:firstLine="0"/>
      </w:pPr>
      <w:rPr>
        <w:rFonts w:ascii="Arial" w:hAnsi="Arial" w:cs="Arial" w:hint="default"/>
        <w:b/>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1">
      <w:start w:val="1"/>
      <w:numFmt w:val="decimal"/>
      <w:lvlText w:val="%2.  "/>
      <w:lvlJc w:val="left"/>
      <w:pPr>
        <w:ind w:left="9720" w:firstLine="0"/>
      </w:pPr>
    </w:lvl>
    <w:lvl w:ilvl="2">
      <w:start w:val="1"/>
      <w:numFmt w:val="decimal"/>
      <w:lvlText w:val="%3."/>
      <w:lvlJc w:val="left"/>
      <w:pPr>
        <w:ind w:left="10440" w:firstLine="0"/>
      </w:pPr>
    </w:lvl>
    <w:lvl w:ilvl="3">
      <w:start w:val="1"/>
      <w:numFmt w:val="lowerLetter"/>
      <w:lvlText w:val="%4)"/>
      <w:lvlJc w:val="left"/>
      <w:pPr>
        <w:ind w:left="11160" w:firstLine="0"/>
      </w:pPr>
    </w:lvl>
    <w:lvl w:ilvl="4">
      <w:start w:val="1"/>
      <w:numFmt w:val="decimal"/>
      <w:lvlText w:val="(%5)"/>
      <w:lvlJc w:val="left"/>
      <w:pPr>
        <w:ind w:left="11880" w:firstLine="0"/>
      </w:pPr>
    </w:lvl>
    <w:lvl w:ilvl="5">
      <w:start w:val="1"/>
      <w:numFmt w:val="lowerLetter"/>
      <w:lvlText w:val="(%6)"/>
      <w:lvlJc w:val="left"/>
      <w:pPr>
        <w:ind w:left="12600" w:firstLine="0"/>
      </w:pPr>
    </w:lvl>
    <w:lvl w:ilvl="6">
      <w:start w:val="1"/>
      <w:numFmt w:val="lowerRoman"/>
      <w:lvlText w:val="(%7)"/>
      <w:lvlJc w:val="left"/>
      <w:pPr>
        <w:ind w:left="13320" w:firstLine="0"/>
      </w:pPr>
    </w:lvl>
    <w:lvl w:ilvl="7">
      <w:start w:val="1"/>
      <w:numFmt w:val="lowerLetter"/>
      <w:lvlText w:val="(%8)"/>
      <w:lvlJc w:val="left"/>
      <w:pPr>
        <w:ind w:left="14040" w:firstLine="0"/>
      </w:pPr>
    </w:lvl>
    <w:lvl w:ilvl="8">
      <w:start w:val="1"/>
      <w:numFmt w:val="lowerRoman"/>
      <w:lvlText w:val="(%9)"/>
      <w:lvlJc w:val="left"/>
      <w:pPr>
        <w:ind w:left="14760" w:firstLine="0"/>
      </w:pPr>
    </w:lvl>
  </w:abstractNum>
  <w:abstractNum w:abstractNumId="2" w15:restartNumberingAfterBreak="0">
    <w:nsid w:val="0AAB75CD"/>
    <w:multiLevelType w:val="hybridMultilevel"/>
    <w:tmpl w:val="051EA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28A"/>
    <w:multiLevelType w:val="hybridMultilevel"/>
    <w:tmpl w:val="D222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E37D6"/>
    <w:multiLevelType w:val="hybridMultilevel"/>
    <w:tmpl w:val="4B26680C"/>
    <w:lvl w:ilvl="0" w:tplc="FB7ECFE0">
      <w:start w:val="1"/>
      <w:numFmt w:val="lowerLetter"/>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3D2E5A"/>
    <w:multiLevelType w:val="hybridMultilevel"/>
    <w:tmpl w:val="E816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93F61"/>
    <w:multiLevelType w:val="hybridMultilevel"/>
    <w:tmpl w:val="652E20AC"/>
    <w:lvl w:ilvl="0" w:tplc="A9B038F2">
      <w:numFmt w:val="bullet"/>
      <w:lvlText w:val=""/>
      <w:lvlJc w:val="left"/>
      <w:pPr>
        <w:ind w:left="1280" w:hanging="720"/>
      </w:pPr>
      <w:rPr>
        <w:rFonts w:ascii="Symbol" w:eastAsia="Symbol" w:hAnsi="Symbol" w:cs="Symbol" w:hint="default"/>
        <w:b/>
        <w:bCs/>
        <w:w w:val="99"/>
        <w:sz w:val="24"/>
        <w:szCs w:val="24"/>
        <w:lang w:val="en-US" w:eastAsia="en-US" w:bidi="ar-SA"/>
      </w:rPr>
    </w:lvl>
    <w:lvl w:ilvl="1" w:tplc="00203E3A">
      <w:numFmt w:val="bullet"/>
      <w:lvlText w:val="•"/>
      <w:lvlJc w:val="left"/>
      <w:pPr>
        <w:ind w:left="2172" w:hanging="720"/>
      </w:pPr>
      <w:rPr>
        <w:rFonts w:hint="default"/>
        <w:lang w:val="en-US" w:eastAsia="en-US" w:bidi="ar-SA"/>
      </w:rPr>
    </w:lvl>
    <w:lvl w:ilvl="2" w:tplc="BDE811C6">
      <w:numFmt w:val="bullet"/>
      <w:lvlText w:val="•"/>
      <w:lvlJc w:val="left"/>
      <w:pPr>
        <w:ind w:left="3064" w:hanging="720"/>
      </w:pPr>
      <w:rPr>
        <w:rFonts w:hint="default"/>
        <w:lang w:val="en-US" w:eastAsia="en-US" w:bidi="ar-SA"/>
      </w:rPr>
    </w:lvl>
    <w:lvl w:ilvl="3" w:tplc="1868C42C">
      <w:numFmt w:val="bullet"/>
      <w:lvlText w:val="•"/>
      <w:lvlJc w:val="left"/>
      <w:pPr>
        <w:ind w:left="3956" w:hanging="720"/>
      </w:pPr>
      <w:rPr>
        <w:rFonts w:hint="default"/>
        <w:lang w:val="en-US" w:eastAsia="en-US" w:bidi="ar-SA"/>
      </w:rPr>
    </w:lvl>
    <w:lvl w:ilvl="4" w:tplc="69704FB4">
      <w:numFmt w:val="bullet"/>
      <w:lvlText w:val="•"/>
      <w:lvlJc w:val="left"/>
      <w:pPr>
        <w:ind w:left="4848" w:hanging="720"/>
      </w:pPr>
      <w:rPr>
        <w:rFonts w:hint="default"/>
        <w:lang w:val="en-US" w:eastAsia="en-US" w:bidi="ar-SA"/>
      </w:rPr>
    </w:lvl>
    <w:lvl w:ilvl="5" w:tplc="0D4C58DE">
      <w:numFmt w:val="bullet"/>
      <w:lvlText w:val="•"/>
      <w:lvlJc w:val="left"/>
      <w:pPr>
        <w:ind w:left="5740" w:hanging="720"/>
      </w:pPr>
      <w:rPr>
        <w:rFonts w:hint="default"/>
        <w:lang w:val="en-US" w:eastAsia="en-US" w:bidi="ar-SA"/>
      </w:rPr>
    </w:lvl>
    <w:lvl w:ilvl="6" w:tplc="A2622F7A">
      <w:numFmt w:val="bullet"/>
      <w:lvlText w:val="•"/>
      <w:lvlJc w:val="left"/>
      <w:pPr>
        <w:ind w:left="6632" w:hanging="720"/>
      </w:pPr>
      <w:rPr>
        <w:rFonts w:hint="default"/>
        <w:lang w:val="en-US" w:eastAsia="en-US" w:bidi="ar-SA"/>
      </w:rPr>
    </w:lvl>
    <w:lvl w:ilvl="7" w:tplc="AABC6F74">
      <w:numFmt w:val="bullet"/>
      <w:lvlText w:val="•"/>
      <w:lvlJc w:val="left"/>
      <w:pPr>
        <w:ind w:left="7524" w:hanging="720"/>
      </w:pPr>
      <w:rPr>
        <w:rFonts w:hint="default"/>
        <w:lang w:val="en-US" w:eastAsia="en-US" w:bidi="ar-SA"/>
      </w:rPr>
    </w:lvl>
    <w:lvl w:ilvl="8" w:tplc="3DAEA1FA">
      <w:numFmt w:val="bullet"/>
      <w:lvlText w:val="•"/>
      <w:lvlJc w:val="left"/>
      <w:pPr>
        <w:ind w:left="8416" w:hanging="720"/>
      </w:pPr>
      <w:rPr>
        <w:rFonts w:hint="default"/>
        <w:lang w:val="en-US" w:eastAsia="en-US" w:bidi="ar-SA"/>
      </w:rPr>
    </w:lvl>
  </w:abstractNum>
  <w:abstractNum w:abstractNumId="7" w15:restartNumberingAfterBreak="0">
    <w:nsid w:val="1F373AE7"/>
    <w:multiLevelType w:val="hybridMultilevel"/>
    <w:tmpl w:val="1ED07C58"/>
    <w:lvl w:ilvl="0" w:tplc="0409000F">
      <w:start w:val="1"/>
      <w:numFmt w:val="decimal"/>
      <w:lvlText w:val="%1."/>
      <w:lvlJc w:val="left"/>
      <w:pPr>
        <w:ind w:left="360" w:hanging="360"/>
      </w:pPr>
    </w:lvl>
    <w:lvl w:ilvl="1" w:tplc="D9203C86">
      <w:start w:val="1"/>
      <w:numFmt w:val="decimal"/>
      <w:pStyle w:val="Heading3Numbered"/>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B84C01"/>
    <w:multiLevelType w:val="hybridMultilevel"/>
    <w:tmpl w:val="CB46EC9E"/>
    <w:lvl w:ilvl="0" w:tplc="894A46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31E6D2A"/>
    <w:multiLevelType w:val="hybridMultilevel"/>
    <w:tmpl w:val="97FC3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E6524"/>
    <w:multiLevelType w:val="hybridMultilevel"/>
    <w:tmpl w:val="D7C65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70837"/>
    <w:multiLevelType w:val="hybridMultilevel"/>
    <w:tmpl w:val="B55629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258D6"/>
    <w:multiLevelType w:val="hybridMultilevel"/>
    <w:tmpl w:val="B0BA52D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30486F8E"/>
    <w:multiLevelType w:val="hybridMultilevel"/>
    <w:tmpl w:val="96246698"/>
    <w:lvl w:ilvl="0" w:tplc="3D3C8184">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E7EBC"/>
    <w:multiLevelType w:val="hybridMultilevel"/>
    <w:tmpl w:val="7EC81B7C"/>
    <w:lvl w:ilvl="0" w:tplc="1EDC4D6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F7BC5"/>
    <w:multiLevelType w:val="hybridMultilevel"/>
    <w:tmpl w:val="119CE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B04BF5"/>
    <w:multiLevelType w:val="hybridMultilevel"/>
    <w:tmpl w:val="586C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9034C"/>
    <w:multiLevelType w:val="hybridMultilevel"/>
    <w:tmpl w:val="E77AC6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82C16"/>
    <w:multiLevelType w:val="hybridMultilevel"/>
    <w:tmpl w:val="0180DAD6"/>
    <w:lvl w:ilvl="0" w:tplc="3AA073A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C0CE1"/>
    <w:multiLevelType w:val="hybridMultilevel"/>
    <w:tmpl w:val="14D0ED04"/>
    <w:lvl w:ilvl="0" w:tplc="8AAEC0CA">
      <w:start w:val="3"/>
      <w:numFmt w:val="decimal"/>
      <w:lvlText w:val="%1."/>
      <w:lvlJc w:val="left"/>
      <w:pPr>
        <w:ind w:left="360" w:hanging="360"/>
      </w:pPr>
      <w:rPr>
        <w:rFonts w:hint="default"/>
      </w:rPr>
    </w:lvl>
    <w:lvl w:ilvl="1" w:tplc="8AAEC0CA">
      <w:start w:val="3"/>
      <w:numFmt w:val="decimal"/>
      <w:lvlText w:val="%2."/>
      <w:lvlJc w:val="left"/>
      <w:pPr>
        <w:ind w:left="9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F2DC8"/>
    <w:multiLevelType w:val="hybridMultilevel"/>
    <w:tmpl w:val="F6523C08"/>
    <w:lvl w:ilvl="0" w:tplc="9B9AFEC0">
      <w:start w:val="1"/>
      <w:numFmt w:val="decimal"/>
      <w:lvlText w:val="%1)"/>
      <w:lvlJc w:val="left"/>
      <w:pPr>
        <w:ind w:left="360" w:hanging="360"/>
      </w:pPr>
      <w:rPr>
        <w:rFonts w:ascii="Arial" w:eastAsia="Arial" w:hAnsi="Arial" w:cs="Arial"/>
      </w:rPr>
    </w:lvl>
    <w:lvl w:ilvl="1" w:tplc="9B0CC28E">
      <w:start w:val="1"/>
      <w:numFmt w:val="lowerLetter"/>
      <w:lvlText w:val="%2)"/>
      <w:lvlJc w:val="left"/>
      <w:pPr>
        <w:ind w:left="720" w:hanging="360"/>
      </w:pPr>
    </w:lvl>
    <w:lvl w:ilvl="2" w:tplc="61964B5E">
      <w:start w:val="1"/>
      <w:numFmt w:val="lowerRoman"/>
      <w:lvlText w:val="%3)"/>
      <w:lvlJc w:val="left"/>
      <w:pPr>
        <w:ind w:left="1080" w:hanging="360"/>
      </w:pPr>
    </w:lvl>
    <w:lvl w:ilvl="3" w:tplc="C5B09478">
      <w:start w:val="1"/>
      <w:numFmt w:val="decimal"/>
      <w:lvlText w:val="(%4)"/>
      <w:lvlJc w:val="left"/>
      <w:pPr>
        <w:ind w:left="1440" w:hanging="360"/>
      </w:pPr>
    </w:lvl>
    <w:lvl w:ilvl="4" w:tplc="224887C8">
      <w:start w:val="1"/>
      <w:numFmt w:val="lowerLetter"/>
      <w:lvlText w:val="(%5)"/>
      <w:lvlJc w:val="left"/>
      <w:pPr>
        <w:ind w:left="1800" w:hanging="360"/>
      </w:pPr>
    </w:lvl>
    <w:lvl w:ilvl="5" w:tplc="8348FD9A">
      <w:start w:val="1"/>
      <w:numFmt w:val="lowerRoman"/>
      <w:lvlText w:val="(%6)"/>
      <w:lvlJc w:val="left"/>
      <w:pPr>
        <w:ind w:left="2160" w:hanging="360"/>
      </w:pPr>
    </w:lvl>
    <w:lvl w:ilvl="6" w:tplc="9A1E0752">
      <w:start w:val="1"/>
      <w:numFmt w:val="decimal"/>
      <w:lvlText w:val="%7."/>
      <w:lvlJc w:val="left"/>
      <w:pPr>
        <w:ind w:left="2520" w:hanging="360"/>
      </w:pPr>
    </w:lvl>
    <w:lvl w:ilvl="7" w:tplc="326E2330">
      <w:start w:val="1"/>
      <w:numFmt w:val="lowerLetter"/>
      <w:lvlText w:val="%8."/>
      <w:lvlJc w:val="left"/>
      <w:pPr>
        <w:ind w:left="2880" w:hanging="360"/>
      </w:pPr>
    </w:lvl>
    <w:lvl w:ilvl="8" w:tplc="3B5A353A">
      <w:start w:val="1"/>
      <w:numFmt w:val="lowerRoman"/>
      <w:lvlText w:val="%9."/>
      <w:lvlJc w:val="left"/>
      <w:pPr>
        <w:ind w:left="3240" w:hanging="360"/>
      </w:pPr>
    </w:lvl>
  </w:abstractNum>
  <w:abstractNum w:abstractNumId="21" w15:restartNumberingAfterBreak="0">
    <w:nsid w:val="55197386"/>
    <w:multiLevelType w:val="hybridMultilevel"/>
    <w:tmpl w:val="B38CA4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FF3CB7"/>
    <w:multiLevelType w:val="hybridMultilevel"/>
    <w:tmpl w:val="EC5062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76317C"/>
    <w:multiLevelType w:val="hybridMultilevel"/>
    <w:tmpl w:val="49FA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02976"/>
    <w:multiLevelType w:val="hybridMultilevel"/>
    <w:tmpl w:val="C26883D8"/>
    <w:lvl w:ilvl="0" w:tplc="1A720D04">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15B85"/>
    <w:multiLevelType w:val="hybridMultilevel"/>
    <w:tmpl w:val="6C906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DB2743"/>
    <w:multiLevelType w:val="hybridMultilevel"/>
    <w:tmpl w:val="84FC2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B74C4"/>
    <w:multiLevelType w:val="hybridMultilevel"/>
    <w:tmpl w:val="1C3A28CA"/>
    <w:lvl w:ilvl="0" w:tplc="1A720D04">
      <w:start w:val="9"/>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A6EEA"/>
    <w:multiLevelType w:val="hybridMultilevel"/>
    <w:tmpl w:val="4E70B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40A15"/>
    <w:multiLevelType w:val="hybridMultilevel"/>
    <w:tmpl w:val="CB749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A1EDB"/>
    <w:multiLevelType w:val="hybridMultilevel"/>
    <w:tmpl w:val="BB4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D5C5E"/>
    <w:multiLevelType w:val="hybridMultilevel"/>
    <w:tmpl w:val="A4421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4204B"/>
    <w:multiLevelType w:val="hybridMultilevel"/>
    <w:tmpl w:val="160297FC"/>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0"/>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1"/>
  </w:num>
  <w:num w:numId="7">
    <w:abstractNumId w:val="4"/>
  </w:num>
  <w:num w:numId="8">
    <w:abstractNumId w:val="21"/>
  </w:num>
  <w:num w:numId="9">
    <w:abstractNumId w:val="7"/>
  </w:num>
  <w:num w:numId="10">
    <w:abstractNumId w:val="17"/>
  </w:num>
  <w:num w:numId="11">
    <w:abstractNumId w:val="7"/>
    <w:lvlOverride w:ilvl="0">
      <w:startOverride w:val="1"/>
    </w:lvlOverride>
  </w:num>
  <w:num w:numId="12">
    <w:abstractNumId w:val="3"/>
  </w:num>
  <w:num w:numId="13">
    <w:abstractNumId w:val="19"/>
  </w:num>
  <w:num w:numId="14">
    <w:abstractNumId w:val="15"/>
  </w:num>
  <w:num w:numId="15">
    <w:abstractNumId w:val="8"/>
  </w:num>
  <w:num w:numId="16">
    <w:abstractNumId w:val="14"/>
  </w:num>
  <w:num w:numId="17">
    <w:abstractNumId w:val="18"/>
  </w:num>
  <w:num w:numId="18">
    <w:abstractNumId w:val="23"/>
  </w:num>
  <w:num w:numId="19">
    <w:abstractNumId w:val="30"/>
  </w:num>
  <w:num w:numId="20">
    <w:abstractNumId w:val="25"/>
  </w:num>
  <w:num w:numId="21">
    <w:abstractNumId w:val="6"/>
  </w:num>
  <w:num w:numId="22">
    <w:abstractNumId w:val="24"/>
  </w:num>
  <w:num w:numId="23">
    <w:abstractNumId w:val="2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2"/>
  </w:num>
  <w:num w:numId="27">
    <w:abstractNumId w:val="32"/>
  </w:num>
  <w:num w:numId="28">
    <w:abstractNumId w:val="16"/>
  </w:num>
  <w:num w:numId="29">
    <w:abstractNumId w:val="28"/>
  </w:num>
  <w:num w:numId="30">
    <w:abstractNumId w:val="26"/>
  </w:num>
  <w:num w:numId="31">
    <w:abstractNumId w:val="29"/>
  </w:num>
  <w:num w:numId="32">
    <w:abstractNumId w:val="2"/>
  </w:num>
  <w:num w:numId="33">
    <w:abstractNumId w:val="9"/>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C3"/>
    <w:rsid w:val="0000006C"/>
    <w:rsid w:val="0001498F"/>
    <w:rsid w:val="000151D2"/>
    <w:rsid w:val="00016297"/>
    <w:rsid w:val="000171F8"/>
    <w:rsid w:val="00020AF9"/>
    <w:rsid w:val="00020D2E"/>
    <w:rsid w:val="0003147F"/>
    <w:rsid w:val="00032B0B"/>
    <w:rsid w:val="0003305E"/>
    <w:rsid w:val="00041711"/>
    <w:rsid w:val="00041EF2"/>
    <w:rsid w:val="000436BF"/>
    <w:rsid w:val="00060B46"/>
    <w:rsid w:val="000622D6"/>
    <w:rsid w:val="000628AB"/>
    <w:rsid w:val="00067663"/>
    <w:rsid w:val="00070FE9"/>
    <w:rsid w:val="000731BF"/>
    <w:rsid w:val="0008174C"/>
    <w:rsid w:val="00085720"/>
    <w:rsid w:val="00086EC5"/>
    <w:rsid w:val="000A330D"/>
    <w:rsid w:val="000A3BFB"/>
    <w:rsid w:val="000A5AFE"/>
    <w:rsid w:val="000B407A"/>
    <w:rsid w:val="000B652E"/>
    <w:rsid w:val="000B6A3D"/>
    <w:rsid w:val="000C0D17"/>
    <w:rsid w:val="000C2399"/>
    <w:rsid w:val="000D1C46"/>
    <w:rsid w:val="000E0E7B"/>
    <w:rsid w:val="000E11A6"/>
    <w:rsid w:val="000E6AE3"/>
    <w:rsid w:val="000F1A4A"/>
    <w:rsid w:val="000F5B4C"/>
    <w:rsid w:val="000F710A"/>
    <w:rsid w:val="000F7522"/>
    <w:rsid w:val="000F7E46"/>
    <w:rsid w:val="0010023E"/>
    <w:rsid w:val="00103F23"/>
    <w:rsid w:val="0010476D"/>
    <w:rsid w:val="001056FE"/>
    <w:rsid w:val="001123AC"/>
    <w:rsid w:val="00113538"/>
    <w:rsid w:val="001170C4"/>
    <w:rsid w:val="001205FF"/>
    <w:rsid w:val="00123E08"/>
    <w:rsid w:val="00133B09"/>
    <w:rsid w:val="001356C6"/>
    <w:rsid w:val="001367FD"/>
    <w:rsid w:val="00136C70"/>
    <w:rsid w:val="00137D56"/>
    <w:rsid w:val="001408DB"/>
    <w:rsid w:val="001517BD"/>
    <w:rsid w:val="00163171"/>
    <w:rsid w:val="00163CFB"/>
    <w:rsid w:val="00170D6A"/>
    <w:rsid w:val="00176E26"/>
    <w:rsid w:val="001776F9"/>
    <w:rsid w:val="00177843"/>
    <w:rsid w:val="00182CFC"/>
    <w:rsid w:val="00185773"/>
    <w:rsid w:val="0019366B"/>
    <w:rsid w:val="001A20F9"/>
    <w:rsid w:val="001A34D7"/>
    <w:rsid w:val="001B233B"/>
    <w:rsid w:val="001C3CB5"/>
    <w:rsid w:val="001C5963"/>
    <w:rsid w:val="001C59D4"/>
    <w:rsid w:val="001C6FE7"/>
    <w:rsid w:val="001C79C7"/>
    <w:rsid w:val="001D1417"/>
    <w:rsid w:val="001D287D"/>
    <w:rsid w:val="001D3246"/>
    <w:rsid w:val="001D5F04"/>
    <w:rsid w:val="001D63C0"/>
    <w:rsid w:val="001D77D2"/>
    <w:rsid w:val="001E26B3"/>
    <w:rsid w:val="001F3E20"/>
    <w:rsid w:val="00201942"/>
    <w:rsid w:val="002035AF"/>
    <w:rsid w:val="002108ED"/>
    <w:rsid w:val="00210E05"/>
    <w:rsid w:val="00212CC7"/>
    <w:rsid w:val="0021509B"/>
    <w:rsid w:val="0021738B"/>
    <w:rsid w:val="002214F2"/>
    <w:rsid w:val="002228CC"/>
    <w:rsid w:val="0022481F"/>
    <w:rsid w:val="00224DDD"/>
    <w:rsid w:val="002455B3"/>
    <w:rsid w:val="00251A3B"/>
    <w:rsid w:val="00252CF7"/>
    <w:rsid w:val="00255940"/>
    <w:rsid w:val="00262480"/>
    <w:rsid w:val="002638B4"/>
    <w:rsid w:val="00267EB7"/>
    <w:rsid w:val="002801DC"/>
    <w:rsid w:val="00285680"/>
    <w:rsid w:val="00285B75"/>
    <w:rsid w:val="00287164"/>
    <w:rsid w:val="002A2916"/>
    <w:rsid w:val="002B0A24"/>
    <w:rsid w:val="002B604F"/>
    <w:rsid w:val="002C4B73"/>
    <w:rsid w:val="002C6AB4"/>
    <w:rsid w:val="002D359E"/>
    <w:rsid w:val="002D396C"/>
    <w:rsid w:val="002E0A2A"/>
    <w:rsid w:val="002E23BC"/>
    <w:rsid w:val="002F2B00"/>
    <w:rsid w:val="002F4057"/>
    <w:rsid w:val="003019DA"/>
    <w:rsid w:val="00305BD0"/>
    <w:rsid w:val="00305DC1"/>
    <w:rsid w:val="00306D54"/>
    <w:rsid w:val="00320700"/>
    <w:rsid w:val="003210AD"/>
    <w:rsid w:val="00322C8F"/>
    <w:rsid w:val="00326221"/>
    <w:rsid w:val="003269FF"/>
    <w:rsid w:val="00327C2C"/>
    <w:rsid w:val="00330795"/>
    <w:rsid w:val="00333FA1"/>
    <w:rsid w:val="00334D06"/>
    <w:rsid w:val="00335289"/>
    <w:rsid w:val="00335763"/>
    <w:rsid w:val="00336CC5"/>
    <w:rsid w:val="003413C6"/>
    <w:rsid w:val="00345252"/>
    <w:rsid w:val="0034541C"/>
    <w:rsid w:val="00347AEF"/>
    <w:rsid w:val="003524B6"/>
    <w:rsid w:val="00357741"/>
    <w:rsid w:val="00367961"/>
    <w:rsid w:val="0037136C"/>
    <w:rsid w:val="003747D8"/>
    <w:rsid w:val="00376ED7"/>
    <w:rsid w:val="00376EFB"/>
    <w:rsid w:val="003811E2"/>
    <w:rsid w:val="003814EC"/>
    <w:rsid w:val="003826CB"/>
    <w:rsid w:val="00392CB8"/>
    <w:rsid w:val="003931B3"/>
    <w:rsid w:val="00393B1B"/>
    <w:rsid w:val="00393B64"/>
    <w:rsid w:val="003A0CC9"/>
    <w:rsid w:val="003A492A"/>
    <w:rsid w:val="003B229D"/>
    <w:rsid w:val="003B33C9"/>
    <w:rsid w:val="003C31DD"/>
    <w:rsid w:val="003D44ED"/>
    <w:rsid w:val="003E6597"/>
    <w:rsid w:val="003F73CD"/>
    <w:rsid w:val="00400A14"/>
    <w:rsid w:val="004012E8"/>
    <w:rsid w:val="004017A5"/>
    <w:rsid w:val="00410D6A"/>
    <w:rsid w:val="004112BD"/>
    <w:rsid w:val="00411439"/>
    <w:rsid w:val="00414546"/>
    <w:rsid w:val="00426EE3"/>
    <w:rsid w:val="0043279D"/>
    <w:rsid w:val="00440B69"/>
    <w:rsid w:val="0044349F"/>
    <w:rsid w:val="004445BF"/>
    <w:rsid w:val="00444DCD"/>
    <w:rsid w:val="00446C20"/>
    <w:rsid w:val="0044708C"/>
    <w:rsid w:val="004507D5"/>
    <w:rsid w:val="00451A46"/>
    <w:rsid w:val="00452107"/>
    <w:rsid w:val="004555CA"/>
    <w:rsid w:val="00456FCC"/>
    <w:rsid w:val="0046092D"/>
    <w:rsid w:val="004634B8"/>
    <w:rsid w:val="00465790"/>
    <w:rsid w:val="00470219"/>
    <w:rsid w:val="00477B80"/>
    <w:rsid w:val="00491CFA"/>
    <w:rsid w:val="004A1AA7"/>
    <w:rsid w:val="004A57FB"/>
    <w:rsid w:val="004A6AC6"/>
    <w:rsid w:val="004A7643"/>
    <w:rsid w:val="004B13F3"/>
    <w:rsid w:val="004C1D92"/>
    <w:rsid w:val="004C2D5F"/>
    <w:rsid w:val="004D0FFD"/>
    <w:rsid w:val="004D5158"/>
    <w:rsid w:val="004F273F"/>
    <w:rsid w:val="00502AF6"/>
    <w:rsid w:val="00521EB6"/>
    <w:rsid w:val="00524AC1"/>
    <w:rsid w:val="005255F6"/>
    <w:rsid w:val="00526A46"/>
    <w:rsid w:val="0052794D"/>
    <w:rsid w:val="00530711"/>
    <w:rsid w:val="00530C30"/>
    <w:rsid w:val="0053229D"/>
    <w:rsid w:val="005342DE"/>
    <w:rsid w:val="005348C3"/>
    <w:rsid w:val="00534C3D"/>
    <w:rsid w:val="00537689"/>
    <w:rsid w:val="00543DD1"/>
    <w:rsid w:val="0055098A"/>
    <w:rsid w:val="00553D79"/>
    <w:rsid w:val="00556473"/>
    <w:rsid w:val="00557886"/>
    <w:rsid w:val="00564458"/>
    <w:rsid w:val="00565340"/>
    <w:rsid w:val="005741CB"/>
    <w:rsid w:val="00575C57"/>
    <w:rsid w:val="00583593"/>
    <w:rsid w:val="00586712"/>
    <w:rsid w:val="00586FE3"/>
    <w:rsid w:val="0059350B"/>
    <w:rsid w:val="005A1FD5"/>
    <w:rsid w:val="005A3A58"/>
    <w:rsid w:val="005A7080"/>
    <w:rsid w:val="005B152D"/>
    <w:rsid w:val="005B25B4"/>
    <w:rsid w:val="005B2D8A"/>
    <w:rsid w:val="005B5DD0"/>
    <w:rsid w:val="005B6CAD"/>
    <w:rsid w:val="005C31BB"/>
    <w:rsid w:val="005C4302"/>
    <w:rsid w:val="005D00E0"/>
    <w:rsid w:val="005D33B7"/>
    <w:rsid w:val="005E238B"/>
    <w:rsid w:val="005E6CE2"/>
    <w:rsid w:val="005E723A"/>
    <w:rsid w:val="005E7C61"/>
    <w:rsid w:val="005F1667"/>
    <w:rsid w:val="005F19A4"/>
    <w:rsid w:val="005F37F5"/>
    <w:rsid w:val="005F4872"/>
    <w:rsid w:val="005F4FBA"/>
    <w:rsid w:val="005F58F2"/>
    <w:rsid w:val="005F5AD8"/>
    <w:rsid w:val="006024AD"/>
    <w:rsid w:val="00603CA8"/>
    <w:rsid w:val="006055BB"/>
    <w:rsid w:val="0060628D"/>
    <w:rsid w:val="006121D8"/>
    <w:rsid w:val="00615565"/>
    <w:rsid w:val="00615C71"/>
    <w:rsid w:val="00617AE5"/>
    <w:rsid w:val="00617B26"/>
    <w:rsid w:val="00623B2B"/>
    <w:rsid w:val="006261CF"/>
    <w:rsid w:val="00627701"/>
    <w:rsid w:val="006307BD"/>
    <w:rsid w:val="006351EB"/>
    <w:rsid w:val="0063727C"/>
    <w:rsid w:val="0063733C"/>
    <w:rsid w:val="006375A0"/>
    <w:rsid w:val="00650DCB"/>
    <w:rsid w:val="00651D95"/>
    <w:rsid w:val="00662AA5"/>
    <w:rsid w:val="00664B2D"/>
    <w:rsid w:val="00670300"/>
    <w:rsid w:val="00670E3B"/>
    <w:rsid w:val="0067277C"/>
    <w:rsid w:val="00673770"/>
    <w:rsid w:val="006812CE"/>
    <w:rsid w:val="00690C88"/>
    <w:rsid w:val="00695876"/>
    <w:rsid w:val="006A147E"/>
    <w:rsid w:val="006A15C6"/>
    <w:rsid w:val="006A56D5"/>
    <w:rsid w:val="006A5DE4"/>
    <w:rsid w:val="006A7AB6"/>
    <w:rsid w:val="006B7B5F"/>
    <w:rsid w:val="006C1DC9"/>
    <w:rsid w:val="006C2D6C"/>
    <w:rsid w:val="006C5FFB"/>
    <w:rsid w:val="006C6B4A"/>
    <w:rsid w:val="006D2798"/>
    <w:rsid w:val="006D2F94"/>
    <w:rsid w:val="006D34DB"/>
    <w:rsid w:val="006D4BF2"/>
    <w:rsid w:val="006E1E9F"/>
    <w:rsid w:val="006F1044"/>
    <w:rsid w:val="006F12FC"/>
    <w:rsid w:val="006F4033"/>
    <w:rsid w:val="006F598F"/>
    <w:rsid w:val="00700005"/>
    <w:rsid w:val="00703DF7"/>
    <w:rsid w:val="00710C52"/>
    <w:rsid w:val="0071132C"/>
    <w:rsid w:val="00714201"/>
    <w:rsid w:val="00716BCE"/>
    <w:rsid w:val="00723E16"/>
    <w:rsid w:val="0072532C"/>
    <w:rsid w:val="00726FE8"/>
    <w:rsid w:val="00731EE2"/>
    <w:rsid w:val="007324DD"/>
    <w:rsid w:val="00736ABB"/>
    <w:rsid w:val="00740A54"/>
    <w:rsid w:val="00741107"/>
    <w:rsid w:val="0074301B"/>
    <w:rsid w:val="007467EC"/>
    <w:rsid w:val="007567C4"/>
    <w:rsid w:val="00765FDF"/>
    <w:rsid w:val="007711CD"/>
    <w:rsid w:val="00772A6E"/>
    <w:rsid w:val="00773DD6"/>
    <w:rsid w:val="00781399"/>
    <w:rsid w:val="00783DF5"/>
    <w:rsid w:val="00793271"/>
    <w:rsid w:val="00794134"/>
    <w:rsid w:val="0079714C"/>
    <w:rsid w:val="007A0B79"/>
    <w:rsid w:val="007A2095"/>
    <w:rsid w:val="007B1D15"/>
    <w:rsid w:val="007B5688"/>
    <w:rsid w:val="007B5887"/>
    <w:rsid w:val="007B591C"/>
    <w:rsid w:val="007C1810"/>
    <w:rsid w:val="007C2D7E"/>
    <w:rsid w:val="007C4E90"/>
    <w:rsid w:val="007D68DD"/>
    <w:rsid w:val="007E1E5E"/>
    <w:rsid w:val="007E3A98"/>
    <w:rsid w:val="007F5C1E"/>
    <w:rsid w:val="00800C6C"/>
    <w:rsid w:val="008027D3"/>
    <w:rsid w:val="00810344"/>
    <w:rsid w:val="00815C7D"/>
    <w:rsid w:val="00816DC6"/>
    <w:rsid w:val="00820176"/>
    <w:rsid w:val="00820289"/>
    <w:rsid w:val="00821A32"/>
    <w:rsid w:val="0082334C"/>
    <w:rsid w:val="00830DF1"/>
    <w:rsid w:val="0084286F"/>
    <w:rsid w:val="00845FC4"/>
    <w:rsid w:val="0085361F"/>
    <w:rsid w:val="0085656D"/>
    <w:rsid w:val="00861375"/>
    <w:rsid w:val="00861A66"/>
    <w:rsid w:val="00865A2F"/>
    <w:rsid w:val="00871FD5"/>
    <w:rsid w:val="00872F7A"/>
    <w:rsid w:val="00874D4B"/>
    <w:rsid w:val="00876FC7"/>
    <w:rsid w:val="008843E4"/>
    <w:rsid w:val="00884F52"/>
    <w:rsid w:val="0088505C"/>
    <w:rsid w:val="0089217E"/>
    <w:rsid w:val="00897A9F"/>
    <w:rsid w:val="00897B99"/>
    <w:rsid w:val="008A1868"/>
    <w:rsid w:val="008A5890"/>
    <w:rsid w:val="008A6A1B"/>
    <w:rsid w:val="008C0C03"/>
    <w:rsid w:val="008C7D2F"/>
    <w:rsid w:val="008E3BB9"/>
    <w:rsid w:val="008E7A41"/>
    <w:rsid w:val="008F1818"/>
    <w:rsid w:val="008F45AB"/>
    <w:rsid w:val="008F7A19"/>
    <w:rsid w:val="008F7B94"/>
    <w:rsid w:val="00901FE9"/>
    <w:rsid w:val="009045B4"/>
    <w:rsid w:val="009148B1"/>
    <w:rsid w:val="00915111"/>
    <w:rsid w:val="0091610E"/>
    <w:rsid w:val="00916152"/>
    <w:rsid w:val="00924085"/>
    <w:rsid w:val="009259E0"/>
    <w:rsid w:val="00925F5B"/>
    <w:rsid w:val="00927952"/>
    <w:rsid w:val="0093208B"/>
    <w:rsid w:val="00933CFB"/>
    <w:rsid w:val="009343DF"/>
    <w:rsid w:val="00944E47"/>
    <w:rsid w:val="009569AA"/>
    <w:rsid w:val="0096182D"/>
    <w:rsid w:val="00961B09"/>
    <w:rsid w:val="00975DAE"/>
    <w:rsid w:val="00981D30"/>
    <w:rsid w:val="009839E0"/>
    <w:rsid w:val="009918AB"/>
    <w:rsid w:val="009938BD"/>
    <w:rsid w:val="00994AA3"/>
    <w:rsid w:val="00995F2D"/>
    <w:rsid w:val="0099755C"/>
    <w:rsid w:val="00997A65"/>
    <w:rsid w:val="009A284E"/>
    <w:rsid w:val="009B46FA"/>
    <w:rsid w:val="009B7A6B"/>
    <w:rsid w:val="009C02D6"/>
    <w:rsid w:val="009C1CA4"/>
    <w:rsid w:val="009C486E"/>
    <w:rsid w:val="009C536F"/>
    <w:rsid w:val="009C5C39"/>
    <w:rsid w:val="009D45AF"/>
    <w:rsid w:val="009E3DA2"/>
    <w:rsid w:val="009E4BEE"/>
    <w:rsid w:val="009E5F1B"/>
    <w:rsid w:val="009E5FD9"/>
    <w:rsid w:val="009E6B2D"/>
    <w:rsid w:val="009F094D"/>
    <w:rsid w:val="009F0A56"/>
    <w:rsid w:val="009F1DB3"/>
    <w:rsid w:val="009F3D2E"/>
    <w:rsid w:val="009F45B4"/>
    <w:rsid w:val="009F49F4"/>
    <w:rsid w:val="009F7EBE"/>
    <w:rsid w:val="00A01B09"/>
    <w:rsid w:val="00A033E4"/>
    <w:rsid w:val="00A03830"/>
    <w:rsid w:val="00A0487E"/>
    <w:rsid w:val="00A15B7A"/>
    <w:rsid w:val="00A16A47"/>
    <w:rsid w:val="00A26F62"/>
    <w:rsid w:val="00A30E98"/>
    <w:rsid w:val="00A3357C"/>
    <w:rsid w:val="00A35F19"/>
    <w:rsid w:val="00A37341"/>
    <w:rsid w:val="00A42639"/>
    <w:rsid w:val="00A45110"/>
    <w:rsid w:val="00A559ED"/>
    <w:rsid w:val="00A67183"/>
    <w:rsid w:val="00A67D9E"/>
    <w:rsid w:val="00A7566D"/>
    <w:rsid w:val="00A76B6D"/>
    <w:rsid w:val="00A810D8"/>
    <w:rsid w:val="00A859F4"/>
    <w:rsid w:val="00A85E38"/>
    <w:rsid w:val="00A91994"/>
    <w:rsid w:val="00A936D7"/>
    <w:rsid w:val="00A95A10"/>
    <w:rsid w:val="00AA0424"/>
    <w:rsid w:val="00AA31E5"/>
    <w:rsid w:val="00AA3474"/>
    <w:rsid w:val="00AA3C02"/>
    <w:rsid w:val="00AA4F77"/>
    <w:rsid w:val="00AB5D9D"/>
    <w:rsid w:val="00AB787F"/>
    <w:rsid w:val="00AC1B7E"/>
    <w:rsid w:val="00AC64B9"/>
    <w:rsid w:val="00AC6716"/>
    <w:rsid w:val="00AC6CDF"/>
    <w:rsid w:val="00AD03E6"/>
    <w:rsid w:val="00AD2CD9"/>
    <w:rsid w:val="00AE771E"/>
    <w:rsid w:val="00AF0068"/>
    <w:rsid w:val="00B041BC"/>
    <w:rsid w:val="00B11AFF"/>
    <w:rsid w:val="00B168BE"/>
    <w:rsid w:val="00B20F74"/>
    <w:rsid w:val="00B310E7"/>
    <w:rsid w:val="00B317B2"/>
    <w:rsid w:val="00B361F6"/>
    <w:rsid w:val="00B37117"/>
    <w:rsid w:val="00B37674"/>
    <w:rsid w:val="00B4010D"/>
    <w:rsid w:val="00B41EE2"/>
    <w:rsid w:val="00B467E1"/>
    <w:rsid w:val="00B56B5B"/>
    <w:rsid w:val="00B56D7C"/>
    <w:rsid w:val="00B57BA5"/>
    <w:rsid w:val="00B61345"/>
    <w:rsid w:val="00B66BF3"/>
    <w:rsid w:val="00B75968"/>
    <w:rsid w:val="00B814EC"/>
    <w:rsid w:val="00B87A66"/>
    <w:rsid w:val="00B92C75"/>
    <w:rsid w:val="00B92FFA"/>
    <w:rsid w:val="00B93367"/>
    <w:rsid w:val="00B96840"/>
    <w:rsid w:val="00BA0CF6"/>
    <w:rsid w:val="00BA7EDE"/>
    <w:rsid w:val="00BB7699"/>
    <w:rsid w:val="00BB7785"/>
    <w:rsid w:val="00BC12D9"/>
    <w:rsid w:val="00BC4193"/>
    <w:rsid w:val="00BC591A"/>
    <w:rsid w:val="00BD0934"/>
    <w:rsid w:val="00BD1FF9"/>
    <w:rsid w:val="00BD449A"/>
    <w:rsid w:val="00BD7CA0"/>
    <w:rsid w:val="00BE1DEC"/>
    <w:rsid w:val="00BE2390"/>
    <w:rsid w:val="00BE4F55"/>
    <w:rsid w:val="00BF00D6"/>
    <w:rsid w:val="00BF12FD"/>
    <w:rsid w:val="00BF53BA"/>
    <w:rsid w:val="00BF5D1E"/>
    <w:rsid w:val="00BF73DA"/>
    <w:rsid w:val="00BF7AF8"/>
    <w:rsid w:val="00C00090"/>
    <w:rsid w:val="00C1074A"/>
    <w:rsid w:val="00C115C0"/>
    <w:rsid w:val="00C116FD"/>
    <w:rsid w:val="00C12FBF"/>
    <w:rsid w:val="00C13C17"/>
    <w:rsid w:val="00C22BFC"/>
    <w:rsid w:val="00C23109"/>
    <w:rsid w:val="00C30AC0"/>
    <w:rsid w:val="00C31263"/>
    <w:rsid w:val="00C31D2A"/>
    <w:rsid w:val="00C31DD6"/>
    <w:rsid w:val="00C359DE"/>
    <w:rsid w:val="00C45E23"/>
    <w:rsid w:val="00C50F2C"/>
    <w:rsid w:val="00C51DD4"/>
    <w:rsid w:val="00C53333"/>
    <w:rsid w:val="00C56701"/>
    <w:rsid w:val="00C6172C"/>
    <w:rsid w:val="00C65CF0"/>
    <w:rsid w:val="00C71DB9"/>
    <w:rsid w:val="00C75890"/>
    <w:rsid w:val="00C847C2"/>
    <w:rsid w:val="00C85A21"/>
    <w:rsid w:val="00C85C08"/>
    <w:rsid w:val="00C92500"/>
    <w:rsid w:val="00C94128"/>
    <w:rsid w:val="00C96714"/>
    <w:rsid w:val="00C97228"/>
    <w:rsid w:val="00CA0702"/>
    <w:rsid w:val="00CA3030"/>
    <w:rsid w:val="00CA3DA3"/>
    <w:rsid w:val="00CB18EA"/>
    <w:rsid w:val="00CB5670"/>
    <w:rsid w:val="00CB6A8A"/>
    <w:rsid w:val="00CB7A4F"/>
    <w:rsid w:val="00CC35D5"/>
    <w:rsid w:val="00CC780B"/>
    <w:rsid w:val="00CD479C"/>
    <w:rsid w:val="00CD6C5B"/>
    <w:rsid w:val="00CF0D27"/>
    <w:rsid w:val="00CF1530"/>
    <w:rsid w:val="00D0106A"/>
    <w:rsid w:val="00D017D2"/>
    <w:rsid w:val="00D0379E"/>
    <w:rsid w:val="00D0476B"/>
    <w:rsid w:val="00D04A94"/>
    <w:rsid w:val="00D07154"/>
    <w:rsid w:val="00D07C16"/>
    <w:rsid w:val="00D07C95"/>
    <w:rsid w:val="00D17962"/>
    <w:rsid w:val="00D31183"/>
    <w:rsid w:val="00D330D9"/>
    <w:rsid w:val="00D34485"/>
    <w:rsid w:val="00D35ECB"/>
    <w:rsid w:val="00D410D4"/>
    <w:rsid w:val="00D531FD"/>
    <w:rsid w:val="00D5353C"/>
    <w:rsid w:val="00D564C3"/>
    <w:rsid w:val="00D566B7"/>
    <w:rsid w:val="00D61452"/>
    <w:rsid w:val="00D62C06"/>
    <w:rsid w:val="00D66287"/>
    <w:rsid w:val="00D70210"/>
    <w:rsid w:val="00D702B9"/>
    <w:rsid w:val="00D73C7C"/>
    <w:rsid w:val="00D76AEE"/>
    <w:rsid w:val="00D8071E"/>
    <w:rsid w:val="00D843C7"/>
    <w:rsid w:val="00D84C3F"/>
    <w:rsid w:val="00D85801"/>
    <w:rsid w:val="00D8659C"/>
    <w:rsid w:val="00D878E0"/>
    <w:rsid w:val="00D91A40"/>
    <w:rsid w:val="00D922CE"/>
    <w:rsid w:val="00D94307"/>
    <w:rsid w:val="00DA12D9"/>
    <w:rsid w:val="00DA1FE3"/>
    <w:rsid w:val="00DA592D"/>
    <w:rsid w:val="00DB4936"/>
    <w:rsid w:val="00DB5E16"/>
    <w:rsid w:val="00DB6910"/>
    <w:rsid w:val="00DC5B96"/>
    <w:rsid w:val="00DC5D26"/>
    <w:rsid w:val="00DD2ADC"/>
    <w:rsid w:val="00DD3A88"/>
    <w:rsid w:val="00DD4A2F"/>
    <w:rsid w:val="00DD5E29"/>
    <w:rsid w:val="00DD6984"/>
    <w:rsid w:val="00DD6A56"/>
    <w:rsid w:val="00DD6F5E"/>
    <w:rsid w:val="00DD7806"/>
    <w:rsid w:val="00DD7D1A"/>
    <w:rsid w:val="00DE322C"/>
    <w:rsid w:val="00DE4566"/>
    <w:rsid w:val="00DE4F2A"/>
    <w:rsid w:val="00DF3594"/>
    <w:rsid w:val="00DF3AE1"/>
    <w:rsid w:val="00DF7220"/>
    <w:rsid w:val="00E0444B"/>
    <w:rsid w:val="00E073B7"/>
    <w:rsid w:val="00E134A5"/>
    <w:rsid w:val="00E229B2"/>
    <w:rsid w:val="00E24CC6"/>
    <w:rsid w:val="00E26C4D"/>
    <w:rsid w:val="00E35EF5"/>
    <w:rsid w:val="00E363E3"/>
    <w:rsid w:val="00E414A7"/>
    <w:rsid w:val="00E43FE0"/>
    <w:rsid w:val="00E464C3"/>
    <w:rsid w:val="00E47248"/>
    <w:rsid w:val="00E50640"/>
    <w:rsid w:val="00E525A1"/>
    <w:rsid w:val="00E525F0"/>
    <w:rsid w:val="00E56F9C"/>
    <w:rsid w:val="00E5794E"/>
    <w:rsid w:val="00E57E7F"/>
    <w:rsid w:val="00E61D42"/>
    <w:rsid w:val="00E63869"/>
    <w:rsid w:val="00E64ED6"/>
    <w:rsid w:val="00E7315E"/>
    <w:rsid w:val="00E80C3F"/>
    <w:rsid w:val="00E81A7F"/>
    <w:rsid w:val="00E875E1"/>
    <w:rsid w:val="00E9010C"/>
    <w:rsid w:val="00E9123B"/>
    <w:rsid w:val="00E947DF"/>
    <w:rsid w:val="00EA6040"/>
    <w:rsid w:val="00EB26FE"/>
    <w:rsid w:val="00EC064F"/>
    <w:rsid w:val="00EC7782"/>
    <w:rsid w:val="00ED20E6"/>
    <w:rsid w:val="00EE1C8B"/>
    <w:rsid w:val="00EE521F"/>
    <w:rsid w:val="00EE6FE3"/>
    <w:rsid w:val="00EF2306"/>
    <w:rsid w:val="00EF4A7B"/>
    <w:rsid w:val="00F02BFB"/>
    <w:rsid w:val="00F057C4"/>
    <w:rsid w:val="00F06DBD"/>
    <w:rsid w:val="00F154BD"/>
    <w:rsid w:val="00F15EBE"/>
    <w:rsid w:val="00F1629C"/>
    <w:rsid w:val="00F20146"/>
    <w:rsid w:val="00F23F0C"/>
    <w:rsid w:val="00F25014"/>
    <w:rsid w:val="00F25898"/>
    <w:rsid w:val="00F315B1"/>
    <w:rsid w:val="00F31721"/>
    <w:rsid w:val="00F328F2"/>
    <w:rsid w:val="00F422DA"/>
    <w:rsid w:val="00F438A8"/>
    <w:rsid w:val="00F558DF"/>
    <w:rsid w:val="00F57522"/>
    <w:rsid w:val="00F579C4"/>
    <w:rsid w:val="00F6297D"/>
    <w:rsid w:val="00F63574"/>
    <w:rsid w:val="00F67CF2"/>
    <w:rsid w:val="00F70A3D"/>
    <w:rsid w:val="00F74314"/>
    <w:rsid w:val="00F7563A"/>
    <w:rsid w:val="00F7664A"/>
    <w:rsid w:val="00F8592B"/>
    <w:rsid w:val="00F9128D"/>
    <w:rsid w:val="00F916A0"/>
    <w:rsid w:val="00F922E8"/>
    <w:rsid w:val="00F96FE7"/>
    <w:rsid w:val="00FA0EF2"/>
    <w:rsid w:val="00FB7962"/>
    <w:rsid w:val="00FB7C84"/>
    <w:rsid w:val="00FD2BDA"/>
    <w:rsid w:val="00FD6513"/>
    <w:rsid w:val="00FD771A"/>
    <w:rsid w:val="00FE4E33"/>
    <w:rsid w:val="00FF2F75"/>
    <w:rsid w:val="00FF4B79"/>
    <w:rsid w:val="00FF50FB"/>
    <w:rsid w:val="00FF5291"/>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58D86"/>
  <w15:chartTrackingRefBased/>
  <w15:docId w15:val="{24E21593-325A-46C5-A722-770B77D4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C3"/>
  </w:style>
  <w:style w:type="paragraph" w:styleId="Heading1">
    <w:name w:val="heading 1"/>
    <w:basedOn w:val="Normal"/>
    <w:link w:val="Heading1Char"/>
    <w:uiPriority w:val="1"/>
    <w:qFormat/>
    <w:rsid w:val="00E464C3"/>
    <w:pPr>
      <w:outlineLvl w:val="0"/>
    </w:pPr>
    <w:rPr>
      <w:b/>
      <w:bCs/>
      <w:sz w:val="28"/>
      <w:szCs w:val="24"/>
    </w:rPr>
  </w:style>
  <w:style w:type="paragraph" w:styleId="Heading2">
    <w:name w:val="heading 2"/>
    <w:basedOn w:val="Heading3"/>
    <w:next w:val="Normal"/>
    <w:link w:val="Heading2Char"/>
    <w:uiPriority w:val="9"/>
    <w:unhideWhenUsed/>
    <w:qFormat/>
    <w:rsid w:val="00E464C3"/>
    <w:pPr>
      <w:numPr>
        <w:numId w:val="0"/>
      </w:numPr>
      <w:outlineLvl w:val="1"/>
    </w:pPr>
  </w:style>
  <w:style w:type="paragraph" w:styleId="Heading3">
    <w:name w:val="heading 3"/>
    <w:basedOn w:val="ListParagraph"/>
    <w:next w:val="Normal"/>
    <w:link w:val="Heading3Char"/>
    <w:uiPriority w:val="9"/>
    <w:unhideWhenUsed/>
    <w:qFormat/>
    <w:rsid w:val="00E464C3"/>
    <w:pPr>
      <w:numPr>
        <w:numId w:val="2"/>
      </w:numPr>
      <w:outlineLvl w:val="2"/>
    </w:pPr>
    <w:rPr>
      <w:b/>
      <w:bCs/>
      <w:i/>
      <w:iCs/>
    </w:rPr>
  </w:style>
  <w:style w:type="paragraph" w:styleId="Heading4">
    <w:name w:val="heading 4"/>
    <w:basedOn w:val="ListParagraph"/>
    <w:next w:val="Normal"/>
    <w:link w:val="Heading4Char"/>
    <w:uiPriority w:val="9"/>
    <w:unhideWhenUsed/>
    <w:qFormat/>
    <w:rsid w:val="00E464C3"/>
    <w:pPr>
      <w:numPr>
        <w:numId w:val="7"/>
      </w:numPr>
      <w:tabs>
        <w:tab w:val="num" w:pos="360"/>
      </w:tabs>
      <w:spacing w:after="0"/>
      <w:ind w:left="1440" w:firstLine="0"/>
      <w:outlineLvl w:val="3"/>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C3"/>
  </w:style>
  <w:style w:type="paragraph" w:styleId="Footer">
    <w:name w:val="footer"/>
    <w:basedOn w:val="Normal"/>
    <w:link w:val="FooterChar"/>
    <w:uiPriority w:val="99"/>
    <w:unhideWhenUsed/>
    <w:rsid w:val="00E4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C3"/>
  </w:style>
  <w:style w:type="character" w:customStyle="1" w:styleId="Heading1Char">
    <w:name w:val="Heading 1 Char"/>
    <w:basedOn w:val="DefaultParagraphFont"/>
    <w:link w:val="Heading1"/>
    <w:uiPriority w:val="1"/>
    <w:rsid w:val="00E464C3"/>
    <w:rPr>
      <w:b/>
      <w:bCs/>
      <w:sz w:val="28"/>
      <w:szCs w:val="24"/>
    </w:rPr>
  </w:style>
  <w:style w:type="character" w:customStyle="1" w:styleId="Heading2Char">
    <w:name w:val="Heading 2 Char"/>
    <w:basedOn w:val="DefaultParagraphFont"/>
    <w:link w:val="Heading2"/>
    <w:uiPriority w:val="9"/>
    <w:rsid w:val="00E464C3"/>
    <w:rPr>
      <w:b/>
      <w:bCs/>
      <w:i/>
      <w:iCs/>
    </w:rPr>
  </w:style>
  <w:style w:type="character" w:customStyle="1" w:styleId="Heading3Char">
    <w:name w:val="Heading 3 Char"/>
    <w:basedOn w:val="DefaultParagraphFont"/>
    <w:link w:val="Heading3"/>
    <w:uiPriority w:val="9"/>
    <w:rsid w:val="00E464C3"/>
    <w:rPr>
      <w:b/>
      <w:bCs/>
      <w:i/>
      <w:iCs/>
    </w:rPr>
  </w:style>
  <w:style w:type="character" w:customStyle="1" w:styleId="Heading4Char">
    <w:name w:val="Heading 4 Char"/>
    <w:basedOn w:val="DefaultParagraphFont"/>
    <w:link w:val="Heading4"/>
    <w:uiPriority w:val="9"/>
    <w:rsid w:val="00E464C3"/>
    <w:rPr>
      <w:rFonts w:cs="Arial"/>
      <w:b/>
      <w:bCs/>
      <w:szCs w:val="24"/>
    </w:rPr>
  </w:style>
  <w:style w:type="paragraph" w:styleId="ListParagraph">
    <w:name w:val="List Paragraph"/>
    <w:basedOn w:val="Normal"/>
    <w:link w:val="ListParagraphChar"/>
    <w:uiPriority w:val="34"/>
    <w:qFormat/>
    <w:rsid w:val="00E464C3"/>
    <w:pPr>
      <w:ind w:left="720"/>
      <w:contextualSpacing/>
    </w:pPr>
  </w:style>
  <w:style w:type="paragraph" w:styleId="BalloonText">
    <w:name w:val="Balloon Text"/>
    <w:basedOn w:val="Normal"/>
    <w:link w:val="BalloonTextChar"/>
    <w:uiPriority w:val="99"/>
    <w:semiHidden/>
    <w:unhideWhenUsed/>
    <w:rsid w:val="00E46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4C3"/>
    <w:rPr>
      <w:rFonts w:ascii="Segoe UI" w:hAnsi="Segoe UI" w:cs="Segoe UI"/>
      <w:sz w:val="18"/>
      <w:szCs w:val="18"/>
    </w:rPr>
  </w:style>
  <w:style w:type="character" w:styleId="CommentReference">
    <w:name w:val="annotation reference"/>
    <w:basedOn w:val="DefaultParagraphFont"/>
    <w:uiPriority w:val="99"/>
    <w:semiHidden/>
    <w:unhideWhenUsed/>
    <w:rsid w:val="00E464C3"/>
    <w:rPr>
      <w:sz w:val="16"/>
      <w:szCs w:val="16"/>
    </w:rPr>
  </w:style>
  <w:style w:type="paragraph" w:styleId="CommentText">
    <w:name w:val="annotation text"/>
    <w:basedOn w:val="Normal"/>
    <w:link w:val="CommentTextChar"/>
    <w:uiPriority w:val="99"/>
    <w:unhideWhenUsed/>
    <w:rsid w:val="00E464C3"/>
    <w:pPr>
      <w:spacing w:line="240" w:lineRule="auto"/>
    </w:pPr>
    <w:rPr>
      <w:sz w:val="20"/>
      <w:szCs w:val="20"/>
    </w:rPr>
  </w:style>
  <w:style w:type="character" w:customStyle="1" w:styleId="CommentTextChar">
    <w:name w:val="Comment Text Char"/>
    <w:basedOn w:val="DefaultParagraphFont"/>
    <w:link w:val="CommentText"/>
    <w:uiPriority w:val="99"/>
    <w:rsid w:val="00E464C3"/>
    <w:rPr>
      <w:sz w:val="20"/>
      <w:szCs w:val="20"/>
    </w:rPr>
  </w:style>
  <w:style w:type="character" w:styleId="Hyperlink">
    <w:name w:val="Hyperlink"/>
    <w:basedOn w:val="DefaultParagraphFont"/>
    <w:uiPriority w:val="99"/>
    <w:unhideWhenUsed/>
    <w:rsid w:val="00E464C3"/>
    <w:rPr>
      <w:color w:val="0000FF"/>
      <w:u w:val="single"/>
    </w:rPr>
  </w:style>
  <w:style w:type="character" w:customStyle="1" w:styleId="ListParagraphChar">
    <w:name w:val="List Paragraph Char"/>
    <w:basedOn w:val="DefaultParagraphFont"/>
    <w:link w:val="ListParagraph"/>
    <w:uiPriority w:val="34"/>
    <w:locked/>
    <w:rsid w:val="00E464C3"/>
  </w:style>
  <w:style w:type="character" w:customStyle="1" w:styleId="Style1Char">
    <w:name w:val="Style1 Char"/>
    <w:basedOn w:val="DefaultParagraphFont"/>
    <w:link w:val="Style1"/>
    <w:locked/>
    <w:rsid w:val="00E464C3"/>
    <w:rPr>
      <w:rFonts w:eastAsia="Times New Roman" w:cs="Arial"/>
      <w:b/>
      <w:szCs w:val="24"/>
    </w:rPr>
  </w:style>
  <w:style w:type="paragraph" w:customStyle="1" w:styleId="Style1">
    <w:name w:val="Style1"/>
    <w:basedOn w:val="Normal"/>
    <w:link w:val="Style1Char"/>
    <w:qFormat/>
    <w:rsid w:val="00E464C3"/>
    <w:pPr>
      <w:numPr>
        <w:numId w:val="3"/>
      </w:numPr>
      <w:spacing w:before="120" w:after="120" w:line="240" w:lineRule="auto"/>
      <w:jc w:val="both"/>
    </w:pPr>
    <w:rPr>
      <w:rFonts w:eastAsia="Times New Roman" w:cs="Arial"/>
      <w:b/>
      <w:szCs w:val="24"/>
    </w:rPr>
  </w:style>
  <w:style w:type="paragraph" w:styleId="BodyText">
    <w:name w:val="Body Text"/>
    <w:basedOn w:val="Normal"/>
    <w:link w:val="BodyTextChar"/>
    <w:uiPriority w:val="1"/>
    <w:unhideWhenUsed/>
    <w:qFormat/>
    <w:rsid w:val="00E464C3"/>
    <w:pPr>
      <w:widowControl w:val="0"/>
      <w:autoSpaceDE w:val="0"/>
      <w:autoSpaceDN w:val="0"/>
      <w:spacing w:after="0" w:line="240" w:lineRule="auto"/>
    </w:pPr>
    <w:rPr>
      <w:rFonts w:eastAsia="Arial" w:cs="Arial"/>
      <w:sz w:val="22"/>
    </w:rPr>
  </w:style>
  <w:style w:type="character" w:customStyle="1" w:styleId="BodyTextChar">
    <w:name w:val="Body Text Char"/>
    <w:basedOn w:val="DefaultParagraphFont"/>
    <w:link w:val="BodyText"/>
    <w:uiPriority w:val="1"/>
    <w:rsid w:val="00E464C3"/>
    <w:rPr>
      <w:rFonts w:eastAsia="Arial" w:cs="Arial"/>
      <w:sz w:val="22"/>
    </w:rPr>
  </w:style>
  <w:style w:type="paragraph" w:styleId="CommentSubject">
    <w:name w:val="annotation subject"/>
    <w:basedOn w:val="CommentText"/>
    <w:next w:val="CommentText"/>
    <w:link w:val="CommentSubjectChar"/>
    <w:uiPriority w:val="99"/>
    <w:semiHidden/>
    <w:unhideWhenUsed/>
    <w:rsid w:val="00E464C3"/>
    <w:rPr>
      <w:b/>
      <w:bCs/>
    </w:rPr>
  </w:style>
  <w:style w:type="character" w:customStyle="1" w:styleId="CommentSubjectChar">
    <w:name w:val="Comment Subject Char"/>
    <w:basedOn w:val="CommentTextChar"/>
    <w:link w:val="CommentSubject"/>
    <w:uiPriority w:val="99"/>
    <w:semiHidden/>
    <w:rsid w:val="00E464C3"/>
    <w:rPr>
      <w:b/>
      <w:bCs/>
      <w:sz w:val="20"/>
      <w:szCs w:val="20"/>
    </w:rPr>
  </w:style>
  <w:style w:type="paragraph" w:customStyle="1" w:styleId="Default">
    <w:name w:val="Default"/>
    <w:rsid w:val="00E464C3"/>
    <w:pPr>
      <w:autoSpaceDE w:val="0"/>
      <w:autoSpaceDN w:val="0"/>
      <w:adjustRightInd w:val="0"/>
      <w:spacing w:after="0" w:line="240" w:lineRule="auto"/>
    </w:pPr>
    <w:rPr>
      <w:rFonts w:cs="Arial"/>
      <w:color w:val="000000"/>
      <w:szCs w:val="24"/>
    </w:rPr>
  </w:style>
  <w:style w:type="table" w:styleId="TableGrid">
    <w:name w:val="Table Grid"/>
    <w:basedOn w:val="TableNormal"/>
    <w:uiPriority w:val="59"/>
    <w:rsid w:val="00E4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464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4C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E464C3"/>
    <w:rPr>
      <w:color w:val="605E5C"/>
      <w:shd w:val="clear" w:color="auto" w:fill="E1DFDD"/>
    </w:rPr>
  </w:style>
  <w:style w:type="character" w:styleId="FollowedHyperlink">
    <w:name w:val="FollowedHyperlink"/>
    <w:basedOn w:val="DefaultParagraphFont"/>
    <w:uiPriority w:val="99"/>
    <w:semiHidden/>
    <w:unhideWhenUsed/>
    <w:rsid w:val="00E464C3"/>
    <w:rPr>
      <w:color w:val="800080" w:themeColor="followedHyperlink"/>
      <w:u w:val="single"/>
    </w:rPr>
  </w:style>
  <w:style w:type="paragraph" w:customStyle="1" w:styleId="Heading3Numbered">
    <w:name w:val="Heading 3 Numbered"/>
    <w:basedOn w:val="Heading3"/>
    <w:link w:val="Heading3NumberedChar"/>
    <w:qFormat/>
    <w:rsid w:val="00E464C3"/>
    <w:pPr>
      <w:numPr>
        <w:ilvl w:val="1"/>
        <w:numId w:val="9"/>
      </w:numPr>
      <w:spacing w:after="0"/>
    </w:pPr>
    <w:rPr>
      <w:rFonts w:eastAsia="Times New Roman" w:cs="Arial"/>
      <w:szCs w:val="24"/>
    </w:rPr>
  </w:style>
  <w:style w:type="character" w:customStyle="1" w:styleId="Heading3NumberedChar">
    <w:name w:val="Heading 3 Numbered Char"/>
    <w:basedOn w:val="Style1Char"/>
    <w:link w:val="Heading3Numbered"/>
    <w:rsid w:val="00E464C3"/>
    <w:rPr>
      <w:rFonts w:eastAsia="Times New Roman" w:cs="Arial"/>
      <w:b/>
      <w:bCs/>
      <w:i/>
      <w:iCs/>
      <w:szCs w:val="24"/>
    </w:rPr>
  </w:style>
  <w:style w:type="paragraph" w:styleId="TOCHeading">
    <w:name w:val="TOC Heading"/>
    <w:basedOn w:val="Heading1"/>
    <w:next w:val="Normal"/>
    <w:uiPriority w:val="39"/>
    <w:unhideWhenUsed/>
    <w:qFormat/>
    <w:rsid w:val="00E464C3"/>
    <w:pPr>
      <w:keepNext/>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464C3"/>
    <w:pPr>
      <w:tabs>
        <w:tab w:val="right" w:leader="dot" w:pos="9350"/>
      </w:tabs>
      <w:spacing w:after="100"/>
    </w:pPr>
  </w:style>
  <w:style w:type="paragraph" w:styleId="TOC2">
    <w:name w:val="toc 2"/>
    <w:basedOn w:val="Normal"/>
    <w:next w:val="Normal"/>
    <w:autoRedefine/>
    <w:uiPriority w:val="39"/>
    <w:unhideWhenUsed/>
    <w:rsid w:val="00E464C3"/>
    <w:pPr>
      <w:spacing w:after="100"/>
      <w:ind w:left="240"/>
    </w:pPr>
  </w:style>
  <w:style w:type="paragraph" w:styleId="TOC3">
    <w:name w:val="toc 3"/>
    <w:basedOn w:val="Normal"/>
    <w:next w:val="Normal"/>
    <w:autoRedefine/>
    <w:uiPriority w:val="39"/>
    <w:unhideWhenUsed/>
    <w:rsid w:val="00E464C3"/>
    <w:pPr>
      <w:spacing w:after="100"/>
      <w:ind w:left="480"/>
    </w:pPr>
  </w:style>
  <w:style w:type="paragraph" w:customStyle="1" w:styleId="Header3TableSection">
    <w:name w:val="Header 3 Table Section"/>
    <w:basedOn w:val="Normal"/>
    <w:link w:val="Header3TableSectionChar"/>
    <w:qFormat/>
    <w:rsid w:val="00E464C3"/>
    <w:pPr>
      <w:spacing w:after="0" w:line="240" w:lineRule="auto"/>
      <w:jc w:val="center"/>
    </w:pPr>
    <w:rPr>
      <w:b/>
      <w:bCs/>
    </w:rPr>
  </w:style>
  <w:style w:type="table" w:styleId="GridTable1Light">
    <w:name w:val="Grid Table 1 Light"/>
    <w:basedOn w:val="TableNormal"/>
    <w:uiPriority w:val="46"/>
    <w:rsid w:val="00E464C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er3TableSectionChar">
    <w:name w:val="Header 3 Table Section Char"/>
    <w:basedOn w:val="DefaultParagraphFont"/>
    <w:link w:val="Header3TableSection"/>
    <w:rsid w:val="00E464C3"/>
    <w:rPr>
      <w:b/>
      <w:bCs/>
    </w:rPr>
  </w:style>
  <w:style w:type="paragraph" w:customStyle="1" w:styleId="H2nostyle">
    <w:name w:val="H2 no style"/>
    <w:basedOn w:val="Heading2"/>
    <w:link w:val="H2nostyleChar"/>
    <w:qFormat/>
    <w:rsid w:val="00E464C3"/>
    <w:rPr>
      <w:i w:val="0"/>
      <w:sz w:val="28"/>
      <w:szCs w:val="24"/>
    </w:rPr>
  </w:style>
  <w:style w:type="character" w:customStyle="1" w:styleId="H2nostyleChar">
    <w:name w:val="H2 no style Char"/>
    <w:basedOn w:val="Heading1Char"/>
    <w:link w:val="H2nostyle"/>
    <w:rsid w:val="00E464C3"/>
    <w:rPr>
      <w:b/>
      <w:bCs/>
      <w:iCs/>
      <w:sz w:val="28"/>
      <w:szCs w:val="24"/>
    </w:rPr>
  </w:style>
  <w:style w:type="character" w:customStyle="1" w:styleId="UnresolvedMention2">
    <w:name w:val="Unresolved Mention2"/>
    <w:basedOn w:val="DefaultParagraphFont"/>
    <w:uiPriority w:val="99"/>
    <w:semiHidden/>
    <w:unhideWhenUsed/>
    <w:rsid w:val="00060B46"/>
    <w:rPr>
      <w:color w:val="605E5C"/>
      <w:shd w:val="clear" w:color="auto" w:fill="E1DFDD"/>
    </w:rPr>
  </w:style>
  <w:style w:type="character" w:styleId="UnresolvedMention">
    <w:name w:val="Unresolved Mention"/>
    <w:basedOn w:val="DefaultParagraphFont"/>
    <w:uiPriority w:val="99"/>
    <w:semiHidden/>
    <w:unhideWhenUsed/>
    <w:rsid w:val="00690C88"/>
    <w:rPr>
      <w:color w:val="605E5C"/>
      <w:shd w:val="clear" w:color="auto" w:fill="E1DFDD"/>
    </w:rPr>
  </w:style>
  <w:style w:type="table" w:customStyle="1" w:styleId="PlainTable51">
    <w:name w:val="Plain Table 51"/>
    <w:basedOn w:val="TableNormal"/>
    <w:uiPriority w:val="45"/>
    <w:rsid w:val="0063733C"/>
    <w:pPr>
      <w:spacing w:after="0" w:line="240" w:lineRule="auto"/>
    </w:pPr>
    <w:rPr>
      <w:rFonts w:asciiTheme="minorHAnsi" w:hAnsiTheme="minorHAnsi"/>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C31D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125">
      <w:bodyDiv w:val="1"/>
      <w:marLeft w:val="0"/>
      <w:marRight w:val="0"/>
      <w:marTop w:val="0"/>
      <w:marBottom w:val="0"/>
      <w:divBdr>
        <w:top w:val="none" w:sz="0" w:space="0" w:color="auto"/>
        <w:left w:val="none" w:sz="0" w:space="0" w:color="auto"/>
        <w:bottom w:val="none" w:sz="0" w:space="0" w:color="auto"/>
        <w:right w:val="none" w:sz="0" w:space="0" w:color="auto"/>
      </w:divBdr>
    </w:div>
    <w:div w:id="39742557">
      <w:bodyDiv w:val="1"/>
      <w:marLeft w:val="0"/>
      <w:marRight w:val="0"/>
      <w:marTop w:val="0"/>
      <w:marBottom w:val="0"/>
      <w:divBdr>
        <w:top w:val="none" w:sz="0" w:space="0" w:color="auto"/>
        <w:left w:val="none" w:sz="0" w:space="0" w:color="auto"/>
        <w:bottom w:val="none" w:sz="0" w:space="0" w:color="auto"/>
        <w:right w:val="none" w:sz="0" w:space="0" w:color="auto"/>
      </w:divBdr>
    </w:div>
    <w:div w:id="316540023">
      <w:bodyDiv w:val="1"/>
      <w:marLeft w:val="0"/>
      <w:marRight w:val="0"/>
      <w:marTop w:val="0"/>
      <w:marBottom w:val="0"/>
      <w:divBdr>
        <w:top w:val="none" w:sz="0" w:space="0" w:color="auto"/>
        <w:left w:val="none" w:sz="0" w:space="0" w:color="auto"/>
        <w:bottom w:val="none" w:sz="0" w:space="0" w:color="auto"/>
        <w:right w:val="none" w:sz="0" w:space="0" w:color="auto"/>
      </w:divBdr>
    </w:div>
    <w:div w:id="1447040152">
      <w:bodyDiv w:val="1"/>
      <w:marLeft w:val="0"/>
      <w:marRight w:val="0"/>
      <w:marTop w:val="0"/>
      <w:marBottom w:val="0"/>
      <w:divBdr>
        <w:top w:val="none" w:sz="0" w:space="0" w:color="auto"/>
        <w:left w:val="none" w:sz="0" w:space="0" w:color="auto"/>
        <w:bottom w:val="none" w:sz="0" w:space="0" w:color="auto"/>
        <w:right w:val="none" w:sz="0" w:space="0" w:color="auto"/>
      </w:divBdr>
    </w:div>
    <w:div w:id="1964579123">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ca.gov/wp-content/uploads/2020/01/EO-N-23-20-Homelessness-Crisis-01.08.2020.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nfo.legislature.ca.gov/faces/codes_displaySection.xhtml?lawCode=GOV&amp;sectionNum=14671.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gscloud.box.com/s/4wh02zpc4q5vo31f7ex5qai069y4c8z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gs.ca.gov/RESD/Projects/Page-Content/Projects-List-Folder/Executive-Order-N-06-19-Affordable-Housing-Development"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65B29A3BC9E744A3A003FF466111B4" ma:contentTypeVersion="13" ma:contentTypeDescription="Create a new document." ma:contentTypeScope="" ma:versionID="d3e7f0245345f6b8be251bfc6a3f294b">
  <xsd:schema xmlns:xsd="http://www.w3.org/2001/XMLSchema" xmlns:xs="http://www.w3.org/2001/XMLSchema" xmlns:p="http://schemas.microsoft.com/office/2006/metadata/properties" xmlns:ns2="da51df76-5346-481c-9c5e-19faa06c9037" xmlns:ns3="f77321cd-88e1-4462-b738-7ba101af04d0" targetNamespace="http://schemas.microsoft.com/office/2006/metadata/properties" ma:root="true" ma:fieldsID="d5479c1cd494335f47970671cec373d3" ns2:_="" ns3:_="">
    <xsd:import namespace="da51df76-5346-481c-9c5e-19faa06c9037"/>
    <xsd:import namespace="f77321cd-88e1-4462-b738-7ba101af04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1df76-5346-481c-9c5e-19faa06c9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7321cd-88e1-4462-b738-7ba101af0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34108-6A20-4DF9-A37F-7FF595FB4B45}">
  <ds:schemaRefs>
    <ds:schemaRef ds:uri="http://schemas.openxmlformats.org/officeDocument/2006/bibliography"/>
  </ds:schemaRefs>
</ds:datastoreItem>
</file>

<file path=customXml/itemProps2.xml><?xml version="1.0" encoding="utf-8"?>
<ds:datastoreItem xmlns:ds="http://schemas.openxmlformats.org/officeDocument/2006/customXml" ds:itemID="{65B9415A-839F-4A79-B536-A8EB5632CDAB}">
  <ds:schemaRefs>
    <ds:schemaRef ds:uri="f77321cd-88e1-4462-b738-7ba101af04d0"/>
    <ds:schemaRef ds:uri="http://purl.org/dc/elements/1.1/"/>
    <ds:schemaRef ds:uri="http://purl.org/dc/terms/"/>
    <ds:schemaRef ds:uri="http://purl.org/dc/dcmitype/"/>
    <ds:schemaRef ds:uri="http://schemas.microsoft.com/office/2006/documentManagement/types"/>
    <ds:schemaRef ds:uri="da51df76-5346-481c-9c5e-19faa06c9037"/>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840000-4BAC-4381-BC1E-3FA9C831F0C1}">
  <ds:schemaRefs>
    <ds:schemaRef ds:uri="http://schemas.microsoft.com/sharepoint/v3/contenttype/forms"/>
  </ds:schemaRefs>
</ds:datastoreItem>
</file>

<file path=customXml/itemProps4.xml><?xml version="1.0" encoding="utf-8"?>
<ds:datastoreItem xmlns:ds="http://schemas.openxmlformats.org/officeDocument/2006/customXml" ds:itemID="{025B1456-9C6B-46F9-A63D-7C74C9915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1df76-5346-481c-9c5e-19faa06c9037"/>
    <ds:schemaRef ds:uri="f77321cd-88e1-4462-b738-7ba101af0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6053</Words>
  <Characters>34504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Tabar, Mehgie@HCD</dc:creator>
  <cp:keywords/>
  <dc:description/>
  <cp:lastModifiedBy>Torres, Marissa@DGS</cp:lastModifiedBy>
  <cp:revision>12</cp:revision>
  <cp:lastPrinted>2019-11-21T23:54:00Z</cp:lastPrinted>
  <dcterms:created xsi:type="dcterms:W3CDTF">2021-09-22T16:02:00Z</dcterms:created>
  <dcterms:modified xsi:type="dcterms:W3CDTF">2021-09-22T16:14:00Z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0x010100AA65B29A3BC9E744A3A003FF466111B4</vt:lpwstr>
  </property>
</Properties>
</file>