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30A" w:rsidRPr="003551BF" w:rsidRDefault="0098137A" w:rsidP="00D83823">
      <w:pPr>
        <w:pStyle w:val="PublicationTitle"/>
        <w:spacing w:after="120"/>
        <w:outlineLvl w:val="0"/>
        <w:rPr>
          <w:rFonts w:cs="Arial"/>
          <w:szCs w:val="32"/>
        </w:rPr>
      </w:pPr>
      <w:bookmarkStart w:id="0" w:name="_Toc250016248"/>
      <w:bookmarkStart w:id="1" w:name="_Toc267046298"/>
      <w:bookmarkStart w:id="2" w:name="_Toc267049830"/>
      <w:bookmarkStart w:id="3" w:name="_Toc267659537"/>
      <w:bookmarkStart w:id="4" w:name="_Toc267659998"/>
      <w:bookmarkStart w:id="5" w:name="_Toc267661419"/>
      <w:bookmarkStart w:id="6" w:name="_Toc153355991"/>
      <w:bookmarkStart w:id="7" w:name="_Toc153440007"/>
      <w:bookmarkStart w:id="8" w:name="_Toc155167677"/>
      <w:bookmarkStart w:id="9" w:name="_Toc250015483"/>
      <w:r w:rsidRPr="003551BF">
        <w:rPr>
          <w:rFonts w:cs="Arial"/>
          <w:szCs w:val="32"/>
        </w:rPr>
        <w:t xml:space="preserve">Chapter </w:t>
      </w:r>
      <w:r w:rsidR="0062744E" w:rsidRPr="003551BF">
        <w:rPr>
          <w:rFonts w:cs="Arial"/>
          <w:szCs w:val="32"/>
        </w:rPr>
        <w:t>2</w:t>
      </w:r>
      <w:bookmarkEnd w:id="0"/>
      <w:bookmarkEnd w:id="1"/>
      <w:bookmarkEnd w:id="2"/>
      <w:bookmarkEnd w:id="3"/>
      <w:bookmarkEnd w:id="4"/>
      <w:bookmarkEnd w:id="5"/>
    </w:p>
    <w:p w:rsidR="002F6FC1" w:rsidRPr="00B05A21" w:rsidRDefault="00593402" w:rsidP="00D83823">
      <w:pPr>
        <w:pStyle w:val="PublicationTitle"/>
        <w:spacing w:after="120"/>
        <w:outlineLvl w:val="0"/>
        <w:rPr>
          <w:rFonts w:cs="Arial"/>
          <w:sz w:val="24"/>
          <w:szCs w:val="24"/>
        </w:rPr>
      </w:pPr>
      <w:bookmarkStart w:id="10" w:name="_Toc250016249"/>
      <w:bookmarkStart w:id="11" w:name="_Toc267046299"/>
      <w:bookmarkStart w:id="12" w:name="_Toc267049831"/>
      <w:bookmarkStart w:id="13" w:name="_Toc267659538"/>
      <w:bookmarkStart w:id="14" w:name="_Toc267659999"/>
      <w:bookmarkStart w:id="15" w:name="_Toc267661420"/>
      <w:r w:rsidRPr="003551BF">
        <w:rPr>
          <w:rFonts w:cs="Arial"/>
          <w:szCs w:val="32"/>
        </w:rPr>
        <w:t>Procurement</w:t>
      </w:r>
      <w:r w:rsidR="0098137A" w:rsidRPr="003551BF">
        <w:rPr>
          <w:rFonts w:cs="Arial"/>
          <w:szCs w:val="32"/>
        </w:rPr>
        <w:t xml:space="preserve"> Plannin</w:t>
      </w:r>
      <w:bookmarkEnd w:id="6"/>
      <w:bookmarkEnd w:id="7"/>
      <w:bookmarkEnd w:id="8"/>
      <w:bookmarkEnd w:id="9"/>
      <w:bookmarkEnd w:id="10"/>
      <w:bookmarkEnd w:id="11"/>
      <w:bookmarkEnd w:id="12"/>
      <w:r w:rsidR="002F6FC1" w:rsidRPr="003551BF">
        <w:rPr>
          <w:rFonts w:cs="Arial"/>
          <w:szCs w:val="32"/>
        </w:rPr>
        <w:t>g</w:t>
      </w:r>
      <w:bookmarkEnd w:id="13"/>
      <w:bookmarkEnd w:id="14"/>
      <w:bookmarkEnd w:id="15"/>
    </w:p>
    <w:p w:rsidR="002F6FC1" w:rsidRPr="00B05A21" w:rsidRDefault="002F6FC1" w:rsidP="002F6FC1">
      <w:pPr>
        <w:pStyle w:val="Heading4"/>
        <w:rPr>
          <w:rFonts w:cs="Arial"/>
          <w:sz w:val="24"/>
          <w:szCs w:val="24"/>
        </w:rPr>
      </w:pPr>
    </w:p>
    <w:p w:rsidR="002F6FC1" w:rsidRPr="003551BF" w:rsidRDefault="002F6FC1" w:rsidP="00D83823">
      <w:pPr>
        <w:pStyle w:val="TOCTitle"/>
        <w:spacing w:after="120"/>
        <w:rPr>
          <w:rFonts w:cs="Arial"/>
          <w:szCs w:val="32"/>
        </w:rPr>
      </w:pPr>
      <w:bookmarkStart w:id="16" w:name="_Toc153355992"/>
      <w:bookmarkStart w:id="17" w:name="_Toc153440008"/>
      <w:bookmarkStart w:id="18" w:name="_Toc155167678"/>
      <w:bookmarkStart w:id="19" w:name="_Toc250015484"/>
      <w:bookmarkStart w:id="20" w:name="_Toc250016250"/>
      <w:bookmarkStart w:id="21" w:name="_Toc267046300"/>
      <w:bookmarkStart w:id="22" w:name="_Toc267049832"/>
      <w:r w:rsidRPr="003551BF">
        <w:rPr>
          <w:rFonts w:cs="Arial"/>
          <w:szCs w:val="32"/>
        </w:rPr>
        <w:t>Table of Contents</w:t>
      </w:r>
      <w:r w:rsidR="00386FAE" w:rsidRPr="003551BF">
        <w:rPr>
          <w:rFonts w:cs="Arial"/>
          <w:szCs w:val="32"/>
        </w:rPr>
        <w:t xml:space="preserve"> </w:t>
      </w:r>
    </w:p>
    <w:p w:rsidR="002F6FC1" w:rsidRPr="000A1711" w:rsidRDefault="002F6FC1" w:rsidP="002F6FC1">
      <w:pPr>
        <w:pStyle w:val="MemoLine"/>
        <w:spacing w:before="0"/>
        <w:rPr>
          <w:rFonts w:ascii="Arial" w:hAnsi="Arial" w:cs="Arial"/>
          <w:szCs w:val="24"/>
        </w:rPr>
      </w:pPr>
    </w:p>
    <w:bookmarkEnd w:id="16"/>
    <w:bookmarkEnd w:id="17"/>
    <w:bookmarkEnd w:id="18"/>
    <w:bookmarkEnd w:id="19"/>
    <w:bookmarkEnd w:id="20"/>
    <w:bookmarkEnd w:id="21"/>
    <w:bookmarkEnd w:id="22"/>
    <w:p w:rsidR="000A1711" w:rsidRPr="000A1711" w:rsidRDefault="005532A5">
      <w:pPr>
        <w:pStyle w:val="TOC2"/>
        <w:rPr>
          <w:rFonts w:eastAsiaTheme="minorEastAsia"/>
          <w:noProof/>
          <w:sz w:val="24"/>
          <w:szCs w:val="24"/>
        </w:rPr>
      </w:pPr>
      <w:r w:rsidRPr="000A1711">
        <w:rPr>
          <w:sz w:val="24"/>
          <w:szCs w:val="24"/>
        </w:rPr>
        <w:fldChar w:fldCharType="begin"/>
      </w:r>
      <w:r w:rsidR="00A17396" w:rsidRPr="000A1711">
        <w:rPr>
          <w:sz w:val="24"/>
          <w:szCs w:val="24"/>
        </w:rPr>
        <w:instrText xml:space="preserve"> TOC \o "1-3" \h \z </w:instrText>
      </w:r>
      <w:r w:rsidRPr="000A1711">
        <w:rPr>
          <w:sz w:val="24"/>
          <w:szCs w:val="24"/>
        </w:rPr>
        <w:fldChar w:fldCharType="separate"/>
      </w:r>
      <w:hyperlink w:anchor="_Toc12885911" w:history="1">
        <w:r w:rsidR="000A1711" w:rsidRPr="000A1711">
          <w:rPr>
            <w:rStyle w:val="Hyperlink"/>
            <w:noProof/>
            <w:sz w:val="24"/>
            <w:szCs w:val="24"/>
          </w:rPr>
          <w:t>Chapter 2</w:t>
        </w:r>
        <w:r w:rsidR="000A1711" w:rsidRPr="000A1711">
          <w:rPr>
            <w:noProof/>
            <w:webHidden/>
            <w:sz w:val="24"/>
            <w:szCs w:val="24"/>
          </w:rPr>
          <w:tab/>
        </w:r>
        <w:r w:rsidR="000A1711" w:rsidRPr="000A1711">
          <w:rPr>
            <w:noProof/>
            <w:webHidden/>
            <w:sz w:val="24"/>
            <w:szCs w:val="24"/>
          </w:rPr>
          <w:fldChar w:fldCharType="begin"/>
        </w:r>
        <w:r w:rsidR="000A1711" w:rsidRPr="000A1711">
          <w:rPr>
            <w:noProof/>
            <w:webHidden/>
            <w:sz w:val="24"/>
            <w:szCs w:val="24"/>
          </w:rPr>
          <w:instrText xml:space="preserve"> PAGEREF _Toc12885911 \h </w:instrText>
        </w:r>
        <w:r w:rsidR="000A1711" w:rsidRPr="000A1711">
          <w:rPr>
            <w:noProof/>
            <w:webHidden/>
            <w:sz w:val="24"/>
            <w:szCs w:val="24"/>
          </w:rPr>
        </w:r>
        <w:r w:rsidR="000A1711" w:rsidRPr="000A1711">
          <w:rPr>
            <w:noProof/>
            <w:webHidden/>
            <w:sz w:val="24"/>
            <w:szCs w:val="24"/>
          </w:rPr>
          <w:fldChar w:fldCharType="separate"/>
        </w:r>
        <w:r w:rsidR="000A1711" w:rsidRPr="000A1711">
          <w:rPr>
            <w:noProof/>
            <w:webHidden/>
            <w:sz w:val="24"/>
            <w:szCs w:val="24"/>
          </w:rPr>
          <w:t>5</w:t>
        </w:r>
        <w:r w:rsidR="000A1711" w:rsidRPr="000A1711">
          <w:rPr>
            <w:noProof/>
            <w:webHidden/>
            <w:sz w:val="24"/>
            <w:szCs w:val="24"/>
          </w:rPr>
          <w:fldChar w:fldCharType="end"/>
        </w:r>
      </w:hyperlink>
    </w:p>
    <w:p w:rsidR="000A1711" w:rsidRPr="000A1711" w:rsidRDefault="00A674E6">
      <w:pPr>
        <w:pStyle w:val="TOC2"/>
        <w:rPr>
          <w:rFonts w:eastAsiaTheme="minorEastAsia"/>
          <w:noProof/>
          <w:sz w:val="24"/>
          <w:szCs w:val="24"/>
        </w:rPr>
      </w:pPr>
      <w:hyperlink w:anchor="_Toc12885912" w:history="1">
        <w:r w:rsidR="000A1711" w:rsidRPr="000A1711">
          <w:rPr>
            <w:rStyle w:val="Hyperlink"/>
            <w:noProof/>
            <w:sz w:val="24"/>
            <w:szCs w:val="24"/>
          </w:rPr>
          <w:t>Procurement Planning</w:t>
        </w:r>
        <w:r w:rsidR="000A1711" w:rsidRPr="000A1711">
          <w:rPr>
            <w:noProof/>
            <w:webHidden/>
            <w:sz w:val="24"/>
            <w:szCs w:val="24"/>
          </w:rPr>
          <w:tab/>
        </w:r>
        <w:r w:rsidR="000A1711" w:rsidRPr="000A1711">
          <w:rPr>
            <w:noProof/>
            <w:webHidden/>
            <w:sz w:val="24"/>
            <w:szCs w:val="24"/>
          </w:rPr>
          <w:fldChar w:fldCharType="begin"/>
        </w:r>
        <w:r w:rsidR="000A1711" w:rsidRPr="000A1711">
          <w:rPr>
            <w:noProof/>
            <w:webHidden/>
            <w:sz w:val="24"/>
            <w:szCs w:val="24"/>
          </w:rPr>
          <w:instrText xml:space="preserve"> PAGEREF _Toc12885912 \h </w:instrText>
        </w:r>
        <w:r w:rsidR="000A1711" w:rsidRPr="000A1711">
          <w:rPr>
            <w:noProof/>
            <w:webHidden/>
            <w:sz w:val="24"/>
            <w:szCs w:val="24"/>
          </w:rPr>
        </w:r>
        <w:r w:rsidR="000A1711" w:rsidRPr="000A1711">
          <w:rPr>
            <w:noProof/>
            <w:webHidden/>
            <w:sz w:val="24"/>
            <w:szCs w:val="24"/>
          </w:rPr>
          <w:fldChar w:fldCharType="separate"/>
        </w:r>
        <w:r w:rsidR="000A1711" w:rsidRPr="000A1711">
          <w:rPr>
            <w:noProof/>
            <w:webHidden/>
            <w:sz w:val="24"/>
            <w:szCs w:val="24"/>
          </w:rPr>
          <w:t>5</w:t>
        </w:r>
        <w:r w:rsidR="000A1711" w:rsidRPr="000A1711">
          <w:rPr>
            <w:noProof/>
            <w:webHidden/>
            <w:sz w:val="24"/>
            <w:szCs w:val="24"/>
          </w:rPr>
          <w:fldChar w:fldCharType="end"/>
        </w:r>
      </w:hyperlink>
    </w:p>
    <w:p w:rsidR="000A1711" w:rsidRPr="000A1711" w:rsidRDefault="00A674E6">
      <w:pPr>
        <w:pStyle w:val="TOC3"/>
        <w:rPr>
          <w:rFonts w:eastAsiaTheme="minorEastAsia"/>
          <w:sz w:val="24"/>
          <w:szCs w:val="24"/>
        </w:rPr>
      </w:pPr>
      <w:hyperlink w:anchor="_Toc12885913" w:history="1">
        <w:r w:rsidR="000A1711" w:rsidRPr="000A1711">
          <w:rPr>
            <w:rStyle w:val="Hyperlink"/>
            <w:bCs/>
            <w:sz w:val="24"/>
            <w:szCs w:val="24"/>
          </w:rPr>
          <w:t>Overview</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_Toc12885913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5</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14" w:history="1">
        <w:r w:rsidR="000A1711" w:rsidRPr="000A1711">
          <w:rPr>
            <w:rStyle w:val="Hyperlink"/>
            <w:bCs/>
            <w:sz w:val="24"/>
            <w:szCs w:val="24"/>
          </w:rPr>
          <w:t>Introduction</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_Toc12885914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5</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15" w:history="1">
        <w:r w:rsidR="000A1711" w:rsidRPr="000A1711">
          <w:rPr>
            <w:rStyle w:val="Hyperlink"/>
            <w:bCs/>
            <w:sz w:val="24"/>
            <w:szCs w:val="24"/>
          </w:rPr>
          <w:t>Contents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_Toc12885915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5</w:t>
        </w:r>
        <w:r w:rsidR="000A1711" w:rsidRPr="000A1711">
          <w:rPr>
            <w:webHidden/>
            <w:sz w:val="24"/>
            <w:szCs w:val="24"/>
          </w:rPr>
          <w:fldChar w:fldCharType="end"/>
        </w:r>
      </w:hyperlink>
    </w:p>
    <w:p w:rsidR="000A1711" w:rsidRPr="000A1711" w:rsidRDefault="00A674E6">
      <w:pPr>
        <w:pStyle w:val="TOC1"/>
        <w:rPr>
          <w:rFonts w:eastAsiaTheme="minorEastAsia"/>
          <w:noProof/>
          <w:sz w:val="24"/>
          <w:szCs w:val="24"/>
        </w:rPr>
      </w:pPr>
      <w:hyperlink w:anchor="_Toc12885916" w:history="1">
        <w:r w:rsidR="000A1711" w:rsidRPr="000A1711">
          <w:rPr>
            <w:rStyle w:val="Hyperlink"/>
            <w:noProof/>
            <w:sz w:val="24"/>
            <w:szCs w:val="24"/>
          </w:rPr>
          <w:t>Section A</w:t>
        </w:r>
        <w:r w:rsidR="000A1711" w:rsidRPr="000A1711">
          <w:rPr>
            <w:noProof/>
            <w:webHidden/>
            <w:sz w:val="24"/>
            <w:szCs w:val="24"/>
          </w:rPr>
          <w:tab/>
        </w:r>
        <w:r w:rsidR="000A1711" w:rsidRPr="000A1711">
          <w:rPr>
            <w:noProof/>
            <w:webHidden/>
            <w:sz w:val="24"/>
            <w:szCs w:val="24"/>
          </w:rPr>
          <w:fldChar w:fldCharType="begin"/>
        </w:r>
        <w:r w:rsidR="000A1711" w:rsidRPr="000A1711">
          <w:rPr>
            <w:noProof/>
            <w:webHidden/>
            <w:sz w:val="24"/>
            <w:szCs w:val="24"/>
          </w:rPr>
          <w:instrText xml:space="preserve"> PAGEREF _Toc12885916 \h </w:instrText>
        </w:r>
        <w:r w:rsidR="000A1711" w:rsidRPr="000A1711">
          <w:rPr>
            <w:noProof/>
            <w:webHidden/>
            <w:sz w:val="24"/>
            <w:szCs w:val="24"/>
          </w:rPr>
        </w:r>
        <w:r w:rsidR="000A1711" w:rsidRPr="000A1711">
          <w:rPr>
            <w:noProof/>
            <w:webHidden/>
            <w:sz w:val="24"/>
            <w:szCs w:val="24"/>
          </w:rPr>
          <w:fldChar w:fldCharType="separate"/>
        </w:r>
        <w:r w:rsidR="000A1711" w:rsidRPr="000A1711">
          <w:rPr>
            <w:noProof/>
            <w:webHidden/>
            <w:sz w:val="24"/>
            <w:szCs w:val="24"/>
          </w:rPr>
          <w:t>5</w:t>
        </w:r>
        <w:r w:rsidR="000A1711" w:rsidRPr="000A1711">
          <w:rPr>
            <w:noProof/>
            <w:webHidden/>
            <w:sz w:val="24"/>
            <w:szCs w:val="24"/>
          </w:rPr>
          <w:fldChar w:fldCharType="end"/>
        </w:r>
      </w:hyperlink>
    </w:p>
    <w:p w:rsidR="000A1711" w:rsidRPr="000A1711" w:rsidRDefault="00A674E6">
      <w:pPr>
        <w:pStyle w:val="TOC1"/>
        <w:rPr>
          <w:rFonts w:eastAsiaTheme="minorEastAsia"/>
          <w:noProof/>
          <w:sz w:val="24"/>
          <w:szCs w:val="24"/>
        </w:rPr>
      </w:pPr>
      <w:hyperlink w:anchor="_Toc12885917" w:history="1">
        <w:r w:rsidR="000A1711" w:rsidRPr="000A1711">
          <w:rPr>
            <w:rStyle w:val="Hyperlink"/>
            <w:noProof/>
            <w:sz w:val="24"/>
            <w:szCs w:val="24"/>
          </w:rPr>
          <w:t>Getting Started</w:t>
        </w:r>
        <w:r w:rsidR="000A1711" w:rsidRPr="000A1711">
          <w:rPr>
            <w:noProof/>
            <w:webHidden/>
            <w:sz w:val="24"/>
            <w:szCs w:val="24"/>
          </w:rPr>
          <w:tab/>
        </w:r>
        <w:r w:rsidR="000A1711" w:rsidRPr="000A1711">
          <w:rPr>
            <w:noProof/>
            <w:webHidden/>
            <w:sz w:val="24"/>
            <w:szCs w:val="24"/>
          </w:rPr>
          <w:fldChar w:fldCharType="begin"/>
        </w:r>
        <w:r w:rsidR="000A1711" w:rsidRPr="000A1711">
          <w:rPr>
            <w:noProof/>
            <w:webHidden/>
            <w:sz w:val="24"/>
            <w:szCs w:val="24"/>
          </w:rPr>
          <w:instrText xml:space="preserve"> PAGEREF _Toc12885917 \h </w:instrText>
        </w:r>
        <w:r w:rsidR="000A1711" w:rsidRPr="000A1711">
          <w:rPr>
            <w:noProof/>
            <w:webHidden/>
            <w:sz w:val="24"/>
            <w:szCs w:val="24"/>
          </w:rPr>
        </w:r>
        <w:r w:rsidR="000A1711" w:rsidRPr="000A1711">
          <w:rPr>
            <w:noProof/>
            <w:webHidden/>
            <w:sz w:val="24"/>
            <w:szCs w:val="24"/>
          </w:rPr>
          <w:fldChar w:fldCharType="separate"/>
        </w:r>
        <w:r w:rsidR="000A1711" w:rsidRPr="000A1711">
          <w:rPr>
            <w:noProof/>
            <w:webHidden/>
            <w:sz w:val="24"/>
            <w:szCs w:val="24"/>
          </w:rPr>
          <w:t>5</w:t>
        </w:r>
        <w:r w:rsidR="000A1711" w:rsidRPr="000A1711">
          <w:rPr>
            <w:noProof/>
            <w:webHidden/>
            <w:sz w:val="24"/>
            <w:szCs w:val="24"/>
          </w:rPr>
          <w:fldChar w:fldCharType="end"/>
        </w:r>
      </w:hyperlink>
    </w:p>
    <w:p w:rsidR="000A1711" w:rsidRPr="000A1711" w:rsidRDefault="00A674E6">
      <w:pPr>
        <w:pStyle w:val="TOC3"/>
        <w:rPr>
          <w:rFonts w:eastAsiaTheme="minorEastAsia"/>
          <w:sz w:val="24"/>
          <w:szCs w:val="24"/>
        </w:rPr>
      </w:pPr>
      <w:hyperlink w:anchor="_Toc12885918" w:history="1">
        <w:r w:rsidR="000A1711" w:rsidRPr="000A1711">
          <w:rPr>
            <w:rStyle w:val="Hyperlink"/>
            <w:bCs/>
            <w:sz w:val="24"/>
            <w:szCs w:val="24"/>
          </w:rPr>
          <w:t>Overview</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_Toc12885918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5</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19" w:history="1">
        <w:r w:rsidR="000A1711" w:rsidRPr="000A1711">
          <w:rPr>
            <w:rStyle w:val="Hyperlink"/>
            <w:bCs/>
            <w:sz w:val="24"/>
            <w:szCs w:val="24"/>
          </w:rPr>
          <w:t>Introduction</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_Toc12885919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5</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20" w:history="1">
        <w:r w:rsidR="000A1711" w:rsidRPr="000A1711">
          <w:rPr>
            <w:rStyle w:val="Hyperlink"/>
            <w:bCs/>
            <w:sz w:val="24"/>
            <w:szCs w:val="24"/>
          </w:rPr>
          <w:t>Contents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_Toc12885920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5</w:t>
        </w:r>
        <w:r w:rsidR="000A1711" w:rsidRPr="000A1711">
          <w:rPr>
            <w:webHidden/>
            <w:sz w:val="24"/>
            <w:szCs w:val="24"/>
          </w:rPr>
          <w:fldChar w:fldCharType="end"/>
        </w:r>
      </w:hyperlink>
    </w:p>
    <w:p w:rsidR="000A1711" w:rsidRPr="000A1711" w:rsidRDefault="00A674E6">
      <w:pPr>
        <w:pStyle w:val="TOC2"/>
        <w:rPr>
          <w:rFonts w:eastAsiaTheme="minorEastAsia"/>
          <w:noProof/>
          <w:sz w:val="24"/>
          <w:szCs w:val="24"/>
        </w:rPr>
      </w:pPr>
      <w:hyperlink w:anchor="_Toc12885921" w:history="1">
        <w:r w:rsidR="000A1711" w:rsidRPr="000A1711">
          <w:rPr>
            <w:rStyle w:val="Hyperlink"/>
            <w:bCs/>
            <w:noProof/>
            <w:sz w:val="24"/>
            <w:szCs w:val="24"/>
          </w:rPr>
          <w:t>Topic 1 – The Buyer’s Role</w:t>
        </w:r>
        <w:r w:rsidR="000A1711" w:rsidRPr="000A1711">
          <w:rPr>
            <w:noProof/>
            <w:webHidden/>
            <w:sz w:val="24"/>
            <w:szCs w:val="24"/>
          </w:rPr>
          <w:tab/>
        </w:r>
        <w:r w:rsidR="000A1711" w:rsidRPr="000A1711">
          <w:rPr>
            <w:noProof/>
            <w:webHidden/>
            <w:sz w:val="24"/>
            <w:szCs w:val="24"/>
          </w:rPr>
          <w:fldChar w:fldCharType="begin"/>
        </w:r>
        <w:r w:rsidR="000A1711" w:rsidRPr="000A1711">
          <w:rPr>
            <w:noProof/>
            <w:webHidden/>
            <w:sz w:val="24"/>
            <w:szCs w:val="24"/>
          </w:rPr>
          <w:instrText xml:space="preserve"> PAGEREF _Toc12885921 \h </w:instrText>
        </w:r>
        <w:r w:rsidR="000A1711" w:rsidRPr="000A1711">
          <w:rPr>
            <w:noProof/>
            <w:webHidden/>
            <w:sz w:val="24"/>
            <w:szCs w:val="24"/>
          </w:rPr>
        </w:r>
        <w:r w:rsidR="000A1711" w:rsidRPr="000A1711">
          <w:rPr>
            <w:noProof/>
            <w:webHidden/>
            <w:sz w:val="24"/>
            <w:szCs w:val="24"/>
          </w:rPr>
          <w:fldChar w:fldCharType="separate"/>
        </w:r>
        <w:r w:rsidR="000A1711" w:rsidRPr="000A1711">
          <w:rPr>
            <w:noProof/>
            <w:webHidden/>
            <w:sz w:val="24"/>
            <w:szCs w:val="24"/>
          </w:rPr>
          <w:t>6</w:t>
        </w:r>
        <w:r w:rsidR="000A1711" w:rsidRPr="000A1711">
          <w:rPr>
            <w:noProof/>
            <w:webHidden/>
            <w:sz w:val="24"/>
            <w:szCs w:val="24"/>
          </w:rPr>
          <w:fldChar w:fldCharType="end"/>
        </w:r>
      </w:hyperlink>
    </w:p>
    <w:p w:rsidR="000A1711" w:rsidRPr="000A1711" w:rsidRDefault="00A674E6">
      <w:pPr>
        <w:pStyle w:val="TOC3"/>
        <w:rPr>
          <w:rFonts w:eastAsiaTheme="minorEastAsia"/>
          <w:sz w:val="24"/>
          <w:szCs w:val="24"/>
        </w:rPr>
      </w:pPr>
      <w:hyperlink w:anchor="_Toc12885922" w:history="1">
        <w:r w:rsidR="000A1711" w:rsidRPr="000A1711">
          <w:rPr>
            <w:rStyle w:val="Hyperlink"/>
            <w:bCs/>
            <w:sz w:val="24"/>
            <w:szCs w:val="24"/>
          </w:rPr>
          <w:t>2.A1.0   Fiduciary responsibility</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_Toc12885922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6</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23" w:history="1">
        <w:r w:rsidR="000A1711" w:rsidRPr="000A1711">
          <w:rPr>
            <w:rStyle w:val="Hyperlink"/>
            <w:bCs/>
            <w:sz w:val="24"/>
            <w:szCs w:val="24"/>
          </w:rPr>
          <w:t>2.A1.1   Responsibility over public funds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_Toc12885923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6</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24" w:history="1">
        <w:r w:rsidR="000A1711" w:rsidRPr="000A1711">
          <w:rPr>
            <w:rStyle w:val="Hyperlink"/>
            <w:bCs/>
            <w:sz w:val="24"/>
            <w:szCs w:val="24"/>
          </w:rPr>
          <w:t>2.A1.2   Watchdog</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_Toc12885924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6</w:t>
        </w:r>
        <w:r w:rsidR="000A1711" w:rsidRPr="000A1711">
          <w:rPr>
            <w:webHidden/>
            <w:sz w:val="24"/>
            <w:szCs w:val="24"/>
          </w:rPr>
          <w:fldChar w:fldCharType="end"/>
        </w:r>
      </w:hyperlink>
    </w:p>
    <w:p w:rsidR="000A1711" w:rsidRPr="000A1711" w:rsidRDefault="00A674E6">
      <w:pPr>
        <w:pStyle w:val="TOC2"/>
        <w:rPr>
          <w:rFonts w:eastAsiaTheme="minorEastAsia"/>
          <w:noProof/>
          <w:sz w:val="24"/>
          <w:szCs w:val="24"/>
        </w:rPr>
      </w:pPr>
      <w:hyperlink w:anchor="_Toc12885925" w:history="1">
        <w:r w:rsidR="000A1711" w:rsidRPr="000A1711">
          <w:rPr>
            <w:rStyle w:val="Hyperlink"/>
            <w:bCs/>
            <w:noProof/>
            <w:sz w:val="24"/>
            <w:szCs w:val="24"/>
          </w:rPr>
          <w:t>Topic 2 – Gifts and Gratuities</w:t>
        </w:r>
        <w:r w:rsidR="000A1711" w:rsidRPr="000A1711">
          <w:rPr>
            <w:noProof/>
            <w:webHidden/>
            <w:sz w:val="24"/>
            <w:szCs w:val="24"/>
          </w:rPr>
          <w:tab/>
        </w:r>
        <w:r w:rsidR="000A1711" w:rsidRPr="000A1711">
          <w:rPr>
            <w:noProof/>
            <w:webHidden/>
            <w:sz w:val="24"/>
            <w:szCs w:val="24"/>
          </w:rPr>
          <w:fldChar w:fldCharType="begin"/>
        </w:r>
        <w:r w:rsidR="000A1711" w:rsidRPr="000A1711">
          <w:rPr>
            <w:noProof/>
            <w:webHidden/>
            <w:sz w:val="24"/>
            <w:szCs w:val="24"/>
          </w:rPr>
          <w:instrText xml:space="preserve"> PAGEREF _Toc12885925 \h </w:instrText>
        </w:r>
        <w:r w:rsidR="000A1711" w:rsidRPr="000A1711">
          <w:rPr>
            <w:noProof/>
            <w:webHidden/>
            <w:sz w:val="24"/>
            <w:szCs w:val="24"/>
          </w:rPr>
        </w:r>
        <w:r w:rsidR="000A1711" w:rsidRPr="000A1711">
          <w:rPr>
            <w:noProof/>
            <w:webHidden/>
            <w:sz w:val="24"/>
            <w:szCs w:val="24"/>
          </w:rPr>
          <w:fldChar w:fldCharType="separate"/>
        </w:r>
        <w:r w:rsidR="000A1711" w:rsidRPr="000A1711">
          <w:rPr>
            <w:noProof/>
            <w:webHidden/>
            <w:sz w:val="24"/>
            <w:szCs w:val="24"/>
          </w:rPr>
          <w:t>7</w:t>
        </w:r>
        <w:r w:rsidR="000A1711" w:rsidRPr="000A1711">
          <w:rPr>
            <w:noProof/>
            <w:webHidden/>
            <w:sz w:val="24"/>
            <w:szCs w:val="24"/>
          </w:rPr>
          <w:fldChar w:fldCharType="end"/>
        </w:r>
      </w:hyperlink>
    </w:p>
    <w:p w:rsidR="000A1711" w:rsidRPr="000A1711" w:rsidRDefault="00A674E6">
      <w:pPr>
        <w:pStyle w:val="TOC3"/>
        <w:rPr>
          <w:rFonts w:eastAsiaTheme="minorEastAsia"/>
          <w:sz w:val="24"/>
          <w:szCs w:val="24"/>
        </w:rPr>
      </w:pPr>
      <w:hyperlink w:anchor="_Toc12885926" w:history="1">
        <w:r w:rsidR="000A1711" w:rsidRPr="000A1711">
          <w:rPr>
            <w:rStyle w:val="Hyperlink"/>
            <w:bCs/>
            <w:sz w:val="24"/>
            <w:szCs w:val="24"/>
          </w:rPr>
          <w:t>2.A2.0   Accepting gifts and gratuities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_Toc12885926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7</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27" w:history="1">
        <w:r w:rsidR="000A1711" w:rsidRPr="000A1711">
          <w:rPr>
            <w:rStyle w:val="Hyperlink"/>
            <w:bCs/>
            <w:sz w:val="24"/>
            <w:szCs w:val="24"/>
          </w:rPr>
          <w:t>2.A2.1   Consider the consequence</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_Toc12885927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7</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28" w:history="1">
        <w:r w:rsidR="000A1711" w:rsidRPr="000A1711">
          <w:rPr>
            <w:rStyle w:val="Hyperlink"/>
            <w:bCs/>
            <w:sz w:val="24"/>
            <w:szCs w:val="24"/>
          </w:rPr>
          <w:t xml:space="preserve">2.A2.2   Avoid making a gift of public funds </w:t>
        </w:r>
        <w:r w:rsidR="000A1711" w:rsidRPr="000A1711">
          <w:rPr>
            <w:rStyle w:val="Hyperlink"/>
            <w:sz w:val="24"/>
            <w:szCs w:val="24"/>
          </w:rPr>
          <w:t>(rev 3/11)</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_Toc12885928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7</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29" w:history="1">
        <w:r w:rsidR="000A1711" w:rsidRPr="000A1711">
          <w:rPr>
            <w:rStyle w:val="Hyperlink"/>
            <w:bCs/>
            <w:sz w:val="24"/>
            <w:szCs w:val="24"/>
          </w:rPr>
          <w:t>2.A2.3   Accepting free or loaner equipment from suppliers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_Toc12885929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7</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30" w:history="1">
        <w:r w:rsidR="000A1711" w:rsidRPr="000A1711">
          <w:rPr>
            <w:rStyle w:val="Hyperlink"/>
            <w:bCs/>
            <w:sz w:val="24"/>
            <w:szCs w:val="24"/>
          </w:rPr>
          <w:t>2.A2.4   Consider before accepting</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_Toc12885930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8</w:t>
        </w:r>
        <w:r w:rsidR="000A1711" w:rsidRPr="000A1711">
          <w:rPr>
            <w:webHidden/>
            <w:sz w:val="24"/>
            <w:szCs w:val="24"/>
          </w:rPr>
          <w:fldChar w:fldCharType="end"/>
        </w:r>
      </w:hyperlink>
    </w:p>
    <w:p w:rsidR="000A1711" w:rsidRPr="000A1711" w:rsidRDefault="00A674E6">
      <w:pPr>
        <w:pStyle w:val="TOC1"/>
        <w:rPr>
          <w:rFonts w:eastAsiaTheme="minorEastAsia"/>
          <w:noProof/>
          <w:sz w:val="24"/>
          <w:szCs w:val="24"/>
        </w:rPr>
      </w:pPr>
      <w:hyperlink w:anchor="_Toc12885931" w:history="1">
        <w:r w:rsidR="000A1711" w:rsidRPr="000A1711">
          <w:rPr>
            <w:rStyle w:val="Hyperlink"/>
            <w:noProof/>
            <w:sz w:val="24"/>
            <w:szCs w:val="24"/>
          </w:rPr>
          <w:t>Section B</w:t>
        </w:r>
        <w:r w:rsidR="000A1711" w:rsidRPr="000A1711">
          <w:rPr>
            <w:noProof/>
            <w:webHidden/>
            <w:sz w:val="24"/>
            <w:szCs w:val="24"/>
          </w:rPr>
          <w:tab/>
        </w:r>
        <w:r w:rsidR="000A1711" w:rsidRPr="000A1711">
          <w:rPr>
            <w:noProof/>
            <w:webHidden/>
            <w:sz w:val="24"/>
            <w:szCs w:val="24"/>
          </w:rPr>
          <w:fldChar w:fldCharType="begin"/>
        </w:r>
        <w:r w:rsidR="000A1711" w:rsidRPr="000A1711">
          <w:rPr>
            <w:noProof/>
            <w:webHidden/>
            <w:sz w:val="24"/>
            <w:szCs w:val="24"/>
          </w:rPr>
          <w:instrText xml:space="preserve"> PAGEREF _Toc12885931 \h </w:instrText>
        </w:r>
        <w:r w:rsidR="000A1711" w:rsidRPr="000A1711">
          <w:rPr>
            <w:noProof/>
            <w:webHidden/>
            <w:sz w:val="24"/>
            <w:szCs w:val="24"/>
          </w:rPr>
        </w:r>
        <w:r w:rsidR="000A1711" w:rsidRPr="000A1711">
          <w:rPr>
            <w:noProof/>
            <w:webHidden/>
            <w:sz w:val="24"/>
            <w:szCs w:val="24"/>
          </w:rPr>
          <w:fldChar w:fldCharType="separate"/>
        </w:r>
        <w:r w:rsidR="000A1711" w:rsidRPr="000A1711">
          <w:rPr>
            <w:noProof/>
            <w:webHidden/>
            <w:sz w:val="24"/>
            <w:szCs w:val="24"/>
          </w:rPr>
          <w:t>9</w:t>
        </w:r>
        <w:r w:rsidR="000A1711" w:rsidRPr="000A1711">
          <w:rPr>
            <w:noProof/>
            <w:webHidden/>
            <w:sz w:val="24"/>
            <w:szCs w:val="24"/>
          </w:rPr>
          <w:fldChar w:fldCharType="end"/>
        </w:r>
      </w:hyperlink>
    </w:p>
    <w:p w:rsidR="000A1711" w:rsidRPr="000A1711" w:rsidRDefault="00A674E6">
      <w:pPr>
        <w:pStyle w:val="TOC1"/>
        <w:rPr>
          <w:rFonts w:eastAsiaTheme="minorEastAsia"/>
          <w:noProof/>
          <w:sz w:val="24"/>
          <w:szCs w:val="24"/>
        </w:rPr>
      </w:pPr>
      <w:hyperlink w:anchor="_Toc12885932" w:history="1">
        <w:r w:rsidR="000A1711" w:rsidRPr="000A1711">
          <w:rPr>
            <w:rStyle w:val="Hyperlink"/>
            <w:noProof/>
            <w:sz w:val="24"/>
            <w:szCs w:val="24"/>
          </w:rPr>
          <w:t>Formulating the Acquisition Approach</w:t>
        </w:r>
        <w:r w:rsidR="000A1711" w:rsidRPr="000A1711">
          <w:rPr>
            <w:noProof/>
            <w:webHidden/>
            <w:sz w:val="24"/>
            <w:szCs w:val="24"/>
          </w:rPr>
          <w:tab/>
        </w:r>
        <w:r w:rsidR="000A1711" w:rsidRPr="000A1711">
          <w:rPr>
            <w:noProof/>
            <w:webHidden/>
            <w:sz w:val="24"/>
            <w:szCs w:val="24"/>
          </w:rPr>
          <w:fldChar w:fldCharType="begin"/>
        </w:r>
        <w:r w:rsidR="000A1711" w:rsidRPr="000A1711">
          <w:rPr>
            <w:noProof/>
            <w:webHidden/>
            <w:sz w:val="24"/>
            <w:szCs w:val="24"/>
          </w:rPr>
          <w:instrText xml:space="preserve"> PAGEREF _Toc12885932 \h </w:instrText>
        </w:r>
        <w:r w:rsidR="000A1711" w:rsidRPr="000A1711">
          <w:rPr>
            <w:noProof/>
            <w:webHidden/>
            <w:sz w:val="24"/>
            <w:szCs w:val="24"/>
          </w:rPr>
        </w:r>
        <w:r w:rsidR="000A1711" w:rsidRPr="000A1711">
          <w:rPr>
            <w:noProof/>
            <w:webHidden/>
            <w:sz w:val="24"/>
            <w:szCs w:val="24"/>
          </w:rPr>
          <w:fldChar w:fldCharType="separate"/>
        </w:r>
        <w:r w:rsidR="000A1711" w:rsidRPr="000A1711">
          <w:rPr>
            <w:noProof/>
            <w:webHidden/>
            <w:sz w:val="24"/>
            <w:szCs w:val="24"/>
          </w:rPr>
          <w:t>9</w:t>
        </w:r>
        <w:r w:rsidR="000A1711" w:rsidRPr="000A1711">
          <w:rPr>
            <w:noProof/>
            <w:webHidden/>
            <w:sz w:val="24"/>
            <w:szCs w:val="24"/>
          </w:rPr>
          <w:fldChar w:fldCharType="end"/>
        </w:r>
      </w:hyperlink>
    </w:p>
    <w:p w:rsidR="000A1711" w:rsidRPr="000A1711" w:rsidRDefault="00A674E6">
      <w:pPr>
        <w:pStyle w:val="TOC3"/>
        <w:rPr>
          <w:rFonts w:eastAsiaTheme="minorEastAsia"/>
          <w:sz w:val="24"/>
          <w:szCs w:val="24"/>
        </w:rPr>
      </w:pPr>
      <w:hyperlink w:anchor="_Toc12885933" w:history="1">
        <w:r w:rsidR="000A1711" w:rsidRPr="000A1711">
          <w:rPr>
            <w:rStyle w:val="Hyperlink"/>
            <w:bCs/>
            <w:sz w:val="24"/>
            <w:szCs w:val="24"/>
          </w:rPr>
          <w:t>Overview</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_Toc12885933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9</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34" w:history="1">
        <w:r w:rsidR="000A1711" w:rsidRPr="000A1711">
          <w:rPr>
            <w:rStyle w:val="Hyperlink"/>
            <w:bCs/>
            <w:sz w:val="24"/>
            <w:szCs w:val="24"/>
          </w:rPr>
          <w:t>Introduction</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_Toc12885934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9</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35" w:history="1">
        <w:r w:rsidR="000A1711" w:rsidRPr="000A1711">
          <w:rPr>
            <w:rStyle w:val="Hyperlink"/>
            <w:bCs/>
            <w:sz w:val="24"/>
            <w:szCs w:val="24"/>
          </w:rPr>
          <w:t>Contents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_Toc12885935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9</w:t>
        </w:r>
        <w:r w:rsidR="000A1711" w:rsidRPr="000A1711">
          <w:rPr>
            <w:webHidden/>
            <w:sz w:val="24"/>
            <w:szCs w:val="24"/>
          </w:rPr>
          <w:fldChar w:fldCharType="end"/>
        </w:r>
      </w:hyperlink>
    </w:p>
    <w:p w:rsidR="000A1711" w:rsidRPr="000A1711" w:rsidRDefault="00A674E6">
      <w:pPr>
        <w:pStyle w:val="TOC2"/>
        <w:rPr>
          <w:rFonts w:eastAsiaTheme="minorEastAsia"/>
          <w:noProof/>
          <w:sz w:val="24"/>
          <w:szCs w:val="24"/>
        </w:rPr>
      </w:pPr>
      <w:hyperlink w:anchor="_Toc12885936" w:history="1">
        <w:r w:rsidR="000A1711" w:rsidRPr="000A1711">
          <w:rPr>
            <w:rStyle w:val="Hyperlink"/>
            <w:bCs/>
            <w:noProof/>
            <w:sz w:val="24"/>
            <w:szCs w:val="24"/>
          </w:rPr>
          <w:t>Topic 1 – Classifying the Purchase</w:t>
        </w:r>
        <w:r w:rsidR="000A1711" w:rsidRPr="000A1711">
          <w:rPr>
            <w:noProof/>
            <w:webHidden/>
            <w:sz w:val="24"/>
            <w:szCs w:val="24"/>
          </w:rPr>
          <w:tab/>
        </w:r>
        <w:r w:rsidR="000A1711" w:rsidRPr="000A1711">
          <w:rPr>
            <w:noProof/>
            <w:webHidden/>
            <w:sz w:val="24"/>
            <w:szCs w:val="24"/>
          </w:rPr>
          <w:fldChar w:fldCharType="begin"/>
        </w:r>
        <w:r w:rsidR="000A1711" w:rsidRPr="000A1711">
          <w:rPr>
            <w:noProof/>
            <w:webHidden/>
            <w:sz w:val="24"/>
            <w:szCs w:val="24"/>
          </w:rPr>
          <w:instrText xml:space="preserve"> PAGEREF _Toc12885936 \h </w:instrText>
        </w:r>
        <w:r w:rsidR="000A1711" w:rsidRPr="000A1711">
          <w:rPr>
            <w:noProof/>
            <w:webHidden/>
            <w:sz w:val="24"/>
            <w:szCs w:val="24"/>
          </w:rPr>
        </w:r>
        <w:r w:rsidR="000A1711" w:rsidRPr="000A1711">
          <w:rPr>
            <w:noProof/>
            <w:webHidden/>
            <w:sz w:val="24"/>
            <w:szCs w:val="24"/>
          </w:rPr>
          <w:fldChar w:fldCharType="separate"/>
        </w:r>
        <w:r w:rsidR="000A1711" w:rsidRPr="000A1711">
          <w:rPr>
            <w:noProof/>
            <w:webHidden/>
            <w:sz w:val="24"/>
            <w:szCs w:val="24"/>
          </w:rPr>
          <w:t>10</w:t>
        </w:r>
        <w:r w:rsidR="000A1711" w:rsidRPr="000A1711">
          <w:rPr>
            <w:noProof/>
            <w:webHidden/>
            <w:sz w:val="24"/>
            <w:szCs w:val="24"/>
          </w:rPr>
          <w:fldChar w:fldCharType="end"/>
        </w:r>
      </w:hyperlink>
    </w:p>
    <w:p w:rsidR="000A1711" w:rsidRPr="000A1711" w:rsidRDefault="00A674E6">
      <w:pPr>
        <w:pStyle w:val="TOC3"/>
        <w:rPr>
          <w:rFonts w:eastAsiaTheme="minorEastAsia"/>
          <w:sz w:val="24"/>
          <w:szCs w:val="24"/>
        </w:rPr>
      </w:pPr>
      <w:hyperlink w:anchor="_Toc12885937" w:history="1">
        <w:r w:rsidR="000A1711" w:rsidRPr="000A1711">
          <w:rPr>
            <w:rStyle w:val="Hyperlink"/>
            <w:bCs/>
            <w:sz w:val="24"/>
            <w:szCs w:val="24"/>
          </w:rPr>
          <w:t>2.B1.0   Importance of properly classifying purchases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_Toc12885937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10</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38" w:history="1">
        <w:r w:rsidR="000A1711" w:rsidRPr="000A1711">
          <w:rPr>
            <w:rStyle w:val="Hyperlink"/>
            <w:bCs/>
            <w:sz w:val="24"/>
            <w:szCs w:val="24"/>
          </w:rPr>
          <w:t>2.B1.1   Examples of IT purchases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_Toc12885938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10</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39" w:history="1">
        <w:r w:rsidR="000A1711" w:rsidRPr="000A1711">
          <w:rPr>
            <w:rStyle w:val="Hyperlink"/>
            <w:bCs/>
            <w:sz w:val="24"/>
            <w:szCs w:val="24"/>
          </w:rPr>
          <w:t>2.B1.2   Determine the main purpose</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_Toc12885939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10</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40" w:history="1">
        <w:r w:rsidR="000A1711" w:rsidRPr="000A1711">
          <w:rPr>
            <w:rStyle w:val="Hyperlink"/>
            <w:bCs/>
            <w:sz w:val="24"/>
            <w:szCs w:val="24"/>
          </w:rPr>
          <w:t>2.B1.3   Example</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_Toc12885940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10</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41" w:history="1">
        <w:r w:rsidR="000A1711" w:rsidRPr="000A1711">
          <w:rPr>
            <w:rStyle w:val="Hyperlink"/>
            <w:bCs/>
            <w:sz w:val="24"/>
            <w:szCs w:val="24"/>
          </w:rPr>
          <w:t>2.B1.4   Non-IT vs. IT</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_Toc12885941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11</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42" w:history="1">
        <w:r w:rsidR="000A1711" w:rsidRPr="000A1711">
          <w:rPr>
            <w:rStyle w:val="Hyperlink"/>
            <w:bCs/>
            <w:sz w:val="24"/>
            <w:szCs w:val="24"/>
          </w:rPr>
          <w:t>2.B1.5   Distinguishing IT goods from IT services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_Toc12885942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11</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43" w:history="1">
        <w:r w:rsidR="000A1711" w:rsidRPr="000A1711">
          <w:rPr>
            <w:rStyle w:val="Hyperlink"/>
            <w:bCs/>
            <w:sz w:val="24"/>
            <w:szCs w:val="24"/>
          </w:rPr>
          <w:t>2.B1.6   Example of IT goods vs. IT services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_Toc12885943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11</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44" w:history="1">
        <w:r w:rsidR="000A1711" w:rsidRPr="000A1711">
          <w:rPr>
            <w:rStyle w:val="Hyperlink"/>
            <w:bCs/>
            <w:sz w:val="24"/>
            <w:szCs w:val="24"/>
          </w:rPr>
          <w:t>2.B1.7   Help for classifying purchases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_Toc12885944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11</w:t>
        </w:r>
        <w:r w:rsidR="000A1711" w:rsidRPr="000A1711">
          <w:rPr>
            <w:webHidden/>
            <w:sz w:val="24"/>
            <w:szCs w:val="24"/>
          </w:rPr>
          <w:fldChar w:fldCharType="end"/>
        </w:r>
      </w:hyperlink>
    </w:p>
    <w:p w:rsidR="000A1711" w:rsidRPr="000A1711" w:rsidRDefault="00A674E6">
      <w:pPr>
        <w:pStyle w:val="TOC2"/>
        <w:rPr>
          <w:rFonts w:eastAsiaTheme="minorEastAsia"/>
          <w:noProof/>
          <w:sz w:val="24"/>
          <w:szCs w:val="24"/>
        </w:rPr>
      </w:pPr>
      <w:hyperlink w:anchor="_Toc12885945" w:history="1">
        <w:r w:rsidR="000A1711" w:rsidRPr="000A1711">
          <w:rPr>
            <w:rStyle w:val="Hyperlink"/>
            <w:bCs/>
            <w:noProof/>
            <w:sz w:val="24"/>
            <w:szCs w:val="24"/>
          </w:rPr>
          <w:t>Topic 2 – Understanding Information Technology Goods and Services</w:t>
        </w:r>
        <w:r w:rsidR="000A1711" w:rsidRPr="000A1711">
          <w:rPr>
            <w:noProof/>
            <w:webHidden/>
            <w:sz w:val="24"/>
            <w:szCs w:val="24"/>
          </w:rPr>
          <w:tab/>
        </w:r>
        <w:r w:rsidR="000A1711" w:rsidRPr="000A1711">
          <w:rPr>
            <w:noProof/>
            <w:webHidden/>
            <w:sz w:val="24"/>
            <w:szCs w:val="24"/>
          </w:rPr>
          <w:fldChar w:fldCharType="begin"/>
        </w:r>
        <w:r w:rsidR="000A1711" w:rsidRPr="000A1711">
          <w:rPr>
            <w:noProof/>
            <w:webHidden/>
            <w:sz w:val="24"/>
            <w:szCs w:val="24"/>
          </w:rPr>
          <w:instrText xml:space="preserve"> PAGEREF _Toc12885945 \h </w:instrText>
        </w:r>
        <w:r w:rsidR="000A1711" w:rsidRPr="000A1711">
          <w:rPr>
            <w:noProof/>
            <w:webHidden/>
            <w:sz w:val="24"/>
            <w:szCs w:val="24"/>
          </w:rPr>
        </w:r>
        <w:r w:rsidR="000A1711" w:rsidRPr="000A1711">
          <w:rPr>
            <w:noProof/>
            <w:webHidden/>
            <w:sz w:val="24"/>
            <w:szCs w:val="24"/>
          </w:rPr>
          <w:fldChar w:fldCharType="separate"/>
        </w:r>
        <w:r w:rsidR="000A1711" w:rsidRPr="000A1711">
          <w:rPr>
            <w:noProof/>
            <w:webHidden/>
            <w:sz w:val="24"/>
            <w:szCs w:val="24"/>
          </w:rPr>
          <w:t>12</w:t>
        </w:r>
        <w:r w:rsidR="000A1711" w:rsidRPr="000A1711">
          <w:rPr>
            <w:noProof/>
            <w:webHidden/>
            <w:sz w:val="24"/>
            <w:szCs w:val="24"/>
          </w:rPr>
          <w:fldChar w:fldCharType="end"/>
        </w:r>
      </w:hyperlink>
    </w:p>
    <w:p w:rsidR="000A1711" w:rsidRPr="000A1711" w:rsidRDefault="00A674E6">
      <w:pPr>
        <w:pStyle w:val="TOC3"/>
        <w:rPr>
          <w:rFonts w:eastAsiaTheme="minorEastAsia"/>
          <w:sz w:val="24"/>
          <w:szCs w:val="24"/>
        </w:rPr>
      </w:pPr>
      <w:hyperlink w:anchor="_Toc12885946" w:history="1">
        <w:r w:rsidR="000A1711" w:rsidRPr="000A1711">
          <w:rPr>
            <w:rStyle w:val="Hyperlink"/>
            <w:bCs/>
            <w:sz w:val="24"/>
            <w:szCs w:val="24"/>
          </w:rPr>
          <w:t>2.B2.0   Defining an IT procurement</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_Toc12885946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12</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47" w:history="1">
        <w:r w:rsidR="000A1711" w:rsidRPr="000A1711">
          <w:rPr>
            <w:rStyle w:val="Hyperlink"/>
            <w:bCs/>
            <w:sz w:val="24"/>
            <w:szCs w:val="24"/>
          </w:rPr>
          <w:t>2.B2.1   IT equipment examples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_Toc12885947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12</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48" w:history="1">
        <w:r w:rsidR="000A1711" w:rsidRPr="000A1711">
          <w:rPr>
            <w:rStyle w:val="Hyperlink"/>
            <w:bCs/>
            <w:sz w:val="24"/>
            <w:szCs w:val="24"/>
          </w:rPr>
          <w:t>2.B2.2   IT supplies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_Toc12885948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13</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49" w:history="1">
        <w:r w:rsidR="000A1711" w:rsidRPr="000A1711">
          <w:rPr>
            <w:rStyle w:val="Hyperlink"/>
            <w:bCs/>
            <w:sz w:val="24"/>
            <w:szCs w:val="24"/>
          </w:rPr>
          <w:t>2.B2.3   IT goods not considered supplies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_Toc12885949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14</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50" w:history="1">
        <w:r w:rsidR="000A1711" w:rsidRPr="000A1711">
          <w:rPr>
            <w:rStyle w:val="Hyperlink"/>
            <w:bCs/>
            <w:sz w:val="24"/>
            <w:szCs w:val="24"/>
          </w:rPr>
          <w:t>2.B2.4   IT services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_Toc12885950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14</w:t>
        </w:r>
        <w:r w:rsidR="000A1711" w:rsidRPr="000A1711">
          <w:rPr>
            <w:webHidden/>
            <w:sz w:val="24"/>
            <w:szCs w:val="24"/>
          </w:rPr>
          <w:fldChar w:fldCharType="end"/>
        </w:r>
      </w:hyperlink>
    </w:p>
    <w:p w:rsidR="000A1711" w:rsidRPr="000A1711" w:rsidRDefault="00A674E6">
      <w:pPr>
        <w:pStyle w:val="TOC2"/>
        <w:rPr>
          <w:rFonts w:eastAsiaTheme="minorEastAsia"/>
          <w:noProof/>
          <w:sz w:val="24"/>
          <w:szCs w:val="24"/>
        </w:rPr>
      </w:pPr>
      <w:hyperlink w:anchor="_Toc12885951" w:history="1">
        <w:r w:rsidR="000A1711" w:rsidRPr="000A1711">
          <w:rPr>
            <w:rStyle w:val="Hyperlink"/>
            <w:bCs/>
            <w:noProof/>
            <w:sz w:val="24"/>
            <w:szCs w:val="24"/>
          </w:rPr>
          <w:t>Topic 3 – Acquisition Planning</w:t>
        </w:r>
        <w:r w:rsidR="000A1711" w:rsidRPr="000A1711">
          <w:rPr>
            <w:noProof/>
            <w:webHidden/>
            <w:sz w:val="24"/>
            <w:szCs w:val="24"/>
          </w:rPr>
          <w:tab/>
        </w:r>
        <w:r w:rsidR="000A1711" w:rsidRPr="000A1711">
          <w:rPr>
            <w:noProof/>
            <w:webHidden/>
            <w:sz w:val="24"/>
            <w:szCs w:val="24"/>
          </w:rPr>
          <w:fldChar w:fldCharType="begin"/>
        </w:r>
        <w:r w:rsidR="000A1711" w:rsidRPr="000A1711">
          <w:rPr>
            <w:noProof/>
            <w:webHidden/>
            <w:sz w:val="24"/>
            <w:szCs w:val="24"/>
          </w:rPr>
          <w:instrText xml:space="preserve"> PAGEREF _Toc12885951 \h </w:instrText>
        </w:r>
        <w:r w:rsidR="000A1711" w:rsidRPr="000A1711">
          <w:rPr>
            <w:noProof/>
            <w:webHidden/>
            <w:sz w:val="24"/>
            <w:szCs w:val="24"/>
          </w:rPr>
        </w:r>
        <w:r w:rsidR="000A1711" w:rsidRPr="000A1711">
          <w:rPr>
            <w:noProof/>
            <w:webHidden/>
            <w:sz w:val="24"/>
            <w:szCs w:val="24"/>
          </w:rPr>
          <w:fldChar w:fldCharType="separate"/>
        </w:r>
        <w:r w:rsidR="000A1711" w:rsidRPr="000A1711">
          <w:rPr>
            <w:noProof/>
            <w:webHidden/>
            <w:sz w:val="24"/>
            <w:szCs w:val="24"/>
          </w:rPr>
          <w:t>15</w:t>
        </w:r>
        <w:r w:rsidR="000A1711" w:rsidRPr="000A1711">
          <w:rPr>
            <w:noProof/>
            <w:webHidden/>
            <w:sz w:val="24"/>
            <w:szCs w:val="24"/>
          </w:rPr>
          <w:fldChar w:fldCharType="end"/>
        </w:r>
      </w:hyperlink>
    </w:p>
    <w:p w:rsidR="000A1711" w:rsidRPr="000A1711" w:rsidRDefault="00A674E6">
      <w:pPr>
        <w:pStyle w:val="TOC3"/>
        <w:rPr>
          <w:rFonts w:eastAsiaTheme="minorEastAsia"/>
          <w:sz w:val="24"/>
          <w:szCs w:val="24"/>
        </w:rPr>
      </w:pPr>
      <w:hyperlink w:anchor="_Toc12885952" w:history="1">
        <w:r w:rsidR="000A1711" w:rsidRPr="000A1711">
          <w:rPr>
            <w:rStyle w:val="Hyperlink"/>
            <w:bCs/>
            <w:sz w:val="24"/>
            <w:szCs w:val="24"/>
          </w:rPr>
          <w:t>2.B3.0   Start planning early</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_Toc12885952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15</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53" w:history="1">
        <w:r w:rsidR="000A1711" w:rsidRPr="000A1711">
          <w:rPr>
            <w:rStyle w:val="Hyperlink"/>
            <w:bCs/>
            <w:sz w:val="24"/>
            <w:szCs w:val="24"/>
          </w:rPr>
          <w:t>2.B3.1   Initial review</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_Toc12885953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15</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54" w:history="1">
        <w:r w:rsidR="000A1711" w:rsidRPr="000A1711">
          <w:rPr>
            <w:rStyle w:val="Hyperlink"/>
            <w:bCs/>
            <w:sz w:val="24"/>
            <w:szCs w:val="24"/>
          </w:rPr>
          <w:t>2.B3.2   Legal participation (rev 12/12)</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_Toc12885954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16</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55" w:history="1">
        <w:r w:rsidR="000A1711" w:rsidRPr="000A1711">
          <w:rPr>
            <w:rStyle w:val="Hyperlink"/>
            <w:bCs/>
            <w:sz w:val="24"/>
            <w:szCs w:val="24"/>
          </w:rPr>
          <w:t>2.B3.3   Acquisition approach to meet needs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_Toc12885955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16</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56" w:history="1">
        <w:r w:rsidR="000A1711" w:rsidRPr="000A1711">
          <w:rPr>
            <w:rStyle w:val="Hyperlink"/>
            <w:bCs/>
            <w:sz w:val="24"/>
            <w:szCs w:val="24"/>
          </w:rPr>
          <w:t xml:space="preserve">2.B3.4   Hybrid RFP Procurement Process and Development </w:t>
        </w:r>
        <w:r w:rsidR="000A1711" w:rsidRPr="000A1711">
          <w:rPr>
            <w:rStyle w:val="Hyperlink"/>
            <w:sz w:val="24"/>
            <w:szCs w:val="24"/>
          </w:rPr>
          <w:t>(added 9/11)</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_Toc12885956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17</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57" w:history="1">
        <w:r w:rsidR="000A1711" w:rsidRPr="000A1711">
          <w:rPr>
            <w:rStyle w:val="Hyperlink"/>
            <w:bCs/>
            <w:sz w:val="24"/>
            <w:szCs w:val="24"/>
          </w:rPr>
          <w:t>2.B3.5   Specifications development</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_Toc12885957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17</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58" w:history="1">
        <w:r w:rsidR="000A1711" w:rsidRPr="000A1711">
          <w:rPr>
            <w:rStyle w:val="Hyperlink"/>
            <w:bCs/>
            <w:sz w:val="24"/>
            <w:szCs w:val="24"/>
          </w:rPr>
          <w:t>2.B3.6   Specifications development assistance</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_Toc12885958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17</w:t>
        </w:r>
        <w:r w:rsidR="000A1711" w:rsidRPr="000A1711">
          <w:rPr>
            <w:webHidden/>
            <w:sz w:val="24"/>
            <w:szCs w:val="24"/>
          </w:rPr>
          <w:fldChar w:fldCharType="end"/>
        </w:r>
      </w:hyperlink>
    </w:p>
    <w:p w:rsidR="000A1711" w:rsidRPr="000A1711" w:rsidRDefault="00A674E6">
      <w:pPr>
        <w:pStyle w:val="TOC2"/>
        <w:rPr>
          <w:rFonts w:eastAsiaTheme="minorEastAsia"/>
          <w:noProof/>
          <w:sz w:val="24"/>
          <w:szCs w:val="24"/>
        </w:rPr>
      </w:pPr>
      <w:hyperlink w:anchor="_Toc12885959" w:history="1">
        <w:r w:rsidR="000A1711" w:rsidRPr="000A1711">
          <w:rPr>
            <w:rStyle w:val="Hyperlink"/>
            <w:bCs/>
            <w:noProof/>
            <w:sz w:val="24"/>
            <w:szCs w:val="24"/>
          </w:rPr>
          <w:t>Topic 4 – Other Considerations Affecting the Planning Process</w:t>
        </w:r>
        <w:r w:rsidR="000A1711" w:rsidRPr="000A1711">
          <w:rPr>
            <w:noProof/>
            <w:webHidden/>
            <w:sz w:val="24"/>
            <w:szCs w:val="24"/>
          </w:rPr>
          <w:tab/>
        </w:r>
        <w:r w:rsidR="000A1711" w:rsidRPr="000A1711">
          <w:rPr>
            <w:noProof/>
            <w:webHidden/>
            <w:sz w:val="24"/>
            <w:szCs w:val="24"/>
          </w:rPr>
          <w:fldChar w:fldCharType="begin"/>
        </w:r>
        <w:r w:rsidR="000A1711" w:rsidRPr="000A1711">
          <w:rPr>
            <w:noProof/>
            <w:webHidden/>
            <w:sz w:val="24"/>
            <w:szCs w:val="24"/>
          </w:rPr>
          <w:instrText xml:space="preserve"> PAGEREF _Toc12885959 \h </w:instrText>
        </w:r>
        <w:r w:rsidR="000A1711" w:rsidRPr="000A1711">
          <w:rPr>
            <w:noProof/>
            <w:webHidden/>
            <w:sz w:val="24"/>
            <w:szCs w:val="24"/>
          </w:rPr>
        </w:r>
        <w:r w:rsidR="000A1711" w:rsidRPr="000A1711">
          <w:rPr>
            <w:noProof/>
            <w:webHidden/>
            <w:sz w:val="24"/>
            <w:szCs w:val="24"/>
          </w:rPr>
          <w:fldChar w:fldCharType="separate"/>
        </w:r>
        <w:r w:rsidR="000A1711" w:rsidRPr="000A1711">
          <w:rPr>
            <w:noProof/>
            <w:webHidden/>
            <w:sz w:val="24"/>
            <w:szCs w:val="24"/>
          </w:rPr>
          <w:t>18</w:t>
        </w:r>
        <w:r w:rsidR="000A1711" w:rsidRPr="000A1711">
          <w:rPr>
            <w:noProof/>
            <w:webHidden/>
            <w:sz w:val="24"/>
            <w:szCs w:val="24"/>
          </w:rPr>
          <w:fldChar w:fldCharType="end"/>
        </w:r>
      </w:hyperlink>
    </w:p>
    <w:p w:rsidR="000A1711" w:rsidRPr="000A1711" w:rsidRDefault="00A674E6">
      <w:pPr>
        <w:pStyle w:val="TOC3"/>
        <w:rPr>
          <w:rFonts w:eastAsiaTheme="minorEastAsia"/>
          <w:sz w:val="24"/>
          <w:szCs w:val="24"/>
        </w:rPr>
      </w:pPr>
      <w:hyperlink w:anchor="_Toc12885960" w:history="1">
        <w:r w:rsidR="000A1711" w:rsidRPr="000A1711">
          <w:rPr>
            <w:rStyle w:val="Hyperlink"/>
            <w:bCs/>
            <w:sz w:val="24"/>
            <w:szCs w:val="24"/>
          </w:rPr>
          <w:t>2.B4.0   Promotional materials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_Toc12885960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18</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61" w:history="1">
        <w:r w:rsidR="000A1711" w:rsidRPr="000A1711">
          <w:rPr>
            <w:rStyle w:val="Hyperlink"/>
            <w:bCs/>
            <w:sz w:val="24"/>
            <w:szCs w:val="24"/>
          </w:rPr>
          <w:t>2.B4.1   Requests for reasonable accomodation purchases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_Toc12885961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18</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62" w:history="1">
        <w:r w:rsidR="000A1711" w:rsidRPr="000A1711">
          <w:rPr>
            <w:rStyle w:val="Hyperlink"/>
            <w:bCs/>
            <w:sz w:val="24"/>
            <w:szCs w:val="24"/>
          </w:rPr>
          <w:t>2.B4.2   Installation of physical layer cable</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_Toc12885962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18</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63" w:history="1">
        <w:r w:rsidR="000A1711" w:rsidRPr="000A1711">
          <w:rPr>
            <w:rStyle w:val="Hyperlink"/>
            <w:bCs/>
            <w:sz w:val="24"/>
            <w:szCs w:val="24"/>
          </w:rPr>
          <w:t>2.B4.3   Contracted services (rev 7/12)</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_Toc12885963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18</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64" w:history="1">
        <w:r w:rsidR="000A1711" w:rsidRPr="000A1711">
          <w:rPr>
            <w:rStyle w:val="Hyperlink"/>
            <w:bCs/>
            <w:sz w:val="24"/>
            <w:szCs w:val="24"/>
          </w:rPr>
          <w:t>2.B4.4   Leasing equipment</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_Toc12885964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19</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65" w:history="1">
        <w:r w:rsidR="000A1711" w:rsidRPr="000A1711">
          <w:rPr>
            <w:rStyle w:val="Hyperlink"/>
            <w:bCs/>
            <w:sz w:val="24"/>
            <w:szCs w:val="24"/>
          </w:rPr>
          <w:t>2.B4.5   Cost analysis – lease vs. purchase</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_Toc12885965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20</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66" w:history="1">
        <w:r w:rsidR="000A1711" w:rsidRPr="000A1711">
          <w:rPr>
            <w:rStyle w:val="Hyperlink"/>
            <w:bCs/>
            <w:sz w:val="24"/>
            <w:szCs w:val="24"/>
          </w:rPr>
          <w:t>2.B4.6   Purchase option credits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_Toc12885966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21</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67" w:history="1">
        <w:r w:rsidR="000A1711" w:rsidRPr="000A1711">
          <w:rPr>
            <w:rStyle w:val="Hyperlink"/>
            <w:bCs/>
            <w:sz w:val="24"/>
            <w:szCs w:val="24"/>
          </w:rPr>
          <w:t>2.B4.7   Lease purchase financing</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_Toc12885967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21</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68" w:history="1">
        <w:r w:rsidR="000A1711" w:rsidRPr="000A1711">
          <w:rPr>
            <w:rStyle w:val="Hyperlink"/>
            <w:bCs/>
            <w:sz w:val="24"/>
            <w:szCs w:val="24"/>
          </w:rPr>
          <w:t>2.B4.8   Extensions or renewals of IT activity contract</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_Toc12885968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21</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69" w:history="1">
        <w:r w:rsidR="000A1711" w:rsidRPr="000A1711">
          <w:rPr>
            <w:rStyle w:val="Hyperlink"/>
            <w:bCs/>
            <w:sz w:val="24"/>
            <w:szCs w:val="24"/>
          </w:rPr>
          <w:t>2.B4.9   Shipping charges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_Toc12885969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22</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70" w:history="1">
        <w:r w:rsidR="000A1711" w:rsidRPr="000A1711">
          <w:rPr>
            <w:rStyle w:val="Hyperlink"/>
            <w:bCs/>
            <w:sz w:val="24"/>
            <w:szCs w:val="24"/>
          </w:rPr>
          <w:t>2.B4.10  State contracts for IT goods and/or services, loss leader (rev 7/12)</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_Toc12885970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22</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71" w:history="1">
        <w:r w:rsidR="000A1711" w:rsidRPr="000A1711">
          <w:rPr>
            <w:rStyle w:val="Hyperlink"/>
            <w:bCs/>
            <w:sz w:val="24"/>
            <w:szCs w:val="24"/>
          </w:rPr>
          <w:t>2.B4.11  Excluded acquisitions, loss leader (rev 7/12) (rev 4/18)</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_Toc12885971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23</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72" w:history="1">
        <w:r w:rsidR="000A1711" w:rsidRPr="000A1711">
          <w:rPr>
            <w:rStyle w:val="Hyperlink"/>
            <w:bCs/>
            <w:sz w:val="24"/>
            <w:szCs w:val="24"/>
          </w:rPr>
          <w:t>2.B4.12  Non-discrimination</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_Toc12885972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23</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73" w:history="1">
        <w:r w:rsidR="000A1711" w:rsidRPr="000A1711">
          <w:rPr>
            <w:rStyle w:val="Hyperlink"/>
            <w:bCs/>
            <w:sz w:val="24"/>
            <w:szCs w:val="24"/>
          </w:rPr>
          <w:t>2.B4.13  Exception</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_Toc12885973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23</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74" w:history="1">
        <w:r w:rsidR="000A1711" w:rsidRPr="000A1711">
          <w:rPr>
            <w:rStyle w:val="Hyperlink"/>
            <w:bCs/>
            <w:sz w:val="24"/>
            <w:szCs w:val="24"/>
          </w:rPr>
          <w:t>(deleted 11/13)</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_Toc12885974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23</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75" w:history="1">
        <w:r w:rsidR="000A1711" w:rsidRPr="000A1711">
          <w:rPr>
            <w:rStyle w:val="Hyperlink"/>
            <w:bCs/>
            <w:sz w:val="24"/>
            <w:szCs w:val="24"/>
          </w:rPr>
          <w:t>(deleted 12/16)</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_Toc12885975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23</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76" w:history="1">
        <w:r w:rsidR="000A1711" w:rsidRPr="000A1711">
          <w:rPr>
            <w:rStyle w:val="Hyperlink"/>
            <w:bCs/>
            <w:sz w:val="24"/>
            <w:szCs w:val="24"/>
          </w:rPr>
          <w:t>2.B4.15   Iran Contracting Act (added 9/11)</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_Toc12885976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23</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77" w:history="1">
        <w:r w:rsidR="000A1711" w:rsidRPr="000A1711">
          <w:rPr>
            <w:rStyle w:val="Hyperlink"/>
            <w:bCs/>
            <w:sz w:val="24"/>
            <w:szCs w:val="24"/>
          </w:rPr>
          <w:t>2.B4.16  Certification for PCC 2010 (added 1/17)</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_Toc12885977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24</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78" w:history="1">
        <w:r w:rsidR="000A1711" w:rsidRPr="000A1711">
          <w:rPr>
            <w:rStyle w:val="Hyperlink"/>
            <w:bCs/>
            <w:sz w:val="24"/>
            <w:szCs w:val="24"/>
          </w:rPr>
          <w:t>2.B4.17  Prohibition on tax delinquents bidding</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_Toc12885978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25</w:t>
        </w:r>
        <w:r w:rsidR="000A1711" w:rsidRPr="000A1711">
          <w:rPr>
            <w:webHidden/>
            <w:sz w:val="24"/>
            <w:szCs w:val="24"/>
          </w:rPr>
          <w:fldChar w:fldCharType="end"/>
        </w:r>
      </w:hyperlink>
    </w:p>
    <w:p w:rsidR="000A1711" w:rsidRPr="000A1711" w:rsidRDefault="00A674E6">
      <w:pPr>
        <w:pStyle w:val="TOC2"/>
        <w:rPr>
          <w:rFonts w:eastAsiaTheme="minorEastAsia"/>
          <w:noProof/>
          <w:sz w:val="24"/>
          <w:szCs w:val="24"/>
        </w:rPr>
      </w:pPr>
      <w:hyperlink w:anchor="_Toc12885979" w:history="1">
        <w:r w:rsidR="000A1711" w:rsidRPr="000A1711">
          <w:rPr>
            <w:rStyle w:val="Hyperlink"/>
            <w:bCs/>
            <w:noProof/>
            <w:sz w:val="24"/>
            <w:szCs w:val="24"/>
          </w:rPr>
          <w:t>Topic 5 – Statement of Work (SOW)</w:t>
        </w:r>
        <w:r w:rsidR="000A1711" w:rsidRPr="000A1711">
          <w:rPr>
            <w:noProof/>
            <w:webHidden/>
            <w:sz w:val="24"/>
            <w:szCs w:val="24"/>
          </w:rPr>
          <w:tab/>
        </w:r>
        <w:r w:rsidR="000A1711" w:rsidRPr="000A1711">
          <w:rPr>
            <w:noProof/>
            <w:webHidden/>
            <w:sz w:val="24"/>
            <w:szCs w:val="24"/>
          </w:rPr>
          <w:fldChar w:fldCharType="begin"/>
        </w:r>
        <w:r w:rsidR="000A1711" w:rsidRPr="000A1711">
          <w:rPr>
            <w:noProof/>
            <w:webHidden/>
            <w:sz w:val="24"/>
            <w:szCs w:val="24"/>
          </w:rPr>
          <w:instrText xml:space="preserve"> PAGEREF _Toc12885979 \h </w:instrText>
        </w:r>
        <w:r w:rsidR="000A1711" w:rsidRPr="000A1711">
          <w:rPr>
            <w:noProof/>
            <w:webHidden/>
            <w:sz w:val="24"/>
            <w:szCs w:val="24"/>
          </w:rPr>
        </w:r>
        <w:r w:rsidR="000A1711" w:rsidRPr="000A1711">
          <w:rPr>
            <w:noProof/>
            <w:webHidden/>
            <w:sz w:val="24"/>
            <w:szCs w:val="24"/>
          </w:rPr>
          <w:fldChar w:fldCharType="separate"/>
        </w:r>
        <w:r w:rsidR="000A1711" w:rsidRPr="000A1711">
          <w:rPr>
            <w:noProof/>
            <w:webHidden/>
            <w:sz w:val="24"/>
            <w:szCs w:val="24"/>
          </w:rPr>
          <w:t>26</w:t>
        </w:r>
        <w:r w:rsidR="000A1711" w:rsidRPr="000A1711">
          <w:rPr>
            <w:noProof/>
            <w:webHidden/>
            <w:sz w:val="24"/>
            <w:szCs w:val="24"/>
          </w:rPr>
          <w:fldChar w:fldCharType="end"/>
        </w:r>
      </w:hyperlink>
    </w:p>
    <w:p w:rsidR="000A1711" w:rsidRPr="000A1711" w:rsidRDefault="00A674E6">
      <w:pPr>
        <w:pStyle w:val="TOC3"/>
        <w:rPr>
          <w:rFonts w:eastAsiaTheme="minorEastAsia"/>
          <w:sz w:val="24"/>
          <w:szCs w:val="24"/>
        </w:rPr>
      </w:pPr>
      <w:hyperlink w:anchor="_Toc12885980" w:history="1">
        <w:r w:rsidR="000A1711" w:rsidRPr="000A1711">
          <w:rPr>
            <w:rStyle w:val="Hyperlink"/>
            <w:bCs/>
            <w:sz w:val="24"/>
            <w:szCs w:val="24"/>
          </w:rPr>
          <w:t>2.B5.0   Determining the need for an SOW</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_Toc12885980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26</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81" w:history="1">
        <w:r w:rsidR="000A1711" w:rsidRPr="000A1711">
          <w:rPr>
            <w:rStyle w:val="Hyperlink"/>
            <w:bCs/>
            <w:sz w:val="24"/>
            <w:szCs w:val="24"/>
          </w:rPr>
          <w:t>2.B5.1   What to include in an SOW</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_Toc12885981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26</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82" w:history="1">
        <w:r w:rsidR="000A1711" w:rsidRPr="000A1711">
          <w:rPr>
            <w:rStyle w:val="Hyperlink"/>
            <w:bCs/>
            <w:sz w:val="24"/>
            <w:szCs w:val="24"/>
          </w:rPr>
          <w:t>2.B5.2   Additional Considerations for Cloud Computing (added 9/14)</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_Toc12885982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26</w:t>
        </w:r>
        <w:r w:rsidR="000A1711" w:rsidRPr="000A1711">
          <w:rPr>
            <w:webHidden/>
            <w:sz w:val="24"/>
            <w:szCs w:val="24"/>
          </w:rPr>
          <w:fldChar w:fldCharType="end"/>
        </w:r>
      </w:hyperlink>
    </w:p>
    <w:p w:rsidR="000A1711" w:rsidRPr="000A1711" w:rsidRDefault="00A674E6">
      <w:pPr>
        <w:pStyle w:val="TOC2"/>
        <w:rPr>
          <w:rFonts w:eastAsiaTheme="minorEastAsia"/>
          <w:noProof/>
          <w:sz w:val="24"/>
          <w:szCs w:val="24"/>
        </w:rPr>
      </w:pPr>
      <w:hyperlink w:anchor="_Toc12885983" w:history="1">
        <w:r w:rsidR="000A1711" w:rsidRPr="000A1711">
          <w:rPr>
            <w:rStyle w:val="Hyperlink"/>
            <w:bCs/>
            <w:noProof/>
            <w:sz w:val="24"/>
            <w:szCs w:val="24"/>
          </w:rPr>
          <w:t>Topic 6 – Requirements Specific to IT Goods and/or Services</w:t>
        </w:r>
        <w:r w:rsidR="000A1711" w:rsidRPr="000A1711">
          <w:rPr>
            <w:noProof/>
            <w:webHidden/>
            <w:sz w:val="24"/>
            <w:szCs w:val="24"/>
          </w:rPr>
          <w:tab/>
        </w:r>
        <w:r w:rsidR="000A1711" w:rsidRPr="000A1711">
          <w:rPr>
            <w:noProof/>
            <w:webHidden/>
            <w:sz w:val="24"/>
            <w:szCs w:val="24"/>
          </w:rPr>
          <w:fldChar w:fldCharType="begin"/>
        </w:r>
        <w:r w:rsidR="000A1711" w:rsidRPr="000A1711">
          <w:rPr>
            <w:noProof/>
            <w:webHidden/>
            <w:sz w:val="24"/>
            <w:szCs w:val="24"/>
          </w:rPr>
          <w:instrText xml:space="preserve"> PAGEREF _Toc12885983 \h </w:instrText>
        </w:r>
        <w:r w:rsidR="000A1711" w:rsidRPr="000A1711">
          <w:rPr>
            <w:noProof/>
            <w:webHidden/>
            <w:sz w:val="24"/>
            <w:szCs w:val="24"/>
          </w:rPr>
        </w:r>
        <w:r w:rsidR="000A1711" w:rsidRPr="000A1711">
          <w:rPr>
            <w:noProof/>
            <w:webHidden/>
            <w:sz w:val="24"/>
            <w:szCs w:val="24"/>
          </w:rPr>
          <w:fldChar w:fldCharType="separate"/>
        </w:r>
        <w:r w:rsidR="000A1711" w:rsidRPr="000A1711">
          <w:rPr>
            <w:noProof/>
            <w:webHidden/>
            <w:sz w:val="24"/>
            <w:szCs w:val="24"/>
          </w:rPr>
          <w:t>27</w:t>
        </w:r>
        <w:r w:rsidR="000A1711" w:rsidRPr="000A1711">
          <w:rPr>
            <w:noProof/>
            <w:webHidden/>
            <w:sz w:val="24"/>
            <w:szCs w:val="24"/>
          </w:rPr>
          <w:fldChar w:fldCharType="end"/>
        </w:r>
      </w:hyperlink>
    </w:p>
    <w:p w:rsidR="000A1711" w:rsidRPr="000A1711" w:rsidRDefault="00A674E6">
      <w:pPr>
        <w:pStyle w:val="TOC3"/>
        <w:rPr>
          <w:rFonts w:eastAsiaTheme="minorEastAsia"/>
          <w:sz w:val="24"/>
          <w:szCs w:val="24"/>
        </w:rPr>
      </w:pPr>
      <w:hyperlink w:anchor="_Toc12885984" w:history="1">
        <w:r w:rsidR="000A1711" w:rsidRPr="000A1711">
          <w:rPr>
            <w:rStyle w:val="Hyperlink"/>
            <w:bCs/>
            <w:sz w:val="24"/>
            <w:szCs w:val="24"/>
          </w:rPr>
          <w:t>2.B6.0   New equipment</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_Toc12885984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27</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85" w:history="1">
        <w:r w:rsidR="000A1711" w:rsidRPr="000A1711">
          <w:rPr>
            <w:rStyle w:val="Hyperlink"/>
            <w:bCs/>
            <w:sz w:val="24"/>
            <w:szCs w:val="24"/>
          </w:rPr>
          <w:t>2.B6.1   Low power office computing policy</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_Toc12885985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27</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86" w:history="1">
        <w:r w:rsidR="000A1711" w:rsidRPr="000A1711">
          <w:rPr>
            <w:rStyle w:val="Hyperlink"/>
            <w:bCs/>
            <w:sz w:val="24"/>
            <w:szCs w:val="24"/>
          </w:rPr>
          <w:t>2.B6.2   Productive use requirements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_Toc12885986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27</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87" w:history="1">
        <w:r w:rsidR="000A1711" w:rsidRPr="000A1711">
          <w:rPr>
            <w:rStyle w:val="Hyperlink"/>
            <w:bCs/>
            <w:sz w:val="24"/>
            <w:szCs w:val="24"/>
          </w:rPr>
          <w:t>2.B6.3   Consulting services in feasibility studies and other IT procurements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_Toc12885987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28</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88" w:history="1">
        <w:r w:rsidR="000A1711" w:rsidRPr="000A1711">
          <w:rPr>
            <w:rStyle w:val="Hyperlink"/>
            <w:bCs/>
            <w:sz w:val="24"/>
            <w:szCs w:val="24"/>
          </w:rPr>
          <w:t>2.B6.4   Exclusion for conflict of interest</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_Toc12885988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28</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89" w:history="1">
        <w:r w:rsidR="000A1711" w:rsidRPr="000A1711">
          <w:rPr>
            <w:rStyle w:val="Hyperlink"/>
            <w:sz w:val="24"/>
            <w:szCs w:val="24"/>
          </w:rPr>
          <w:t xml:space="preserve">2.B6.5   </w:t>
        </w:r>
        <w:r w:rsidR="000A1711" w:rsidRPr="000A1711">
          <w:rPr>
            <w:rStyle w:val="Hyperlink"/>
            <w:bCs/>
            <w:sz w:val="24"/>
            <w:szCs w:val="24"/>
          </w:rPr>
          <w:t>Analysis of potential follow-on issues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_Toc12885989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30</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90" w:history="1">
        <w:r w:rsidR="000A1711" w:rsidRPr="000A1711">
          <w:rPr>
            <w:rStyle w:val="Hyperlink"/>
            <w:bCs/>
            <w:sz w:val="24"/>
            <w:szCs w:val="24"/>
          </w:rPr>
          <w:t>2.B6.6   Consider potential contracting opportunities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_Toc12885990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31</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91" w:history="1">
        <w:r w:rsidR="000A1711" w:rsidRPr="000A1711">
          <w:rPr>
            <w:rStyle w:val="Hyperlink"/>
            <w:bCs/>
            <w:sz w:val="24"/>
            <w:szCs w:val="24"/>
          </w:rPr>
          <w:t>2.B6.7   Advice process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_Toc12885991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32</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92" w:history="1">
        <w:r w:rsidR="000A1711" w:rsidRPr="000A1711">
          <w:rPr>
            <w:rStyle w:val="Hyperlink"/>
            <w:bCs/>
            <w:sz w:val="24"/>
            <w:szCs w:val="24"/>
          </w:rPr>
          <w:t>2.B6.8   Disclosure of financial interests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_Toc12885992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33</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93" w:history="1">
        <w:r w:rsidR="000A1711" w:rsidRPr="000A1711">
          <w:rPr>
            <w:rStyle w:val="Hyperlink"/>
            <w:bCs/>
            <w:sz w:val="24"/>
            <w:szCs w:val="24"/>
          </w:rPr>
          <w:t>2.B6.9   IT equipment maintenance policies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_Toc12885993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33</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94" w:history="1">
        <w:r w:rsidR="000A1711" w:rsidRPr="000A1711">
          <w:rPr>
            <w:rStyle w:val="Hyperlink"/>
            <w:bCs/>
            <w:sz w:val="24"/>
            <w:szCs w:val="24"/>
          </w:rPr>
          <w:t>2.B6.10  IT risk criteria guidelines and financial protection measures  (rev 09/12)  (rev 12/12)</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_Toc12885994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33</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95" w:history="1">
        <w:r w:rsidR="000A1711" w:rsidRPr="000A1711">
          <w:rPr>
            <w:rStyle w:val="Hyperlink"/>
            <w:bCs/>
            <w:sz w:val="24"/>
            <w:szCs w:val="24"/>
          </w:rPr>
          <w:t>2.B6.11  Reporting IT projects, software licensing agreements and amendments to the legislature  (rev 12/14)  (rev 09/12)  (rev 07/17)</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_Toc12885995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34</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96" w:history="1">
        <w:r w:rsidR="000A1711" w:rsidRPr="000A1711">
          <w:rPr>
            <w:rStyle w:val="Hyperlink"/>
            <w:bCs/>
            <w:sz w:val="24"/>
            <w:szCs w:val="24"/>
          </w:rPr>
          <w:t>2.B6.12 Cloud Computing  (added 9/14)</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_Toc12885996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34</w:t>
        </w:r>
        <w:r w:rsidR="000A1711" w:rsidRPr="000A1711">
          <w:rPr>
            <w:webHidden/>
            <w:sz w:val="24"/>
            <w:szCs w:val="24"/>
          </w:rPr>
          <w:fldChar w:fldCharType="end"/>
        </w:r>
      </w:hyperlink>
    </w:p>
    <w:p w:rsidR="000A1711" w:rsidRPr="000A1711" w:rsidRDefault="00A674E6">
      <w:pPr>
        <w:pStyle w:val="TOC2"/>
        <w:rPr>
          <w:rFonts w:eastAsiaTheme="minorEastAsia"/>
          <w:noProof/>
          <w:sz w:val="24"/>
          <w:szCs w:val="24"/>
        </w:rPr>
      </w:pPr>
      <w:hyperlink w:anchor="_Toc12885997" w:history="1">
        <w:r w:rsidR="000A1711" w:rsidRPr="000A1711">
          <w:rPr>
            <w:rStyle w:val="Hyperlink"/>
            <w:bCs/>
            <w:noProof/>
            <w:sz w:val="24"/>
            <w:szCs w:val="24"/>
          </w:rPr>
          <w:t>Topic 7 – Desktop and Mobile Computing Purchases</w:t>
        </w:r>
        <w:r w:rsidR="000A1711" w:rsidRPr="000A1711">
          <w:rPr>
            <w:noProof/>
            <w:webHidden/>
            <w:sz w:val="24"/>
            <w:szCs w:val="24"/>
          </w:rPr>
          <w:tab/>
        </w:r>
        <w:r w:rsidR="000A1711" w:rsidRPr="000A1711">
          <w:rPr>
            <w:noProof/>
            <w:webHidden/>
            <w:sz w:val="24"/>
            <w:szCs w:val="24"/>
          </w:rPr>
          <w:fldChar w:fldCharType="begin"/>
        </w:r>
        <w:r w:rsidR="000A1711" w:rsidRPr="000A1711">
          <w:rPr>
            <w:noProof/>
            <w:webHidden/>
            <w:sz w:val="24"/>
            <w:szCs w:val="24"/>
          </w:rPr>
          <w:instrText xml:space="preserve"> PAGEREF _Toc12885997 \h </w:instrText>
        </w:r>
        <w:r w:rsidR="000A1711" w:rsidRPr="000A1711">
          <w:rPr>
            <w:noProof/>
            <w:webHidden/>
            <w:sz w:val="24"/>
            <w:szCs w:val="24"/>
          </w:rPr>
        </w:r>
        <w:r w:rsidR="000A1711" w:rsidRPr="000A1711">
          <w:rPr>
            <w:noProof/>
            <w:webHidden/>
            <w:sz w:val="24"/>
            <w:szCs w:val="24"/>
          </w:rPr>
          <w:fldChar w:fldCharType="separate"/>
        </w:r>
        <w:r w:rsidR="000A1711" w:rsidRPr="000A1711">
          <w:rPr>
            <w:noProof/>
            <w:webHidden/>
            <w:sz w:val="24"/>
            <w:szCs w:val="24"/>
          </w:rPr>
          <w:t>35</w:t>
        </w:r>
        <w:r w:rsidR="000A1711" w:rsidRPr="000A1711">
          <w:rPr>
            <w:noProof/>
            <w:webHidden/>
            <w:sz w:val="24"/>
            <w:szCs w:val="24"/>
          </w:rPr>
          <w:fldChar w:fldCharType="end"/>
        </w:r>
      </w:hyperlink>
    </w:p>
    <w:p w:rsidR="000A1711" w:rsidRPr="000A1711" w:rsidRDefault="00A674E6">
      <w:pPr>
        <w:pStyle w:val="TOC3"/>
        <w:rPr>
          <w:rFonts w:eastAsiaTheme="minorEastAsia"/>
          <w:sz w:val="24"/>
          <w:szCs w:val="24"/>
        </w:rPr>
      </w:pPr>
      <w:hyperlink w:anchor="_Toc12885998" w:history="1">
        <w:r w:rsidR="000A1711" w:rsidRPr="000A1711">
          <w:rPr>
            <w:rStyle w:val="Hyperlink"/>
            <w:bCs/>
            <w:sz w:val="24"/>
            <w:szCs w:val="24"/>
          </w:rPr>
          <w:t>2.B7.0   Requirements (rev 7/12)</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_Toc12885998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35</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5999" w:history="1">
        <w:r w:rsidR="000A1711" w:rsidRPr="000A1711">
          <w:rPr>
            <w:rStyle w:val="Hyperlink"/>
            <w:bCs/>
            <w:sz w:val="24"/>
            <w:szCs w:val="24"/>
          </w:rPr>
          <w:t>2.B7.1   Allowed purchases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_Toc12885999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35</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00" w:history="1">
        <w:r w:rsidR="000A1711" w:rsidRPr="000A1711">
          <w:rPr>
            <w:rStyle w:val="Hyperlink"/>
            <w:bCs/>
            <w:sz w:val="24"/>
            <w:szCs w:val="24"/>
          </w:rPr>
          <w:t>2.B7.2   Excluded purchases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_Toc12886000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35</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01" w:history="1">
        <w:r w:rsidR="000A1711" w:rsidRPr="000A1711">
          <w:rPr>
            <w:rStyle w:val="Hyperlink"/>
            <w:bCs/>
            <w:sz w:val="24"/>
            <w:szCs w:val="24"/>
          </w:rPr>
          <w:t>2.B7.3   File documentation</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_Toc12886001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36</w:t>
        </w:r>
        <w:r w:rsidR="000A1711" w:rsidRPr="000A1711">
          <w:rPr>
            <w:webHidden/>
            <w:sz w:val="24"/>
            <w:szCs w:val="24"/>
          </w:rPr>
          <w:fldChar w:fldCharType="end"/>
        </w:r>
      </w:hyperlink>
    </w:p>
    <w:p w:rsidR="000A1711" w:rsidRPr="000A1711" w:rsidRDefault="00A674E6">
      <w:pPr>
        <w:pStyle w:val="TOC2"/>
        <w:rPr>
          <w:rFonts w:eastAsiaTheme="minorEastAsia"/>
          <w:noProof/>
          <w:sz w:val="24"/>
          <w:szCs w:val="24"/>
        </w:rPr>
      </w:pPr>
      <w:hyperlink w:anchor="_Toc12886002" w:history="1">
        <w:r w:rsidR="000A1711" w:rsidRPr="000A1711">
          <w:rPr>
            <w:rStyle w:val="Hyperlink"/>
            <w:bCs/>
            <w:noProof/>
            <w:sz w:val="24"/>
            <w:szCs w:val="24"/>
          </w:rPr>
          <w:t>Topic 8 – Emergency Purchases</w:t>
        </w:r>
        <w:r w:rsidR="000A1711" w:rsidRPr="000A1711">
          <w:rPr>
            <w:noProof/>
            <w:webHidden/>
            <w:sz w:val="24"/>
            <w:szCs w:val="24"/>
          </w:rPr>
          <w:tab/>
        </w:r>
        <w:r w:rsidR="000A1711" w:rsidRPr="000A1711">
          <w:rPr>
            <w:noProof/>
            <w:webHidden/>
            <w:sz w:val="24"/>
            <w:szCs w:val="24"/>
          </w:rPr>
          <w:fldChar w:fldCharType="begin"/>
        </w:r>
        <w:r w:rsidR="000A1711" w:rsidRPr="000A1711">
          <w:rPr>
            <w:noProof/>
            <w:webHidden/>
            <w:sz w:val="24"/>
            <w:szCs w:val="24"/>
          </w:rPr>
          <w:instrText xml:space="preserve"> PAGEREF _Toc12886002 \h </w:instrText>
        </w:r>
        <w:r w:rsidR="000A1711" w:rsidRPr="000A1711">
          <w:rPr>
            <w:noProof/>
            <w:webHidden/>
            <w:sz w:val="24"/>
            <w:szCs w:val="24"/>
          </w:rPr>
        </w:r>
        <w:r w:rsidR="000A1711" w:rsidRPr="000A1711">
          <w:rPr>
            <w:noProof/>
            <w:webHidden/>
            <w:sz w:val="24"/>
            <w:szCs w:val="24"/>
          </w:rPr>
          <w:fldChar w:fldCharType="separate"/>
        </w:r>
        <w:r w:rsidR="000A1711" w:rsidRPr="000A1711">
          <w:rPr>
            <w:noProof/>
            <w:webHidden/>
            <w:sz w:val="24"/>
            <w:szCs w:val="24"/>
          </w:rPr>
          <w:t>37</w:t>
        </w:r>
        <w:r w:rsidR="000A1711" w:rsidRPr="000A1711">
          <w:rPr>
            <w:noProof/>
            <w:webHidden/>
            <w:sz w:val="24"/>
            <w:szCs w:val="24"/>
          </w:rPr>
          <w:fldChar w:fldCharType="end"/>
        </w:r>
      </w:hyperlink>
    </w:p>
    <w:p w:rsidR="000A1711" w:rsidRPr="000A1711" w:rsidRDefault="00A674E6">
      <w:pPr>
        <w:pStyle w:val="TOC3"/>
        <w:rPr>
          <w:rFonts w:eastAsiaTheme="minorEastAsia"/>
          <w:sz w:val="24"/>
          <w:szCs w:val="24"/>
        </w:rPr>
      </w:pPr>
      <w:hyperlink w:anchor="_Toc12886003" w:history="1">
        <w:r w:rsidR="000A1711" w:rsidRPr="000A1711">
          <w:rPr>
            <w:rStyle w:val="Hyperlink"/>
            <w:bCs/>
            <w:sz w:val="24"/>
            <w:szCs w:val="24"/>
          </w:rPr>
          <w:t>2.B8.0   Definition</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_Toc12886003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37</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04" w:history="1">
        <w:r w:rsidR="000A1711" w:rsidRPr="000A1711">
          <w:rPr>
            <w:rStyle w:val="Hyperlink"/>
            <w:bCs/>
            <w:sz w:val="24"/>
            <w:szCs w:val="24"/>
          </w:rPr>
          <w:t>2.B8.1   Required documentation</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_Toc12886004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37</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05" w:history="1">
        <w:r w:rsidR="000A1711" w:rsidRPr="000A1711">
          <w:rPr>
            <w:rStyle w:val="Hyperlink"/>
            <w:bCs/>
            <w:sz w:val="24"/>
            <w:szCs w:val="24"/>
          </w:rPr>
          <w:t>2.B8.2   Responding to a natural disaster</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_Toc12886005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37</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06" w:history="1">
        <w:r w:rsidR="000A1711" w:rsidRPr="000A1711">
          <w:rPr>
            <w:rStyle w:val="Hyperlink"/>
            <w:bCs/>
            <w:sz w:val="24"/>
            <w:szCs w:val="24"/>
          </w:rPr>
          <w:t>2.B8.3   Emergency purchase not in response to a natural disaster</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_Toc12886006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38</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07" w:history="1">
        <w:r w:rsidR="000A1711" w:rsidRPr="000A1711">
          <w:rPr>
            <w:rStyle w:val="Hyperlink"/>
            <w:bCs/>
            <w:sz w:val="24"/>
            <w:szCs w:val="24"/>
          </w:rPr>
          <w:t>2.B8.4   Examples of IT emergency purchase</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_Toc12886007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38</w:t>
        </w:r>
        <w:r w:rsidR="000A1711" w:rsidRPr="000A1711">
          <w:rPr>
            <w:webHidden/>
            <w:sz w:val="24"/>
            <w:szCs w:val="24"/>
          </w:rPr>
          <w:fldChar w:fldCharType="end"/>
        </w:r>
      </w:hyperlink>
    </w:p>
    <w:p w:rsidR="000A1711" w:rsidRPr="000A1711" w:rsidRDefault="00A674E6">
      <w:pPr>
        <w:pStyle w:val="TOC1"/>
        <w:rPr>
          <w:rFonts w:eastAsiaTheme="minorEastAsia"/>
          <w:noProof/>
          <w:sz w:val="24"/>
          <w:szCs w:val="24"/>
        </w:rPr>
      </w:pPr>
      <w:hyperlink w:anchor="_Toc12886008" w:history="1">
        <w:r w:rsidR="000A1711" w:rsidRPr="000A1711">
          <w:rPr>
            <w:rStyle w:val="Hyperlink"/>
            <w:noProof/>
            <w:sz w:val="24"/>
            <w:szCs w:val="24"/>
          </w:rPr>
          <w:t>Section C</w:t>
        </w:r>
        <w:r w:rsidR="000A1711" w:rsidRPr="000A1711">
          <w:rPr>
            <w:noProof/>
            <w:webHidden/>
            <w:sz w:val="24"/>
            <w:szCs w:val="24"/>
          </w:rPr>
          <w:tab/>
        </w:r>
        <w:r w:rsidR="000A1711" w:rsidRPr="000A1711">
          <w:rPr>
            <w:noProof/>
            <w:webHidden/>
            <w:sz w:val="24"/>
            <w:szCs w:val="24"/>
          </w:rPr>
          <w:fldChar w:fldCharType="begin"/>
        </w:r>
        <w:r w:rsidR="000A1711" w:rsidRPr="000A1711">
          <w:rPr>
            <w:noProof/>
            <w:webHidden/>
            <w:sz w:val="24"/>
            <w:szCs w:val="24"/>
          </w:rPr>
          <w:instrText xml:space="preserve"> PAGEREF _Toc12886008 \h </w:instrText>
        </w:r>
        <w:r w:rsidR="000A1711" w:rsidRPr="000A1711">
          <w:rPr>
            <w:noProof/>
            <w:webHidden/>
            <w:sz w:val="24"/>
            <w:szCs w:val="24"/>
          </w:rPr>
        </w:r>
        <w:r w:rsidR="000A1711" w:rsidRPr="000A1711">
          <w:rPr>
            <w:noProof/>
            <w:webHidden/>
            <w:sz w:val="24"/>
            <w:szCs w:val="24"/>
          </w:rPr>
          <w:fldChar w:fldCharType="separate"/>
        </w:r>
        <w:r w:rsidR="000A1711" w:rsidRPr="000A1711">
          <w:rPr>
            <w:noProof/>
            <w:webHidden/>
            <w:sz w:val="24"/>
            <w:szCs w:val="24"/>
          </w:rPr>
          <w:t>39</w:t>
        </w:r>
        <w:r w:rsidR="000A1711" w:rsidRPr="000A1711">
          <w:rPr>
            <w:noProof/>
            <w:webHidden/>
            <w:sz w:val="24"/>
            <w:szCs w:val="24"/>
          </w:rPr>
          <w:fldChar w:fldCharType="end"/>
        </w:r>
      </w:hyperlink>
    </w:p>
    <w:p w:rsidR="000A1711" w:rsidRPr="000A1711" w:rsidRDefault="00A674E6">
      <w:pPr>
        <w:pStyle w:val="TOC1"/>
        <w:rPr>
          <w:rFonts w:eastAsiaTheme="minorEastAsia"/>
          <w:noProof/>
          <w:sz w:val="24"/>
          <w:szCs w:val="24"/>
        </w:rPr>
      </w:pPr>
      <w:hyperlink w:anchor="_Toc12886009" w:history="1">
        <w:r w:rsidR="000A1711" w:rsidRPr="000A1711">
          <w:rPr>
            <w:rStyle w:val="Hyperlink"/>
            <w:noProof/>
            <w:sz w:val="24"/>
            <w:szCs w:val="24"/>
          </w:rPr>
          <w:t>Pre-Procurement Reviews and Approvals</w:t>
        </w:r>
        <w:r w:rsidR="000A1711" w:rsidRPr="000A1711">
          <w:rPr>
            <w:noProof/>
            <w:webHidden/>
            <w:sz w:val="24"/>
            <w:szCs w:val="24"/>
          </w:rPr>
          <w:tab/>
        </w:r>
        <w:r w:rsidR="000A1711" w:rsidRPr="000A1711">
          <w:rPr>
            <w:noProof/>
            <w:webHidden/>
            <w:sz w:val="24"/>
            <w:szCs w:val="24"/>
          </w:rPr>
          <w:fldChar w:fldCharType="begin"/>
        </w:r>
        <w:r w:rsidR="000A1711" w:rsidRPr="000A1711">
          <w:rPr>
            <w:noProof/>
            <w:webHidden/>
            <w:sz w:val="24"/>
            <w:szCs w:val="24"/>
          </w:rPr>
          <w:instrText xml:space="preserve"> PAGEREF _Toc12886009 \h </w:instrText>
        </w:r>
        <w:r w:rsidR="000A1711" w:rsidRPr="000A1711">
          <w:rPr>
            <w:noProof/>
            <w:webHidden/>
            <w:sz w:val="24"/>
            <w:szCs w:val="24"/>
          </w:rPr>
        </w:r>
        <w:r w:rsidR="000A1711" w:rsidRPr="000A1711">
          <w:rPr>
            <w:noProof/>
            <w:webHidden/>
            <w:sz w:val="24"/>
            <w:szCs w:val="24"/>
          </w:rPr>
          <w:fldChar w:fldCharType="separate"/>
        </w:r>
        <w:r w:rsidR="000A1711" w:rsidRPr="000A1711">
          <w:rPr>
            <w:noProof/>
            <w:webHidden/>
            <w:sz w:val="24"/>
            <w:szCs w:val="24"/>
          </w:rPr>
          <w:t>39</w:t>
        </w:r>
        <w:r w:rsidR="000A1711" w:rsidRPr="000A1711">
          <w:rPr>
            <w:noProof/>
            <w:webHidden/>
            <w:sz w:val="24"/>
            <w:szCs w:val="24"/>
          </w:rPr>
          <w:fldChar w:fldCharType="end"/>
        </w:r>
      </w:hyperlink>
    </w:p>
    <w:p w:rsidR="000A1711" w:rsidRPr="000A1711" w:rsidRDefault="00A674E6">
      <w:pPr>
        <w:pStyle w:val="TOC3"/>
        <w:rPr>
          <w:rFonts w:eastAsiaTheme="minorEastAsia"/>
          <w:sz w:val="24"/>
          <w:szCs w:val="24"/>
        </w:rPr>
      </w:pPr>
      <w:hyperlink w:anchor="_Toc12886010" w:history="1">
        <w:r w:rsidR="000A1711" w:rsidRPr="000A1711">
          <w:rPr>
            <w:rStyle w:val="Hyperlink"/>
            <w:bCs/>
            <w:sz w:val="24"/>
            <w:szCs w:val="24"/>
          </w:rPr>
          <w:t>Overview</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_Toc12886010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39</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11" w:history="1">
        <w:r w:rsidR="000A1711" w:rsidRPr="000A1711">
          <w:rPr>
            <w:rStyle w:val="Hyperlink"/>
            <w:bCs/>
            <w:sz w:val="24"/>
            <w:szCs w:val="24"/>
          </w:rPr>
          <w:t>Introduction</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_Toc12886011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39</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12" w:history="1">
        <w:r w:rsidR="000A1711" w:rsidRPr="000A1711">
          <w:rPr>
            <w:rStyle w:val="Hyperlink"/>
            <w:bCs/>
            <w:sz w:val="24"/>
            <w:szCs w:val="24"/>
          </w:rPr>
          <w:t>Contents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_Toc12886012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39</w:t>
        </w:r>
        <w:r w:rsidR="000A1711" w:rsidRPr="000A1711">
          <w:rPr>
            <w:webHidden/>
            <w:sz w:val="24"/>
            <w:szCs w:val="24"/>
          </w:rPr>
          <w:fldChar w:fldCharType="end"/>
        </w:r>
      </w:hyperlink>
    </w:p>
    <w:p w:rsidR="000A1711" w:rsidRPr="000A1711" w:rsidRDefault="00A674E6">
      <w:pPr>
        <w:pStyle w:val="TOC2"/>
        <w:rPr>
          <w:rFonts w:eastAsiaTheme="minorEastAsia"/>
          <w:noProof/>
          <w:sz w:val="24"/>
          <w:szCs w:val="24"/>
        </w:rPr>
      </w:pPr>
      <w:hyperlink w:anchor="_Toc12886013" w:history="1">
        <w:r w:rsidR="000A1711" w:rsidRPr="000A1711">
          <w:rPr>
            <w:rStyle w:val="Hyperlink"/>
            <w:bCs/>
            <w:noProof/>
            <w:sz w:val="24"/>
            <w:szCs w:val="24"/>
          </w:rPr>
          <w:t>Topic 1 – Surplus Property Program (rev 12/18)</w:t>
        </w:r>
        <w:r w:rsidR="000A1711" w:rsidRPr="000A1711">
          <w:rPr>
            <w:noProof/>
            <w:webHidden/>
            <w:sz w:val="24"/>
            <w:szCs w:val="24"/>
          </w:rPr>
          <w:tab/>
        </w:r>
        <w:r w:rsidR="000A1711" w:rsidRPr="000A1711">
          <w:rPr>
            <w:noProof/>
            <w:webHidden/>
            <w:sz w:val="24"/>
            <w:szCs w:val="24"/>
          </w:rPr>
          <w:fldChar w:fldCharType="begin"/>
        </w:r>
        <w:r w:rsidR="000A1711" w:rsidRPr="000A1711">
          <w:rPr>
            <w:noProof/>
            <w:webHidden/>
            <w:sz w:val="24"/>
            <w:szCs w:val="24"/>
          </w:rPr>
          <w:instrText xml:space="preserve"> PAGEREF _Toc12886013 \h </w:instrText>
        </w:r>
        <w:r w:rsidR="000A1711" w:rsidRPr="000A1711">
          <w:rPr>
            <w:noProof/>
            <w:webHidden/>
            <w:sz w:val="24"/>
            <w:szCs w:val="24"/>
          </w:rPr>
        </w:r>
        <w:r w:rsidR="000A1711" w:rsidRPr="000A1711">
          <w:rPr>
            <w:noProof/>
            <w:webHidden/>
            <w:sz w:val="24"/>
            <w:szCs w:val="24"/>
          </w:rPr>
          <w:fldChar w:fldCharType="separate"/>
        </w:r>
        <w:r w:rsidR="000A1711" w:rsidRPr="000A1711">
          <w:rPr>
            <w:noProof/>
            <w:webHidden/>
            <w:sz w:val="24"/>
            <w:szCs w:val="24"/>
          </w:rPr>
          <w:t>40</w:t>
        </w:r>
        <w:r w:rsidR="000A1711" w:rsidRPr="000A1711">
          <w:rPr>
            <w:noProof/>
            <w:webHidden/>
            <w:sz w:val="24"/>
            <w:szCs w:val="24"/>
          </w:rPr>
          <w:fldChar w:fldCharType="end"/>
        </w:r>
      </w:hyperlink>
    </w:p>
    <w:p w:rsidR="000A1711" w:rsidRPr="000A1711" w:rsidRDefault="00A674E6">
      <w:pPr>
        <w:pStyle w:val="TOC3"/>
        <w:rPr>
          <w:rFonts w:eastAsiaTheme="minorEastAsia"/>
          <w:sz w:val="24"/>
          <w:szCs w:val="24"/>
        </w:rPr>
      </w:pPr>
      <w:hyperlink w:anchor="_Toc12886014" w:history="1">
        <w:r w:rsidR="000A1711" w:rsidRPr="000A1711">
          <w:rPr>
            <w:rStyle w:val="Hyperlink"/>
            <w:bCs/>
            <w:sz w:val="24"/>
            <w:szCs w:val="24"/>
          </w:rPr>
          <w:t>2.C1.0   Transfer and disposal requirements for IT equipment</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_Toc12886014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40</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15" w:history="1">
        <w:r w:rsidR="000A1711" w:rsidRPr="000A1711">
          <w:rPr>
            <w:rStyle w:val="Hyperlink"/>
            <w:bCs/>
            <w:sz w:val="24"/>
            <w:szCs w:val="24"/>
          </w:rPr>
          <w:t>2.C1.1   Transfer and disposal requirements for IT supplies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_Toc12886015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40</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16" w:history="1">
        <w:r w:rsidR="000A1711" w:rsidRPr="000A1711">
          <w:rPr>
            <w:rStyle w:val="Hyperlink"/>
            <w:bCs/>
            <w:sz w:val="24"/>
            <w:szCs w:val="24"/>
          </w:rPr>
          <w:t>2.C1.2   How to contact SPR</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_Toc12886016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41</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17" w:history="1">
        <w:r w:rsidR="000A1711" w:rsidRPr="000A1711">
          <w:rPr>
            <w:rStyle w:val="Hyperlink"/>
            <w:bCs/>
            <w:sz w:val="24"/>
            <w:szCs w:val="24"/>
          </w:rPr>
          <w:t>2.C1.3   Electronic surplus property system</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_Toc12886017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41</w:t>
        </w:r>
        <w:r w:rsidR="000A1711" w:rsidRPr="000A1711">
          <w:rPr>
            <w:webHidden/>
            <w:sz w:val="24"/>
            <w:szCs w:val="24"/>
          </w:rPr>
          <w:fldChar w:fldCharType="end"/>
        </w:r>
      </w:hyperlink>
    </w:p>
    <w:p w:rsidR="000A1711" w:rsidRPr="000A1711" w:rsidRDefault="00A674E6">
      <w:pPr>
        <w:pStyle w:val="TOC2"/>
        <w:rPr>
          <w:rFonts w:eastAsiaTheme="minorEastAsia"/>
          <w:noProof/>
          <w:sz w:val="24"/>
          <w:szCs w:val="24"/>
        </w:rPr>
      </w:pPr>
      <w:hyperlink w:anchor="_Toc12886018" w:history="1">
        <w:r w:rsidR="000A1711" w:rsidRPr="000A1711">
          <w:rPr>
            <w:rStyle w:val="Hyperlink"/>
            <w:bCs/>
            <w:noProof/>
            <w:sz w:val="24"/>
            <w:szCs w:val="24"/>
          </w:rPr>
          <w:t>Topic 2 – Acquisitions Related to Reasonable Accommodations (new 12/18)</w:t>
        </w:r>
        <w:r w:rsidR="000A1711" w:rsidRPr="000A1711">
          <w:rPr>
            <w:noProof/>
            <w:webHidden/>
            <w:sz w:val="24"/>
            <w:szCs w:val="24"/>
          </w:rPr>
          <w:tab/>
        </w:r>
        <w:r w:rsidR="000A1711" w:rsidRPr="000A1711">
          <w:rPr>
            <w:noProof/>
            <w:webHidden/>
            <w:sz w:val="24"/>
            <w:szCs w:val="24"/>
          </w:rPr>
          <w:fldChar w:fldCharType="begin"/>
        </w:r>
        <w:r w:rsidR="000A1711" w:rsidRPr="000A1711">
          <w:rPr>
            <w:noProof/>
            <w:webHidden/>
            <w:sz w:val="24"/>
            <w:szCs w:val="24"/>
          </w:rPr>
          <w:instrText xml:space="preserve"> PAGEREF _Toc12886018 \h </w:instrText>
        </w:r>
        <w:r w:rsidR="000A1711" w:rsidRPr="000A1711">
          <w:rPr>
            <w:noProof/>
            <w:webHidden/>
            <w:sz w:val="24"/>
            <w:szCs w:val="24"/>
          </w:rPr>
        </w:r>
        <w:r w:rsidR="000A1711" w:rsidRPr="000A1711">
          <w:rPr>
            <w:noProof/>
            <w:webHidden/>
            <w:sz w:val="24"/>
            <w:szCs w:val="24"/>
          </w:rPr>
          <w:fldChar w:fldCharType="separate"/>
        </w:r>
        <w:r w:rsidR="000A1711" w:rsidRPr="000A1711">
          <w:rPr>
            <w:noProof/>
            <w:webHidden/>
            <w:sz w:val="24"/>
            <w:szCs w:val="24"/>
          </w:rPr>
          <w:t>41</w:t>
        </w:r>
        <w:r w:rsidR="000A1711" w:rsidRPr="000A1711">
          <w:rPr>
            <w:noProof/>
            <w:webHidden/>
            <w:sz w:val="24"/>
            <w:szCs w:val="24"/>
          </w:rPr>
          <w:fldChar w:fldCharType="end"/>
        </w:r>
      </w:hyperlink>
    </w:p>
    <w:p w:rsidR="000A1711" w:rsidRPr="000A1711" w:rsidRDefault="00A674E6">
      <w:pPr>
        <w:pStyle w:val="TOC3"/>
        <w:rPr>
          <w:rFonts w:eastAsiaTheme="minorEastAsia"/>
          <w:sz w:val="24"/>
          <w:szCs w:val="24"/>
        </w:rPr>
      </w:pPr>
      <w:hyperlink w:anchor="_Toc12886019" w:history="1">
        <w:r w:rsidR="000A1711" w:rsidRPr="000A1711">
          <w:rPr>
            <w:rStyle w:val="Hyperlink"/>
            <w:bCs/>
            <w:sz w:val="24"/>
            <w:szCs w:val="24"/>
          </w:rPr>
          <w:t>2.C2.0   Background</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_Toc12886019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41</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20" w:history="1">
        <w:r w:rsidR="000A1711" w:rsidRPr="000A1711">
          <w:rPr>
            <w:rStyle w:val="Hyperlink"/>
            <w:bCs/>
            <w:sz w:val="24"/>
            <w:szCs w:val="24"/>
          </w:rPr>
          <w:t>2.C2.1   Tracking and Reporting RA Acquisitions in FI$Cal</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_Toc12886020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42</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21" w:history="1">
        <w:r w:rsidR="000A1711" w:rsidRPr="000A1711">
          <w:rPr>
            <w:rStyle w:val="Hyperlink"/>
            <w:bCs/>
            <w:sz w:val="24"/>
            <w:szCs w:val="24"/>
          </w:rPr>
          <w:t>2.C2.2   Expedite RA Acquisitions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_Toc12886021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42</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22" w:history="1">
        <w:r w:rsidR="000A1711" w:rsidRPr="000A1711">
          <w:rPr>
            <w:rStyle w:val="Hyperlink"/>
            <w:bCs/>
            <w:sz w:val="24"/>
            <w:szCs w:val="24"/>
          </w:rPr>
          <w:t>2.C2.3   Designate an RA Procurement Coordinator</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_Toc12886022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43</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23" w:history="1">
        <w:r w:rsidR="000A1711" w:rsidRPr="000A1711">
          <w:rPr>
            <w:rStyle w:val="Hyperlink"/>
            <w:bCs/>
            <w:sz w:val="24"/>
            <w:szCs w:val="24"/>
          </w:rPr>
          <w:t>2.C2.4   Training Related to RA Acquisitions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_Toc12886023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43</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24" w:history="1">
        <w:r w:rsidR="000A1711" w:rsidRPr="000A1711">
          <w:rPr>
            <w:rStyle w:val="Hyperlink"/>
            <w:bCs/>
            <w:sz w:val="24"/>
            <w:szCs w:val="24"/>
          </w:rPr>
          <w:t>2.C2.5   Internal Procurement Procedures Specific to RA Acquisitions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_Toc12886024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44</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25" w:history="1">
        <w:r w:rsidR="000A1711" w:rsidRPr="000A1711">
          <w:rPr>
            <w:rStyle w:val="Hyperlink"/>
            <w:bCs/>
            <w:sz w:val="24"/>
            <w:szCs w:val="24"/>
          </w:rPr>
          <w:t>2.C2.6   Surplus Property Verification Exempt for RA Acquisitions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_Toc12886025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44</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26" w:history="1">
        <w:r w:rsidR="000A1711" w:rsidRPr="000A1711">
          <w:rPr>
            <w:rStyle w:val="Hyperlink"/>
            <w:bCs/>
            <w:sz w:val="24"/>
            <w:szCs w:val="24"/>
          </w:rPr>
          <w:t>2.C2.7   CalPIA Waiver Exemption for RA Acquisitions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_Toc12886026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44</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27" w:history="1">
        <w:r w:rsidR="000A1711" w:rsidRPr="000A1711">
          <w:rPr>
            <w:rStyle w:val="Hyperlink"/>
            <w:bCs/>
            <w:sz w:val="24"/>
            <w:szCs w:val="24"/>
          </w:rPr>
          <w:t xml:space="preserve">2.C2.8 </w:t>
        </w:r>
        <w:r w:rsidR="000A1711" w:rsidRPr="000A1711">
          <w:rPr>
            <w:rStyle w:val="Hyperlink"/>
            <w:sz w:val="24"/>
            <w:szCs w:val="24"/>
          </w:rPr>
          <w:t>California Assistive Services, Devices, and Technology Supplier Directory (Cal-ATSD)</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_Toc12886027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44</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28" w:history="1">
        <w:r w:rsidR="000A1711" w:rsidRPr="000A1711">
          <w:rPr>
            <w:rStyle w:val="Hyperlink"/>
            <w:bCs/>
            <w:sz w:val="24"/>
            <w:szCs w:val="24"/>
          </w:rPr>
          <w:t>2.C2.9   Leveraged Procurement Agreements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_Toc12886028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45</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29" w:history="1">
        <w:r w:rsidR="000A1711" w:rsidRPr="000A1711">
          <w:rPr>
            <w:rStyle w:val="Hyperlink"/>
            <w:bCs/>
            <w:sz w:val="24"/>
            <w:szCs w:val="24"/>
          </w:rPr>
          <w:t xml:space="preserve">2.C2.10  </w:t>
        </w:r>
        <w:r w:rsidR="000A1711" w:rsidRPr="000A1711">
          <w:rPr>
            <w:rStyle w:val="Hyperlink"/>
            <w:sz w:val="24"/>
            <w:szCs w:val="24"/>
          </w:rPr>
          <w:t>Compliance with RA Procurement Policy &amp; Procedures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_Toc12886029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45</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30" w:history="1">
        <w:r w:rsidR="000A1711" w:rsidRPr="000A1711">
          <w:rPr>
            <w:rStyle w:val="Hyperlink"/>
            <w:bCs/>
            <w:sz w:val="24"/>
            <w:szCs w:val="24"/>
          </w:rPr>
          <w:t xml:space="preserve">2.C2.11  </w:t>
        </w:r>
        <w:r w:rsidR="000A1711" w:rsidRPr="000A1711">
          <w:rPr>
            <w:rStyle w:val="Hyperlink"/>
            <w:sz w:val="24"/>
            <w:szCs w:val="24"/>
          </w:rPr>
          <w:t>Procurement File Documentation for RA Acquisitions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_Toc12886030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45</w:t>
        </w:r>
        <w:r w:rsidR="000A1711" w:rsidRPr="000A1711">
          <w:rPr>
            <w:webHidden/>
            <w:sz w:val="24"/>
            <w:szCs w:val="24"/>
          </w:rPr>
          <w:fldChar w:fldCharType="end"/>
        </w:r>
      </w:hyperlink>
    </w:p>
    <w:p w:rsidR="000A1711" w:rsidRPr="000A1711" w:rsidRDefault="00A674E6">
      <w:pPr>
        <w:pStyle w:val="TOC2"/>
        <w:rPr>
          <w:rFonts w:eastAsiaTheme="minorEastAsia"/>
          <w:noProof/>
          <w:sz w:val="24"/>
          <w:szCs w:val="24"/>
        </w:rPr>
      </w:pPr>
      <w:hyperlink w:anchor="_Toc12886031" w:history="1">
        <w:r w:rsidR="000A1711" w:rsidRPr="000A1711">
          <w:rPr>
            <w:rStyle w:val="Hyperlink"/>
            <w:bCs/>
            <w:noProof/>
            <w:sz w:val="24"/>
            <w:szCs w:val="24"/>
          </w:rPr>
          <w:t>Topic 3 – Community-based Rehabilitation Program (CRP)</w:t>
        </w:r>
        <w:r w:rsidR="000A1711" w:rsidRPr="000A1711">
          <w:rPr>
            <w:noProof/>
            <w:webHidden/>
            <w:sz w:val="24"/>
            <w:szCs w:val="24"/>
          </w:rPr>
          <w:tab/>
        </w:r>
        <w:r w:rsidR="000A1711" w:rsidRPr="000A1711">
          <w:rPr>
            <w:noProof/>
            <w:webHidden/>
            <w:sz w:val="24"/>
            <w:szCs w:val="24"/>
          </w:rPr>
          <w:fldChar w:fldCharType="begin"/>
        </w:r>
        <w:r w:rsidR="000A1711" w:rsidRPr="000A1711">
          <w:rPr>
            <w:noProof/>
            <w:webHidden/>
            <w:sz w:val="24"/>
            <w:szCs w:val="24"/>
          </w:rPr>
          <w:instrText xml:space="preserve"> PAGEREF _Toc12886031 \h </w:instrText>
        </w:r>
        <w:r w:rsidR="000A1711" w:rsidRPr="000A1711">
          <w:rPr>
            <w:noProof/>
            <w:webHidden/>
            <w:sz w:val="24"/>
            <w:szCs w:val="24"/>
          </w:rPr>
        </w:r>
        <w:r w:rsidR="000A1711" w:rsidRPr="000A1711">
          <w:rPr>
            <w:noProof/>
            <w:webHidden/>
            <w:sz w:val="24"/>
            <w:szCs w:val="24"/>
          </w:rPr>
          <w:fldChar w:fldCharType="separate"/>
        </w:r>
        <w:r w:rsidR="000A1711" w:rsidRPr="000A1711">
          <w:rPr>
            <w:noProof/>
            <w:webHidden/>
            <w:sz w:val="24"/>
            <w:szCs w:val="24"/>
          </w:rPr>
          <w:t>47</w:t>
        </w:r>
        <w:r w:rsidR="000A1711" w:rsidRPr="000A1711">
          <w:rPr>
            <w:noProof/>
            <w:webHidden/>
            <w:sz w:val="24"/>
            <w:szCs w:val="24"/>
          </w:rPr>
          <w:fldChar w:fldCharType="end"/>
        </w:r>
      </w:hyperlink>
    </w:p>
    <w:p w:rsidR="000A1711" w:rsidRPr="000A1711" w:rsidRDefault="00A674E6">
      <w:pPr>
        <w:pStyle w:val="TOC3"/>
        <w:rPr>
          <w:rFonts w:eastAsiaTheme="minorEastAsia"/>
          <w:sz w:val="24"/>
          <w:szCs w:val="24"/>
        </w:rPr>
      </w:pPr>
      <w:hyperlink w:anchor="_Toc12886032" w:history="1">
        <w:r w:rsidR="000A1711" w:rsidRPr="000A1711">
          <w:rPr>
            <w:rStyle w:val="Hyperlink"/>
            <w:bCs/>
            <w:sz w:val="24"/>
            <w:szCs w:val="24"/>
          </w:rPr>
          <w:t>2.C3.0   Purchases from community-based rehabilitation programs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_Toc12886032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47</w:t>
        </w:r>
        <w:r w:rsidR="000A1711" w:rsidRPr="000A1711">
          <w:rPr>
            <w:webHidden/>
            <w:sz w:val="24"/>
            <w:szCs w:val="24"/>
          </w:rPr>
          <w:fldChar w:fldCharType="end"/>
        </w:r>
      </w:hyperlink>
    </w:p>
    <w:p w:rsidR="000A1711" w:rsidRPr="000A1711" w:rsidRDefault="00A674E6">
      <w:pPr>
        <w:pStyle w:val="TOC2"/>
        <w:rPr>
          <w:rFonts w:eastAsiaTheme="minorEastAsia"/>
          <w:noProof/>
          <w:sz w:val="24"/>
          <w:szCs w:val="24"/>
        </w:rPr>
      </w:pPr>
      <w:hyperlink w:anchor="_Toc12886033" w:history="1">
        <w:r w:rsidR="000A1711" w:rsidRPr="000A1711">
          <w:rPr>
            <w:rStyle w:val="Hyperlink"/>
            <w:bCs/>
            <w:noProof/>
            <w:sz w:val="24"/>
            <w:szCs w:val="24"/>
          </w:rPr>
          <w:t>Topic 4 – Information Technology</w:t>
        </w:r>
        <w:r w:rsidR="000A1711" w:rsidRPr="000A1711">
          <w:rPr>
            <w:noProof/>
            <w:webHidden/>
            <w:sz w:val="24"/>
            <w:szCs w:val="24"/>
          </w:rPr>
          <w:tab/>
        </w:r>
        <w:r w:rsidR="000A1711" w:rsidRPr="000A1711">
          <w:rPr>
            <w:noProof/>
            <w:webHidden/>
            <w:sz w:val="24"/>
            <w:szCs w:val="24"/>
          </w:rPr>
          <w:fldChar w:fldCharType="begin"/>
        </w:r>
        <w:r w:rsidR="000A1711" w:rsidRPr="000A1711">
          <w:rPr>
            <w:noProof/>
            <w:webHidden/>
            <w:sz w:val="24"/>
            <w:szCs w:val="24"/>
          </w:rPr>
          <w:instrText xml:space="preserve"> PAGEREF _Toc12886033 \h </w:instrText>
        </w:r>
        <w:r w:rsidR="000A1711" w:rsidRPr="000A1711">
          <w:rPr>
            <w:noProof/>
            <w:webHidden/>
            <w:sz w:val="24"/>
            <w:szCs w:val="24"/>
          </w:rPr>
        </w:r>
        <w:r w:rsidR="000A1711" w:rsidRPr="000A1711">
          <w:rPr>
            <w:noProof/>
            <w:webHidden/>
            <w:sz w:val="24"/>
            <w:szCs w:val="24"/>
          </w:rPr>
          <w:fldChar w:fldCharType="separate"/>
        </w:r>
        <w:r w:rsidR="000A1711" w:rsidRPr="000A1711">
          <w:rPr>
            <w:noProof/>
            <w:webHidden/>
            <w:sz w:val="24"/>
            <w:szCs w:val="24"/>
          </w:rPr>
          <w:t>48</w:t>
        </w:r>
        <w:r w:rsidR="000A1711" w:rsidRPr="000A1711">
          <w:rPr>
            <w:noProof/>
            <w:webHidden/>
            <w:sz w:val="24"/>
            <w:szCs w:val="24"/>
          </w:rPr>
          <w:fldChar w:fldCharType="end"/>
        </w:r>
      </w:hyperlink>
    </w:p>
    <w:p w:rsidR="000A1711" w:rsidRPr="000A1711" w:rsidRDefault="00A674E6">
      <w:pPr>
        <w:pStyle w:val="TOC3"/>
        <w:rPr>
          <w:rFonts w:eastAsiaTheme="minorEastAsia"/>
          <w:sz w:val="24"/>
          <w:szCs w:val="24"/>
        </w:rPr>
      </w:pPr>
      <w:hyperlink w:anchor="_Toc12886034" w:history="1">
        <w:r w:rsidR="000A1711" w:rsidRPr="000A1711">
          <w:rPr>
            <w:rStyle w:val="Hyperlink"/>
            <w:bCs/>
            <w:sz w:val="24"/>
            <w:szCs w:val="24"/>
          </w:rPr>
          <w:t>2.C4.0   CDT approval of IT activities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_Toc12886034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48</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35" w:history="1">
        <w:r w:rsidR="000A1711" w:rsidRPr="000A1711">
          <w:rPr>
            <w:rStyle w:val="Hyperlink"/>
            <w:bCs/>
            <w:sz w:val="24"/>
            <w:szCs w:val="24"/>
          </w:rPr>
          <w:t>2.C4.1   Project approval</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_Toc12886035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48</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36" w:history="1">
        <w:r w:rsidR="000A1711" w:rsidRPr="000A1711">
          <w:rPr>
            <w:rStyle w:val="Hyperlink"/>
            <w:bCs/>
            <w:sz w:val="24"/>
            <w:szCs w:val="24"/>
          </w:rPr>
          <w:t>2.C4.2   CDT review of procurement documents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_Toc12886036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49</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37" w:history="1">
        <w:r w:rsidR="000A1711" w:rsidRPr="000A1711">
          <w:rPr>
            <w:rStyle w:val="Hyperlink"/>
            <w:bCs/>
            <w:sz w:val="24"/>
            <w:szCs w:val="24"/>
          </w:rPr>
          <w:t>2.C4.3   CDT’s technology letters (rev 7/12)</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_Toc12886037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49</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38" w:history="1">
        <w:r w:rsidR="000A1711" w:rsidRPr="000A1711">
          <w:rPr>
            <w:rStyle w:val="Hyperlink"/>
            <w:bCs/>
            <w:sz w:val="24"/>
            <w:szCs w:val="24"/>
          </w:rPr>
          <w:t>2.C4.4   CDT’s telecommunication approvals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_Toc12886038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49</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39" w:history="1">
        <w:r w:rsidR="000A1711" w:rsidRPr="000A1711">
          <w:rPr>
            <w:rStyle w:val="Hyperlink"/>
            <w:bCs/>
            <w:sz w:val="24"/>
            <w:szCs w:val="24"/>
          </w:rPr>
          <w:t>2.C4.5   Office of Technology Services (OTECH), Statewide Telecommunications and Network Division (STND), contracts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_Toc12886039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49</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40" w:history="1">
        <w:r w:rsidR="000A1711" w:rsidRPr="000A1711">
          <w:rPr>
            <w:rStyle w:val="Hyperlink"/>
            <w:bCs/>
            <w:sz w:val="24"/>
            <w:szCs w:val="24"/>
          </w:rPr>
          <w:t>2.C4.6   Personal communications device (PCD)</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_Toc12886040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50</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41" w:history="1">
        <w:r w:rsidR="000A1711" w:rsidRPr="000A1711">
          <w:rPr>
            <w:rStyle w:val="Hyperlink"/>
            <w:bCs/>
            <w:sz w:val="24"/>
            <w:szCs w:val="24"/>
          </w:rPr>
          <w:t>2.C4.7   Desktop and mobile equipment</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_Toc12886041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50</w:t>
        </w:r>
        <w:r w:rsidR="000A1711" w:rsidRPr="000A1711">
          <w:rPr>
            <w:webHidden/>
            <w:sz w:val="24"/>
            <w:szCs w:val="24"/>
          </w:rPr>
          <w:fldChar w:fldCharType="end"/>
        </w:r>
      </w:hyperlink>
    </w:p>
    <w:p w:rsidR="000A1711" w:rsidRPr="000A1711" w:rsidRDefault="00A674E6">
      <w:pPr>
        <w:pStyle w:val="TOC2"/>
        <w:rPr>
          <w:rFonts w:eastAsiaTheme="minorEastAsia"/>
          <w:noProof/>
          <w:sz w:val="24"/>
          <w:szCs w:val="24"/>
        </w:rPr>
      </w:pPr>
      <w:hyperlink w:anchor="_Toc12886042" w:history="1">
        <w:r w:rsidR="000A1711" w:rsidRPr="000A1711">
          <w:rPr>
            <w:rStyle w:val="Hyperlink"/>
            <w:bCs/>
            <w:noProof/>
            <w:sz w:val="24"/>
            <w:szCs w:val="24"/>
          </w:rPr>
          <w:t>Topic 5 – FSR Requirements for Information Technology Procurement Plan (ITPP)</w:t>
        </w:r>
        <w:r w:rsidR="000A1711" w:rsidRPr="000A1711">
          <w:rPr>
            <w:noProof/>
            <w:webHidden/>
            <w:sz w:val="24"/>
            <w:szCs w:val="24"/>
          </w:rPr>
          <w:tab/>
        </w:r>
        <w:r w:rsidR="000A1711" w:rsidRPr="000A1711">
          <w:rPr>
            <w:noProof/>
            <w:webHidden/>
            <w:sz w:val="24"/>
            <w:szCs w:val="24"/>
          </w:rPr>
          <w:fldChar w:fldCharType="begin"/>
        </w:r>
        <w:r w:rsidR="000A1711" w:rsidRPr="000A1711">
          <w:rPr>
            <w:noProof/>
            <w:webHidden/>
            <w:sz w:val="24"/>
            <w:szCs w:val="24"/>
          </w:rPr>
          <w:instrText xml:space="preserve"> PAGEREF _Toc12886042 \h </w:instrText>
        </w:r>
        <w:r w:rsidR="000A1711" w:rsidRPr="000A1711">
          <w:rPr>
            <w:noProof/>
            <w:webHidden/>
            <w:sz w:val="24"/>
            <w:szCs w:val="24"/>
          </w:rPr>
        </w:r>
        <w:r w:rsidR="000A1711" w:rsidRPr="000A1711">
          <w:rPr>
            <w:noProof/>
            <w:webHidden/>
            <w:sz w:val="24"/>
            <w:szCs w:val="24"/>
          </w:rPr>
          <w:fldChar w:fldCharType="separate"/>
        </w:r>
        <w:r w:rsidR="000A1711" w:rsidRPr="000A1711">
          <w:rPr>
            <w:noProof/>
            <w:webHidden/>
            <w:sz w:val="24"/>
            <w:szCs w:val="24"/>
          </w:rPr>
          <w:t>51</w:t>
        </w:r>
        <w:r w:rsidR="000A1711" w:rsidRPr="000A1711">
          <w:rPr>
            <w:noProof/>
            <w:webHidden/>
            <w:sz w:val="24"/>
            <w:szCs w:val="24"/>
          </w:rPr>
          <w:fldChar w:fldCharType="end"/>
        </w:r>
      </w:hyperlink>
    </w:p>
    <w:p w:rsidR="000A1711" w:rsidRPr="000A1711" w:rsidRDefault="00A674E6">
      <w:pPr>
        <w:pStyle w:val="TOC3"/>
        <w:rPr>
          <w:rFonts w:eastAsiaTheme="minorEastAsia"/>
          <w:sz w:val="24"/>
          <w:szCs w:val="24"/>
        </w:rPr>
      </w:pPr>
      <w:hyperlink w:anchor="_Toc12886043" w:history="1">
        <w:r w:rsidR="000A1711" w:rsidRPr="000A1711">
          <w:rPr>
            <w:rStyle w:val="Hyperlink"/>
            <w:bCs/>
            <w:sz w:val="24"/>
            <w:szCs w:val="24"/>
          </w:rPr>
          <w:t>2.C5.0   Purpose of the FSR/ITPP (rev 11/12) (rev 12/12)</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_Toc12886043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51</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44" w:history="1">
        <w:r w:rsidR="000A1711" w:rsidRPr="000A1711">
          <w:rPr>
            <w:rStyle w:val="Hyperlink"/>
            <w:bCs/>
            <w:sz w:val="24"/>
            <w:szCs w:val="24"/>
          </w:rPr>
          <w:t>2.C5.1   Department interface with PD (rev 11/12)</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_Toc12886044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51</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45" w:history="1">
        <w:r w:rsidR="000A1711" w:rsidRPr="000A1711">
          <w:rPr>
            <w:rStyle w:val="Hyperlink"/>
            <w:bCs/>
            <w:sz w:val="24"/>
            <w:szCs w:val="24"/>
          </w:rPr>
          <w:t>2.C5.2   Requirements to submit to DGS/PD (rev 11/12) (rev 12/12)</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_Toc12886045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51</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46" w:history="1">
        <w:r w:rsidR="000A1711" w:rsidRPr="000A1711">
          <w:rPr>
            <w:rStyle w:val="Hyperlink"/>
            <w:bCs/>
            <w:sz w:val="24"/>
            <w:szCs w:val="24"/>
          </w:rPr>
          <w:t>2.C5.3  Requests for DGS/PD to conduct an IT procurement (rev 11/12) (rev 12/12)</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_Toc12886046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52</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47" w:history="1">
        <w:r w:rsidR="000A1711" w:rsidRPr="000A1711">
          <w:rPr>
            <w:rStyle w:val="Hyperlink"/>
            <w:bCs/>
            <w:sz w:val="24"/>
            <w:szCs w:val="24"/>
          </w:rPr>
          <w:t>2.C5.4   FSR/ITPP Approval is required (rev 11/12) (rev 12/12)</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_Toc12886047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52</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48" w:history="1">
        <w:r w:rsidR="000A1711" w:rsidRPr="000A1711">
          <w:rPr>
            <w:rStyle w:val="Hyperlink"/>
            <w:bCs/>
            <w:sz w:val="24"/>
            <w:szCs w:val="24"/>
          </w:rPr>
          <w:t>2.C5.5   Where and how to submit (rev 11/12) (rev 12/12)</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_Toc12886048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52</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49" w:history="1">
        <w:r w:rsidR="000A1711" w:rsidRPr="000A1711">
          <w:rPr>
            <w:rStyle w:val="Hyperlink"/>
            <w:bCs/>
            <w:sz w:val="24"/>
            <w:szCs w:val="24"/>
          </w:rPr>
          <w:t>2.C5.6   Cover letter (rev 11/12) (rev 12/12)</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_Toc12886049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52</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50" w:history="1">
        <w:r w:rsidR="000A1711" w:rsidRPr="000A1711">
          <w:rPr>
            <w:rStyle w:val="Hyperlink"/>
            <w:bCs/>
            <w:sz w:val="24"/>
            <w:szCs w:val="24"/>
          </w:rPr>
          <w:t>2.C5.7   FSR/ITPP Preparation Instructions (rev 11/12)</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_Toc12886050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52</w:t>
        </w:r>
        <w:r w:rsidR="000A1711" w:rsidRPr="000A1711">
          <w:rPr>
            <w:webHidden/>
            <w:sz w:val="24"/>
            <w:szCs w:val="24"/>
          </w:rPr>
          <w:fldChar w:fldCharType="end"/>
        </w:r>
      </w:hyperlink>
    </w:p>
    <w:p w:rsidR="000A1711" w:rsidRPr="000A1711" w:rsidRDefault="00A674E6">
      <w:pPr>
        <w:pStyle w:val="TOC2"/>
        <w:rPr>
          <w:rFonts w:eastAsiaTheme="minorEastAsia"/>
          <w:noProof/>
          <w:sz w:val="24"/>
          <w:szCs w:val="24"/>
        </w:rPr>
      </w:pPr>
      <w:hyperlink w:anchor="_Toc12886051" w:history="1">
        <w:r w:rsidR="000A1711" w:rsidRPr="000A1711">
          <w:rPr>
            <w:rStyle w:val="Hyperlink"/>
            <w:bCs/>
            <w:noProof/>
            <w:sz w:val="24"/>
            <w:szCs w:val="24"/>
          </w:rPr>
          <w:t>Topic 6 – Negotiation Process Guidelines and Procedures Under Public Contract Code 6611</w:t>
        </w:r>
        <w:r w:rsidR="000A1711" w:rsidRPr="000A1711">
          <w:rPr>
            <w:noProof/>
            <w:webHidden/>
            <w:sz w:val="24"/>
            <w:szCs w:val="24"/>
          </w:rPr>
          <w:tab/>
        </w:r>
        <w:r w:rsidR="000A1711" w:rsidRPr="000A1711">
          <w:rPr>
            <w:noProof/>
            <w:webHidden/>
            <w:sz w:val="24"/>
            <w:szCs w:val="24"/>
          </w:rPr>
          <w:fldChar w:fldCharType="begin"/>
        </w:r>
        <w:r w:rsidR="000A1711" w:rsidRPr="000A1711">
          <w:rPr>
            <w:noProof/>
            <w:webHidden/>
            <w:sz w:val="24"/>
            <w:szCs w:val="24"/>
          </w:rPr>
          <w:instrText xml:space="preserve"> PAGEREF _Toc12886051 \h </w:instrText>
        </w:r>
        <w:r w:rsidR="000A1711" w:rsidRPr="000A1711">
          <w:rPr>
            <w:noProof/>
            <w:webHidden/>
            <w:sz w:val="24"/>
            <w:szCs w:val="24"/>
          </w:rPr>
        </w:r>
        <w:r w:rsidR="000A1711" w:rsidRPr="000A1711">
          <w:rPr>
            <w:noProof/>
            <w:webHidden/>
            <w:sz w:val="24"/>
            <w:szCs w:val="24"/>
          </w:rPr>
          <w:fldChar w:fldCharType="separate"/>
        </w:r>
        <w:r w:rsidR="000A1711" w:rsidRPr="000A1711">
          <w:rPr>
            <w:noProof/>
            <w:webHidden/>
            <w:sz w:val="24"/>
            <w:szCs w:val="24"/>
          </w:rPr>
          <w:t>53</w:t>
        </w:r>
        <w:r w:rsidR="000A1711" w:rsidRPr="000A1711">
          <w:rPr>
            <w:noProof/>
            <w:webHidden/>
            <w:sz w:val="24"/>
            <w:szCs w:val="24"/>
          </w:rPr>
          <w:fldChar w:fldCharType="end"/>
        </w:r>
      </w:hyperlink>
    </w:p>
    <w:p w:rsidR="000A1711" w:rsidRPr="000A1711" w:rsidRDefault="00A674E6">
      <w:pPr>
        <w:pStyle w:val="TOC3"/>
        <w:rPr>
          <w:rFonts w:eastAsiaTheme="minorEastAsia"/>
          <w:sz w:val="24"/>
          <w:szCs w:val="24"/>
        </w:rPr>
      </w:pPr>
      <w:hyperlink w:anchor="_Toc12886052" w:history="1">
        <w:r w:rsidR="000A1711" w:rsidRPr="000A1711">
          <w:rPr>
            <w:rStyle w:val="Hyperlink"/>
            <w:sz w:val="24"/>
            <w:szCs w:val="24"/>
          </w:rPr>
          <w:t xml:space="preserve">2.C6.0   </w:t>
        </w:r>
        <w:r w:rsidR="000A1711" w:rsidRPr="000A1711">
          <w:rPr>
            <w:rStyle w:val="Hyperlink"/>
            <w:bCs/>
            <w:sz w:val="24"/>
            <w:szCs w:val="24"/>
          </w:rPr>
          <w:t>Authority over negotiations (rev 4/13)</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_Toc12886052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53</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53" w:history="1">
        <w:r w:rsidR="000A1711" w:rsidRPr="000A1711">
          <w:rPr>
            <w:rStyle w:val="Hyperlink"/>
            <w:sz w:val="24"/>
            <w:szCs w:val="24"/>
          </w:rPr>
          <w:t xml:space="preserve">2.C6.1   How to make a request to DGS </w:t>
        </w:r>
        <w:r w:rsidR="000A1711" w:rsidRPr="000A1711">
          <w:rPr>
            <w:rStyle w:val="Hyperlink"/>
            <w:bCs/>
            <w:sz w:val="24"/>
            <w:szCs w:val="24"/>
          </w:rPr>
          <w:t>(rev 4/13)</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_Toc12886053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53</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54" w:history="1">
        <w:r w:rsidR="000A1711" w:rsidRPr="000A1711">
          <w:rPr>
            <w:rStyle w:val="Hyperlink"/>
            <w:sz w:val="24"/>
            <w:szCs w:val="24"/>
          </w:rPr>
          <w:t xml:space="preserve">2.C6.2   Bases for negotiations PCC section 6611(a) </w:t>
        </w:r>
        <w:r w:rsidR="000A1711" w:rsidRPr="000A1711">
          <w:rPr>
            <w:rStyle w:val="Hyperlink"/>
            <w:bCs/>
            <w:sz w:val="24"/>
            <w:szCs w:val="24"/>
          </w:rPr>
          <w:t>(rev 4/13)</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_Toc12886054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54</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55" w:history="1">
        <w:r w:rsidR="000A1711" w:rsidRPr="000A1711">
          <w:rPr>
            <w:rStyle w:val="Hyperlink"/>
            <w:sz w:val="24"/>
            <w:szCs w:val="24"/>
          </w:rPr>
          <w:t xml:space="preserve">2.C6.3  </w:t>
        </w:r>
        <w:r w:rsidR="000A1711" w:rsidRPr="000A1711">
          <w:rPr>
            <w:rStyle w:val="Hyperlink"/>
            <w:bCs/>
            <w:sz w:val="24"/>
            <w:szCs w:val="24"/>
          </w:rPr>
          <w:t>Basis for negotiations (PCC section 6611(b)) (rev 4/13)</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_Toc12886055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55</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56" w:history="1">
        <w:r w:rsidR="000A1711" w:rsidRPr="000A1711">
          <w:rPr>
            <w:rStyle w:val="Hyperlink"/>
            <w:sz w:val="24"/>
            <w:szCs w:val="24"/>
          </w:rPr>
          <w:t>2.C6.4  Participants and roles</w:t>
        </w:r>
        <w:r w:rsidR="000A1711" w:rsidRPr="000A1711">
          <w:rPr>
            <w:rStyle w:val="Hyperlink"/>
            <w:bCs/>
            <w:sz w:val="24"/>
            <w:szCs w:val="24"/>
          </w:rPr>
          <w:t xml:space="preserve"> (rev 4/13)</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_Toc12886056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55</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57" w:history="1">
        <w:r w:rsidR="000A1711" w:rsidRPr="000A1711">
          <w:rPr>
            <w:rStyle w:val="Hyperlink"/>
            <w:bCs/>
            <w:sz w:val="24"/>
            <w:szCs w:val="24"/>
          </w:rPr>
          <w:t>2.C6.5   Procedure when conducting negotiations from the outset of a procurement (rev 4/13)</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_Toc12886057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56</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58" w:history="1">
        <w:r w:rsidR="000A1711" w:rsidRPr="000A1711">
          <w:rPr>
            <w:rStyle w:val="Hyperlink"/>
            <w:bCs/>
            <w:sz w:val="24"/>
            <w:szCs w:val="24"/>
          </w:rPr>
          <w:t>2.C6.6   Procedure when conducting negotiations during a procurement (rev 4/13)</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_Toc12886058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58</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59" w:history="1">
        <w:r w:rsidR="000A1711" w:rsidRPr="000A1711">
          <w:rPr>
            <w:rStyle w:val="Hyperlink"/>
            <w:bCs/>
            <w:sz w:val="24"/>
            <w:szCs w:val="24"/>
          </w:rPr>
          <w:t>2.C6.7   Procedure when no responsive bids are received (rev 4/13)</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_Toc12886059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58</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60" w:history="1">
        <w:r w:rsidR="000A1711" w:rsidRPr="000A1711">
          <w:rPr>
            <w:rStyle w:val="Hyperlink"/>
            <w:bCs/>
            <w:sz w:val="24"/>
            <w:szCs w:val="24"/>
          </w:rPr>
          <w:t>2.C6.7   Procedure when no responsive bids are received (continued) (rev 4/13)</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_Toc12886060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59</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61" w:history="1">
        <w:r w:rsidR="000A1711" w:rsidRPr="000A1711">
          <w:rPr>
            <w:rStyle w:val="Hyperlink"/>
            <w:bCs/>
            <w:sz w:val="24"/>
            <w:szCs w:val="24"/>
          </w:rPr>
          <w:t>2.C6.8   Question &amp; Answer Process (rev 4/13)</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_Toc12886061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59</w:t>
        </w:r>
        <w:r w:rsidR="000A1711" w:rsidRPr="000A1711">
          <w:rPr>
            <w:webHidden/>
            <w:sz w:val="24"/>
            <w:szCs w:val="24"/>
          </w:rPr>
          <w:fldChar w:fldCharType="end"/>
        </w:r>
      </w:hyperlink>
    </w:p>
    <w:p w:rsidR="000A1711" w:rsidRPr="000A1711" w:rsidRDefault="00A674E6">
      <w:pPr>
        <w:pStyle w:val="TOC2"/>
        <w:rPr>
          <w:rFonts w:eastAsiaTheme="minorEastAsia"/>
          <w:noProof/>
          <w:sz w:val="24"/>
          <w:szCs w:val="24"/>
        </w:rPr>
      </w:pPr>
      <w:hyperlink w:anchor="_Toc12886062" w:history="1">
        <w:r w:rsidR="000A1711" w:rsidRPr="000A1711">
          <w:rPr>
            <w:rStyle w:val="Hyperlink"/>
            <w:bCs/>
            <w:noProof/>
            <w:sz w:val="24"/>
            <w:szCs w:val="24"/>
          </w:rPr>
          <w:t>Topic 7 – Certificate of Compliance with State IT Policies</w:t>
        </w:r>
        <w:r w:rsidR="000A1711" w:rsidRPr="000A1711">
          <w:rPr>
            <w:noProof/>
            <w:webHidden/>
            <w:sz w:val="24"/>
            <w:szCs w:val="24"/>
          </w:rPr>
          <w:tab/>
        </w:r>
        <w:r w:rsidR="000A1711" w:rsidRPr="000A1711">
          <w:rPr>
            <w:noProof/>
            <w:webHidden/>
            <w:sz w:val="24"/>
            <w:szCs w:val="24"/>
          </w:rPr>
          <w:fldChar w:fldCharType="begin"/>
        </w:r>
        <w:r w:rsidR="000A1711" w:rsidRPr="000A1711">
          <w:rPr>
            <w:noProof/>
            <w:webHidden/>
            <w:sz w:val="24"/>
            <w:szCs w:val="24"/>
          </w:rPr>
          <w:instrText xml:space="preserve"> PAGEREF _Toc12886062 \h </w:instrText>
        </w:r>
        <w:r w:rsidR="000A1711" w:rsidRPr="000A1711">
          <w:rPr>
            <w:noProof/>
            <w:webHidden/>
            <w:sz w:val="24"/>
            <w:szCs w:val="24"/>
          </w:rPr>
        </w:r>
        <w:r w:rsidR="000A1711" w:rsidRPr="000A1711">
          <w:rPr>
            <w:noProof/>
            <w:webHidden/>
            <w:sz w:val="24"/>
            <w:szCs w:val="24"/>
          </w:rPr>
          <w:fldChar w:fldCharType="separate"/>
        </w:r>
        <w:r w:rsidR="000A1711" w:rsidRPr="000A1711">
          <w:rPr>
            <w:noProof/>
            <w:webHidden/>
            <w:sz w:val="24"/>
            <w:szCs w:val="24"/>
          </w:rPr>
          <w:t>60</w:t>
        </w:r>
        <w:r w:rsidR="000A1711" w:rsidRPr="000A1711">
          <w:rPr>
            <w:noProof/>
            <w:webHidden/>
            <w:sz w:val="24"/>
            <w:szCs w:val="24"/>
          </w:rPr>
          <w:fldChar w:fldCharType="end"/>
        </w:r>
      </w:hyperlink>
    </w:p>
    <w:p w:rsidR="000A1711" w:rsidRPr="000A1711" w:rsidRDefault="00A674E6">
      <w:pPr>
        <w:pStyle w:val="TOC3"/>
        <w:rPr>
          <w:rFonts w:eastAsiaTheme="minorEastAsia"/>
          <w:sz w:val="24"/>
          <w:szCs w:val="24"/>
        </w:rPr>
      </w:pPr>
      <w:hyperlink w:anchor="_Toc12886063" w:history="1">
        <w:r w:rsidR="000A1711" w:rsidRPr="000A1711">
          <w:rPr>
            <w:rStyle w:val="Hyperlink"/>
            <w:bCs/>
            <w:sz w:val="24"/>
            <w:szCs w:val="24"/>
          </w:rPr>
          <w:t xml:space="preserve">2.C7.0   Certification of Compliance with State IT Policies </w:t>
        </w:r>
        <w:r w:rsidR="000A1711" w:rsidRPr="000A1711">
          <w:rPr>
            <w:rStyle w:val="Hyperlink"/>
            <w:sz w:val="24"/>
            <w:szCs w:val="24"/>
          </w:rPr>
          <w:t>(rev 10/18)</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_Toc12886063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60</w:t>
        </w:r>
        <w:r w:rsidR="000A1711" w:rsidRPr="000A1711">
          <w:rPr>
            <w:webHidden/>
            <w:sz w:val="24"/>
            <w:szCs w:val="24"/>
          </w:rPr>
          <w:fldChar w:fldCharType="end"/>
        </w:r>
      </w:hyperlink>
    </w:p>
    <w:p w:rsidR="000A1711" w:rsidRPr="000A1711" w:rsidRDefault="00A674E6">
      <w:pPr>
        <w:pStyle w:val="TOC2"/>
        <w:rPr>
          <w:rFonts w:eastAsiaTheme="minorEastAsia"/>
          <w:noProof/>
          <w:sz w:val="24"/>
          <w:szCs w:val="24"/>
        </w:rPr>
      </w:pPr>
      <w:hyperlink w:anchor="_Toc12886064" w:history="1">
        <w:r w:rsidR="000A1711" w:rsidRPr="000A1711">
          <w:rPr>
            <w:rStyle w:val="Hyperlink"/>
            <w:bCs/>
            <w:noProof/>
            <w:sz w:val="24"/>
            <w:szCs w:val="24"/>
          </w:rPr>
          <w:t>Topic 8 – Additional Pre-Procurement Reviews and Approvals</w:t>
        </w:r>
        <w:r w:rsidR="000A1711" w:rsidRPr="000A1711">
          <w:rPr>
            <w:noProof/>
            <w:webHidden/>
            <w:sz w:val="24"/>
            <w:szCs w:val="24"/>
          </w:rPr>
          <w:tab/>
        </w:r>
        <w:r w:rsidR="000A1711" w:rsidRPr="000A1711">
          <w:rPr>
            <w:noProof/>
            <w:webHidden/>
            <w:sz w:val="24"/>
            <w:szCs w:val="24"/>
          </w:rPr>
          <w:fldChar w:fldCharType="begin"/>
        </w:r>
        <w:r w:rsidR="000A1711" w:rsidRPr="000A1711">
          <w:rPr>
            <w:noProof/>
            <w:webHidden/>
            <w:sz w:val="24"/>
            <w:szCs w:val="24"/>
          </w:rPr>
          <w:instrText xml:space="preserve"> PAGEREF _Toc12886064 \h </w:instrText>
        </w:r>
        <w:r w:rsidR="000A1711" w:rsidRPr="000A1711">
          <w:rPr>
            <w:noProof/>
            <w:webHidden/>
            <w:sz w:val="24"/>
            <w:szCs w:val="24"/>
          </w:rPr>
        </w:r>
        <w:r w:rsidR="000A1711" w:rsidRPr="000A1711">
          <w:rPr>
            <w:noProof/>
            <w:webHidden/>
            <w:sz w:val="24"/>
            <w:szCs w:val="24"/>
          </w:rPr>
          <w:fldChar w:fldCharType="separate"/>
        </w:r>
        <w:r w:rsidR="000A1711" w:rsidRPr="000A1711">
          <w:rPr>
            <w:noProof/>
            <w:webHidden/>
            <w:sz w:val="24"/>
            <w:szCs w:val="24"/>
          </w:rPr>
          <w:t>61</w:t>
        </w:r>
        <w:r w:rsidR="000A1711" w:rsidRPr="000A1711">
          <w:rPr>
            <w:noProof/>
            <w:webHidden/>
            <w:sz w:val="24"/>
            <w:szCs w:val="24"/>
          </w:rPr>
          <w:fldChar w:fldCharType="end"/>
        </w:r>
      </w:hyperlink>
    </w:p>
    <w:p w:rsidR="000A1711" w:rsidRPr="000A1711" w:rsidRDefault="00A674E6">
      <w:pPr>
        <w:pStyle w:val="TOC3"/>
        <w:rPr>
          <w:rFonts w:eastAsiaTheme="minorEastAsia"/>
          <w:sz w:val="24"/>
          <w:szCs w:val="24"/>
        </w:rPr>
      </w:pPr>
      <w:hyperlink w:anchor="_Toc12886065" w:history="1">
        <w:r w:rsidR="000A1711" w:rsidRPr="000A1711">
          <w:rPr>
            <w:rStyle w:val="Hyperlink"/>
            <w:bCs/>
            <w:sz w:val="24"/>
            <w:szCs w:val="24"/>
          </w:rPr>
          <w:t>2.C8.0   State personnel board (SPB)</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_Toc12886065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61</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66" w:history="1">
        <w:r w:rsidR="000A1711" w:rsidRPr="000A1711">
          <w:rPr>
            <w:rStyle w:val="Hyperlink"/>
            <w:bCs/>
            <w:sz w:val="24"/>
            <w:szCs w:val="24"/>
          </w:rPr>
          <w:t>2.C8.1   Records management requirements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_Toc12886066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61</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67" w:history="1">
        <w:r w:rsidR="000A1711" w:rsidRPr="000A1711">
          <w:rPr>
            <w:rStyle w:val="Hyperlink"/>
            <w:bCs/>
            <w:sz w:val="24"/>
            <w:szCs w:val="24"/>
          </w:rPr>
          <w:t>2.C8.2   NCB requirements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_Toc12886067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61</w:t>
        </w:r>
        <w:r w:rsidR="000A1711" w:rsidRPr="000A1711">
          <w:rPr>
            <w:webHidden/>
            <w:sz w:val="24"/>
            <w:szCs w:val="24"/>
          </w:rPr>
          <w:fldChar w:fldCharType="end"/>
        </w:r>
      </w:hyperlink>
    </w:p>
    <w:p w:rsidR="000A1711" w:rsidRPr="000A1711" w:rsidRDefault="00A674E6">
      <w:pPr>
        <w:pStyle w:val="TOC2"/>
        <w:rPr>
          <w:rFonts w:eastAsiaTheme="minorEastAsia"/>
          <w:noProof/>
          <w:sz w:val="24"/>
          <w:szCs w:val="24"/>
        </w:rPr>
      </w:pPr>
      <w:hyperlink w:anchor="_Toc12886068" w:history="1">
        <w:r w:rsidR="000A1711" w:rsidRPr="000A1711">
          <w:rPr>
            <w:rStyle w:val="Hyperlink"/>
            <w:bCs/>
            <w:noProof/>
            <w:sz w:val="24"/>
            <w:szCs w:val="24"/>
          </w:rPr>
          <w:t>Topic 9 – Purchase Requisition</w:t>
        </w:r>
        <w:r w:rsidR="000A1711" w:rsidRPr="000A1711">
          <w:rPr>
            <w:noProof/>
            <w:webHidden/>
            <w:sz w:val="24"/>
            <w:szCs w:val="24"/>
          </w:rPr>
          <w:tab/>
        </w:r>
        <w:r w:rsidR="000A1711" w:rsidRPr="000A1711">
          <w:rPr>
            <w:noProof/>
            <w:webHidden/>
            <w:sz w:val="24"/>
            <w:szCs w:val="24"/>
          </w:rPr>
          <w:fldChar w:fldCharType="begin"/>
        </w:r>
        <w:r w:rsidR="000A1711" w:rsidRPr="000A1711">
          <w:rPr>
            <w:noProof/>
            <w:webHidden/>
            <w:sz w:val="24"/>
            <w:szCs w:val="24"/>
          </w:rPr>
          <w:instrText xml:space="preserve"> PAGEREF _Toc12886068 \h </w:instrText>
        </w:r>
        <w:r w:rsidR="000A1711" w:rsidRPr="000A1711">
          <w:rPr>
            <w:noProof/>
            <w:webHidden/>
            <w:sz w:val="24"/>
            <w:szCs w:val="24"/>
          </w:rPr>
        </w:r>
        <w:r w:rsidR="000A1711" w:rsidRPr="000A1711">
          <w:rPr>
            <w:noProof/>
            <w:webHidden/>
            <w:sz w:val="24"/>
            <w:szCs w:val="24"/>
          </w:rPr>
          <w:fldChar w:fldCharType="separate"/>
        </w:r>
        <w:r w:rsidR="000A1711" w:rsidRPr="000A1711">
          <w:rPr>
            <w:noProof/>
            <w:webHidden/>
            <w:sz w:val="24"/>
            <w:szCs w:val="24"/>
          </w:rPr>
          <w:t>62</w:t>
        </w:r>
        <w:r w:rsidR="000A1711" w:rsidRPr="000A1711">
          <w:rPr>
            <w:noProof/>
            <w:webHidden/>
            <w:sz w:val="24"/>
            <w:szCs w:val="24"/>
          </w:rPr>
          <w:fldChar w:fldCharType="end"/>
        </w:r>
      </w:hyperlink>
    </w:p>
    <w:p w:rsidR="000A1711" w:rsidRPr="000A1711" w:rsidRDefault="00A674E6">
      <w:pPr>
        <w:pStyle w:val="TOC3"/>
        <w:rPr>
          <w:rFonts w:eastAsiaTheme="minorEastAsia"/>
          <w:sz w:val="24"/>
          <w:szCs w:val="24"/>
        </w:rPr>
      </w:pPr>
      <w:hyperlink w:anchor="_Toc12886069" w:history="1">
        <w:r w:rsidR="000A1711" w:rsidRPr="000A1711">
          <w:rPr>
            <w:rStyle w:val="Hyperlink"/>
            <w:bCs/>
            <w:sz w:val="24"/>
            <w:szCs w:val="24"/>
          </w:rPr>
          <w:t>2.C9.0   General use of the purchase estimate (STD. 66)</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_Toc12886069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62</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70" w:history="1">
        <w:r w:rsidR="000A1711" w:rsidRPr="000A1711">
          <w:rPr>
            <w:rStyle w:val="Hyperlink"/>
            <w:bCs/>
            <w:sz w:val="24"/>
            <w:szCs w:val="24"/>
          </w:rPr>
          <w:t>2.C9.1   STD. 66 instructions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_Toc12886070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62</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71" w:history="1">
        <w:r w:rsidR="000A1711" w:rsidRPr="000A1711">
          <w:rPr>
            <w:rStyle w:val="Hyperlink"/>
            <w:bCs/>
            <w:sz w:val="24"/>
            <w:szCs w:val="24"/>
          </w:rPr>
          <w:t>2.C9.2   Where to send the STD. 66</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_Toc12886071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62</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72" w:history="1">
        <w:r w:rsidR="000A1711" w:rsidRPr="000A1711">
          <w:rPr>
            <w:rStyle w:val="Hyperlink"/>
            <w:bCs/>
            <w:sz w:val="24"/>
            <w:szCs w:val="24"/>
          </w:rPr>
          <w:t>2.C9.3   Amendments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_Toc12886072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62</w:t>
        </w:r>
        <w:r w:rsidR="000A1711" w:rsidRPr="000A1711">
          <w:rPr>
            <w:webHidden/>
            <w:sz w:val="24"/>
            <w:szCs w:val="24"/>
          </w:rPr>
          <w:fldChar w:fldCharType="end"/>
        </w:r>
      </w:hyperlink>
    </w:p>
    <w:p w:rsidR="000A1711" w:rsidRPr="000A1711" w:rsidRDefault="00A674E6">
      <w:pPr>
        <w:pStyle w:val="TOC1"/>
        <w:rPr>
          <w:rFonts w:eastAsiaTheme="minorEastAsia"/>
          <w:noProof/>
          <w:sz w:val="24"/>
          <w:szCs w:val="24"/>
        </w:rPr>
      </w:pPr>
      <w:hyperlink w:anchor="_Toc12886073" w:history="1">
        <w:r w:rsidR="000A1711" w:rsidRPr="000A1711">
          <w:rPr>
            <w:rStyle w:val="Hyperlink"/>
            <w:noProof/>
            <w:sz w:val="24"/>
            <w:szCs w:val="24"/>
          </w:rPr>
          <w:t>Section D</w:t>
        </w:r>
        <w:r w:rsidR="000A1711" w:rsidRPr="000A1711">
          <w:rPr>
            <w:noProof/>
            <w:webHidden/>
            <w:sz w:val="24"/>
            <w:szCs w:val="24"/>
          </w:rPr>
          <w:tab/>
        </w:r>
        <w:r w:rsidR="000A1711" w:rsidRPr="000A1711">
          <w:rPr>
            <w:noProof/>
            <w:webHidden/>
            <w:sz w:val="24"/>
            <w:szCs w:val="24"/>
          </w:rPr>
          <w:fldChar w:fldCharType="begin"/>
        </w:r>
        <w:r w:rsidR="000A1711" w:rsidRPr="000A1711">
          <w:rPr>
            <w:noProof/>
            <w:webHidden/>
            <w:sz w:val="24"/>
            <w:szCs w:val="24"/>
          </w:rPr>
          <w:instrText xml:space="preserve"> PAGEREF _Toc12886073 \h </w:instrText>
        </w:r>
        <w:r w:rsidR="000A1711" w:rsidRPr="000A1711">
          <w:rPr>
            <w:noProof/>
            <w:webHidden/>
            <w:sz w:val="24"/>
            <w:szCs w:val="24"/>
          </w:rPr>
        </w:r>
        <w:r w:rsidR="000A1711" w:rsidRPr="000A1711">
          <w:rPr>
            <w:noProof/>
            <w:webHidden/>
            <w:sz w:val="24"/>
            <w:szCs w:val="24"/>
          </w:rPr>
          <w:fldChar w:fldCharType="separate"/>
        </w:r>
        <w:r w:rsidR="000A1711" w:rsidRPr="000A1711">
          <w:rPr>
            <w:noProof/>
            <w:webHidden/>
            <w:sz w:val="24"/>
            <w:szCs w:val="24"/>
          </w:rPr>
          <w:t>63</w:t>
        </w:r>
        <w:r w:rsidR="000A1711" w:rsidRPr="000A1711">
          <w:rPr>
            <w:noProof/>
            <w:webHidden/>
            <w:sz w:val="24"/>
            <w:szCs w:val="24"/>
          </w:rPr>
          <w:fldChar w:fldCharType="end"/>
        </w:r>
      </w:hyperlink>
    </w:p>
    <w:p w:rsidR="000A1711" w:rsidRPr="000A1711" w:rsidRDefault="00A674E6">
      <w:pPr>
        <w:pStyle w:val="TOC1"/>
        <w:rPr>
          <w:rFonts w:eastAsiaTheme="minorEastAsia"/>
          <w:noProof/>
          <w:sz w:val="24"/>
          <w:szCs w:val="24"/>
        </w:rPr>
      </w:pPr>
      <w:hyperlink w:anchor="_Toc12886074" w:history="1">
        <w:r w:rsidR="000A1711" w:rsidRPr="000A1711">
          <w:rPr>
            <w:rStyle w:val="Hyperlink"/>
            <w:noProof/>
            <w:sz w:val="24"/>
            <w:szCs w:val="24"/>
          </w:rPr>
          <w:t>Creating the Paper Trail</w:t>
        </w:r>
        <w:r w:rsidR="000A1711" w:rsidRPr="000A1711">
          <w:rPr>
            <w:noProof/>
            <w:webHidden/>
            <w:sz w:val="24"/>
            <w:szCs w:val="24"/>
          </w:rPr>
          <w:tab/>
        </w:r>
        <w:r w:rsidR="000A1711" w:rsidRPr="000A1711">
          <w:rPr>
            <w:noProof/>
            <w:webHidden/>
            <w:sz w:val="24"/>
            <w:szCs w:val="24"/>
          </w:rPr>
          <w:fldChar w:fldCharType="begin"/>
        </w:r>
        <w:r w:rsidR="000A1711" w:rsidRPr="000A1711">
          <w:rPr>
            <w:noProof/>
            <w:webHidden/>
            <w:sz w:val="24"/>
            <w:szCs w:val="24"/>
          </w:rPr>
          <w:instrText xml:space="preserve"> PAGEREF _Toc12886074 \h </w:instrText>
        </w:r>
        <w:r w:rsidR="000A1711" w:rsidRPr="000A1711">
          <w:rPr>
            <w:noProof/>
            <w:webHidden/>
            <w:sz w:val="24"/>
            <w:szCs w:val="24"/>
          </w:rPr>
        </w:r>
        <w:r w:rsidR="000A1711" w:rsidRPr="000A1711">
          <w:rPr>
            <w:noProof/>
            <w:webHidden/>
            <w:sz w:val="24"/>
            <w:szCs w:val="24"/>
          </w:rPr>
          <w:fldChar w:fldCharType="separate"/>
        </w:r>
        <w:r w:rsidR="000A1711" w:rsidRPr="000A1711">
          <w:rPr>
            <w:noProof/>
            <w:webHidden/>
            <w:sz w:val="24"/>
            <w:szCs w:val="24"/>
          </w:rPr>
          <w:t>63</w:t>
        </w:r>
        <w:r w:rsidR="000A1711" w:rsidRPr="000A1711">
          <w:rPr>
            <w:noProof/>
            <w:webHidden/>
            <w:sz w:val="24"/>
            <w:szCs w:val="24"/>
          </w:rPr>
          <w:fldChar w:fldCharType="end"/>
        </w:r>
      </w:hyperlink>
    </w:p>
    <w:p w:rsidR="000A1711" w:rsidRPr="000A1711" w:rsidRDefault="00A674E6">
      <w:pPr>
        <w:pStyle w:val="TOC3"/>
        <w:rPr>
          <w:rFonts w:eastAsiaTheme="minorEastAsia"/>
          <w:sz w:val="24"/>
          <w:szCs w:val="24"/>
        </w:rPr>
      </w:pPr>
      <w:hyperlink w:anchor="_Toc12886075" w:history="1">
        <w:r w:rsidR="000A1711" w:rsidRPr="000A1711">
          <w:rPr>
            <w:rStyle w:val="Hyperlink"/>
            <w:bCs/>
            <w:sz w:val="24"/>
            <w:szCs w:val="24"/>
          </w:rPr>
          <w:t>Overview</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_Toc12886075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63</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76" w:history="1">
        <w:r w:rsidR="000A1711" w:rsidRPr="000A1711">
          <w:rPr>
            <w:rStyle w:val="Hyperlink"/>
            <w:bCs/>
            <w:sz w:val="24"/>
            <w:szCs w:val="24"/>
          </w:rPr>
          <w:t>Introduction</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_Toc12886076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63</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77" w:history="1">
        <w:r w:rsidR="000A1711" w:rsidRPr="000A1711">
          <w:rPr>
            <w:rStyle w:val="Hyperlink"/>
            <w:bCs/>
            <w:sz w:val="24"/>
            <w:szCs w:val="24"/>
          </w:rPr>
          <w:t>Contents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_Toc12886077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63</w:t>
        </w:r>
        <w:r w:rsidR="000A1711" w:rsidRPr="000A1711">
          <w:rPr>
            <w:webHidden/>
            <w:sz w:val="24"/>
            <w:szCs w:val="24"/>
          </w:rPr>
          <w:fldChar w:fldCharType="end"/>
        </w:r>
      </w:hyperlink>
    </w:p>
    <w:p w:rsidR="000A1711" w:rsidRPr="000A1711" w:rsidRDefault="00A674E6">
      <w:pPr>
        <w:pStyle w:val="TOC2"/>
        <w:rPr>
          <w:rFonts w:eastAsiaTheme="minorEastAsia"/>
          <w:noProof/>
          <w:sz w:val="24"/>
          <w:szCs w:val="24"/>
        </w:rPr>
      </w:pPr>
      <w:hyperlink w:anchor="_Toc12886078" w:history="1">
        <w:r w:rsidR="000A1711" w:rsidRPr="000A1711">
          <w:rPr>
            <w:rStyle w:val="Hyperlink"/>
            <w:bCs/>
            <w:noProof/>
            <w:sz w:val="24"/>
            <w:szCs w:val="24"/>
          </w:rPr>
          <w:t>Topic 1 – Documenting the Decisions</w:t>
        </w:r>
        <w:r w:rsidR="000A1711" w:rsidRPr="000A1711">
          <w:rPr>
            <w:noProof/>
            <w:webHidden/>
            <w:sz w:val="24"/>
            <w:szCs w:val="24"/>
          </w:rPr>
          <w:tab/>
        </w:r>
        <w:r w:rsidR="000A1711" w:rsidRPr="000A1711">
          <w:rPr>
            <w:noProof/>
            <w:webHidden/>
            <w:sz w:val="24"/>
            <w:szCs w:val="24"/>
          </w:rPr>
          <w:fldChar w:fldCharType="begin"/>
        </w:r>
        <w:r w:rsidR="000A1711" w:rsidRPr="000A1711">
          <w:rPr>
            <w:noProof/>
            <w:webHidden/>
            <w:sz w:val="24"/>
            <w:szCs w:val="24"/>
          </w:rPr>
          <w:instrText xml:space="preserve"> PAGEREF _Toc12886078 \h </w:instrText>
        </w:r>
        <w:r w:rsidR="000A1711" w:rsidRPr="000A1711">
          <w:rPr>
            <w:noProof/>
            <w:webHidden/>
            <w:sz w:val="24"/>
            <w:szCs w:val="24"/>
          </w:rPr>
        </w:r>
        <w:r w:rsidR="000A1711" w:rsidRPr="000A1711">
          <w:rPr>
            <w:noProof/>
            <w:webHidden/>
            <w:sz w:val="24"/>
            <w:szCs w:val="24"/>
          </w:rPr>
          <w:fldChar w:fldCharType="separate"/>
        </w:r>
        <w:r w:rsidR="000A1711" w:rsidRPr="000A1711">
          <w:rPr>
            <w:noProof/>
            <w:webHidden/>
            <w:sz w:val="24"/>
            <w:szCs w:val="24"/>
          </w:rPr>
          <w:t>63</w:t>
        </w:r>
        <w:r w:rsidR="000A1711" w:rsidRPr="000A1711">
          <w:rPr>
            <w:noProof/>
            <w:webHidden/>
            <w:sz w:val="24"/>
            <w:szCs w:val="24"/>
          </w:rPr>
          <w:fldChar w:fldCharType="end"/>
        </w:r>
      </w:hyperlink>
    </w:p>
    <w:p w:rsidR="000A1711" w:rsidRPr="000A1711" w:rsidRDefault="00A674E6">
      <w:pPr>
        <w:pStyle w:val="TOC3"/>
        <w:rPr>
          <w:rFonts w:eastAsiaTheme="minorEastAsia"/>
          <w:sz w:val="24"/>
          <w:szCs w:val="24"/>
        </w:rPr>
      </w:pPr>
      <w:hyperlink w:anchor="_Toc12886079" w:history="1">
        <w:r w:rsidR="000A1711" w:rsidRPr="000A1711">
          <w:rPr>
            <w:rStyle w:val="Hyperlink"/>
            <w:bCs/>
            <w:sz w:val="24"/>
            <w:szCs w:val="24"/>
          </w:rPr>
          <w:t>2.D1.0   Documenting the decisions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_Toc12886079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63</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80" w:history="1">
        <w:r w:rsidR="000A1711" w:rsidRPr="000A1711">
          <w:rPr>
            <w:rStyle w:val="Hyperlink"/>
            <w:bCs/>
            <w:sz w:val="24"/>
            <w:szCs w:val="24"/>
          </w:rPr>
          <w:t>2.D1.1   Provide the basis of the decisions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_Toc12886080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63</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81" w:history="1">
        <w:r w:rsidR="000A1711" w:rsidRPr="000A1711">
          <w:rPr>
            <w:rStyle w:val="Hyperlink"/>
            <w:bCs/>
            <w:sz w:val="24"/>
            <w:szCs w:val="24"/>
          </w:rPr>
          <w:t>2.D1.2   Degree of detail</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_Toc12886081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63</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82" w:history="1">
        <w:r w:rsidR="000A1711" w:rsidRPr="000A1711">
          <w:rPr>
            <w:rStyle w:val="Hyperlink"/>
            <w:bCs/>
            <w:sz w:val="24"/>
            <w:szCs w:val="24"/>
          </w:rPr>
          <w:t>2.D1.3   Take notes</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_Toc12886082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64</w:t>
        </w:r>
        <w:r w:rsidR="000A1711" w:rsidRPr="000A1711">
          <w:rPr>
            <w:webHidden/>
            <w:sz w:val="24"/>
            <w:szCs w:val="24"/>
          </w:rPr>
          <w:fldChar w:fldCharType="end"/>
        </w:r>
      </w:hyperlink>
    </w:p>
    <w:p w:rsidR="000A1711" w:rsidRPr="000A1711" w:rsidRDefault="00A674E6">
      <w:pPr>
        <w:pStyle w:val="TOC3"/>
        <w:rPr>
          <w:rFonts w:eastAsiaTheme="minorEastAsia"/>
          <w:sz w:val="24"/>
          <w:szCs w:val="24"/>
        </w:rPr>
      </w:pPr>
      <w:hyperlink w:anchor="_Toc12886083" w:history="1">
        <w:r w:rsidR="000A1711" w:rsidRPr="000A1711">
          <w:rPr>
            <w:rStyle w:val="Hyperlink"/>
            <w:bCs/>
            <w:sz w:val="24"/>
            <w:szCs w:val="24"/>
          </w:rPr>
          <w:t>2.D1.4   End result is a public record</w:t>
        </w:r>
        <w:r w:rsidR="000A1711" w:rsidRPr="000A1711">
          <w:rPr>
            <w:webHidden/>
            <w:sz w:val="24"/>
            <w:szCs w:val="24"/>
          </w:rPr>
          <w:tab/>
        </w:r>
        <w:r w:rsidR="000A1711" w:rsidRPr="000A1711">
          <w:rPr>
            <w:webHidden/>
            <w:sz w:val="24"/>
            <w:szCs w:val="24"/>
          </w:rPr>
          <w:fldChar w:fldCharType="begin"/>
        </w:r>
        <w:r w:rsidR="000A1711" w:rsidRPr="000A1711">
          <w:rPr>
            <w:webHidden/>
            <w:sz w:val="24"/>
            <w:szCs w:val="24"/>
          </w:rPr>
          <w:instrText xml:space="preserve"> PAGEREF _Toc12886083 \h </w:instrText>
        </w:r>
        <w:r w:rsidR="000A1711" w:rsidRPr="000A1711">
          <w:rPr>
            <w:webHidden/>
            <w:sz w:val="24"/>
            <w:szCs w:val="24"/>
          </w:rPr>
        </w:r>
        <w:r w:rsidR="000A1711" w:rsidRPr="000A1711">
          <w:rPr>
            <w:webHidden/>
            <w:sz w:val="24"/>
            <w:szCs w:val="24"/>
          </w:rPr>
          <w:fldChar w:fldCharType="separate"/>
        </w:r>
        <w:r w:rsidR="000A1711" w:rsidRPr="000A1711">
          <w:rPr>
            <w:webHidden/>
            <w:sz w:val="24"/>
            <w:szCs w:val="24"/>
          </w:rPr>
          <w:t>64</w:t>
        </w:r>
        <w:r w:rsidR="000A1711" w:rsidRPr="000A1711">
          <w:rPr>
            <w:webHidden/>
            <w:sz w:val="24"/>
            <w:szCs w:val="24"/>
          </w:rPr>
          <w:fldChar w:fldCharType="end"/>
        </w:r>
      </w:hyperlink>
    </w:p>
    <w:p w:rsidR="00EE4741" w:rsidRPr="003551BF" w:rsidRDefault="005532A5" w:rsidP="00C525D4">
      <w:pPr>
        <w:pStyle w:val="Heading2"/>
        <w:spacing w:after="120"/>
        <w:rPr>
          <w:rFonts w:cs="Arial"/>
          <w:szCs w:val="32"/>
        </w:rPr>
      </w:pPr>
      <w:r w:rsidRPr="000A1711">
        <w:rPr>
          <w:rFonts w:cs="Arial"/>
          <w:sz w:val="24"/>
          <w:szCs w:val="24"/>
        </w:rPr>
        <w:fldChar w:fldCharType="end"/>
      </w:r>
      <w:r w:rsidR="00861E65" w:rsidRPr="000A1711">
        <w:rPr>
          <w:rFonts w:cs="Arial"/>
          <w:sz w:val="24"/>
          <w:szCs w:val="24"/>
        </w:rPr>
        <w:br w:type="page"/>
      </w:r>
      <w:bookmarkStart w:id="23" w:name="_Toc243797552"/>
      <w:bookmarkStart w:id="24" w:name="_Toc243798730"/>
      <w:bookmarkStart w:id="25" w:name="_Toc250015485"/>
      <w:bookmarkStart w:id="26" w:name="_Toc250016251"/>
      <w:bookmarkStart w:id="27" w:name="_Toc12885911"/>
      <w:r w:rsidR="003A6026" w:rsidRPr="003551BF">
        <w:rPr>
          <w:rFonts w:cs="Arial"/>
          <w:szCs w:val="32"/>
        </w:rPr>
        <w:lastRenderedPageBreak/>
        <w:t>Chapter 2</w:t>
      </w:r>
      <w:bookmarkStart w:id="28" w:name="_Toc243797553"/>
      <w:bookmarkStart w:id="29" w:name="_Toc243798731"/>
      <w:bookmarkStart w:id="30" w:name="_Toc250015486"/>
      <w:bookmarkStart w:id="31" w:name="_Toc250016252"/>
      <w:bookmarkEnd w:id="23"/>
      <w:bookmarkEnd w:id="24"/>
      <w:bookmarkEnd w:id="25"/>
      <w:bookmarkEnd w:id="26"/>
      <w:bookmarkEnd w:id="27"/>
    </w:p>
    <w:p w:rsidR="003A6026" w:rsidRPr="003551BF" w:rsidRDefault="003A6026" w:rsidP="00C525D4">
      <w:pPr>
        <w:pStyle w:val="Heading2"/>
        <w:spacing w:after="120"/>
        <w:rPr>
          <w:rFonts w:cs="Arial"/>
          <w:szCs w:val="32"/>
        </w:rPr>
      </w:pPr>
      <w:bookmarkStart w:id="32" w:name="_Toc12885912"/>
      <w:r w:rsidRPr="003551BF">
        <w:rPr>
          <w:rFonts w:cs="Arial"/>
          <w:szCs w:val="32"/>
        </w:rPr>
        <w:t>Procurement Planning</w:t>
      </w:r>
      <w:bookmarkEnd w:id="28"/>
      <w:bookmarkEnd w:id="29"/>
      <w:bookmarkEnd w:id="30"/>
      <w:bookmarkEnd w:id="31"/>
      <w:bookmarkEnd w:id="32"/>
    </w:p>
    <w:p w:rsidR="003A6026" w:rsidRPr="00B05A21" w:rsidRDefault="003A6026" w:rsidP="00C525D4">
      <w:pPr>
        <w:pStyle w:val="Heading3"/>
        <w:spacing w:after="120"/>
        <w:jc w:val="left"/>
        <w:rPr>
          <w:rFonts w:cs="Arial"/>
          <w:bCs/>
          <w:color w:val="000000"/>
          <w:sz w:val="24"/>
          <w:szCs w:val="24"/>
        </w:rPr>
      </w:pPr>
      <w:bookmarkStart w:id="33" w:name="_Toc243798732"/>
      <w:bookmarkStart w:id="34" w:name="_Toc12885913"/>
      <w:r w:rsidRPr="00B05A21">
        <w:rPr>
          <w:rFonts w:cs="Arial"/>
          <w:bCs/>
          <w:color w:val="000000"/>
          <w:sz w:val="24"/>
          <w:szCs w:val="24"/>
        </w:rPr>
        <w:t>Overview</w:t>
      </w:r>
      <w:bookmarkEnd w:id="33"/>
      <w:bookmarkEnd w:id="34"/>
    </w:p>
    <w:p w:rsidR="003A6026" w:rsidRPr="00B05A21" w:rsidRDefault="003A6026" w:rsidP="003A6026">
      <w:pPr>
        <w:pStyle w:val="BlockLine"/>
        <w:rPr>
          <w:rFonts w:ascii="Arial" w:hAnsi="Arial" w:cs="Arial"/>
          <w:szCs w:val="24"/>
        </w:rPr>
      </w:pPr>
    </w:p>
    <w:p w:rsidR="00C525D4" w:rsidRPr="00B05A21" w:rsidRDefault="00C525D4" w:rsidP="00C525D4">
      <w:pPr>
        <w:pStyle w:val="Heading3"/>
        <w:spacing w:after="120"/>
        <w:jc w:val="left"/>
        <w:rPr>
          <w:rFonts w:cs="Arial"/>
          <w:bCs/>
          <w:sz w:val="24"/>
          <w:szCs w:val="24"/>
        </w:rPr>
      </w:pPr>
      <w:bookmarkStart w:id="35" w:name="_Toc224027882"/>
      <w:bookmarkStart w:id="36" w:name="_Toc225571935"/>
      <w:bookmarkStart w:id="37" w:name="_Toc243798733"/>
      <w:bookmarkStart w:id="38" w:name="_Toc12885914"/>
      <w:r w:rsidRPr="00B05A21">
        <w:rPr>
          <w:rFonts w:cs="Arial"/>
          <w:bCs/>
          <w:sz w:val="24"/>
          <w:szCs w:val="24"/>
        </w:rPr>
        <w:t>Introduction</w:t>
      </w:r>
      <w:bookmarkEnd w:id="35"/>
      <w:bookmarkEnd w:id="36"/>
      <w:bookmarkEnd w:id="37"/>
      <w:bookmarkEnd w:id="38"/>
    </w:p>
    <w:p w:rsidR="00C525D4" w:rsidRPr="00B05A21" w:rsidRDefault="00C525D4" w:rsidP="00740F1E">
      <w:pPr>
        <w:pStyle w:val="BlockText0"/>
        <w:rPr>
          <w:rFonts w:ascii="Arial" w:hAnsi="Arial" w:cs="Arial"/>
          <w:szCs w:val="24"/>
        </w:rPr>
      </w:pPr>
      <w:r w:rsidRPr="00B05A21">
        <w:rPr>
          <w:rFonts w:ascii="Arial" w:hAnsi="Arial" w:cs="Arial"/>
          <w:szCs w:val="24"/>
        </w:rPr>
        <w:t>The purpose of this chapter is twofold.  The first is to describe the role of the buyer, including conduct, ethics and good business practices during and after the procurement process.  The second is to describe the preliminary considerations and activities that ensure the success of any procurement effort.  These considerations include determining that the transaction is appropriately classified as information technology, identifying pre-procurement approval requirements and processes, and selecting the appropriate acquisition approach for a purchase.</w:t>
      </w:r>
    </w:p>
    <w:p w:rsidR="003A6026" w:rsidRPr="00B05A21" w:rsidRDefault="003A6026" w:rsidP="003A6026">
      <w:pPr>
        <w:pStyle w:val="BlockLine"/>
        <w:rPr>
          <w:rFonts w:ascii="Arial" w:hAnsi="Arial" w:cs="Arial"/>
          <w:szCs w:val="24"/>
        </w:rPr>
      </w:pPr>
    </w:p>
    <w:p w:rsidR="003A6026" w:rsidRPr="003551BF" w:rsidRDefault="003A6026" w:rsidP="00C525D4">
      <w:pPr>
        <w:pStyle w:val="Heading1"/>
        <w:spacing w:after="120"/>
        <w:rPr>
          <w:rFonts w:cs="Arial"/>
          <w:szCs w:val="32"/>
        </w:rPr>
      </w:pPr>
      <w:bookmarkStart w:id="39" w:name="_Toc243798735"/>
      <w:bookmarkStart w:id="40" w:name="_Toc12885916"/>
      <w:bookmarkStart w:id="41" w:name="_Toc116951889"/>
      <w:r w:rsidRPr="003551BF">
        <w:rPr>
          <w:rFonts w:cs="Arial"/>
          <w:szCs w:val="32"/>
        </w:rPr>
        <w:t>Section A</w:t>
      </w:r>
      <w:bookmarkEnd w:id="39"/>
      <w:bookmarkEnd w:id="40"/>
    </w:p>
    <w:p w:rsidR="003A6026" w:rsidRDefault="003A6026" w:rsidP="00C525D4">
      <w:pPr>
        <w:pStyle w:val="Heading1"/>
        <w:spacing w:after="120"/>
        <w:rPr>
          <w:rFonts w:cs="Arial"/>
          <w:szCs w:val="32"/>
        </w:rPr>
      </w:pPr>
      <w:bookmarkStart w:id="42" w:name="_Toc243797558"/>
      <w:bookmarkStart w:id="43" w:name="_Toc243798736"/>
      <w:bookmarkStart w:id="44" w:name="_Toc250015491"/>
      <w:bookmarkStart w:id="45" w:name="_Toc12885917"/>
      <w:r w:rsidRPr="003551BF">
        <w:rPr>
          <w:rFonts w:cs="Arial"/>
          <w:szCs w:val="32"/>
        </w:rPr>
        <w:t>Getting Started</w:t>
      </w:r>
      <w:bookmarkEnd w:id="42"/>
      <w:bookmarkEnd w:id="43"/>
      <w:bookmarkEnd w:id="44"/>
      <w:bookmarkEnd w:id="45"/>
    </w:p>
    <w:p w:rsidR="00B0002F" w:rsidRPr="00B0002F" w:rsidRDefault="00B0002F" w:rsidP="00B0002F">
      <w:pPr>
        <w:pStyle w:val="Heading4"/>
      </w:pPr>
    </w:p>
    <w:p w:rsidR="003A6026" w:rsidRPr="00B05A21" w:rsidRDefault="003A6026" w:rsidP="00C525D4">
      <w:pPr>
        <w:pStyle w:val="Heading3"/>
        <w:spacing w:after="120"/>
        <w:jc w:val="left"/>
        <w:rPr>
          <w:rFonts w:cs="Arial"/>
          <w:bCs/>
          <w:color w:val="000000"/>
          <w:sz w:val="24"/>
          <w:szCs w:val="24"/>
        </w:rPr>
      </w:pPr>
      <w:bookmarkStart w:id="46" w:name="_Toc243798737"/>
      <w:bookmarkStart w:id="47" w:name="_Toc12885918"/>
      <w:r w:rsidRPr="00B05A21">
        <w:rPr>
          <w:rFonts w:cs="Arial"/>
          <w:bCs/>
          <w:color w:val="000000"/>
          <w:sz w:val="24"/>
          <w:szCs w:val="24"/>
        </w:rPr>
        <w:t>Overview</w:t>
      </w:r>
      <w:bookmarkEnd w:id="46"/>
      <w:bookmarkEnd w:id="47"/>
    </w:p>
    <w:p w:rsidR="003A6026" w:rsidRPr="00B05A21" w:rsidRDefault="003A6026" w:rsidP="003A6026">
      <w:pPr>
        <w:pStyle w:val="BlockLine"/>
        <w:rPr>
          <w:rFonts w:ascii="Arial" w:hAnsi="Arial" w:cs="Arial"/>
          <w:szCs w:val="24"/>
        </w:rPr>
      </w:pPr>
    </w:p>
    <w:p w:rsidR="00C525D4" w:rsidRPr="00B05A21" w:rsidRDefault="00C525D4" w:rsidP="00C525D4">
      <w:pPr>
        <w:pStyle w:val="Heading3"/>
        <w:spacing w:after="120"/>
        <w:jc w:val="left"/>
        <w:rPr>
          <w:rFonts w:cs="Arial"/>
          <w:bCs/>
          <w:sz w:val="24"/>
          <w:szCs w:val="24"/>
        </w:rPr>
      </w:pPr>
      <w:bookmarkStart w:id="48" w:name="_Toc243798738"/>
      <w:bookmarkStart w:id="49" w:name="_Toc12885919"/>
      <w:r w:rsidRPr="00B05A21">
        <w:rPr>
          <w:rFonts w:cs="Arial"/>
          <w:bCs/>
          <w:sz w:val="24"/>
          <w:szCs w:val="24"/>
        </w:rPr>
        <w:t>Introduction</w:t>
      </w:r>
      <w:bookmarkEnd w:id="48"/>
      <w:bookmarkEnd w:id="49"/>
    </w:p>
    <w:p w:rsidR="00C525D4" w:rsidRDefault="00C525D4" w:rsidP="003A6026">
      <w:pPr>
        <w:pStyle w:val="BlockText0"/>
        <w:rPr>
          <w:rFonts w:ascii="Arial" w:hAnsi="Arial" w:cs="Arial"/>
          <w:szCs w:val="24"/>
        </w:rPr>
      </w:pPr>
      <w:r w:rsidRPr="00B05A21">
        <w:rPr>
          <w:rFonts w:ascii="Arial" w:hAnsi="Arial" w:cs="Arial"/>
          <w:szCs w:val="24"/>
        </w:rPr>
        <w:t xml:space="preserve">Knowing the rules and applying them appropriately throughout the acquisition process is the key to executing any procurement activity. </w:t>
      </w:r>
    </w:p>
    <w:p w:rsidR="00BC1741" w:rsidRPr="00B05A21" w:rsidRDefault="00BC1741" w:rsidP="003A6026">
      <w:pPr>
        <w:pStyle w:val="BlockText0"/>
        <w:rPr>
          <w:rFonts w:ascii="Arial" w:hAnsi="Arial" w:cs="Arial"/>
          <w:szCs w:val="24"/>
        </w:rPr>
      </w:pPr>
    </w:p>
    <w:p w:rsidR="00C525D4" w:rsidRPr="00B05A21" w:rsidRDefault="00C525D4" w:rsidP="003A6026">
      <w:pPr>
        <w:pStyle w:val="BlockText0"/>
        <w:rPr>
          <w:rFonts w:ascii="Arial" w:hAnsi="Arial" w:cs="Arial"/>
          <w:szCs w:val="24"/>
        </w:rPr>
      </w:pPr>
      <w:r w:rsidRPr="00B05A21">
        <w:rPr>
          <w:rFonts w:ascii="Arial" w:hAnsi="Arial" w:cs="Arial"/>
          <w:szCs w:val="24"/>
        </w:rPr>
        <w:t>Buyers will be successful in their procurement</w:t>
      </w:r>
      <w:r w:rsidRPr="00B05A21">
        <w:rPr>
          <w:rFonts w:ascii="Arial" w:hAnsi="Arial" w:cs="Arial"/>
          <w:color w:val="0000FF"/>
          <w:szCs w:val="24"/>
        </w:rPr>
        <w:t xml:space="preserve"> </w:t>
      </w:r>
      <w:r w:rsidRPr="00B05A21">
        <w:rPr>
          <w:rFonts w:ascii="Arial" w:hAnsi="Arial" w:cs="Arial"/>
          <w:szCs w:val="24"/>
        </w:rPr>
        <w:t>activities when they:</w:t>
      </w:r>
    </w:p>
    <w:p w:rsidR="00C525D4" w:rsidRPr="00B05A21" w:rsidRDefault="00C525D4" w:rsidP="00CF7D13">
      <w:pPr>
        <w:pStyle w:val="BulletText1"/>
        <w:numPr>
          <w:ilvl w:val="0"/>
          <w:numId w:val="14"/>
        </w:numPr>
        <w:rPr>
          <w:rFonts w:ascii="Arial" w:hAnsi="Arial" w:cs="Arial"/>
          <w:szCs w:val="24"/>
        </w:rPr>
      </w:pPr>
      <w:r w:rsidRPr="00B05A21">
        <w:rPr>
          <w:rFonts w:ascii="Arial" w:hAnsi="Arial" w:cs="Arial"/>
          <w:szCs w:val="24"/>
        </w:rPr>
        <w:t>Know and follow the laws and rules applicable to State purchasing,</w:t>
      </w:r>
    </w:p>
    <w:p w:rsidR="00C525D4" w:rsidRPr="00B05A21" w:rsidRDefault="00C525D4" w:rsidP="00CF7D13">
      <w:pPr>
        <w:pStyle w:val="BulletText1"/>
        <w:numPr>
          <w:ilvl w:val="0"/>
          <w:numId w:val="14"/>
        </w:numPr>
        <w:rPr>
          <w:rFonts w:ascii="Arial" w:hAnsi="Arial" w:cs="Arial"/>
          <w:szCs w:val="24"/>
        </w:rPr>
      </w:pPr>
      <w:r w:rsidRPr="00B05A21">
        <w:rPr>
          <w:rFonts w:ascii="Arial" w:hAnsi="Arial" w:cs="Arial"/>
          <w:szCs w:val="24"/>
        </w:rPr>
        <w:t>Correctly use the appropriate acquisition approach, and</w:t>
      </w:r>
    </w:p>
    <w:p w:rsidR="00C525D4" w:rsidRPr="00B05A21" w:rsidRDefault="00C525D4" w:rsidP="00CF7D13">
      <w:pPr>
        <w:pStyle w:val="BlockText0"/>
        <w:numPr>
          <w:ilvl w:val="0"/>
          <w:numId w:val="14"/>
        </w:numPr>
        <w:rPr>
          <w:rFonts w:ascii="Arial" w:hAnsi="Arial" w:cs="Arial"/>
          <w:szCs w:val="24"/>
        </w:rPr>
      </w:pPr>
      <w:r w:rsidRPr="00B05A21">
        <w:rPr>
          <w:rFonts w:ascii="Arial" w:hAnsi="Arial" w:cs="Arial"/>
          <w:szCs w:val="24"/>
        </w:rPr>
        <w:t>Pay attention to details.</w:t>
      </w:r>
    </w:p>
    <w:p w:rsidR="003A6026" w:rsidRPr="00B05A21" w:rsidRDefault="003A6026" w:rsidP="003A6026">
      <w:pPr>
        <w:pStyle w:val="BlockLine"/>
        <w:rPr>
          <w:rFonts w:ascii="Arial" w:hAnsi="Arial" w:cs="Arial"/>
          <w:szCs w:val="24"/>
        </w:rPr>
      </w:pPr>
    </w:p>
    <w:p w:rsidR="00C525D4" w:rsidRPr="00B05A21" w:rsidRDefault="00C525D4" w:rsidP="00CC7B90">
      <w:pPr>
        <w:pStyle w:val="Heading3"/>
        <w:spacing w:after="120"/>
        <w:jc w:val="left"/>
        <w:rPr>
          <w:rFonts w:cs="Arial"/>
          <w:bCs/>
          <w:sz w:val="24"/>
          <w:szCs w:val="24"/>
        </w:rPr>
      </w:pPr>
      <w:bookmarkStart w:id="50" w:name="_Toc243798739"/>
      <w:bookmarkStart w:id="51" w:name="_Toc12885920"/>
      <w:r w:rsidRPr="00B05A21">
        <w:rPr>
          <w:rFonts w:cs="Arial"/>
          <w:bCs/>
          <w:sz w:val="24"/>
          <w:szCs w:val="24"/>
        </w:rPr>
        <w:t>Contents</w:t>
      </w:r>
      <w:bookmarkEnd w:id="50"/>
      <w:bookmarkEnd w:id="51"/>
    </w:p>
    <w:p w:rsidR="00C525D4" w:rsidRPr="00B05A21" w:rsidRDefault="00C525D4" w:rsidP="00740F1E">
      <w:pPr>
        <w:pStyle w:val="TOCStem"/>
        <w:rPr>
          <w:rFonts w:ascii="Arial" w:hAnsi="Arial" w:cs="Arial"/>
          <w:szCs w:val="24"/>
        </w:rPr>
      </w:pPr>
      <w:r w:rsidRPr="00B05A21">
        <w:rPr>
          <w:rFonts w:ascii="Arial" w:hAnsi="Arial" w:cs="Arial"/>
          <w:szCs w:val="24"/>
        </w:rPr>
        <w:t>This section contains the following topics:</w:t>
      </w:r>
    </w:p>
    <w:p w:rsidR="003A6026" w:rsidRPr="00B05A21" w:rsidRDefault="003A6026" w:rsidP="003A6026">
      <w:pPr>
        <w:rPr>
          <w:rFonts w:ascii="Arial" w:hAnsi="Arial" w:cs="Arial"/>
        </w:rPr>
      </w:pPr>
    </w:p>
    <w:p w:rsidR="00C525D4" w:rsidRPr="00B05A21" w:rsidRDefault="00C525D4" w:rsidP="00C525D4">
      <w:pPr>
        <w:pStyle w:val="TableText"/>
        <w:rPr>
          <w:rFonts w:ascii="Arial" w:hAnsi="Arial" w:cs="Arial"/>
          <w:szCs w:val="24"/>
        </w:rPr>
      </w:pPr>
      <w:r w:rsidRPr="00B05A21">
        <w:rPr>
          <w:rFonts w:ascii="Arial" w:hAnsi="Arial" w:cs="Arial"/>
          <w:szCs w:val="24"/>
        </w:rPr>
        <w:t>Topic 1 – The Buyer’s Role, See Page 6</w:t>
      </w:r>
    </w:p>
    <w:p w:rsidR="00C525D4" w:rsidRPr="00B05A21" w:rsidRDefault="00C525D4" w:rsidP="00C525D4">
      <w:pPr>
        <w:pStyle w:val="TableText"/>
        <w:rPr>
          <w:rFonts w:ascii="Arial" w:hAnsi="Arial" w:cs="Arial"/>
          <w:szCs w:val="24"/>
        </w:rPr>
      </w:pPr>
      <w:r w:rsidRPr="00B05A21">
        <w:rPr>
          <w:rFonts w:ascii="Arial" w:hAnsi="Arial" w:cs="Arial"/>
          <w:szCs w:val="24"/>
        </w:rPr>
        <w:t>Topic 2 – Gifts and Gratuities, See Page 7</w:t>
      </w:r>
    </w:p>
    <w:p w:rsidR="003A6026" w:rsidRPr="00B05A21" w:rsidRDefault="003A6026" w:rsidP="003A6026">
      <w:pPr>
        <w:rPr>
          <w:rFonts w:ascii="Arial" w:hAnsi="Arial" w:cs="Arial"/>
          <w:b/>
        </w:rPr>
      </w:pPr>
    </w:p>
    <w:p w:rsidR="003A6026" w:rsidRPr="003551BF" w:rsidRDefault="003A6026" w:rsidP="00CC7B90">
      <w:pPr>
        <w:pStyle w:val="Heading2"/>
        <w:spacing w:after="120"/>
        <w:jc w:val="left"/>
        <w:rPr>
          <w:rFonts w:cs="Arial"/>
          <w:bCs/>
          <w:szCs w:val="32"/>
        </w:rPr>
      </w:pPr>
      <w:bookmarkStart w:id="52" w:name="_Toc243798740"/>
      <w:bookmarkStart w:id="53" w:name="_Toc12885921"/>
      <w:r w:rsidRPr="003551BF">
        <w:rPr>
          <w:rFonts w:cs="Arial"/>
          <w:bCs/>
          <w:szCs w:val="32"/>
        </w:rPr>
        <w:t>Topic 1 – The Buyer’s Role</w:t>
      </w:r>
      <w:bookmarkEnd w:id="52"/>
      <w:bookmarkEnd w:id="53"/>
    </w:p>
    <w:p w:rsidR="003A6026" w:rsidRPr="00B05A21" w:rsidRDefault="003A6026" w:rsidP="003A6026">
      <w:pPr>
        <w:pStyle w:val="BlockLine"/>
        <w:tabs>
          <w:tab w:val="left" w:pos="2655"/>
        </w:tabs>
        <w:rPr>
          <w:rFonts w:ascii="Arial" w:hAnsi="Arial" w:cs="Arial"/>
          <w:szCs w:val="24"/>
        </w:rPr>
      </w:pPr>
      <w:r w:rsidRPr="00B05A21">
        <w:rPr>
          <w:rFonts w:ascii="Arial" w:hAnsi="Arial" w:cs="Arial"/>
          <w:szCs w:val="24"/>
        </w:rPr>
        <w:tab/>
      </w:r>
    </w:p>
    <w:p w:rsidR="00CC7B90" w:rsidRPr="00B05A21" w:rsidRDefault="00CC7B90" w:rsidP="00CC7B90">
      <w:pPr>
        <w:pStyle w:val="Heading3"/>
        <w:spacing w:after="120"/>
        <w:jc w:val="left"/>
        <w:rPr>
          <w:rFonts w:cs="Arial"/>
          <w:bCs/>
          <w:sz w:val="24"/>
          <w:szCs w:val="24"/>
        </w:rPr>
      </w:pPr>
      <w:bookmarkStart w:id="54" w:name="_Toc243798741"/>
      <w:bookmarkStart w:id="55" w:name="_Toc12885922"/>
      <w:r w:rsidRPr="00B05A21">
        <w:rPr>
          <w:rFonts w:cs="Arial"/>
          <w:bCs/>
          <w:sz w:val="24"/>
          <w:szCs w:val="24"/>
        </w:rPr>
        <w:t>2.A1.0   Fiduciary responsibility</w:t>
      </w:r>
      <w:bookmarkEnd w:id="54"/>
      <w:bookmarkEnd w:id="55"/>
    </w:p>
    <w:p w:rsidR="00CC7B90" w:rsidRPr="00B05A21" w:rsidRDefault="00CC7B90" w:rsidP="003A6026">
      <w:pPr>
        <w:pStyle w:val="BlockText0"/>
        <w:rPr>
          <w:rFonts w:ascii="Arial" w:hAnsi="Arial" w:cs="Arial"/>
          <w:szCs w:val="24"/>
        </w:rPr>
      </w:pPr>
      <w:r w:rsidRPr="00B05A21">
        <w:rPr>
          <w:rFonts w:ascii="Arial" w:hAnsi="Arial" w:cs="Arial"/>
          <w:szCs w:val="24"/>
        </w:rPr>
        <w:lastRenderedPageBreak/>
        <w:t xml:space="preserve">Buyers have a fiduciary responsibility to California’s citizens and taxpayers to protect the State’s interest as a whole and to place the State’s interest above their own interests. </w:t>
      </w:r>
      <w:r w:rsidR="00E4364C" w:rsidRPr="00B05A21">
        <w:rPr>
          <w:rFonts w:ascii="Arial" w:hAnsi="Arial" w:cs="Arial"/>
          <w:szCs w:val="24"/>
        </w:rPr>
        <w:t>Additionally,</w:t>
      </w:r>
      <w:r w:rsidRPr="00B05A21">
        <w:rPr>
          <w:rFonts w:ascii="Arial" w:hAnsi="Arial" w:cs="Arial"/>
          <w:szCs w:val="24"/>
        </w:rPr>
        <w:t xml:space="preserve"> buyers have a fiduciary responsibility to safeguard the States resources.</w:t>
      </w:r>
    </w:p>
    <w:p w:rsidR="00CC7B90" w:rsidRPr="00B05A21" w:rsidRDefault="00CC7B90" w:rsidP="003A6026">
      <w:pPr>
        <w:pStyle w:val="BlockText0"/>
        <w:rPr>
          <w:rFonts w:ascii="Arial" w:hAnsi="Arial" w:cs="Arial"/>
          <w:szCs w:val="24"/>
        </w:rPr>
      </w:pPr>
    </w:p>
    <w:p w:rsidR="00CC7B90" w:rsidRPr="00B05A21" w:rsidRDefault="00CC7B90" w:rsidP="00740F1E">
      <w:pPr>
        <w:pStyle w:val="BulletText1"/>
        <w:numPr>
          <w:ilvl w:val="0"/>
          <w:numId w:val="0"/>
        </w:numPr>
        <w:rPr>
          <w:rFonts w:ascii="Arial" w:hAnsi="Arial" w:cs="Arial"/>
          <w:szCs w:val="24"/>
        </w:rPr>
      </w:pPr>
      <w:r w:rsidRPr="00B05A21">
        <w:rPr>
          <w:rFonts w:ascii="Arial" w:hAnsi="Arial" w:cs="Arial"/>
          <w:szCs w:val="24"/>
        </w:rPr>
        <w:t>The person signing the purchase document certifies, on personal knowledge, that the contract for purchasing the items specified is issued in accordance with the procedures prescribed by the laws governing the purchase of such items for the State of California and is fully compliant with all legal requirements.</w:t>
      </w:r>
    </w:p>
    <w:p w:rsidR="003A6026" w:rsidRPr="00B05A21" w:rsidRDefault="003A6026" w:rsidP="003A6026">
      <w:pPr>
        <w:pStyle w:val="BlockLine"/>
        <w:tabs>
          <w:tab w:val="left" w:pos="2655"/>
        </w:tabs>
        <w:rPr>
          <w:rFonts w:ascii="Arial" w:hAnsi="Arial" w:cs="Arial"/>
          <w:szCs w:val="24"/>
        </w:rPr>
      </w:pPr>
      <w:r w:rsidRPr="00B05A21">
        <w:rPr>
          <w:rFonts w:ascii="Arial" w:hAnsi="Arial" w:cs="Arial"/>
          <w:szCs w:val="24"/>
        </w:rPr>
        <w:tab/>
      </w:r>
    </w:p>
    <w:p w:rsidR="00CC7B90" w:rsidRPr="00B05A21" w:rsidRDefault="00CC7B90" w:rsidP="00CC7B90">
      <w:pPr>
        <w:pStyle w:val="Heading3"/>
        <w:spacing w:after="120"/>
        <w:jc w:val="left"/>
        <w:rPr>
          <w:rFonts w:cs="Arial"/>
          <w:bCs/>
          <w:sz w:val="24"/>
          <w:szCs w:val="24"/>
        </w:rPr>
      </w:pPr>
      <w:bookmarkStart w:id="56" w:name="_Toc12885923"/>
      <w:r w:rsidRPr="00B05A21">
        <w:rPr>
          <w:rFonts w:cs="Arial"/>
          <w:bCs/>
          <w:sz w:val="24"/>
          <w:szCs w:val="24"/>
        </w:rPr>
        <w:t>2.A1.1   Responsibility over public funds</w:t>
      </w:r>
      <w:bookmarkEnd w:id="56"/>
    </w:p>
    <w:p w:rsidR="00CC7B90" w:rsidRPr="00B05A21" w:rsidRDefault="00CC7B90" w:rsidP="003A6026">
      <w:pPr>
        <w:pStyle w:val="BlockText0"/>
        <w:rPr>
          <w:rFonts w:ascii="Arial" w:hAnsi="Arial" w:cs="Arial"/>
          <w:szCs w:val="24"/>
        </w:rPr>
      </w:pPr>
      <w:r w:rsidRPr="00B05A21">
        <w:rPr>
          <w:rFonts w:ascii="Arial" w:hAnsi="Arial" w:cs="Arial"/>
          <w:szCs w:val="24"/>
        </w:rPr>
        <w:t>Buyers involved in procurement activities are either directly or indirectly spending public funds and subject to public scrutiny.  Consequently, buyers specifically are reminded to:</w:t>
      </w:r>
    </w:p>
    <w:p w:rsidR="00CC7B90" w:rsidRPr="00B05A21" w:rsidRDefault="00CC7B90" w:rsidP="003A6026">
      <w:pPr>
        <w:pStyle w:val="BulletText1"/>
        <w:tabs>
          <w:tab w:val="clear" w:pos="173"/>
          <w:tab w:val="num" w:pos="374"/>
        </w:tabs>
        <w:ind w:left="374" w:hanging="374"/>
        <w:rPr>
          <w:rFonts w:ascii="Arial" w:hAnsi="Arial" w:cs="Arial"/>
          <w:szCs w:val="24"/>
        </w:rPr>
      </w:pPr>
      <w:r w:rsidRPr="00B05A21">
        <w:rPr>
          <w:rFonts w:ascii="Arial" w:hAnsi="Arial" w:cs="Arial"/>
          <w:szCs w:val="24"/>
        </w:rPr>
        <w:t>Act responsibly.</w:t>
      </w:r>
    </w:p>
    <w:p w:rsidR="00CC7B90" w:rsidRPr="00B05A21" w:rsidRDefault="00CC7B90" w:rsidP="003A6026">
      <w:pPr>
        <w:pStyle w:val="BulletText1"/>
        <w:tabs>
          <w:tab w:val="clear" w:pos="173"/>
          <w:tab w:val="num" w:pos="374"/>
        </w:tabs>
        <w:ind w:left="374" w:hanging="374"/>
        <w:rPr>
          <w:rFonts w:ascii="Arial" w:hAnsi="Arial" w:cs="Arial"/>
          <w:szCs w:val="24"/>
        </w:rPr>
      </w:pPr>
      <w:r w:rsidRPr="00B05A21">
        <w:rPr>
          <w:rFonts w:ascii="Arial" w:hAnsi="Arial" w:cs="Arial"/>
          <w:szCs w:val="24"/>
        </w:rPr>
        <w:t>Conduct business honestly.</w:t>
      </w:r>
    </w:p>
    <w:p w:rsidR="00CC7B90" w:rsidRPr="00B05A21" w:rsidRDefault="00CC7B90" w:rsidP="003A6026">
      <w:pPr>
        <w:pStyle w:val="BulletText1"/>
        <w:tabs>
          <w:tab w:val="clear" w:pos="173"/>
          <w:tab w:val="num" w:pos="374"/>
        </w:tabs>
        <w:ind w:left="374" w:hanging="374"/>
        <w:rPr>
          <w:rFonts w:ascii="Arial" w:hAnsi="Arial" w:cs="Arial"/>
          <w:szCs w:val="24"/>
        </w:rPr>
      </w:pPr>
      <w:r w:rsidRPr="00B05A21">
        <w:rPr>
          <w:rFonts w:ascii="Arial" w:hAnsi="Arial" w:cs="Arial"/>
          <w:szCs w:val="24"/>
        </w:rPr>
        <w:t>Avoid wasteful and impractical purchasing practices.</w:t>
      </w:r>
    </w:p>
    <w:p w:rsidR="00CC7B90" w:rsidRPr="00B05A21" w:rsidRDefault="00CC7B90" w:rsidP="003A6026">
      <w:pPr>
        <w:pStyle w:val="BulletText1"/>
        <w:tabs>
          <w:tab w:val="clear" w:pos="173"/>
          <w:tab w:val="num" w:pos="374"/>
        </w:tabs>
        <w:ind w:left="374" w:hanging="374"/>
        <w:rPr>
          <w:rFonts w:ascii="Arial" w:hAnsi="Arial" w:cs="Arial"/>
          <w:szCs w:val="24"/>
        </w:rPr>
      </w:pPr>
      <w:r w:rsidRPr="00B05A21">
        <w:rPr>
          <w:rFonts w:ascii="Arial" w:hAnsi="Arial" w:cs="Arial"/>
          <w:szCs w:val="24"/>
        </w:rPr>
        <w:t>Avoid real or perceived conflicts of interest when conducting business on the State’s behalf.</w:t>
      </w:r>
    </w:p>
    <w:p w:rsidR="00CC7B90" w:rsidRPr="00B05A21" w:rsidRDefault="00CC7B90" w:rsidP="003A6026">
      <w:pPr>
        <w:pStyle w:val="BulletText1"/>
        <w:tabs>
          <w:tab w:val="clear" w:pos="173"/>
          <w:tab w:val="num" w:pos="374"/>
        </w:tabs>
        <w:ind w:left="374" w:hanging="374"/>
        <w:rPr>
          <w:rFonts w:ascii="Arial" w:hAnsi="Arial" w:cs="Arial"/>
          <w:szCs w:val="24"/>
        </w:rPr>
      </w:pPr>
      <w:r w:rsidRPr="00B05A21">
        <w:rPr>
          <w:rFonts w:ascii="Arial" w:hAnsi="Arial" w:cs="Arial"/>
          <w:szCs w:val="24"/>
        </w:rPr>
        <w:t>Advise others of acceptable business practices, conflicts of interest and respected standards of ethical and moral behavior during any procurement activities involving their participation.</w:t>
      </w:r>
    </w:p>
    <w:p w:rsidR="00CC7B90" w:rsidRPr="00B05A21" w:rsidRDefault="00CC7B90" w:rsidP="00CF7D13">
      <w:pPr>
        <w:pStyle w:val="BulletText1"/>
        <w:numPr>
          <w:ilvl w:val="0"/>
          <w:numId w:val="15"/>
        </w:numPr>
        <w:tabs>
          <w:tab w:val="num" w:pos="329"/>
          <w:tab w:val="num" w:pos="374"/>
        </w:tabs>
        <w:ind w:left="374" w:hanging="374"/>
        <w:rPr>
          <w:rFonts w:ascii="Arial" w:hAnsi="Arial" w:cs="Arial"/>
          <w:szCs w:val="24"/>
        </w:rPr>
      </w:pPr>
      <w:r w:rsidRPr="00B05A21">
        <w:rPr>
          <w:rFonts w:ascii="Arial" w:hAnsi="Arial" w:cs="Arial"/>
          <w:szCs w:val="24"/>
        </w:rPr>
        <w:t xml:space="preserve"> Seek to maintain and continuously improve their professional knowledge, skills and abilities.</w:t>
      </w:r>
    </w:p>
    <w:p w:rsidR="003A6026" w:rsidRPr="00B05A21" w:rsidRDefault="003A6026" w:rsidP="003A6026">
      <w:pPr>
        <w:pStyle w:val="BlockLine"/>
        <w:tabs>
          <w:tab w:val="left" w:pos="2655"/>
        </w:tabs>
        <w:rPr>
          <w:rFonts w:ascii="Arial" w:hAnsi="Arial" w:cs="Arial"/>
          <w:szCs w:val="24"/>
        </w:rPr>
      </w:pPr>
      <w:r w:rsidRPr="00B05A21">
        <w:rPr>
          <w:rFonts w:ascii="Arial" w:hAnsi="Arial" w:cs="Arial"/>
          <w:szCs w:val="24"/>
        </w:rPr>
        <w:tab/>
      </w:r>
    </w:p>
    <w:p w:rsidR="00CC7B90" w:rsidRPr="00B05A21" w:rsidRDefault="00CC7B90" w:rsidP="00CC7B90">
      <w:pPr>
        <w:pStyle w:val="Heading3"/>
        <w:spacing w:after="120"/>
        <w:jc w:val="left"/>
        <w:rPr>
          <w:rFonts w:cs="Arial"/>
          <w:bCs/>
          <w:sz w:val="24"/>
          <w:szCs w:val="24"/>
        </w:rPr>
      </w:pPr>
      <w:bookmarkStart w:id="57" w:name="_Toc243798743"/>
      <w:bookmarkStart w:id="58" w:name="_Toc12885924"/>
      <w:r w:rsidRPr="00B05A21">
        <w:rPr>
          <w:rFonts w:cs="Arial"/>
          <w:bCs/>
          <w:sz w:val="24"/>
          <w:szCs w:val="24"/>
        </w:rPr>
        <w:t>2.A1.2   Watchdog</w:t>
      </w:r>
      <w:bookmarkEnd w:id="57"/>
      <w:bookmarkEnd w:id="58"/>
    </w:p>
    <w:p w:rsidR="00CC7B90" w:rsidRPr="00B05A21" w:rsidRDefault="00CC7B90" w:rsidP="00740F1E">
      <w:pPr>
        <w:pStyle w:val="BulletText1"/>
        <w:numPr>
          <w:ilvl w:val="0"/>
          <w:numId w:val="0"/>
        </w:numPr>
        <w:rPr>
          <w:rFonts w:ascii="Arial" w:hAnsi="Arial" w:cs="Arial"/>
          <w:szCs w:val="24"/>
        </w:rPr>
      </w:pPr>
      <w:r w:rsidRPr="00B05A21">
        <w:rPr>
          <w:rFonts w:ascii="Arial" w:hAnsi="Arial" w:cs="Arial"/>
          <w:szCs w:val="24"/>
        </w:rPr>
        <w:t>Buyers also act as a caretaker and/or watchdog over the procurement process, ensuring the needs of the State are met within State laws, regulations, executive orders, policies and procedures, while maintaining impartiality, allowing for open competition, reducing waste, preventing improper activities and avoiding conflicts of interest before, during and after the procurement process.</w:t>
      </w:r>
    </w:p>
    <w:p w:rsidR="003A6026" w:rsidRPr="00B05A21" w:rsidRDefault="003A6026" w:rsidP="003A6026">
      <w:pPr>
        <w:pStyle w:val="BlockLine"/>
        <w:tabs>
          <w:tab w:val="left" w:pos="2655"/>
        </w:tabs>
        <w:rPr>
          <w:rFonts w:ascii="Arial" w:hAnsi="Arial" w:cs="Arial"/>
          <w:szCs w:val="24"/>
        </w:rPr>
      </w:pPr>
      <w:r w:rsidRPr="00B05A21">
        <w:rPr>
          <w:rFonts w:ascii="Arial" w:hAnsi="Arial" w:cs="Arial"/>
          <w:szCs w:val="24"/>
        </w:rPr>
        <w:tab/>
      </w:r>
    </w:p>
    <w:p w:rsidR="003A6026" w:rsidRPr="003551BF" w:rsidRDefault="00AF0281" w:rsidP="00CC7B90">
      <w:pPr>
        <w:pStyle w:val="Heading2"/>
        <w:spacing w:after="120"/>
        <w:jc w:val="left"/>
        <w:rPr>
          <w:rFonts w:cs="Arial"/>
          <w:bCs/>
          <w:szCs w:val="32"/>
        </w:rPr>
      </w:pPr>
      <w:bookmarkStart w:id="59" w:name="_Getting_Started_-_All_Things_Consid"/>
      <w:bookmarkStart w:id="60" w:name="_Topic_1_–_The_Buyer’s_Role"/>
      <w:bookmarkEnd w:id="41"/>
      <w:bookmarkEnd w:id="59"/>
      <w:bookmarkEnd w:id="60"/>
      <w:r w:rsidRPr="00B05A21">
        <w:rPr>
          <w:rFonts w:cs="Arial"/>
          <w:sz w:val="24"/>
          <w:szCs w:val="24"/>
        </w:rPr>
        <w:br w:type="page"/>
      </w:r>
      <w:bookmarkStart w:id="61" w:name="_Topic_2_–_Gifts_and_Gratuities_2"/>
      <w:bookmarkStart w:id="62" w:name="_Topic_2_–_Gifts_and_Gratuities"/>
      <w:bookmarkStart w:id="63" w:name="_Toc243798744"/>
      <w:bookmarkStart w:id="64" w:name="_Toc12885925"/>
      <w:bookmarkStart w:id="65" w:name="_Toc83450110"/>
      <w:bookmarkStart w:id="66" w:name="_Toc116951899"/>
      <w:bookmarkEnd w:id="61"/>
      <w:bookmarkEnd w:id="62"/>
      <w:r w:rsidR="003A6026" w:rsidRPr="003551BF">
        <w:rPr>
          <w:rFonts w:cs="Arial"/>
          <w:bCs/>
          <w:szCs w:val="32"/>
        </w:rPr>
        <w:lastRenderedPageBreak/>
        <w:t>Topic 2 – Gifts and Gratuities</w:t>
      </w:r>
      <w:bookmarkEnd w:id="63"/>
      <w:bookmarkEnd w:id="64"/>
    </w:p>
    <w:p w:rsidR="003A6026" w:rsidRPr="00B05A21" w:rsidRDefault="003A6026" w:rsidP="003A6026">
      <w:pPr>
        <w:pStyle w:val="BlockLine"/>
        <w:tabs>
          <w:tab w:val="left" w:pos="2655"/>
        </w:tabs>
        <w:rPr>
          <w:rFonts w:ascii="Arial" w:hAnsi="Arial" w:cs="Arial"/>
          <w:szCs w:val="24"/>
        </w:rPr>
      </w:pPr>
      <w:r w:rsidRPr="00B05A21">
        <w:rPr>
          <w:rFonts w:ascii="Arial" w:hAnsi="Arial" w:cs="Arial"/>
          <w:szCs w:val="24"/>
        </w:rPr>
        <w:tab/>
      </w:r>
    </w:p>
    <w:p w:rsidR="00CC7B90" w:rsidRPr="00B05A21" w:rsidRDefault="00CC7B90" w:rsidP="00CC7B90">
      <w:pPr>
        <w:pStyle w:val="Heading3"/>
        <w:spacing w:after="120"/>
        <w:jc w:val="left"/>
        <w:rPr>
          <w:rFonts w:cs="Arial"/>
          <w:bCs/>
          <w:sz w:val="24"/>
          <w:szCs w:val="24"/>
        </w:rPr>
      </w:pPr>
      <w:bookmarkStart w:id="67" w:name="_Toc243798745"/>
      <w:bookmarkStart w:id="68" w:name="_Toc12885926"/>
      <w:r w:rsidRPr="00B05A21">
        <w:rPr>
          <w:rFonts w:cs="Arial"/>
          <w:bCs/>
          <w:sz w:val="24"/>
          <w:szCs w:val="24"/>
        </w:rPr>
        <w:t>2.A2.0   Accepting gifts and gratuities</w:t>
      </w:r>
      <w:bookmarkEnd w:id="67"/>
      <w:bookmarkEnd w:id="68"/>
    </w:p>
    <w:p w:rsidR="00CC7B90" w:rsidRPr="00B05A21" w:rsidRDefault="00CC7B90" w:rsidP="003A6026">
      <w:pPr>
        <w:pStyle w:val="BlockText0"/>
        <w:tabs>
          <w:tab w:val="left" w:pos="9163"/>
        </w:tabs>
        <w:rPr>
          <w:rFonts w:ascii="Arial" w:hAnsi="Arial" w:cs="Arial"/>
          <w:b/>
          <w:bCs/>
          <w:szCs w:val="24"/>
        </w:rPr>
      </w:pPr>
      <w:r w:rsidRPr="00B05A21">
        <w:rPr>
          <w:rFonts w:ascii="Arial" w:hAnsi="Arial" w:cs="Arial"/>
          <w:szCs w:val="24"/>
        </w:rPr>
        <w:t>GC Section 19990 establishes the authority for departments to create Incompatible Activity Statements for employees to follow.  Buyers are responsible for knowing their department’s policies regarding incompatible activities.  In accordance with GC section 19990(f) and in terms of best practices, buyers and employees involved in the procurement process, whether directly or indirectly, are discouraged from participating in the following activities:</w:t>
      </w:r>
    </w:p>
    <w:p w:rsidR="00CC7B90" w:rsidRPr="00B05A21" w:rsidRDefault="00CC7B90" w:rsidP="00CF7D13">
      <w:pPr>
        <w:pStyle w:val="BulletText1"/>
        <w:numPr>
          <w:ilvl w:val="0"/>
          <w:numId w:val="16"/>
        </w:numPr>
        <w:tabs>
          <w:tab w:val="left" w:pos="9163"/>
        </w:tabs>
        <w:rPr>
          <w:rFonts w:ascii="Arial" w:hAnsi="Arial" w:cs="Arial"/>
          <w:szCs w:val="24"/>
        </w:rPr>
      </w:pPr>
      <w:r w:rsidRPr="00B05A21">
        <w:rPr>
          <w:rFonts w:ascii="Arial" w:hAnsi="Arial" w:cs="Arial"/>
          <w:szCs w:val="24"/>
        </w:rPr>
        <w:t>Accepting directly or indirectly any gift, including money or equipment, meals, lodging, transportation, entertainment, service, gratuity, favor, hospitality, loan, or any other thing of value from anyone who is doing or seeking to do business with the department you represent.</w:t>
      </w:r>
    </w:p>
    <w:p w:rsidR="00CC7B90" w:rsidRPr="00B05A21" w:rsidRDefault="00CC7B90" w:rsidP="00CF7D13">
      <w:pPr>
        <w:pStyle w:val="BulletText1"/>
        <w:numPr>
          <w:ilvl w:val="0"/>
          <w:numId w:val="16"/>
        </w:numPr>
        <w:tabs>
          <w:tab w:val="left" w:pos="9163"/>
        </w:tabs>
        <w:rPr>
          <w:rFonts w:ascii="Arial" w:hAnsi="Arial" w:cs="Arial"/>
          <w:szCs w:val="24"/>
        </w:rPr>
      </w:pPr>
      <w:r w:rsidRPr="00B05A21">
        <w:rPr>
          <w:rFonts w:ascii="Arial" w:hAnsi="Arial" w:cs="Arial"/>
          <w:szCs w:val="24"/>
        </w:rPr>
        <w:t>Using their position in state government to bestow any preferential benefit on anyone related to them by family, business or social relationship.</w:t>
      </w:r>
    </w:p>
    <w:p w:rsidR="00CC7B90" w:rsidRPr="00B05A21" w:rsidRDefault="00CC7B90" w:rsidP="00CF7D13">
      <w:pPr>
        <w:pStyle w:val="BulletText1"/>
        <w:numPr>
          <w:ilvl w:val="0"/>
          <w:numId w:val="16"/>
        </w:numPr>
        <w:tabs>
          <w:tab w:val="left" w:pos="9163"/>
        </w:tabs>
        <w:rPr>
          <w:rFonts w:ascii="Arial" w:hAnsi="Arial" w:cs="Arial"/>
          <w:szCs w:val="24"/>
        </w:rPr>
      </w:pPr>
      <w:r w:rsidRPr="00B05A21">
        <w:rPr>
          <w:rFonts w:ascii="Arial" w:hAnsi="Arial" w:cs="Arial"/>
          <w:szCs w:val="24"/>
        </w:rPr>
        <w:t>Situations that create the appearance of questionable or unethical practices.</w:t>
      </w:r>
    </w:p>
    <w:p w:rsidR="003A6026" w:rsidRPr="00B05A21" w:rsidRDefault="003A6026" w:rsidP="003A6026">
      <w:pPr>
        <w:pStyle w:val="BlockLine"/>
        <w:tabs>
          <w:tab w:val="left" w:pos="2655"/>
        </w:tabs>
        <w:rPr>
          <w:rFonts w:ascii="Arial" w:hAnsi="Arial" w:cs="Arial"/>
          <w:szCs w:val="24"/>
        </w:rPr>
      </w:pPr>
      <w:r w:rsidRPr="00B05A21">
        <w:rPr>
          <w:rFonts w:ascii="Arial" w:hAnsi="Arial" w:cs="Arial"/>
          <w:szCs w:val="24"/>
        </w:rPr>
        <w:tab/>
      </w:r>
    </w:p>
    <w:p w:rsidR="00CC7B90" w:rsidRPr="00B05A21" w:rsidRDefault="00CC7B90" w:rsidP="00CC7B90">
      <w:pPr>
        <w:pStyle w:val="Heading3"/>
        <w:spacing w:after="120"/>
        <w:jc w:val="left"/>
        <w:rPr>
          <w:rFonts w:cs="Arial"/>
          <w:bCs/>
          <w:sz w:val="24"/>
          <w:szCs w:val="24"/>
        </w:rPr>
      </w:pPr>
      <w:bookmarkStart w:id="69" w:name="_Toc243798746"/>
      <w:bookmarkStart w:id="70" w:name="_Toc12885927"/>
      <w:bookmarkEnd w:id="65"/>
      <w:bookmarkEnd w:id="66"/>
      <w:r w:rsidRPr="00B05A21">
        <w:rPr>
          <w:rFonts w:cs="Arial"/>
          <w:bCs/>
          <w:sz w:val="24"/>
          <w:szCs w:val="24"/>
        </w:rPr>
        <w:t>2.A2.1   Consider the consequence</w:t>
      </w:r>
      <w:bookmarkEnd w:id="69"/>
      <w:bookmarkEnd w:id="70"/>
    </w:p>
    <w:p w:rsidR="00CC7B90" w:rsidRPr="00B05A21" w:rsidRDefault="00CC7B90" w:rsidP="00740F1E">
      <w:pPr>
        <w:pStyle w:val="BlockText0"/>
        <w:rPr>
          <w:rFonts w:ascii="Arial" w:hAnsi="Arial" w:cs="Arial"/>
          <w:szCs w:val="24"/>
        </w:rPr>
      </w:pPr>
      <w:r w:rsidRPr="00B05A21">
        <w:rPr>
          <w:rFonts w:ascii="Arial" w:hAnsi="Arial" w:cs="Arial"/>
          <w:szCs w:val="24"/>
        </w:rPr>
        <w:t>Buyers, after reviewing the incompatible activities policy, are encouraged to answer the following questions when dealing with suppliers who may offer gifts or gratuities:</w:t>
      </w:r>
    </w:p>
    <w:p w:rsidR="00CC7B90" w:rsidRPr="00B05A21" w:rsidRDefault="00CC7B90" w:rsidP="00740F1E">
      <w:pPr>
        <w:pStyle w:val="BulletText1"/>
        <w:tabs>
          <w:tab w:val="clear" w:pos="173"/>
          <w:tab w:val="num" w:pos="374"/>
        </w:tabs>
        <w:ind w:left="374" w:hanging="374"/>
        <w:rPr>
          <w:rFonts w:ascii="Arial" w:hAnsi="Arial" w:cs="Arial"/>
          <w:szCs w:val="24"/>
        </w:rPr>
      </w:pPr>
      <w:r w:rsidRPr="00B05A21">
        <w:rPr>
          <w:rFonts w:ascii="Arial" w:hAnsi="Arial" w:cs="Arial"/>
          <w:szCs w:val="24"/>
        </w:rPr>
        <w:t>Will I violate a law or department policy if I accept this gift?</w:t>
      </w:r>
    </w:p>
    <w:p w:rsidR="00CC7B90" w:rsidRPr="00B05A21" w:rsidRDefault="00CC7B90" w:rsidP="00740F1E">
      <w:pPr>
        <w:pStyle w:val="BulletText1"/>
        <w:tabs>
          <w:tab w:val="clear" w:pos="173"/>
          <w:tab w:val="num" w:pos="374"/>
        </w:tabs>
        <w:ind w:left="374" w:hanging="374"/>
        <w:rPr>
          <w:rFonts w:ascii="Arial" w:hAnsi="Arial" w:cs="Arial"/>
          <w:szCs w:val="24"/>
        </w:rPr>
      </w:pPr>
      <w:r w:rsidRPr="00B05A21">
        <w:rPr>
          <w:rFonts w:ascii="Arial" w:hAnsi="Arial" w:cs="Arial"/>
          <w:szCs w:val="24"/>
        </w:rPr>
        <w:t>What is the intent of the gift?</w:t>
      </w:r>
    </w:p>
    <w:p w:rsidR="00CC7B90" w:rsidRPr="00B05A21" w:rsidRDefault="00CC7B90" w:rsidP="00740F1E">
      <w:pPr>
        <w:pStyle w:val="BulletText1"/>
        <w:tabs>
          <w:tab w:val="clear" w:pos="173"/>
          <w:tab w:val="num" w:pos="374"/>
        </w:tabs>
        <w:ind w:left="374" w:hanging="374"/>
        <w:rPr>
          <w:rFonts w:ascii="Arial" w:hAnsi="Arial" w:cs="Arial"/>
          <w:szCs w:val="24"/>
        </w:rPr>
      </w:pPr>
      <w:r w:rsidRPr="00B05A21">
        <w:rPr>
          <w:rFonts w:ascii="Arial" w:hAnsi="Arial" w:cs="Arial"/>
          <w:szCs w:val="24"/>
        </w:rPr>
        <w:t>Do I or my relatives or friends benefit from the gift?</w:t>
      </w:r>
    </w:p>
    <w:p w:rsidR="00CC7B90" w:rsidRPr="00B05A21" w:rsidRDefault="00CC7B90" w:rsidP="00740F1E">
      <w:pPr>
        <w:pStyle w:val="BulletText1"/>
        <w:tabs>
          <w:tab w:val="clear" w:pos="173"/>
          <w:tab w:val="num" w:pos="374"/>
        </w:tabs>
        <w:ind w:left="374" w:hanging="374"/>
        <w:rPr>
          <w:rFonts w:ascii="Arial" w:hAnsi="Arial" w:cs="Arial"/>
          <w:szCs w:val="24"/>
        </w:rPr>
      </w:pPr>
      <w:r w:rsidRPr="00B05A21">
        <w:rPr>
          <w:rFonts w:ascii="Arial" w:hAnsi="Arial" w:cs="Arial"/>
          <w:szCs w:val="24"/>
        </w:rPr>
        <w:t>Would I mind seeing acceptance of the gift publicized in the news media?</w:t>
      </w:r>
    </w:p>
    <w:p w:rsidR="00CC7B90" w:rsidRPr="00B05A21" w:rsidRDefault="00CC7B90" w:rsidP="00CF7D13">
      <w:pPr>
        <w:pStyle w:val="BulletText1"/>
        <w:numPr>
          <w:ilvl w:val="0"/>
          <w:numId w:val="16"/>
        </w:numPr>
        <w:tabs>
          <w:tab w:val="num" w:pos="329"/>
          <w:tab w:val="num" w:pos="374"/>
        </w:tabs>
        <w:ind w:left="374" w:hanging="374"/>
        <w:rPr>
          <w:rFonts w:ascii="Arial" w:hAnsi="Arial" w:cs="Arial"/>
          <w:szCs w:val="24"/>
        </w:rPr>
      </w:pPr>
      <w:r w:rsidRPr="00B05A21">
        <w:rPr>
          <w:rFonts w:ascii="Arial" w:hAnsi="Arial" w:cs="Arial"/>
          <w:szCs w:val="24"/>
        </w:rPr>
        <w:t xml:space="preserve"> How will accepting this gift be interpreted by others?</w:t>
      </w:r>
    </w:p>
    <w:p w:rsidR="003A6026" w:rsidRPr="00B05A21" w:rsidRDefault="003A6026" w:rsidP="003A6026">
      <w:pPr>
        <w:pStyle w:val="BlockLine"/>
        <w:tabs>
          <w:tab w:val="left" w:pos="2655"/>
        </w:tabs>
        <w:rPr>
          <w:rFonts w:ascii="Arial" w:hAnsi="Arial" w:cs="Arial"/>
          <w:szCs w:val="24"/>
        </w:rPr>
      </w:pPr>
    </w:p>
    <w:p w:rsidR="00CC7B90" w:rsidRPr="00B05A21" w:rsidRDefault="00CC7B90" w:rsidP="005628DA">
      <w:pPr>
        <w:pStyle w:val="Heading3"/>
        <w:spacing w:after="120"/>
        <w:jc w:val="left"/>
        <w:rPr>
          <w:rFonts w:cs="Arial"/>
          <w:b w:val="0"/>
          <w:color w:val="0000FF"/>
          <w:sz w:val="24"/>
          <w:szCs w:val="24"/>
          <w:u w:val="single"/>
        </w:rPr>
      </w:pPr>
      <w:bookmarkStart w:id="71" w:name="_Toc243798747"/>
      <w:bookmarkStart w:id="72" w:name="_Toc12885928"/>
      <w:r w:rsidRPr="00B05A21">
        <w:rPr>
          <w:rFonts w:cs="Arial"/>
          <w:bCs/>
          <w:sz w:val="24"/>
          <w:szCs w:val="24"/>
        </w:rPr>
        <w:t>2.A2.2   Avoid making a gift of public funds</w:t>
      </w:r>
      <w:bookmarkEnd w:id="71"/>
      <w:r w:rsidR="005628DA">
        <w:rPr>
          <w:rFonts w:cs="Arial"/>
          <w:bCs/>
          <w:sz w:val="24"/>
          <w:szCs w:val="24"/>
        </w:rPr>
        <w:t xml:space="preserve"> </w:t>
      </w:r>
      <w:r w:rsidRPr="00CA5776">
        <w:rPr>
          <w:rFonts w:cs="Arial"/>
          <w:b w:val="0"/>
          <w:sz w:val="24"/>
          <w:szCs w:val="24"/>
        </w:rPr>
        <w:t>(rev 3/11)</w:t>
      </w:r>
      <w:bookmarkEnd w:id="72"/>
    </w:p>
    <w:p w:rsidR="00CC7B90" w:rsidRPr="00B05A21" w:rsidRDefault="00CC7B90" w:rsidP="003A6026">
      <w:pPr>
        <w:pStyle w:val="BlockText0"/>
        <w:rPr>
          <w:rFonts w:ascii="Arial" w:hAnsi="Arial" w:cs="Arial"/>
          <w:szCs w:val="24"/>
        </w:rPr>
      </w:pPr>
      <w:r w:rsidRPr="00B05A21">
        <w:rPr>
          <w:rFonts w:ascii="Arial" w:hAnsi="Arial" w:cs="Arial"/>
          <w:szCs w:val="24"/>
        </w:rPr>
        <w:t xml:space="preserve">In accordance with the California State Constitution, Article 16, section 6, any gift of public funds is strictly prohibited.  To not be considered gifts of public funds, all expenditures must support the department’s mission (function and purpose) and benefit the State. </w:t>
      </w:r>
    </w:p>
    <w:p w:rsidR="00CC7B90" w:rsidRPr="00B05A21" w:rsidRDefault="00CC7B90" w:rsidP="003A6026">
      <w:pPr>
        <w:pStyle w:val="BlockText0"/>
        <w:rPr>
          <w:rFonts w:ascii="Arial" w:hAnsi="Arial" w:cs="Arial"/>
          <w:szCs w:val="24"/>
        </w:rPr>
      </w:pPr>
    </w:p>
    <w:p w:rsidR="00CC7B90" w:rsidRPr="00B05A21" w:rsidRDefault="00CC7B90" w:rsidP="003A6026">
      <w:pPr>
        <w:pStyle w:val="BlockText0"/>
        <w:rPr>
          <w:rFonts w:ascii="Arial" w:hAnsi="Arial" w:cs="Arial"/>
          <w:szCs w:val="24"/>
        </w:rPr>
      </w:pPr>
      <w:r w:rsidRPr="00B05A21">
        <w:rPr>
          <w:rFonts w:ascii="Arial" w:hAnsi="Arial" w:cs="Arial"/>
          <w:szCs w:val="24"/>
        </w:rPr>
        <w:t>This includes any advance payments or pre-payments made to a contractor before work has been performed or to a supplier before all products or services have been received.  See Chapter 9 for additional information.</w:t>
      </w:r>
      <w:r w:rsidRPr="00B05A21">
        <w:rPr>
          <w:rFonts w:ascii="Arial" w:hAnsi="Arial" w:cs="Arial"/>
          <w:szCs w:val="24"/>
        </w:rPr>
        <w:br/>
      </w:r>
    </w:p>
    <w:p w:rsidR="00CC7B90" w:rsidRPr="00B05A21" w:rsidRDefault="00CC7B90" w:rsidP="00740F1E">
      <w:pPr>
        <w:pStyle w:val="BulletText1"/>
        <w:numPr>
          <w:ilvl w:val="0"/>
          <w:numId w:val="0"/>
        </w:numPr>
        <w:rPr>
          <w:rFonts w:ascii="Arial" w:hAnsi="Arial" w:cs="Arial"/>
          <w:szCs w:val="24"/>
        </w:rPr>
      </w:pPr>
      <w:r w:rsidRPr="00B05A21">
        <w:rPr>
          <w:rFonts w:ascii="Arial" w:hAnsi="Arial" w:cs="Arial"/>
          <w:b/>
          <w:szCs w:val="24"/>
        </w:rPr>
        <w:t>Note:</w:t>
      </w:r>
      <w:r w:rsidRPr="00B05A21">
        <w:rPr>
          <w:rFonts w:ascii="Arial" w:hAnsi="Arial" w:cs="Arial"/>
          <w:szCs w:val="24"/>
        </w:rPr>
        <w:t xml:space="preserve">  Per the Governor’s memo dated 2/18/11, all state agencies and departments must stop spending taxpayer dollars on free giveaway and gift items (such as key chains, squeeze toys, pens, hats, trinkets, shirts, cups and other gift items).</w:t>
      </w:r>
    </w:p>
    <w:p w:rsidR="003A6026" w:rsidRPr="00B05A21" w:rsidRDefault="003A6026" w:rsidP="003A6026">
      <w:pPr>
        <w:pStyle w:val="BlockLine"/>
        <w:tabs>
          <w:tab w:val="left" w:pos="2655"/>
        </w:tabs>
        <w:rPr>
          <w:rFonts w:ascii="Arial" w:hAnsi="Arial" w:cs="Arial"/>
          <w:szCs w:val="24"/>
        </w:rPr>
      </w:pPr>
      <w:r w:rsidRPr="00B05A21">
        <w:rPr>
          <w:rFonts w:ascii="Arial" w:hAnsi="Arial" w:cs="Arial"/>
          <w:szCs w:val="24"/>
        </w:rPr>
        <w:tab/>
      </w:r>
    </w:p>
    <w:p w:rsidR="00CC7B90" w:rsidRPr="00B05A21" w:rsidRDefault="00CC7B90" w:rsidP="00CC7B90">
      <w:pPr>
        <w:pStyle w:val="Heading3"/>
        <w:spacing w:after="120"/>
        <w:jc w:val="left"/>
        <w:rPr>
          <w:rFonts w:cs="Arial"/>
          <w:bCs/>
          <w:sz w:val="24"/>
          <w:szCs w:val="24"/>
        </w:rPr>
      </w:pPr>
      <w:bookmarkStart w:id="73" w:name="_Toc12885929"/>
      <w:r w:rsidRPr="00B05A21">
        <w:rPr>
          <w:rFonts w:cs="Arial"/>
          <w:bCs/>
          <w:sz w:val="24"/>
          <w:szCs w:val="24"/>
        </w:rPr>
        <w:t>2.A2.3   Accepting free or loaner equipment from suppliers</w:t>
      </w:r>
      <w:bookmarkEnd w:id="73"/>
    </w:p>
    <w:p w:rsidR="00CC7B90" w:rsidRPr="00B05A21" w:rsidRDefault="00CC7B90" w:rsidP="003A6026">
      <w:pPr>
        <w:pStyle w:val="BulletText1"/>
        <w:numPr>
          <w:ilvl w:val="0"/>
          <w:numId w:val="0"/>
        </w:numPr>
        <w:rPr>
          <w:rFonts w:ascii="Arial" w:hAnsi="Arial" w:cs="Arial"/>
          <w:szCs w:val="24"/>
        </w:rPr>
      </w:pPr>
      <w:r w:rsidRPr="00B05A21">
        <w:rPr>
          <w:rFonts w:ascii="Arial" w:hAnsi="Arial" w:cs="Arial"/>
          <w:szCs w:val="24"/>
        </w:rPr>
        <w:lastRenderedPageBreak/>
        <w:t>Offers from suppliers of goods or services without cost or obligation to the State should not be accepted.  If a decision is made contrary to this recommendation, the agreement must be documented by execution of a purchase document.</w:t>
      </w:r>
    </w:p>
    <w:p w:rsidR="003A6026" w:rsidRPr="00B05A21" w:rsidRDefault="003A6026" w:rsidP="003A6026">
      <w:pPr>
        <w:pStyle w:val="BlockLine"/>
        <w:tabs>
          <w:tab w:val="left" w:pos="2655"/>
        </w:tabs>
        <w:rPr>
          <w:rFonts w:ascii="Arial" w:hAnsi="Arial" w:cs="Arial"/>
          <w:szCs w:val="24"/>
        </w:rPr>
      </w:pPr>
      <w:r w:rsidRPr="00B05A21">
        <w:rPr>
          <w:rFonts w:ascii="Arial" w:hAnsi="Arial" w:cs="Arial"/>
          <w:szCs w:val="24"/>
        </w:rPr>
        <w:tab/>
      </w:r>
    </w:p>
    <w:p w:rsidR="00CC7B90" w:rsidRPr="00B05A21" w:rsidRDefault="00CC7B90" w:rsidP="00CC7B90">
      <w:pPr>
        <w:pStyle w:val="Heading3"/>
        <w:spacing w:after="120"/>
        <w:jc w:val="left"/>
        <w:rPr>
          <w:rFonts w:cs="Arial"/>
          <w:bCs/>
          <w:sz w:val="24"/>
          <w:szCs w:val="24"/>
        </w:rPr>
      </w:pPr>
      <w:bookmarkStart w:id="74" w:name="_Toc12885930"/>
      <w:r w:rsidRPr="00B05A21">
        <w:rPr>
          <w:rFonts w:cs="Arial"/>
          <w:bCs/>
          <w:sz w:val="24"/>
          <w:szCs w:val="24"/>
        </w:rPr>
        <w:t>2.A2.4   Consider before accepting</w:t>
      </w:r>
      <w:bookmarkEnd w:id="74"/>
    </w:p>
    <w:p w:rsidR="00CC7B90" w:rsidRPr="00B05A21" w:rsidRDefault="00CC7B90" w:rsidP="003A6026">
      <w:pPr>
        <w:pStyle w:val="BlockText0"/>
        <w:rPr>
          <w:rFonts w:ascii="Arial" w:hAnsi="Arial" w:cs="Arial"/>
          <w:szCs w:val="24"/>
        </w:rPr>
      </w:pPr>
      <w:r w:rsidRPr="00B05A21">
        <w:rPr>
          <w:rFonts w:ascii="Arial" w:hAnsi="Arial" w:cs="Arial"/>
          <w:szCs w:val="24"/>
        </w:rPr>
        <w:t>Before accepting any suppliers’ goods and/or services offered at no cost or obligation the perception of the acceptance to other suppliers must be considered, i.e., how does the department remain fair and impartial if a decision is eventually made to solicit the product?</w:t>
      </w:r>
    </w:p>
    <w:p w:rsidR="00CC7B90" w:rsidRPr="00B05A21" w:rsidRDefault="00CC7B90" w:rsidP="003A6026">
      <w:pPr>
        <w:pStyle w:val="BlockText0"/>
        <w:rPr>
          <w:rFonts w:ascii="Arial" w:hAnsi="Arial" w:cs="Arial"/>
          <w:szCs w:val="24"/>
        </w:rPr>
      </w:pPr>
    </w:p>
    <w:p w:rsidR="00CC7B90" w:rsidRPr="00B05A21" w:rsidRDefault="00CC7B90" w:rsidP="00740F1E">
      <w:pPr>
        <w:pStyle w:val="BulletText1"/>
        <w:numPr>
          <w:ilvl w:val="0"/>
          <w:numId w:val="0"/>
        </w:numPr>
        <w:rPr>
          <w:rFonts w:ascii="Arial" w:hAnsi="Arial" w:cs="Arial"/>
          <w:szCs w:val="24"/>
        </w:rPr>
      </w:pPr>
      <w:r w:rsidRPr="00B05A21">
        <w:rPr>
          <w:rFonts w:ascii="Arial" w:hAnsi="Arial" w:cs="Arial"/>
          <w:b/>
          <w:bCs/>
          <w:szCs w:val="24"/>
        </w:rPr>
        <w:t>Warning:</w:t>
      </w:r>
      <w:r w:rsidRPr="00B05A21">
        <w:rPr>
          <w:rFonts w:ascii="Arial" w:hAnsi="Arial" w:cs="Arial"/>
          <w:szCs w:val="24"/>
        </w:rPr>
        <w:t xml:space="preserve">  If a decision is made to accept free equipment, the purchase document must state that by accepting the equipment at no cost, the State has no further obligations or hidden costs associated with acceptance.</w:t>
      </w:r>
    </w:p>
    <w:p w:rsidR="003A6026" w:rsidRPr="00B05A21" w:rsidRDefault="003A6026" w:rsidP="003A6026">
      <w:pPr>
        <w:pStyle w:val="BlockLine"/>
        <w:tabs>
          <w:tab w:val="left" w:pos="2655"/>
        </w:tabs>
        <w:rPr>
          <w:rFonts w:ascii="Arial" w:hAnsi="Arial" w:cs="Arial"/>
          <w:szCs w:val="24"/>
        </w:rPr>
      </w:pPr>
      <w:r w:rsidRPr="00B05A21">
        <w:rPr>
          <w:rFonts w:ascii="Arial" w:hAnsi="Arial" w:cs="Arial"/>
          <w:szCs w:val="24"/>
        </w:rPr>
        <w:tab/>
      </w:r>
    </w:p>
    <w:p w:rsidR="00995E87" w:rsidRPr="003551BF" w:rsidRDefault="00AF0281" w:rsidP="00CC7B90">
      <w:pPr>
        <w:pStyle w:val="Heading1"/>
        <w:spacing w:after="120"/>
        <w:rPr>
          <w:rFonts w:cs="Arial"/>
          <w:szCs w:val="32"/>
        </w:rPr>
      </w:pPr>
      <w:bookmarkStart w:id="75" w:name="_1.A2.3__Examples_of_Gifts_of_Public"/>
      <w:bookmarkStart w:id="76" w:name="_1.A2.4_Example_of_an_Acceptable_Use"/>
      <w:bookmarkStart w:id="77" w:name="_1.A2.5_Accepting_Free_or_Loaner_Equ"/>
      <w:bookmarkStart w:id="78" w:name="_1.A2.6_Consider_Before_Accepting"/>
      <w:bookmarkStart w:id="79" w:name="_Section_B"/>
      <w:bookmarkEnd w:id="75"/>
      <w:bookmarkEnd w:id="76"/>
      <w:bookmarkEnd w:id="77"/>
      <w:bookmarkEnd w:id="78"/>
      <w:bookmarkEnd w:id="79"/>
      <w:r w:rsidRPr="00B05A21">
        <w:rPr>
          <w:rFonts w:cs="Arial"/>
          <w:sz w:val="24"/>
          <w:szCs w:val="24"/>
        </w:rPr>
        <w:br w:type="page"/>
      </w:r>
      <w:bookmarkStart w:id="80" w:name="_Toc243798752"/>
      <w:bookmarkStart w:id="81" w:name="_Toc12885931"/>
      <w:bookmarkStart w:id="82" w:name="_Toc83450111"/>
      <w:bookmarkStart w:id="83" w:name="_Toc116951907"/>
      <w:r w:rsidR="00995E87" w:rsidRPr="003551BF">
        <w:rPr>
          <w:rFonts w:cs="Arial"/>
          <w:szCs w:val="32"/>
        </w:rPr>
        <w:lastRenderedPageBreak/>
        <w:t>Section B</w:t>
      </w:r>
      <w:bookmarkEnd w:id="80"/>
      <w:bookmarkEnd w:id="81"/>
    </w:p>
    <w:p w:rsidR="00995E87" w:rsidRDefault="00995E87" w:rsidP="00CC7B90">
      <w:pPr>
        <w:pStyle w:val="Heading1"/>
        <w:spacing w:after="120"/>
        <w:rPr>
          <w:rFonts w:cs="Arial"/>
          <w:szCs w:val="32"/>
        </w:rPr>
      </w:pPr>
      <w:bookmarkStart w:id="84" w:name="_Toc243797575"/>
      <w:bookmarkStart w:id="85" w:name="_Toc243798753"/>
      <w:bookmarkStart w:id="86" w:name="_Toc250015508"/>
      <w:bookmarkStart w:id="87" w:name="_Toc250016274"/>
      <w:bookmarkStart w:id="88" w:name="_Toc12885932"/>
      <w:r w:rsidRPr="003551BF">
        <w:rPr>
          <w:rFonts w:cs="Arial"/>
          <w:szCs w:val="32"/>
        </w:rPr>
        <w:t>Formulating the Acquisition Approach</w:t>
      </w:r>
      <w:bookmarkEnd w:id="84"/>
      <w:bookmarkEnd w:id="85"/>
      <w:bookmarkEnd w:id="86"/>
      <w:bookmarkEnd w:id="87"/>
      <w:bookmarkEnd w:id="88"/>
    </w:p>
    <w:p w:rsidR="00B0002F" w:rsidRPr="00B0002F" w:rsidRDefault="00B0002F" w:rsidP="00B0002F">
      <w:pPr>
        <w:pStyle w:val="Heading4"/>
      </w:pPr>
    </w:p>
    <w:p w:rsidR="00995E87" w:rsidRPr="00B05A21" w:rsidRDefault="00995E87" w:rsidP="00CC7B90">
      <w:pPr>
        <w:pStyle w:val="Heading3"/>
        <w:spacing w:after="120"/>
        <w:jc w:val="left"/>
        <w:rPr>
          <w:rFonts w:cs="Arial"/>
          <w:bCs/>
          <w:sz w:val="24"/>
          <w:szCs w:val="24"/>
        </w:rPr>
      </w:pPr>
      <w:bookmarkStart w:id="89" w:name="_Toc243798754"/>
      <w:bookmarkStart w:id="90" w:name="_Toc12885933"/>
      <w:r w:rsidRPr="00B05A21">
        <w:rPr>
          <w:rFonts w:cs="Arial"/>
          <w:bCs/>
          <w:sz w:val="24"/>
          <w:szCs w:val="24"/>
        </w:rPr>
        <w:t>Overview</w:t>
      </w:r>
      <w:bookmarkEnd w:id="89"/>
      <w:bookmarkEnd w:id="90"/>
      <w:r w:rsidRPr="00B05A21">
        <w:rPr>
          <w:rFonts w:cs="Arial"/>
          <w:bCs/>
          <w:sz w:val="24"/>
          <w:szCs w:val="24"/>
        </w:rPr>
        <w:t xml:space="preserve"> </w:t>
      </w:r>
    </w:p>
    <w:p w:rsidR="00995E87" w:rsidRPr="00B05A21" w:rsidRDefault="00995E87" w:rsidP="00995E87">
      <w:pPr>
        <w:pStyle w:val="BlockLine"/>
        <w:rPr>
          <w:rFonts w:ascii="Arial" w:hAnsi="Arial" w:cs="Arial"/>
          <w:szCs w:val="24"/>
        </w:rPr>
      </w:pPr>
    </w:p>
    <w:p w:rsidR="00CC7B90" w:rsidRPr="00B05A21" w:rsidRDefault="00CC7B90" w:rsidP="00CC7B90">
      <w:pPr>
        <w:pStyle w:val="Heading3"/>
        <w:spacing w:after="120"/>
        <w:jc w:val="left"/>
        <w:rPr>
          <w:rFonts w:cs="Arial"/>
          <w:bCs/>
          <w:sz w:val="24"/>
          <w:szCs w:val="24"/>
        </w:rPr>
      </w:pPr>
      <w:bookmarkStart w:id="91" w:name="_Toc243798755"/>
      <w:bookmarkStart w:id="92" w:name="_Toc12885934"/>
      <w:r w:rsidRPr="00B05A21">
        <w:rPr>
          <w:rFonts w:cs="Arial"/>
          <w:bCs/>
          <w:sz w:val="24"/>
          <w:szCs w:val="24"/>
        </w:rPr>
        <w:t>Introduction</w:t>
      </w:r>
      <w:bookmarkEnd w:id="91"/>
      <w:bookmarkEnd w:id="92"/>
    </w:p>
    <w:p w:rsidR="00CC7B90" w:rsidRPr="00B05A21" w:rsidRDefault="00CC7B90" w:rsidP="00995E87">
      <w:pPr>
        <w:pStyle w:val="BlockText0"/>
        <w:rPr>
          <w:rFonts w:ascii="Arial" w:hAnsi="Arial" w:cs="Arial"/>
          <w:szCs w:val="24"/>
        </w:rPr>
      </w:pPr>
      <w:r w:rsidRPr="00B05A21">
        <w:rPr>
          <w:rFonts w:ascii="Arial" w:hAnsi="Arial" w:cs="Arial"/>
          <w:szCs w:val="24"/>
        </w:rPr>
        <w:t>There are four major areas to consider when planning a purchase activity.  Buyers must correctly determine:</w:t>
      </w:r>
    </w:p>
    <w:p w:rsidR="00CC7B90" w:rsidRPr="00B05A21" w:rsidRDefault="00CC7B90" w:rsidP="00CF7D13">
      <w:pPr>
        <w:pStyle w:val="BulletText1"/>
        <w:numPr>
          <w:ilvl w:val="0"/>
          <w:numId w:val="17"/>
        </w:numPr>
        <w:rPr>
          <w:rFonts w:ascii="Arial" w:hAnsi="Arial" w:cs="Arial"/>
          <w:szCs w:val="24"/>
        </w:rPr>
      </w:pPr>
      <w:r w:rsidRPr="00B05A21">
        <w:rPr>
          <w:rFonts w:ascii="Arial" w:hAnsi="Arial" w:cs="Arial"/>
          <w:szCs w:val="24"/>
        </w:rPr>
        <w:t>The estimated dollar value of the procurement</w:t>
      </w:r>
    </w:p>
    <w:p w:rsidR="00CC7B90" w:rsidRPr="00B05A21" w:rsidRDefault="00CC7B90" w:rsidP="00CF7D13">
      <w:pPr>
        <w:pStyle w:val="BulletText1"/>
        <w:numPr>
          <w:ilvl w:val="0"/>
          <w:numId w:val="17"/>
        </w:numPr>
        <w:rPr>
          <w:rFonts w:ascii="Arial" w:hAnsi="Arial" w:cs="Arial"/>
          <w:szCs w:val="24"/>
        </w:rPr>
      </w:pPr>
      <w:r w:rsidRPr="00B05A21">
        <w:rPr>
          <w:rFonts w:ascii="Arial" w:hAnsi="Arial" w:cs="Arial"/>
          <w:szCs w:val="24"/>
        </w:rPr>
        <w:t>The class of purchase (IT vs. non-IT goods or services)</w:t>
      </w:r>
    </w:p>
    <w:p w:rsidR="00CC7B90" w:rsidRPr="00B05A21" w:rsidRDefault="00CC7B90" w:rsidP="00CF7D13">
      <w:pPr>
        <w:pStyle w:val="BulletText1"/>
        <w:numPr>
          <w:ilvl w:val="0"/>
          <w:numId w:val="17"/>
        </w:numPr>
        <w:rPr>
          <w:rFonts w:ascii="Arial" w:hAnsi="Arial" w:cs="Arial"/>
          <w:szCs w:val="24"/>
        </w:rPr>
      </w:pPr>
      <w:r w:rsidRPr="00B05A21">
        <w:rPr>
          <w:rFonts w:ascii="Arial" w:hAnsi="Arial" w:cs="Arial"/>
          <w:szCs w:val="24"/>
        </w:rPr>
        <w:t xml:space="preserve">What pre-procurement review and approvals are necessary either by State purchasing policies or departmental policies and procedures </w:t>
      </w:r>
    </w:p>
    <w:p w:rsidR="00CC7B90" w:rsidRPr="00B05A21" w:rsidRDefault="00CC7B90" w:rsidP="00CF7D13">
      <w:pPr>
        <w:pStyle w:val="BulletText1"/>
        <w:numPr>
          <w:ilvl w:val="0"/>
          <w:numId w:val="17"/>
        </w:numPr>
        <w:rPr>
          <w:rFonts w:ascii="Arial" w:hAnsi="Arial" w:cs="Arial"/>
          <w:szCs w:val="24"/>
        </w:rPr>
      </w:pPr>
      <w:r w:rsidRPr="00B05A21">
        <w:rPr>
          <w:rFonts w:ascii="Arial" w:hAnsi="Arial" w:cs="Arial"/>
          <w:szCs w:val="24"/>
        </w:rPr>
        <w:t>The most appropriate acquisition approach (i.e. competitive, noncompetitive, an existing source such as a leveraged procurement agreement [LPA] order)</w:t>
      </w:r>
      <w:r w:rsidRPr="00B05A21">
        <w:rPr>
          <w:rFonts w:ascii="Arial" w:hAnsi="Arial" w:cs="Arial"/>
          <w:szCs w:val="24"/>
        </w:rPr>
        <w:br/>
      </w:r>
    </w:p>
    <w:p w:rsidR="00CC7B90" w:rsidRPr="00B05A21" w:rsidRDefault="00CC7B90" w:rsidP="00740F1E">
      <w:pPr>
        <w:pStyle w:val="BlockText0"/>
        <w:rPr>
          <w:rFonts w:ascii="Arial" w:hAnsi="Arial" w:cs="Arial"/>
          <w:szCs w:val="24"/>
        </w:rPr>
      </w:pPr>
      <w:r w:rsidRPr="00B05A21">
        <w:rPr>
          <w:rFonts w:ascii="Arial" w:hAnsi="Arial" w:cs="Arial"/>
          <w:szCs w:val="24"/>
        </w:rPr>
        <w:t>This section provides the necessary information to begin the planning and scheduling of the procurement process.</w:t>
      </w:r>
    </w:p>
    <w:p w:rsidR="00995E87" w:rsidRPr="00B05A21" w:rsidRDefault="00995E87" w:rsidP="00995E87">
      <w:pPr>
        <w:pStyle w:val="BlockLine"/>
        <w:rPr>
          <w:rFonts w:ascii="Arial" w:hAnsi="Arial" w:cs="Arial"/>
          <w:szCs w:val="24"/>
        </w:rPr>
      </w:pPr>
    </w:p>
    <w:p w:rsidR="00712A18" w:rsidRPr="00B05A21" w:rsidRDefault="00712A18" w:rsidP="00712A18">
      <w:pPr>
        <w:pStyle w:val="Heading3"/>
        <w:spacing w:after="120"/>
        <w:jc w:val="left"/>
        <w:rPr>
          <w:rFonts w:cs="Arial"/>
          <w:bCs/>
          <w:sz w:val="24"/>
          <w:szCs w:val="24"/>
        </w:rPr>
      </w:pPr>
      <w:bookmarkStart w:id="93" w:name="_Toc243798756"/>
      <w:bookmarkStart w:id="94" w:name="_Toc12885935"/>
      <w:r w:rsidRPr="00B05A21">
        <w:rPr>
          <w:rFonts w:cs="Arial"/>
          <w:bCs/>
          <w:sz w:val="24"/>
          <w:szCs w:val="24"/>
        </w:rPr>
        <w:t>Contents</w:t>
      </w:r>
      <w:bookmarkEnd w:id="93"/>
      <w:bookmarkEnd w:id="94"/>
    </w:p>
    <w:p w:rsidR="00712A18" w:rsidRPr="00B05A21" w:rsidRDefault="00712A18" w:rsidP="00740F1E">
      <w:pPr>
        <w:pStyle w:val="TOCStem"/>
        <w:rPr>
          <w:rFonts w:ascii="Arial" w:hAnsi="Arial" w:cs="Arial"/>
          <w:szCs w:val="24"/>
        </w:rPr>
      </w:pPr>
      <w:r w:rsidRPr="00B05A21">
        <w:rPr>
          <w:rFonts w:ascii="Arial" w:hAnsi="Arial" w:cs="Arial"/>
          <w:szCs w:val="24"/>
        </w:rPr>
        <w:t>This section contains the following topics:</w:t>
      </w:r>
    </w:p>
    <w:p w:rsidR="00995E87" w:rsidRPr="00B05A21" w:rsidRDefault="00995E87" w:rsidP="00995E87">
      <w:pPr>
        <w:rPr>
          <w:rFonts w:ascii="Arial" w:hAnsi="Arial" w:cs="Arial"/>
        </w:rPr>
      </w:pPr>
    </w:p>
    <w:p w:rsidR="00712A18" w:rsidRPr="00B05A21" w:rsidRDefault="00712A18" w:rsidP="00AE0DAE">
      <w:pPr>
        <w:pStyle w:val="TableText"/>
        <w:rPr>
          <w:rFonts w:ascii="Arial" w:hAnsi="Arial" w:cs="Arial"/>
          <w:szCs w:val="24"/>
        </w:rPr>
      </w:pPr>
      <w:r w:rsidRPr="00B05A21">
        <w:rPr>
          <w:rFonts w:ascii="Arial" w:hAnsi="Arial" w:cs="Arial"/>
          <w:szCs w:val="24"/>
        </w:rPr>
        <w:t>Topic 1 – Classifying the Purchase</w:t>
      </w:r>
      <w:r w:rsidR="00AE0DAE" w:rsidRPr="00B05A21">
        <w:rPr>
          <w:rFonts w:ascii="Arial" w:hAnsi="Arial" w:cs="Arial"/>
          <w:szCs w:val="24"/>
        </w:rPr>
        <w:t xml:space="preserve">, See Page </w:t>
      </w:r>
      <w:r w:rsidRPr="00B05A21">
        <w:rPr>
          <w:rFonts w:ascii="Arial" w:hAnsi="Arial" w:cs="Arial"/>
          <w:szCs w:val="24"/>
        </w:rPr>
        <w:t>10</w:t>
      </w:r>
    </w:p>
    <w:p w:rsidR="00712A18" w:rsidRPr="00B05A21" w:rsidRDefault="00712A18" w:rsidP="00AE0DAE">
      <w:pPr>
        <w:pStyle w:val="TableText"/>
        <w:ind w:left="933" w:hanging="933"/>
        <w:rPr>
          <w:rFonts w:ascii="Arial" w:hAnsi="Arial" w:cs="Arial"/>
          <w:szCs w:val="24"/>
        </w:rPr>
      </w:pPr>
      <w:r w:rsidRPr="00B05A21">
        <w:rPr>
          <w:rFonts w:ascii="Arial" w:hAnsi="Arial" w:cs="Arial"/>
          <w:szCs w:val="24"/>
        </w:rPr>
        <w:t>Topic 2 – Understanding Information Technology Goods and Services</w:t>
      </w:r>
      <w:r w:rsidR="00AE0DAE" w:rsidRPr="00B05A21">
        <w:rPr>
          <w:rFonts w:ascii="Arial" w:hAnsi="Arial" w:cs="Arial"/>
          <w:szCs w:val="24"/>
        </w:rPr>
        <w:t xml:space="preserve">, See Page </w:t>
      </w:r>
      <w:r w:rsidRPr="00B05A21">
        <w:rPr>
          <w:rFonts w:ascii="Arial" w:hAnsi="Arial" w:cs="Arial"/>
          <w:szCs w:val="24"/>
        </w:rPr>
        <w:t>12</w:t>
      </w:r>
    </w:p>
    <w:p w:rsidR="00712A18" w:rsidRPr="00B05A21" w:rsidRDefault="00712A18" w:rsidP="00AE0DAE">
      <w:pPr>
        <w:pStyle w:val="TableText"/>
        <w:rPr>
          <w:rFonts w:ascii="Arial" w:hAnsi="Arial" w:cs="Arial"/>
          <w:szCs w:val="24"/>
        </w:rPr>
      </w:pPr>
      <w:r w:rsidRPr="00B05A21">
        <w:rPr>
          <w:rFonts w:ascii="Arial" w:hAnsi="Arial" w:cs="Arial"/>
          <w:szCs w:val="24"/>
        </w:rPr>
        <w:t>Topic 3 – Acquisition Planning</w:t>
      </w:r>
      <w:r w:rsidR="00AE0DAE" w:rsidRPr="00B05A21">
        <w:rPr>
          <w:rFonts w:ascii="Arial" w:hAnsi="Arial" w:cs="Arial"/>
          <w:szCs w:val="24"/>
        </w:rPr>
        <w:t xml:space="preserve">, See Page </w:t>
      </w:r>
      <w:r w:rsidRPr="00B05A21">
        <w:rPr>
          <w:rFonts w:ascii="Arial" w:hAnsi="Arial" w:cs="Arial"/>
          <w:szCs w:val="24"/>
        </w:rPr>
        <w:t>15</w:t>
      </w:r>
    </w:p>
    <w:p w:rsidR="00712A18" w:rsidRPr="00B05A21" w:rsidRDefault="00712A18" w:rsidP="00AE0DAE">
      <w:pPr>
        <w:pStyle w:val="TableText"/>
        <w:ind w:left="933" w:hanging="933"/>
        <w:rPr>
          <w:rFonts w:ascii="Arial" w:hAnsi="Arial" w:cs="Arial"/>
          <w:szCs w:val="24"/>
        </w:rPr>
      </w:pPr>
      <w:r w:rsidRPr="00B05A21">
        <w:rPr>
          <w:rFonts w:ascii="Arial" w:hAnsi="Arial" w:cs="Arial"/>
          <w:szCs w:val="24"/>
        </w:rPr>
        <w:t>Topic 4 – Other Considerations Affecting the Planning Process</w:t>
      </w:r>
      <w:r w:rsidR="00AE0DAE" w:rsidRPr="00B05A21">
        <w:rPr>
          <w:rFonts w:ascii="Arial" w:hAnsi="Arial" w:cs="Arial"/>
          <w:szCs w:val="24"/>
        </w:rPr>
        <w:t xml:space="preserve">, See Page </w:t>
      </w:r>
      <w:r w:rsidRPr="00B05A21">
        <w:rPr>
          <w:rFonts w:ascii="Arial" w:hAnsi="Arial" w:cs="Arial"/>
          <w:szCs w:val="24"/>
        </w:rPr>
        <w:t>18</w:t>
      </w:r>
    </w:p>
    <w:p w:rsidR="00712A18" w:rsidRPr="00B05A21" w:rsidRDefault="00712A18" w:rsidP="00AE0DAE">
      <w:pPr>
        <w:pStyle w:val="TableText"/>
        <w:rPr>
          <w:rFonts w:ascii="Arial" w:hAnsi="Arial" w:cs="Arial"/>
          <w:szCs w:val="24"/>
        </w:rPr>
      </w:pPr>
      <w:r w:rsidRPr="00B05A21">
        <w:rPr>
          <w:rFonts w:ascii="Arial" w:hAnsi="Arial" w:cs="Arial"/>
          <w:szCs w:val="24"/>
        </w:rPr>
        <w:t>Topic 5 – Statement of Work (SOW)</w:t>
      </w:r>
      <w:r w:rsidR="00AE0DAE" w:rsidRPr="00B05A21">
        <w:rPr>
          <w:rFonts w:ascii="Arial" w:hAnsi="Arial" w:cs="Arial"/>
          <w:szCs w:val="24"/>
        </w:rPr>
        <w:t xml:space="preserve">, See Page </w:t>
      </w:r>
      <w:r w:rsidRPr="00B05A21">
        <w:rPr>
          <w:rFonts w:ascii="Arial" w:hAnsi="Arial" w:cs="Arial"/>
          <w:szCs w:val="24"/>
        </w:rPr>
        <w:t>27</w:t>
      </w:r>
    </w:p>
    <w:p w:rsidR="00712A18" w:rsidRPr="00B05A21" w:rsidRDefault="00712A18" w:rsidP="00AE0DAE">
      <w:pPr>
        <w:pStyle w:val="TableText"/>
        <w:rPr>
          <w:rFonts w:ascii="Arial" w:hAnsi="Arial" w:cs="Arial"/>
          <w:szCs w:val="24"/>
        </w:rPr>
      </w:pPr>
      <w:r w:rsidRPr="00B05A21">
        <w:rPr>
          <w:rFonts w:ascii="Arial" w:hAnsi="Arial" w:cs="Arial"/>
          <w:szCs w:val="24"/>
        </w:rPr>
        <w:t>Topic 6 – Requirements Specific to IT Goods and/or Services</w:t>
      </w:r>
      <w:r w:rsidR="00AE0DAE" w:rsidRPr="00B05A21">
        <w:rPr>
          <w:rFonts w:ascii="Arial" w:hAnsi="Arial" w:cs="Arial"/>
          <w:szCs w:val="24"/>
        </w:rPr>
        <w:t xml:space="preserve">, See Page </w:t>
      </w:r>
      <w:r w:rsidRPr="00B05A21">
        <w:rPr>
          <w:rFonts w:ascii="Arial" w:hAnsi="Arial" w:cs="Arial"/>
          <w:szCs w:val="24"/>
        </w:rPr>
        <w:t>28</w:t>
      </w:r>
    </w:p>
    <w:p w:rsidR="00712A18" w:rsidRPr="00B05A21" w:rsidRDefault="00712A18" w:rsidP="00AE0DAE">
      <w:pPr>
        <w:pStyle w:val="TableText"/>
        <w:rPr>
          <w:rFonts w:ascii="Arial" w:hAnsi="Arial" w:cs="Arial"/>
          <w:szCs w:val="24"/>
        </w:rPr>
      </w:pPr>
      <w:r w:rsidRPr="00B05A21">
        <w:rPr>
          <w:rFonts w:ascii="Arial" w:hAnsi="Arial" w:cs="Arial"/>
          <w:szCs w:val="24"/>
        </w:rPr>
        <w:t>Topic 7 – Desktop and Mobile Computing Purchases</w:t>
      </w:r>
      <w:r w:rsidR="00AE0DAE" w:rsidRPr="00B05A21">
        <w:rPr>
          <w:rFonts w:ascii="Arial" w:hAnsi="Arial" w:cs="Arial"/>
          <w:szCs w:val="24"/>
        </w:rPr>
        <w:t xml:space="preserve">, See Page </w:t>
      </w:r>
      <w:r w:rsidRPr="00B05A21">
        <w:rPr>
          <w:rFonts w:ascii="Arial" w:hAnsi="Arial" w:cs="Arial"/>
          <w:szCs w:val="24"/>
        </w:rPr>
        <w:t>36</w:t>
      </w:r>
    </w:p>
    <w:p w:rsidR="00712A18" w:rsidRPr="00B05A21" w:rsidRDefault="00712A18" w:rsidP="00AE0DAE">
      <w:pPr>
        <w:pStyle w:val="TableText"/>
        <w:rPr>
          <w:rFonts w:ascii="Arial" w:hAnsi="Arial" w:cs="Arial"/>
          <w:szCs w:val="24"/>
        </w:rPr>
      </w:pPr>
      <w:r w:rsidRPr="00B05A21">
        <w:rPr>
          <w:rFonts w:ascii="Arial" w:hAnsi="Arial" w:cs="Arial"/>
          <w:szCs w:val="24"/>
        </w:rPr>
        <w:t>Topic 8 – Emergency Purchases</w:t>
      </w:r>
      <w:r w:rsidR="00AE0DAE" w:rsidRPr="00B05A21">
        <w:rPr>
          <w:rFonts w:ascii="Arial" w:hAnsi="Arial" w:cs="Arial"/>
          <w:szCs w:val="24"/>
        </w:rPr>
        <w:t xml:space="preserve">, See Page </w:t>
      </w:r>
      <w:r w:rsidRPr="00B05A21">
        <w:rPr>
          <w:rFonts w:ascii="Arial" w:hAnsi="Arial" w:cs="Arial"/>
          <w:szCs w:val="24"/>
        </w:rPr>
        <w:t>38</w:t>
      </w:r>
    </w:p>
    <w:p w:rsidR="00682D92" w:rsidRPr="003551BF" w:rsidRDefault="00AF0281" w:rsidP="0072112F">
      <w:pPr>
        <w:pStyle w:val="Heading2"/>
        <w:spacing w:after="120"/>
        <w:jc w:val="left"/>
        <w:rPr>
          <w:rFonts w:cs="Arial"/>
          <w:bCs/>
          <w:szCs w:val="32"/>
        </w:rPr>
      </w:pPr>
      <w:bookmarkStart w:id="95" w:name="_Formulating_the_Procurement_Approac"/>
      <w:bookmarkStart w:id="96" w:name="_Topic_1_–_Classifying_the_Purchase_1"/>
      <w:bookmarkEnd w:id="82"/>
      <w:bookmarkEnd w:id="83"/>
      <w:bookmarkEnd w:id="95"/>
      <w:bookmarkEnd w:id="96"/>
      <w:r w:rsidRPr="00B05A21">
        <w:rPr>
          <w:rFonts w:cs="Arial"/>
          <w:sz w:val="24"/>
          <w:szCs w:val="24"/>
        </w:rPr>
        <w:br w:type="page"/>
      </w:r>
      <w:bookmarkStart w:id="97" w:name="_Topic_1_–_Classifying_the_Purchase_2"/>
      <w:bookmarkStart w:id="98" w:name="_Topic_1_–_Classifying_the_Purchase"/>
      <w:bookmarkStart w:id="99" w:name="_Toc243798757"/>
      <w:bookmarkStart w:id="100" w:name="_Toc12885936"/>
      <w:bookmarkStart w:id="101" w:name="_Toc83450114"/>
      <w:bookmarkStart w:id="102" w:name="_Toc116951912"/>
      <w:bookmarkEnd w:id="97"/>
      <w:bookmarkEnd w:id="98"/>
      <w:r w:rsidR="00682D92" w:rsidRPr="003551BF">
        <w:rPr>
          <w:rFonts w:cs="Arial"/>
          <w:bCs/>
          <w:szCs w:val="32"/>
        </w:rPr>
        <w:lastRenderedPageBreak/>
        <w:t>Topic 1 – Classifying the Purchase</w:t>
      </w:r>
      <w:bookmarkEnd w:id="99"/>
      <w:bookmarkEnd w:id="100"/>
    </w:p>
    <w:p w:rsidR="00682D92" w:rsidRPr="00B05A21" w:rsidRDefault="00682D92" w:rsidP="00682D92">
      <w:pPr>
        <w:pStyle w:val="BlockLine"/>
        <w:tabs>
          <w:tab w:val="left" w:pos="2655"/>
        </w:tabs>
        <w:rPr>
          <w:rFonts w:ascii="Arial" w:hAnsi="Arial" w:cs="Arial"/>
          <w:szCs w:val="24"/>
        </w:rPr>
      </w:pPr>
      <w:r w:rsidRPr="00B05A21">
        <w:rPr>
          <w:rFonts w:ascii="Arial" w:hAnsi="Arial" w:cs="Arial"/>
          <w:szCs w:val="24"/>
        </w:rPr>
        <w:tab/>
      </w:r>
    </w:p>
    <w:p w:rsidR="002162D8" w:rsidRPr="00B05A21" w:rsidRDefault="002162D8" w:rsidP="002162D8">
      <w:pPr>
        <w:pStyle w:val="Heading3"/>
        <w:spacing w:after="120"/>
        <w:jc w:val="left"/>
        <w:rPr>
          <w:rFonts w:cs="Arial"/>
          <w:bCs/>
          <w:sz w:val="24"/>
          <w:szCs w:val="24"/>
        </w:rPr>
      </w:pPr>
      <w:bookmarkStart w:id="103" w:name="_Toc243798758"/>
      <w:bookmarkStart w:id="104" w:name="_Toc12885937"/>
      <w:r w:rsidRPr="00B05A21">
        <w:rPr>
          <w:rFonts w:cs="Arial"/>
          <w:bCs/>
          <w:sz w:val="24"/>
          <w:szCs w:val="24"/>
        </w:rPr>
        <w:t>2.B1.0   Importance of properly classifying purchases</w:t>
      </w:r>
      <w:bookmarkEnd w:id="103"/>
      <w:bookmarkEnd w:id="104"/>
    </w:p>
    <w:p w:rsidR="002162D8" w:rsidRPr="00B05A21" w:rsidRDefault="002162D8" w:rsidP="00682D92">
      <w:pPr>
        <w:pStyle w:val="BlockText0"/>
        <w:rPr>
          <w:rFonts w:ascii="Arial" w:hAnsi="Arial" w:cs="Arial"/>
          <w:szCs w:val="24"/>
        </w:rPr>
      </w:pPr>
      <w:r w:rsidRPr="00B05A21">
        <w:rPr>
          <w:rFonts w:ascii="Arial" w:hAnsi="Arial" w:cs="Arial"/>
          <w:szCs w:val="24"/>
        </w:rPr>
        <w:t>The ability to properly classify purchases enables correct execution of procurements:</w:t>
      </w:r>
    </w:p>
    <w:p w:rsidR="002162D8" w:rsidRPr="00B05A21" w:rsidRDefault="002162D8" w:rsidP="00CF7D13">
      <w:pPr>
        <w:pStyle w:val="BulletText1"/>
        <w:numPr>
          <w:ilvl w:val="0"/>
          <w:numId w:val="16"/>
        </w:numPr>
        <w:rPr>
          <w:rFonts w:ascii="Arial" w:hAnsi="Arial" w:cs="Arial"/>
          <w:szCs w:val="24"/>
        </w:rPr>
      </w:pPr>
      <w:r w:rsidRPr="00B05A21">
        <w:rPr>
          <w:rFonts w:ascii="Arial" w:hAnsi="Arial" w:cs="Arial"/>
          <w:szCs w:val="24"/>
        </w:rPr>
        <w:t>Apply the appropriate laws, regulations, policies, and procedures (e.g., selection of the correct solicitation type, identification of the correct advertising threshold)</w:t>
      </w:r>
    </w:p>
    <w:p w:rsidR="002162D8" w:rsidRPr="00B05A21" w:rsidRDefault="002162D8" w:rsidP="00CF7D13">
      <w:pPr>
        <w:pStyle w:val="BulletText1"/>
        <w:numPr>
          <w:ilvl w:val="0"/>
          <w:numId w:val="16"/>
        </w:numPr>
        <w:rPr>
          <w:rFonts w:ascii="Arial" w:hAnsi="Arial" w:cs="Arial"/>
          <w:szCs w:val="24"/>
        </w:rPr>
      </w:pPr>
      <w:r w:rsidRPr="00B05A21">
        <w:rPr>
          <w:rFonts w:ascii="Arial" w:hAnsi="Arial" w:cs="Arial"/>
          <w:szCs w:val="24"/>
        </w:rPr>
        <w:t>Identify whether or not the department has the applicable purchasing authority to conduct the purchase activity or if it requires purchase by DGS/PD</w:t>
      </w:r>
    </w:p>
    <w:p w:rsidR="002162D8" w:rsidRPr="00B05A21" w:rsidRDefault="002162D8" w:rsidP="00CF7D13">
      <w:pPr>
        <w:pStyle w:val="BulletText1"/>
        <w:numPr>
          <w:ilvl w:val="0"/>
          <w:numId w:val="16"/>
        </w:numPr>
        <w:rPr>
          <w:rFonts w:ascii="Arial" w:hAnsi="Arial" w:cs="Arial"/>
          <w:szCs w:val="24"/>
        </w:rPr>
      </w:pPr>
      <w:r w:rsidRPr="00B05A21">
        <w:rPr>
          <w:rFonts w:ascii="Arial" w:hAnsi="Arial" w:cs="Arial"/>
          <w:szCs w:val="24"/>
        </w:rPr>
        <w:t>Secure additional approvals and/or waivers as applicable</w:t>
      </w:r>
    </w:p>
    <w:p w:rsidR="002162D8" w:rsidRPr="00B05A21" w:rsidRDefault="002162D8" w:rsidP="00682D92">
      <w:pPr>
        <w:pStyle w:val="BulletText1"/>
        <w:numPr>
          <w:ilvl w:val="0"/>
          <w:numId w:val="0"/>
        </w:numPr>
        <w:rPr>
          <w:rFonts w:ascii="Arial" w:hAnsi="Arial" w:cs="Arial"/>
          <w:szCs w:val="24"/>
        </w:rPr>
      </w:pPr>
      <w:r w:rsidRPr="00B05A21">
        <w:rPr>
          <w:rFonts w:ascii="Arial" w:hAnsi="Arial" w:cs="Arial"/>
          <w:szCs w:val="24"/>
        </w:rPr>
        <w:t>The impact of not correctly classifying a purchase may result in:</w:t>
      </w:r>
    </w:p>
    <w:p w:rsidR="002162D8" w:rsidRPr="00B05A21" w:rsidRDefault="002162D8" w:rsidP="00CF7D13">
      <w:pPr>
        <w:pStyle w:val="BulletText1"/>
        <w:numPr>
          <w:ilvl w:val="0"/>
          <w:numId w:val="16"/>
        </w:numPr>
        <w:rPr>
          <w:rFonts w:ascii="Arial" w:hAnsi="Arial" w:cs="Arial"/>
          <w:szCs w:val="24"/>
        </w:rPr>
      </w:pPr>
      <w:r w:rsidRPr="00B05A21">
        <w:rPr>
          <w:rFonts w:ascii="Arial" w:hAnsi="Arial" w:cs="Arial"/>
          <w:szCs w:val="24"/>
        </w:rPr>
        <w:t>Delaying a department’s program or project</w:t>
      </w:r>
    </w:p>
    <w:p w:rsidR="002162D8" w:rsidRPr="00B05A21" w:rsidRDefault="002162D8" w:rsidP="00CF7D13">
      <w:pPr>
        <w:pStyle w:val="BulletText1"/>
        <w:numPr>
          <w:ilvl w:val="0"/>
          <w:numId w:val="16"/>
        </w:numPr>
        <w:rPr>
          <w:rFonts w:ascii="Arial" w:hAnsi="Arial" w:cs="Arial"/>
          <w:szCs w:val="24"/>
        </w:rPr>
      </w:pPr>
      <w:r w:rsidRPr="00B05A21">
        <w:rPr>
          <w:rFonts w:ascii="Arial" w:hAnsi="Arial" w:cs="Arial"/>
          <w:szCs w:val="24"/>
        </w:rPr>
        <w:t>Waste of time and effort, ultimately wasting taxpayer money</w:t>
      </w:r>
    </w:p>
    <w:p w:rsidR="002162D8" w:rsidRPr="00B05A21" w:rsidRDefault="002162D8" w:rsidP="00CF7D13">
      <w:pPr>
        <w:pStyle w:val="BulletText1"/>
        <w:numPr>
          <w:ilvl w:val="0"/>
          <w:numId w:val="16"/>
        </w:numPr>
        <w:rPr>
          <w:rFonts w:ascii="Arial" w:hAnsi="Arial" w:cs="Arial"/>
          <w:szCs w:val="24"/>
        </w:rPr>
      </w:pPr>
      <w:r w:rsidRPr="00B05A21">
        <w:rPr>
          <w:rFonts w:ascii="Arial" w:hAnsi="Arial" w:cs="Arial"/>
          <w:szCs w:val="24"/>
        </w:rPr>
        <w:t>Loss of funding</w:t>
      </w:r>
    </w:p>
    <w:p w:rsidR="002162D8" w:rsidRPr="00B05A21" w:rsidRDefault="002162D8" w:rsidP="00CF7D13">
      <w:pPr>
        <w:pStyle w:val="BulletText1"/>
        <w:numPr>
          <w:ilvl w:val="0"/>
          <w:numId w:val="16"/>
        </w:numPr>
        <w:rPr>
          <w:rFonts w:ascii="Arial" w:hAnsi="Arial" w:cs="Arial"/>
          <w:szCs w:val="24"/>
        </w:rPr>
      </w:pPr>
      <w:r w:rsidRPr="00B05A21">
        <w:rPr>
          <w:rFonts w:ascii="Arial" w:hAnsi="Arial" w:cs="Arial"/>
          <w:szCs w:val="24"/>
        </w:rPr>
        <w:t>Disputes, protests, and/or lawsuits</w:t>
      </w:r>
    </w:p>
    <w:p w:rsidR="002162D8" w:rsidRPr="00B05A21" w:rsidRDefault="002162D8" w:rsidP="00CF7D13">
      <w:pPr>
        <w:pStyle w:val="BulletText1"/>
        <w:numPr>
          <w:ilvl w:val="0"/>
          <w:numId w:val="16"/>
        </w:numPr>
        <w:rPr>
          <w:rFonts w:ascii="Arial" w:hAnsi="Arial" w:cs="Arial"/>
          <w:szCs w:val="24"/>
        </w:rPr>
      </w:pPr>
      <w:r w:rsidRPr="00B05A21">
        <w:rPr>
          <w:rFonts w:ascii="Arial" w:hAnsi="Arial" w:cs="Arial"/>
          <w:szCs w:val="24"/>
        </w:rPr>
        <w:t>Illegal contracts</w:t>
      </w:r>
    </w:p>
    <w:p w:rsidR="00682D92" w:rsidRPr="00B05A21" w:rsidRDefault="00682D92" w:rsidP="00682D92">
      <w:pPr>
        <w:pStyle w:val="BlockLine"/>
        <w:tabs>
          <w:tab w:val="left" w:pos="2655"/>
        </w:tabs>
        <w:rPr>
          <w:rFonts w:ascii="Arial" w:hAnsi="Arial" w:cs="Arial"/>
          <w:szCs w:val="24"/>
        </w:rPr>
      </w:pPr>
      <w:r w:rsidRPr="00B05A21">
        <w:rPr>
          <w:rFonts w:ascii="Arial" w:hAnsi="Arial" w:cs="Arial"/>
          <w:szCs w:val="24"/>
        </w:rPr>
        <w:tab/>
      </w:r>
    </w:p>
    <w:p w:rsidR="002162D8" w:rsidRPr="00B05A21" w:rsidRDefault="002162D8" w:rsidP="002162D8">
      <w:pPr>
        <w:pStyle w:val="Heading3"/>
        <w:spacing w:after="120"/>
        <w:jc w:val="left"/>
        <w:rPr>
          <w:rFonts w:cs="Arial"/>
          <w:bCs/>
          <w:sz w:val="24"/>
          <w:szCs w:val="24"/>
        </w:rPr>
      </w:pPr>
      <w:bookmarkStart w:id="105" w:name="_Toc12885938"/>
      <w:r w:rsidRPr="00B05A21">
        <w:rPr>
          <w:rFonts w:cs="Arial"/>
          <w:bCs/>
          <w:sz w:val="24"/>
          <w:szCs w:val="24"/>
        </w:rPr>
        <w:t>2.B1.1   Examples of IT purchases</w:t>
      </w:r>
      <w:bookmarkEnd w:id="105"/>
      <w:r w:rsidRPr="00B05A21">
        <w:rPr>
          <w:rFonts w:cs="Arial"/>
          <w:bCs/>
          <w:sz w:val="24"/>
          <w:szCs w:val="24"/>
        </w:rPr>
        <w:t xml:space="preserve"> </w:t>
      </w:r>
    </w:p>
    <w:p w:rsidR="002162D8" w:rsidRPr="00B05A21" w:rsidRDefault="002162D8" w:rsidP="00682D92">
      <w:pPr>
        <w:pStyle w:val="BulletText1"/>
        <w:numPr>
          <w:ilvl w:val="0"/>
          <w:numId w:val="0"/>
        </w:numPr>
        <w:rPr>
          <w:rFonts w:ascii="Arial" w:hAnsi="Arial" w:cs="Arial"/>
          <w:szCs w:val="24"/>
        </w:rPr>
      </w:pPr>
      <w:r w:rsidRPr="00B05A21">
        <w:rPr>
          <w:rFonts w:ascii="Arial" w:hAnsi="Arial" w:cs="Arial"/>
          <w:szCs w:val="24"/>
        </w:rPr>
        <w:t>IT goods and/or services are tangible products or services used mainly for information technology.</w:t>
      </w:r>
    </w:p>
    <w:p w:rsidR="002162D8" w:rsidRPr="00B05A21" w:rsidRDefault="002162D8" w:rsidP="00682D92">
      <w:pPr>
        <w:pStyle w:val="BulletText1"/>
        <w:numPr>
          <w:ilvl w:val="0"/>
          <w:numId w:val="0"/>
        </w:numPr>
        <w:ind w:left="173" w:hanging="173"/>
        <w:rPr>
          <w:rFonts w:ascii="Arial" w:hAnsi="Arial" w:cs="Arial"/>
          <w:szCs w:val="24"/>
        </w:rPr>
      </w:pPr>
      <w:r w:rsidRPr="00B05A21">
        <w:rPr>
          <w:rFonts w:ascii="Arial" w:hAnsi="Arial" w:cs="Arial"/>
          <w:szCs w:val="24"/>
          <w:u w:val="single"/>
        </w:rPr>
        <w:t>Examples</w:t>
      </w:r>
      <w:r w:rsidRPr="00B05A21">
        <w:rPr>
          <w:rFonts w:ascii="Arial" w:hAnsi="Arial" w:cs="Arial"/>
          <w:szCs w:val="24"/>
        </w:rPr>
        <w:t xml:space="preserve">: </w:t>
      </w:r>
    </w:p>
    <w:p w:rsidR="002162D8" w:rsidRPr="00B05A21" w:rsidRDefault="002162D8" w:rsidP="00682D92">
      <w:pPr>
        <w:pStyle w:val="BulletText1"/>
        <w:numPr>
          <w:ilvl w:val="0"/>
          <w:numId w:val="0"/>
        </w:numPr>
        <w:rPr>
          <w:rFonts w:ascii="Arial" w:hAnsi="Arial" w:cs="Arial"/>
          <w:szCs w:val="24"/>
        </w:rPr>
      </w:pPr>
      <w:r w:rsidRPr="00B05A21">
        <w:rPr>
          <w:rFonts w:ascii="Arial" w:hAnsi="Arial" w:cs="Arial"/>
          <w:szCs w:val="24"/>
        </w:rPr>
        <w:t>Personal computers, mainframes, software development or independent verification and validation services.  Refer to “Topic 2-Understanding Information Technology Goods and Services” of this chapter for additional information regarding IT goods and/or services.</w:t>
      </w:r>
    </w:p>
    <w:p w:rsidR="00682D92" w:rsidRPr="00B05A21" w:rsidRDefault="00682D92" w:rsidP="00682D92">
      <w:pPr>
        <w:pStyle w:val="BlockLine"/>
        <w:tabs>
          <w:tab w:val="left" w:pos="2655"/>
        </w:tabs>
        <w:rPr>
          <w:rFonts w:ascii="Arial" w:hAnsi="Arial" w:cs="Arial"/>
          <w:szCs w:val="24"/>
        </w:rPr>
      </w:pPr>
      <w:r w:rsidRPr="00B05A21">
        <w:rPr>
          <w:rFonts w:ascii="Arial" w:hAnsi="Arial" w:cs="Arial"/>
          <w:szCs w:val="24"/>
        </w:rPr>
        <w:tab/>
      </w:r>
    </w:p>
    <w:p w:rsidR="002162D8" w:rsidRPr="00B05A21" w:rsidRDefault="002162D8" w:rsidP="002162D8">
      <w:pPr>
        <w:pStyle w:val="Heading3"/>
        <w:spacing w:after="120"/>
        <w:jc w:val="left"/>
        <w:rPr>
          <w:rFonts w:cs="Arial"/>
          <w:bCs/>
          <w:sz w:val="24"/>
          <w:szCs w:val="24"/>
        </w:rPr>
      </w:pPr>
      <w:bookmarkStart w:id="106" w:name="_Toc12885939"/>
      <w:r w:rsidRPr="00B05A21">
        <w:rPr>
          <w:rFonts w:cs="Arial"/>
          <w:bCs/>
          <w:sz w:val="24"/>
          <w:szCs w:val="24"/>
        </w:rPr>
        <w:t>2.B1.2   Determine the main purpose</w:t>
      </w:r>
      <w:bookmarkEnd w:id="106"/>
    </w:p>
    <w:p w:rsidR="002162D8" w:rsidRPr="00B05A21" w:rsidRDefault="002162D8" w:rsidP="00740F1E">
      <w:pPr>
        <w:pStyle w:val="BulletText1"/>
        <w:numPr>
          <w:ilvl w:val="0"/>
          <w:numId w:val="0"/>
        </w:numPr>
        <w:rPr>
          <w:rFonts w:ascii="Arial" w:hAnsi="Arial" w:cs="Arial"/>
          <w:color w:val="000000"/>
          <w:szCs w:val="24"/>
        </w:rPr>
      </w:pPr>
      <w:r w:rsidRPr="00B05A21">
        <w:rPr>
          <w:rFonts w:ascii="Arial" w:hAnsi="Arial" w:cs="Arial"/>
          <w:color w:val="000000"/>
          <w:szCs w:val="24"/>
        </w:rPr>
        <w:t xml:space="preserve">When determining whether a contract is for IT, one must consider the predominant purpose or value of the activity, and whether information technology skills and knowledge are involved as the primary purpose of the contract or whether such knowledge or skills are used to further an overarching purpose, e.g. contract to manage a health benefits program may utilize software and computer hardware to fulfill services required. </w:t>
      </w:r>
    </w:p>
    <w:p w:rsidR="002162D8" w:rsidRPr="00B05A21" w:rsidRDefault="002162D8" w:rsidP="00740F1E">
      <w:pPr>
        <w:pStyle w:val="BulletText1"/>
        <w:numPr>
          <w:ilvl w:val="0"/>
          <w:numId w:val="0"/>
        </w:numPr>
        <w:rPr>
          <w:rFonts w:ascii="Arial" w:hAnsi="Arial" w:cs="Arial"/>
          <w:color w:val="000000"/>
          <w:szCs w:val="24"/>
        </w:rPr>
      </w:pPr>
    </w:p>
    <w:p w:rsidR="002162D8" w:rsidRPr="00B05A21" w:rsidRDefault="002162D8" w:rsidP="00740F1E">
      <w:pPr>
        <w:pStyle w:val="BulletText1"/>
        <w:numPr>
          <w:ilvl w:val="0"/>
          <w:numId w:val="0"/>
        </w:numPr>
        <w:rPr>
          <w:rFonts w:ascii="Arial" w:hAnsi="Arial" w:cs="Arial"/>
          <w:szCs w:val="24"/>
        </w:rPr>
      </w:pPr>
      <w:r w:rsidRPr="00B05A21">
        <w:rPr>
          <w:rFonts w:ascii="Arial" w:hAnsi="Arial" w:cs="Arial"/>
          <w:color w:val="000000"/>
          <w:szCs w:val="24"/>
        </w:rPr>
        <w:t>Example: A contract for installing cable for a local area network includes purchase of the wiring and plugs, but also includes installation. The primary value is getting the cable installed, so this would most likely be a service or Public Works contract if it were being done in a public structure.</w:t>
      </w:r>
    </w:p>
    <w:p w:rsidR="00682D92" w:rsidRPr="00B05A21" w:rsidRDefault="00682D92" w:rsidP="00682D92">
      <w:pPr>
        <w:pStyle w:val="BlockLine"/>
        <w:tabs>
          <w:tab w:val="left" w:pos="2655"/>
        </w:tabs>
        <w:rPr>
          <w:rFonts w:ascii="Arial" w:hAnsi="Arial" w:cs="Arial"/>
          <w:szCs w:val="24"/>
        </w:rPr>
      </w:pPr>
      <w:r w:rsidRPr="00B05A21">
        <w:rPr>
          <w:rFonts w:ascii="Arial" w:hAnsi="Arial" w:cs="Arial"/>
          <w:szCs w:val="24"/>
        </w:rPr>
        <w:tab/>
      </w:r>
    </w:p>
    <w:p w:rsidR="002162D8" w:rsidRPr="00B05A21" w:rsidRDefault="002162D8" w:rsidP="002162D8">
      <w:pPr>
        <w:pStyle w:val="Heading3"/>
        <w:spacing w:after="120"/>
        <w:jc w:val="left"/>
        <w:rPr>
          <w:rFonts w:cs="Arial"/>
          <w:bCs/>
          <w:sz w:val="24"/>
          <w:szCs w:val="24"/>
        </w:rPr>
      </w:pPr>
      <w:bookmarkStart w:id="107" w:name="_Toc12885940"/>
      <w:r w:rsidRPr="00B05A21">
        <w:rPr>
          <w:rFonts w:cs="Arial"/>
          <w:bCs/>
          <w:sz w:val="24"/>
          <w:szCs w:val="24"/>
        </w:rPr>
        <w:t>2.B1.3   Example</w:t>
      </w:r>
      <w:bookmarkEnd w:id="107"/>
    </w:p>
    <w:p w:rsidR="002162D8" w:rsidRPr="00B05A21" w:rsidRDefault="002162D8" w:rsidP="00740F1E">
      <w:pPr>
        <w:pStyle w:val="BulletText1"/>
        <w:numPr>
          <w:ilvl w:val="0"/>
          <w:numId w:val="0"/>
        </w:numPr>
        <w:rPr>
          <w:rFonts w:ascii="Arial" w:hAnsi="Arial" w:cs="Arial"/>
          <w:szCs w:val="24"/>
        </w:rPr>
      </w:pPr>
      <w:r w:rsidRPr="00B05A21">
        <w:rPr>
          <w:rFonts w:ascii="Arial" w:hAnsi="Arial" w:cs="Arial"/>
          <w:szCs w:val="24"/>
        </w:rPr>
        <w:t xml:space="preserve">Ten personal computer (PC) keyboards are purchased for replacement stock to issue when an existing keyboard fails.  The purchase of PC keyboards is considered IT.  A PC processes data electronically and the keyboard is a critical component to the </w:t>
      </w:r>
      <w:r w:rsidRPr="00B05A21">
        <w:rPr>
          <w:rFonts w:ascii="Arial" w:hAnsi="Arial" w:cs="Arial"/>
          <w:szCs w:val="24"/>
        </w:rPr>
        <w:lastRenderedPageBreak/>
        <w:t>operation of the PC.  Consequently, the purchase is made under the IT purchasing authority.</w:t>
      </w:r>
    </w:p>
    <w:p w:rsidR="00682D92" w:rsidRPr="00B05A21" w:rsidRDefault="00682D92" w:rsidP="00682D92">
      <w:pPr>
        <w:pStyle w:val="BlockLine"/>
        <w:tabs>
          <w:tab w:val="left" w:pos="2655"/>
        </w:tabs>
        <w:rPr>
          <w:rFonts w:ascii="Arial" w:hAnsi="Arial" w:cs="Arial"/>
          <w:szCs w:val="24"/>
        </w:rPr>
      </w:pPr>
      <w:r w:rsidRPr="00B05A21">
        <w:rPr>
          <w:rFonts w:ascii="Arial" w:hAnsi="Arial" w:cs="Arial"/>
          <w:szCs w:val="24"/>
        </w:rPr>
        <w:tab/>
      </w:r>
    </w:p>
    <w:p w:rsidR="00594B38" w:rsidRPr="00B05A21" w:rsidRDefault="00594B38" w:rsidP="00594B38">
      <w:pPr>
        <w:pStyle w:val="Heading3"/>
        <w:spacing w:after="120"/>
        <w:jc w:val="left"/>
        <w:rPr>
          <w:rFonts w:cs="Arial"/>
          <w:bCs/>
          <w:sz w:val="24"/>
          <w:szCs w:val="24"/>
        </w:rPr>
      </w:pPr>
      <w:bookmarkStart w:id="108" w:name="_Toc12885941"/>
      <w:r w:rsidRPr="00B05A21">
        <w:rPr>
          <w:rFonts w:cs="Arial"/>
          <w:bCs/>
          <w:sz w:val="24"/>
          <w:szCs w:val="24"/>
        </w:rPr>
        <w:t>2.B1.4   Non-IT vs. IT</w:t>
      </w:r>
      <w:bookmarkEnd w:id="108"/>
    </w:p>
    <w:p w:rsidR="00594B38" w:rsidRPr="00B05A21" w:rsidRDefault="00594B38" w:rsidP="00740F1E">
      <w:pPr>
        <w:pStyle w:val="BulletText1"/>
        <w:numPr>
          <w:ilvl w:val="0"/>
          <w:numId w:val="0"/>
        </w:numPr>
        <w:rPr>
          <w:rFonts w:ascii="Arial" w:hAnsi="Arial" w:cs="Arial"/>
          <w:szCs w:val="24"/>
        </w:rPr>
      </w:pPr>
      <w:r w:rsidRPr="00B05A21">
        <w:rPr>
          <w:rFonts w:ascii="Arial" w:hAnsi="Arial" w:cs="Arial"/>
          <w:szCs w:val="24"/>
        </w:rPr>
        <w:t>Many items require IT technologies to function, yet they may not be considered to be IT.  If the item is determined to be a non-IT good, the transaction will be treated as a “non-IT good” and be acquired under non-IT goods purchasing laws.  See SCM Vol. 2 for information on non-IT goods purchasing.</w:t>
      </w:r>
    </w:p>
    <w:p w:rsidR="00682D92" w:rsidRPr="00B05A21" w:rsidRDefault="00682D92" w:rsidP="00682D92">
      <w:pPr>
        <w:pStyle w:val="BlockLine"/>
        <w:tabs>
          <w:tab w:val="left" w:pos="2655"/>
        </w:tabs>
        <w:rPr>
          <w:rFonts w:ascii="Arial" w:hAnsi="Arial" w:cs="Arial"/>
          <w:szCs w:val="24"/>
        </w:rPr>
      </w:pPr>
      <w:r w:rsidRPr="00B05A21">
        <w:rPr>
          <w:rFonts w:ascii="Arial" w:hAnsi="Arial" w:cs="Arial"/>
          <w:szCs w:val="24"/>
        </w:rPr>
        <w:tab/>
      </w:r>
    </w:p>
    <w:p w:rsidR="00481E9B" w:rsidRPr="00B05A21" w:rsidRDefault="00481E9B" w:rsidP="00481E9B">
      <w:pPr>
        <w:pStyle w:val="Heading3"/>
        <w:spacing w:after="120"/>
        <w:jc w:val="left"/>
        <w:rPr>
          <w:rFonts w:cs="Arial"/>
          <w:bCs/>
          <w:sz w:val="24"/>
          <w:szCs w:val="24"/>
        </w:rPr>
      </w:pPr>
      <w:bookmarkStart w:id="109" w:name="_1.B1.4_Non-IT_vs._IT"/>
      <w:bookmarkStart w:id="110" w:name="_Toc12885942"/>
      <w:bookmarkStart w:id="111" w:name="_Toc116951919"/>
      <w:bookmarkEnd w:id="101"/>
      <w:bookmarkEnd w:id="102"/>
      <w:bookmarkEnd w:id="109"/>
      <w:r w:rsidRPr="00B05A21">
        <w:rPr>
          <w:rFonts w:cs="Arial"/>
          <w:bCs/>
          <w:sz w:val="24"/>
          <w:szCs w:val="24"/>
        </w:rPr>
        <w:t xml:space="preserve">2.B1.5   </w:t>
      </w:r>
      <w:r w:rsidR="00407627">
        <w:rPr>
          <w:rFonts w:cs="Arial"/>
          <w:bCs/>
          <w:sz w:val="24"/>
          <w:szCs w:val="24"/>
        </w:rPr>
        <w:t>Distinguish</w:t>
      </w:r>
      <w:r w:rsidRPr="00B05A21">
        <w:rPr>
          <w:rFonts w:cs="Arial"/>
          <w:bCs/>
          <w:sz w:val="24"/>
          <w:szCs w:val="24"/>
        </w:rPr>
        <w:t>ing IT goods from IT services</w:t>
      </w:r>
      <w:bookmarkEnd w:id="110"/>
    </w:p>
    <w:p w:rsidR="00481E9B" w:rsidRPr="00B05A21" w:rsidRDefault="00481E9B" w:rsidP="00682D92">
      <w:pPr>
        <w:pStyle w:val="BlockText0"/>
        <w:rPr>
          <w:rFonts w:ascii="Arial" w:hAnsi="Arial" w:cs="Arial"/>
          <w:szCs w:val="24"/>
        </w:rPr>
      </w:pPr>
      <w:r w:rsidRPr="00B05A21">
        <w:rPr>
          <w:rFonts w:ascii="Arial" w:hAnsi="Arial" w:cs="Arial"/>
          <w:szCs w:val="24"/>
        </w:rPr>
        <w:t>When determining if an acquisition is for IT goods only, the following concepts should be considered:</w:t>
      </w:r>
    </w:p>
    <w:p w:rsidR="00481E9B" w:rsidRPr="00B05A21" w:rsidRDefault="00481E9B" w:rsidP="00682D92">
      <w:pPr>
        <w:pStyle w:val="BulletText1"/>
        <w:numPr>
          <w:ilvl w:val="0"/>
          <w:numId w:val="10"/>
        </w:numPr>
        <w:rPr>
          <w:rFonts w:ascii="Arial" w:hAnsi="Arial" w:cs="Arial"/>
          <w:szCs w:val="24"/>
        </w:rPr>
      </w:pPr>
      <w:r w:rsidRPr="00B05A21">
        <w:rPr>
          <w:rFonts w:ascii="Arial" w:hAnsi="Arial" w:cs="Arial"/>
          <w:szCs w:val="24"/>
        </w:rPr>
        <w:t>Does the contract have as its sole or main purpose the acquisition of tangible items, such as equipment, parts, supplies or other merchandise?  If the main value is an IT good with minimal or no IT services, it is handled as an IT good.</w:t>
      </w:r>
    </w:p>
    <w:p w:rsidR="00481E9B" w:rsidRPr="00B05A21" w:rsidRDefault="00481E9B" w:rsidP="00682D92">
      <w:pPr>
        <w:pStyle w:val="BulletText1"/>
        <w:tabs>
          <w:tab w:val="clear" w:pos="173"/>
          <w:tab w:val="num" w:pos="374"/>
        </w:tabs>
        <w:ind w:left="374" w:hanging="374"/>
        <w:rPr>
          <w:rFonts w:ascii="Arial" w:hAnsi="Arial" w:cs="Arial"/>
          <w:szCs w:val="24"/>
        </w:rPr>
      </w:pPr>
      <w:r w:rsidRPr="00B05A21">
        <w:rPr>
          <w:rFonts w:ascii="Arial" w:hAnsi="Arial" w:cs="Arial"/>
          <w:szCs w:val="24"/>
        </w:rPr>
        <w:t>What is the main value of the contract – the good or the service?  If the main value is the IT service, the transaction should be treated as an IT service contract.</w:t>
      </w:r>
    </w:p>
    <w:p w:rsidR="00481E9B" w:rsidRPr="00B05A21" w:rsidRDefault="00481E9B" w:rsidP="00740F1E">
      <w:pPr>
        <w:pStyle w:val="BulletText1"/>
        <w:numPr>
          <w:ilvl w:val="0"/>
          <w:numId w:val="0"/>
        </w:numPr>
        <w:rPr>
          <w:rFonts w:ascii="Arial" w:hAnsi="Arial" w:cs="Arial"/>
          <w:szCs w:val="24"/>
        </w:rPr>
      </w:pPr>
      <w:r w:rsidRPr="00B05A21">
        <w:rPr>
          <w:rFonts w:ascii="Arial" w:hAnsi="Arial" w:cs="Arial"/>
          <w:b/>
          <w:szCs w:val="24"/>
        </w:rPr>
        <w:t>Note</w:t>
      </w:r>
      <w:r w:rsidRPr="00B05A21">
        <w:rPr>
          <w:rFonts w:ascii="Arial" w:hAnsi="Arial" w:cs="Arial"/>
          <w:szCs w:val="24"/>
        </w:rPr>
        <w:t>:  Large-scale system integration projects do not need to be distinguished as either goods or services but the acquisition for such projects must be conducted using a value-effective approach.</w:t>
      </w:r>
    </w:p>
    <w:p w:rsidR="00682D92" w:rsidRPr="00B05A21" w:rsidRDefault="00682D92" w:rsidP="00682D92">
      <w:pPr>
        <w:pStyle w:val="BlockLine"/>
        <w:tabs>
          <w:tab w:val="left" w:pos="2655"/>
        </w:tabs>
        <w:rPr>
          <w:rFonts w:ascii="Arial" w:hAnsi="Arial" w:cs="Arial"/>
          <w:szCs w:val="24"/>
        </w:rPr>
      </w:pPr>
      <w:r w:rsidRPr="00B05A21">
        <w:rPr>
          <w:rFonts w:ascii="Arial" w:hAnsi="Arial" w:cs="Arial"/>
          <w:szCs w:val="24"/>
        </w:rPr>
        <w:tab/>
      </w:r>
    </w:p>
    <w:p w:rsidR="00762C7B" w:rsidRPr="00B05A21" w:rsidRDefault="00762C7B" w:rsidP="00762C7B">
      <w:pPr>
        <w:pStyle w:val="Heading3"/>
        <w:spacing w:after="120"/>
        <w:jc w:val="left"/>
        <w:rPr>
          <w:rFonts w:cs="Arial"/>
          <w:bCs/>
          <w:sz w:val="24"/>
          <w:szCs w:val="24"/>
        </w:rPr>
      </w:pPr>
      <w:bookmarkStart w:id="112" w:name="_Toc12885943"/>
      <w:r w:rsidRPr="00B05A21">
        <w:rPr>
          <w:rFonts w:cs="Arial"/>
          <w:bCs/>
          <w:sz w:val="24"/>
          <w:szCs w:val="24"/>
        </w:rPr>
        <w:t>2.B1.6   Example of IT goods vs. IT services</w:t>
      </w:r>
      <w:bookmarkEnd w:id="112"/>
    </w:p>
    <w:p w:rsidR="00762C7B" w:rsidRPr="00B05A21" w:rsidRDefault="00762C7B" w:rsidP="000459EC">
      <w:pPr>
        <w:tabs>
          <w:tab w:val="left" w:pos="720"/>
        </w:tabs>
        <w:rPr>
          <w:rFonts w:ascii="Arial" w:hAnsi="Arial" w:cs="Arial"/>
          <w:bCs/>
          <w:u w:val="single"/>
        </w:rPr>
      </w:pPr>
      <w:r w:rsidRPr="00B05A21">
        <w:rPr>
          <w:rFonts w:ascii="Arial" w:hAnsi="Arial" w:cs="Arial"/>
          <w:bCs/>
          <w:u w:val="single"/>
        </w:rPr>
        <w:t>Example:</w:t>
      </w:r>
    </w:p>
    <w:p w:rsidR="00762C7B" w:rsidRPr="00B05A21" w:rsidRDefault="00762C7B" w:rsidP="00740F1E">
      <w:pPr>
        <w:pStyle w:val="BulletText1"/>
        <w:numPr>
          <w:ilvl w:val="0"/>
          <w:numId w:val="0"/>
        </w:numPr>
        <w:rPr>
          <w:rFonts w:ascii="Arial" w:hAnsi="Arial" w:cs="Arial"/>
          <w:szCs w:val="24"/>
        </w:rPr>
      </w:pPr>
      <w:r w:rsidRPr="00B05A21">
        <w:rPr>
          <w:rFonts w:ascii="Arial" w:hAnsi="Arial" w:cs="Arial"/>
          <w:szCs w:val="24"/>
        </w:rPr>
        <w:t>A business solution is required that uses specialized software.  Currently a commercial-off-the-shelf (COTS) product is not available to meet the department’s need.  The department’s business needs can be met by developing a customized software application.  The main purpose of the purchase is the technical expertise that creates a software product to satisfy the department’s business problem.  The request would be treated as an IT service.</w:t>
      </w:r>
    </w:p>
    <w:p w:rsidR="000459EC" w:rsidRPr="00B05A21" w:rsidRDefault="000459EC" w:rsidP="000459EC">
      <w:pPr>
        <w:pStyle w:val="BlockLine"/>
        <w:tabs>
          <w:tab w:val="left" w:pos="2655"/>
        </w:tabs>
        <w:rPr>
          <w:rFonts w:ascii="Arial" w:hAnsi="Arial" w:cs="Arial"/>
          <w:szCs w:val="24"/>
        </w:rPr>
      </w:pPr>
      <w:r w:rsidRPr="00B05A21">
        <w:rPr>
          <w:rFonts w:ascii="Arial" w:hAnsi="Arial" w:cs="Arial"/>
          <w:szCs w:val="24"/>
        </w:rPr>
        <w:tab/>
      </w:r>
    </w:p>
    <w:p w:rsidR="00762C7B" w:rsidRPr="00B05A21" w:rsidRDefault="00762C7B" w:rsidP="00762C7B">
      <w:pPr>
        <w:pStyle w:val="Heading3"/>
        <w:spacing w:after="120"/>
        <w:jc w:val="left"/>
        <w:rPr>
          <w:rFonts w:cs="Arial"/>
          <w:bCs/>
          <w:sz w:val="24"/>
          <w:szCs w:val="24"/>
        </w:rPr>
      </w:pPr>
      <w:bookmarkStart w:id="113" w:name="_Toc12885944"/>
      <w:r w:rsidRPr="00B05A21">
        <w:rPr>
          <w:rFonts w:cs="Arial"/>
          <w:bCs/>
          <w:sz w:val="24"/>
          <w:szCs w:val="24"/>
        </w:rPr>
        <w:t>2.B1.7   Help for classifying purchases</w:t>
      </w:r>
      <w:bookmarkEnd w:id="113"/>
    </w:p>
    <w:p w:rsidR="00762C7B" w:rsidRPr="00B05A21" w:rsidRDefault="00762C7B" w:rsidP="000459EC">
      <w:pPr>
        <w:pStyle w:val="BlockText0"/>
        <w:rPr>
          <w:rFonts w:ascii="Arial" w:hAnsi="Arial" w:cs="Arial"/>
          <w:szCs w:val="24"/>
        </w:rPr>
      </w:pPr>
      <w:r w:rsidRPr="00B05A21">
        <w:rPr>
          <w:rFonts w:ascii="Arial" w:hAnsi="Arial" w:cs="Arial"/>
          <w:szCs w:val="24"/>
        </w:rPr>
        <w:t>Departments that need assistance to determine the classification of a purchase should first consult with their department’s Purchasing Authority Contact (PAC).  The following may also be contacted for applicable situations:</w:t>
      </w:r>
    </w:p>
    <w:p w:rsidR="00762C7B" w:rsidRPr="00B05A21" w:rsidRDefault="00762C7B" w:rsidP="000459EC">
      <w:pPr>
        <w:pStyle w:val="BulletText1"/>
        <w:tabs>
          <w:tab w:val="clear" w:pos="173"/>
          <w:tab w:val="num" w:pos="374"/>
        </w:tabs>
        <w:ind w:left="374" w:hanging="374"/>
        <w:rPr>
          <w:rFonts w:ascii="Arial" w:hAnsi="Arial" w:cs="Arial"/>
          <w:szCs w:val="24"/>
        </w:rPr>
      </w:pPr>
      <w:r w:rsidRPr="00B05A21">
        <w:rPr>
          <w:rFonts w:ascii="Arial" w:hAnsi="Arial" w:cs="Arial"/>
          <w:szCs w:val="24"/>
        </w:rPr>
        <w:t>Purchases conducted under delegated purchasing authority:  DGS/PD/PAMS</w:t>
      </w:r>
    </w:p>
    <w:p w:rsidR="00762C7B" w:rsidRPr="00B05A21" w:rsidRDefault="00762C7B" w:rsidP="000459EC">
      <w:pPr>
        <w:pStyle w:val="BulletText1"/>
        <w:tabs>
          <w:tab w:val="clear" w:pos="173"/>
          <w:tab w:val="num" w:pos="374"/>
        </w:tabs>
        <w:ind w:left="374" w:hanging="374"/>
        <w:rPr>
          <w:rFonts w:ascii="Arial" w:hAnsi="Arial" w:cs="Arial"/>
          <w:szCs w:val="24"/>
        </w:rPr>
      </w:pPr>
      <w:r w:rsidRPr="00B05A21">
        <w:rPr>
          <w:rFonts w:ascii="Arial" w:hAnsi="Arial" w:cs="Arial"/>
          <w:szCs w:val="24"/>
        </w:rPr>
        <w:t>Purchases conducted by DGS/PD:  DGS/PD</w:t>
      </w:r>
    </w:p>
    <w:p w:rsidR="00762C7B" w:rsidRPr="00B05A21" w:rsidRDefault="00762C7B" w:rsidP="000459EC">
      <w:pPr>
        <w:pStyle w:val="BulletText1"/>
        <w:tabs>
          <w:tab w:val="clear" w:pos="173"/>
          <w:tab w:val="num" w:pos="374"/>
        </w:tabs>
        <w:ind w:left="374" w:hanging="374"/>
        <w:rPr>
          <w:rFonts w:ascii="Arial" w:hAnsi="Arial" w:cs="Arial"/>
          <w:szCs w:val="24"/>
        </w:rPr>
      </w:pPr>
      <w:r w:rsidRPr="00B05A21">
        <w:rPr>
          <w:rFonts w:ascii="Arial" w:hAnsi="Arial" w:cs="Arial"/>
          <w:szCs w:val="24"/>
        </w:rPr>
        <w:t xml:space="preserve">Purchases that may require a feasibility study report (FSR):  </w:t>
      </w:r>
    </w:p>
    <w:p w:rsidR="00762C7B" w:rsidRPr="00B05A21" w:rsidRDefault="00762C7B" w:rsidP="00D81EB6">
      <w:pPr>
        <w:pStyle w:val="BulletText1"/>
        <w:numPr>
          <w:ilvl w:val="0"/>
          <w:numId w:val="0"/>
        </w:numPr>
        <w:ind w:left="374"/>
        <w:rPr>
          <w:rFonts w:ascii="Arial" w:hAnsi="Arial" w:cs="Arial"/>
          <w:szCs w:val="24"/>
        </w:rPr>
      </w:pPr>
      <w:r w:rsidRPr="00B05A21">
        <w:rPr>
          <w:rFonts w:ascii="Arial" w:hAnsi="Arial" w:cs="Arial"/>
          <w:szCs w:val="24"/>
        </w:rPr>
        <w:t>California Department of Technology (CDT)</w:t>
      </w:r>
    </w:p>
    <w:p w:rsidR="00762C7B" w:rsidRPr="00B05A21" w:rsidRDefault="00762C7B" w:rsidP="000459EC">
      <w:pPr>
        <w:rPr>
          <w:rFonts w:ascii="Arial" w:hAnsi="Arial" w:cs="Arial"/>
        </w:rPr>
      </w:pPr>
    </w:p>
    <w:p w:rsidR="000459EC" w:rsidRPr="00B05A21" w:rsidRDefault="00762C7B" w:rsidP="005628DA">
      <w:pPr>
        <w:pStyle w:val="BulletText1"/>
        <w:numPr>
          <w:ilvl w:val="0"/>
          <w:numId w:val="0"/>
        </w:numPr>
        <w:rPr>
          <w:rFonts w:ascii="Arial" w:hAnsi="Arial" w:cs="Arial"/>
          <w:szCs w:val="24"/>
        </w:rPr>
      </w:pPr>
      <w:r w:rsidRPr="00B05A21">
        <w:rPr>
          <w:rFonts w:ascii="Arial" w:hAnsi="Arial" w:cs="Arial"/>
          <w:b/>
          <w:szCs w:val="24"/>
        </w:rPr>
        <w:t>Note</w:t>
      </w:r>
      <w:r w:rsidRPr="00B05A21">
        <w:rPr>
          <w:rFonts w:ascii="Arial" w:hAnsi="Arial" w:cs="Arial"/>
          <w:szCs w:val="24"/>
        </w:rPr>
        <w:t>:  The ultimate decision for the classification of IT acquisition resides with DGS Deputy Director, Procurement Division.</w:t>
      </w:r>
      <w:r w:rsidR="000459EC" w:rsidRPr="00B05A21">
        <w:rPr>
          <w:rFonts w:ascii="Arial" w:hAnsi="Arial" w:cs="Arial"/>
          <w:szCs w:val="24"/>
        </w:rPr>
        <w:tab/>
      </w:r>
    </w:p>
    <w:p w:rsidR="000459EC" w:rsidRPr="00A4377B" w:rsidRDefault="00256526" w:rsidP="00762C7B">
      <w:pPr>
        <w:pStyle w:val="Heading2"/>
        <w:spacing w:after="120"/>
        <w:jc w:val="left"/>
        <w:rPr>
          <w:rFonts w:cs="Arial"/>
          <w:bCs/>
          <w:szCs w:val="32"/>
        </w:rPr>
      </w:pPr>
      <w:r w:rsidRPr="00B05A21">
        <w:rPr>
          <w:rFonts w:cs="Arial"/>
          <w:sz w:val="24"/>
          <w:szCs w:val="24"/>
        </w:rPr>
        <w:br w:type="page"/>
      </w:r>
      <w:bookmarkStart w:id="114" w:name="_Topic_2_–_Understanding_Information"/>
      <w:bookmarkStart w:id="115" w:name="_Toc12885945"/>
      <w:bookmarkStart w:id="116" w:name="_Toc83450118"/>
      <w:bookmarkStart w:id="117" w:name="_Toc116951940"/>
      <w:bookmarkEnd w:id="111"/>
      <w:bookmarkEnd w:id="114"/>
      <w:r w:rsidR="000459EC" w:rsidRPr="00A4377B">
        <w:rPr>
          <w:rFonts w:cs="Arial"/>
          <w:bCs/>
          <w:szCs w:val="32"/>
        </w:rPr>
        <w:lastRenderedPageBreak/>
        <w:t>Topic 2 – Understanding Information Technology Goods and Services</w:t>
      </w:r>
      <w:bookmarkEnd w:id="115"/>
    </w:p>
    <w:p w:rsidR="000459EC" w:rsidRPr="00B05A21" w:rsidRDefault="000459EC" w:rsidP="000459EC">
      <w:pPr>
        <w:pStyle w:val="BlockLine"/>
        <w:tabs>
          <w:tab w:val="left" w:pos="2655"/>
        </w:tabs>
        <w:rPr>
          <w:rFonts w:ascii="Arial" w:hAnsi="Arial" w:cs="Arial"/>
          <w:szCs w:val="24"/>
        </w:rPr>
      </w:pPr>
      <w:r w:rsidRPr="00B05A21">
        <w:rPr>
          <w:rFonts w:ascii="Arial" w:hAnsi="Arial" w:cs="Arial"/>
          <w:szCs w:val="24"/>
        </w:rPr>
        <w:tab/>
      </w:r>
    </w:p>
    <w:p w:rsidR="001F4B28" w:rsidRPr="00B05A21" w:rsidRDefault="001F4B28" w:rsidP="001F4B28">
      <w:pPr>
        <w:pStyle w:val="Heading3"/>
        <w:spacing w:after="120"/>
        <w:jc w:val="left"/>
        <w:rPr>
          <w:rFonts w:cs="Arial"/>
          <w:bCs/>
          <w:sz w:val="24"/>
          <w:szCs w:val="24"/>
        </w:rPr>
      </w:pPr>
      <w:bookmarkStart w:id="118" w:name="_Toc12885946"/>
      <w:r w:rsidRPr="00B05A21">
        <w:rPr>
          <w:rFonts w:cs="Arial"/>
          <w:bCs/>
          <w:sz w:val="24"/>
          <w:szCs w:val="24"/>
        </w:rPr>
        <w:t>2.B2.0   Defining an IT procurement</w:t>
      </w:r>
      <w:bookmarkEnd w:id="118"/>
    </w:p>
    <w:p w:rsidR="001F4B28" w:rsidRPr="00B05A21" w:rsidRDefault="001F4B28" w:rsidP="000459EC">
      <w:pPr>
        <w:rPr>
          <w:rFonts w:ascii="Arial" w:hAnsi="Arial" w:cs="Arial"/>
        </w:rPr>
      </w:pPr>
      <w:r w:rsidRPr="00B05A21">
        <w:rPr>
          <w:rFonts w:ascii="Arial" w:hAnsi="Arial" w:cs="Arial"/>
        </w:rPr>
        <w:t xml:space="preserve">SAM section 4819.2 defines information technology as “all computerized and auxiliary automated information handling, including systems design and analysis, conversion of data, computer programming, information storage and retrieval, voice, video, data communications, requisite systems controls, and simulation.”  </w:t>
      </w:r>
    </w:p>
    <w:p w:rsidR="001F4B28" w:rsidRPr="00B05A21" w:rsidRDefault="001F4B28" w:rsidP="000459EC">
      <w:pPr>
        <w:rPr>
          <w:rFonts w:ascii="Arial" w:hAnsi="Arial" w:cs="Arial"/>
        </w:rPr>
      </w:pPr>
      <w:r w:rsidRPr="00B05A21">
        <w:rPr>
          <w:rFonts w:ascii="Arial" w:hAnsi="Arial" w:cs="Arial"/>
        </w:rPr>
        <w:t>In accordance with SAM section 4819.2, any of the activities listed below either individually or in combination are considered IT procurement:</w:t>
      </w:r>
    </w:p>
    <w:p w:rsidR="001F4B28" w:rsidRPr="00B05A21" w:rsidRDefault="001F4B28" w:rsidP="000459EC">
      <w:pPr>
        <w:pStyle w:val="BulletText1"/>
        <w:tabs>
          <w:tab w:val="clear" w:pos="173"/>
          <w:tab w:val="num" w:pos="374"/>
        </w:tabs>
        <w:ind w:left="374" w:hanging="374"/>
        <w:rPr>
          <w:rFonts w:ascii="Arial" w:hAnsi="Arial" w:cs="Arial"/>
          <w:szCs w:val="24"/>
        </w:rPr>
      </w:pPr>
      <w:r w:rsidRPr="00B05A21">
        <w:rPr>
          <w:rFonts w:ascii="Arial" w:hAnsi="Arial" w:cs="Arial"/>
          <w:szCs w:val="24"/>
        </w:rPr>
        <w:t>IT facility preparation, operation and maintenance.</w:t>
      </w:r>
    </w:p>
    <w:p w:rsidR="001F4B28" w:rsidRPr="00B05A21" w:rsidRDefault="001F4B28" w:rsidP="000459EC">
      <w:pPr>
        <w:pStyle w:val="BulletText1"/>
        <w:tabs>
          <w:tab w:val="clear" w:pos="173"/>
          <w:tab w:val="num" w:pos="374"/>
        </w:tabs>
        <w:ind w:left="374" w:hanging="374"/>
        <w:rPr>
          <w:rFonts w:ascii="Arial" w:hAnsi="Arial" w:cs="Arial"/>
          <w:szCs w:val="24"/>
        </w:rPr>
      </w:pPr>
      <w:r w:rsidRPr="00B05A21">
        <w:rPr>
          <w:rFonts w:ascii="Arial" w:hAnsi="Arial" w:cs="Arial"/>
          <w:szCs w:val="24"/>
        </w:rPr>
        <w:t>Application systems development and implementation, or changes to application systems or programs to meet new or modified needs, or maintenance, including:</w:t>
      </w:r>
    </w:p>
    <w:p w:rsidR="001F4B28" w:rsidRPr="00B05A21" w:rsidRDefault="001F4B28" w:rsidP="000459EC">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Feasibility study preparation</w:t>
      </w:r>
    </w:p>
    <w:p w:rsidR="001F4B28" w:rsidRPr="00B05A21" w:rsidRDefault="001F4B28" w:rsidP="000459EC">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 xml:space="preserve">Systems analysis, </w:t>
      </w:r>
    </w:p>
    <w:p w:rsidR="001F4B28" w:rsidRPr="00B05A21" w:rsidRDefault="001F4B28" w:rsidP="000459EC">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Systems design</w:t>
      </w:r>
    </w:p>
    <w:p w:rsidR="001F4B28" w:rsidRPr="00B05A21" w:rsidRDefault="001F4B28" w:rsidP="000459EC">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Purchase and installation of software</w:t>
      </w:r>
    </w:p>
    <w:p w:rsidR="001F4B28" w:rsidRPr="00B05A21" w:rsidRDefault="001F4B28" w:rsidP="000459EC">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Programming services</w:t>
      </w:r>
    </w:p>
    <w:p w:rsidR="001F4B28" w:rsidRPr="00B05A21" w:rsidRDefault="001F4B28" w:rsidP="000459EC">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Data or programming conversions</w:t>
      </w:r>
    </w:p>
    <w:p w:rsidR="001F4B28" w:rsidRPr="00B05A21" w:rsidRDefault="001F4B28" w:rsidP="000459EC">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Systems and procedures documentation</w:t>
      </w:r>
    </w:p>
    <w:p w:rsidR="001F4B28" w:rsidRPr="00B05A21" w:rsidRDefault="001F4B28" w:rsidP="000459EC">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Project appraisal or assessment</w:t>
      </w:r>
    </w:p>
    <w:p w:rsidR="001F4B28" w:rsidRPr="00B05A21" w:rsidRDefault="001F4B28" w:rsidP="000459EC">
      <w:pPr>
        <w:pStyle w:val="BulletText1"/>
        <w:tabs>
          <w:tab w:val="clear" w:pos="173"/>
          <w:tab w:val="num" w:pos="374"/>
        </w:tabs>
        <w:ind w:left="374" w:hanging="374"/>
        <w:rPr>
          <w:rFonts w:ascii="Arial" w:hAnsi="Arial" w:cs="Arial"/>
          <w:szCs w:val="24"/>
        </w:rPr>
      </w:pPr>
      <w:r w:rsidRPr="00B05A21">
        <w:rPr>
          <w:rFonts w:ascii="Arial" w:hAnsi="Arial" w:cs="Arial"/>
          <w:szCs w:val="24"/>
        </w:rPr>
        <w:t>Operation of application systems or programs including handling, assembling or editing of input-output data or media where IT equipment or IT personnel are used.</w:t>
      </w:r>
    </w:p>
    <w:p w:rsidR="001F4B28" w:rsidRPr="00B05A21" w:rsidRDefault="001F4B28" w:rsidP="000459EC">
      <w:pPr>
        <w:pStyle w:val="BulletText1"/>
        <w:tabs>
          <w:tab w:val="clear" w:pos="173"/>
          <w:tab w:val="num" w:pos="374"/>
        </w:tabs>
        <w:ind w:left="374" w:hanging="374"/>
        <w:rPr>
          <w:rFonts w:ascii="Arial" w:hAnsi="Arial" w:cs="Arial"/>
          <w:szCs w:val="24"/>
        </w:rPr>
      </w:pPr>
      <w:r w:rsidRPr="00B05A21">
        <w:rPr>
          <w:rFonts w:ascii="Arial" w:hAnsi="Arial" w:cs="Arial"/>
          <w:szCs w:val="24"/>
        </w:rPr>
        <w:t>Acquisition, installation, operation and maintenance of data processing equipment.</w:t>
      </w:r>
    </w:p>
    <w:p w:rsidR="001F4B28" w:rsidRPr="00B05A21" w:rsidRDefault="001F4B28" w:rsidP="000459EC">
      <w:pPr>
        <w:pStyle w:val="BulletText1"/>
        <w:tabs>
          <w:tab w:val="clear" w:pos="173"/>
          <w:tab w:val="num" w:pos="374"/>
        </w:tabs>
        <w:ind w:left="374" w:hanging="374"/>
        <w:rPr>
          <w:rFonts w:ascii="Arial" w:hAnsi="Arial" w:cs="Arial"/>
          <w:szCs w:val="24"/>
        </w:rPr>
      </w:pPr>
      <w:r w:rsidRPr="00B05A21">
        <w:rPr>
          <w:rFonts w:ascii="Arial" w:hAnsi="Arial" w:cs="Arial"/>
          <w:szCs w:val="24"/>
        </w:rPr>
        <w:t>Other installation management activities including:</w:t>
      </w:r>
    </w:p>
    <w:p w:rsidR="001F4B28" w:rsidRPr="00B05A21" w:rsidRDefault="001F4B28" w:rsidP="000459EC">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Performance measurement</w:t>
      </w:r>
    </w:p>
    <w:p w:rsidR="001F4B28" w:rsidRPr="00B05A21" w:rsidRDefault="001F4B28" w:rsidP="000459EC">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System tuning</w:t>
      </w:r>
    </w:p>
    <w:p w:rsidR="001F4B28" w:rsidRPr="00B05A21" w:rsidRDefault="001F4B28" w:rsidP="000459EC">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 xml:space="preserve">Capacity management </w:t>
      </w:r>
    </w:p>
    <w:p w:rsidR="001F4B28" w:rsidRPr="00B05A21" w:rsidRDefault="001F4B28" w:rsidP="000459EC">
      <w:pPr>
        <w:pStyle w:val="BulletText1"/>
        <w:tabs>
          <w:tab w:val="clear" w:pos="173"/>
          <w:tab w:val="num" w:pos="374"/>
        </w:tabs>
        <w:ind w:left="374" w:hanging="374"/>
        <w:rPr>
          <w:rFonts w:ascii="Arial" w:hAnsi="Arial" w:cs="Arial"/>
          <w:szCs w:val="24"/>
        </w:rPr>
      </w:pPr>
      <w:r w:rsidRPr="00B05A21">
        <w:rPr>
          <w:rFonts w:ascii="Arial" w:hAnsi="Arial" w:cs="Arial"/>
          <w:szCs w:val="24"/>
        </w:rPr>
        <w:t>Personnel employed in support of, or directly related to, any of the activities listed above, including:</w:t>
      </w:r>
    </w:p>
    <w:p w:rsidR="001F4B28" w:rsidRPr="00B05A21" w:rsidRDefault="001F4B28" w:rsidP="000459EC">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Administration</w:t>
      </w:r>
    </w:p>
    <w:p w:rsidR="001F4B28" w:rsidRPr="00B05A21" w:rsidRDefault="001F4B28" w:rsidP="000459EC">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Technical services</w:t>
      </w:r>
    </w:p>
    <w:p w:rsidR="001F4B28" w:rsidRPr="00B05A21" w:rsidRDefault="001F4B28" w:rsidP="000459EC">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Clerical services</w:t>
      </w:r>
    </w:p>
    <w:p w:rsidR="001F4B28" w:rsidRPr="00B05A21" w:rsidRDefault="001F4B28" w:rsidP="000459EC">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Travel</w:t>
      </w:r>
    </w:p>
    <w:p w:rsidR="001F4B28" w:rsidRPr="00B05A21" w:rsidRDefault="001F4B28" w:rsidP="000459EC">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Training</w:t>
      </w:r>
    </w:p>
    <w:p w:rsidR="001F4B28" w:rsidRPr="00B05A21" w:rsidRDefault="001F4B28" w:rsidP="000459EC">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Preparation of periodic and special reports</w:t>
      </w:r>
    </w:p>
    <w:p w:rsidR="001F4B28" w:rsidRPr="00B05A21" w:rsidRDefault="001F4B28" w:rsidP="000459EC">
      <w:pPr>
        <w:pStyle w:val="BulletText1"/>
        <w:tabs>
          <w:tab w:val="clear" w:pos="173"/>
          <w:tab w:val="num" w:pos="374"/>
        </w:tabs>
        <w:ind w:left="374" w:hanging="374"/>
        <w:rPr>
          <w:rFonts w:ascii="Arial" w:hAnsi="Arial" w:cs="Arial"/>
          <w:szCs w:val="24"/>
        </w:rPr>
      </w:pPr>
      <w:r w:rsidRPr="00B05A21">
        <w:rPr>
          <w:rFonts w:ascii="Arial" w:hAnsi="Arial" w:cs="Arial"/>
          <w:szCs w:val="24"/>
        </w:rPr>
        <w:t>Control functions directly related to the above activities.</w:t>
      </w:r>
    </w:p>
    <w:p w:rsidR="000459EC" w:rsidRPr="00B05A21" w:rsidRDefault="000459EC" w:rsidP="000459EC">
      <w:pPr>
        <w:pStyle w:val="BlockLine"/>
        <w:tabs>
          <w:tab w:val="left" w:pos="2655"/>
        </w:tabs>
        <w:rPr>
          <w:rFonts w:ascii="Arial" w:hAnsi="Arial" w:cs="Arial"/>
          <w:szCs w:val="24"/>
        </w:rPr>
      </w:pPr>
      <w:r w:rsidRPr="00B05A21">
        <w:rPr>
          <w:rFonts w:ascii="Arial" w:hAnsi="Arial" w:cs="Arial"/>
          <w:szCs w:val="24"/>
        </w:rPr>
        <w:tab/>
      </w:r>
    </w:p>
    <w:p w:rsidR="001F4B28" w:rsidRPr="00B05A21" w:rsidRDefault="001F4B28" w:rsidP="001F4B28">
      <w:pPr>
        <w:pStyle w:val="Heading3"/>
        <w:spacing w:after="120"/>
        <w:jc w:val="left"/>
        <w:rPr>
          <w:rFonts w:cs="Arial"/>
          <w:bCs/>
          <w:sz w:val="24"/>
          <w:szCs w:val="24"/>
        </w:rPr>
      </w:pPr>
      <w:bookmarkStart w:id="119" w:name="_Toc12885947"/>
      <w:r w:rsidRPr="00B05A21">
        <w:rPr>
          <w:rFonts w:cs="Arial"/>
          <w:bCs/>
          <w:sz w:val="24"/>
          <w:szCs w:val="24"/>
        </w:rPr>
        <w:t>2.B2.1   IT equipment examples</w:t>
      </w:r>
      <w:bookmarkEnd w:id="119"/>
    </w:p>
    <w:p w:rsidR="001F4B28" w:rsidRPr="00B05A21" w:rsidRDefault="001F4B28" w:rsidP="00432650">
      <w:pPr>
        <w:pStyle w:val="BlockText0"/>
        <w:rPr>
          <w:rFonts w:ascii="Arial" w:hAnsi="Arial" w:cs="Arial"/>
          <w:szCs w:val="24"/>
        </w:rPr>
      </w:pPr>
      <w:r w:rsidRPr="00B05A21">
        <w:rPr>
          <w:rFonts w:ascii="Arial" w:hAnsi="Arial" w:cs="Arial"/>
          <w:szCs w:val="24"/>
        </w:rPr>
        <w:t>The following are examples of IT goods:</w:t>
      </w:r>
    </w:p>
    <w:p w:rsidR="001F4B28" w:rsidRPr="00B05A21" w:rsidRDefault="001F4B28" w:rsidP="00432650">
      <w:pPr>
        <w:pStyle w:val="BulletText1"/>
        <w:tabs>
          <w:tab w:val="clear" w:pos="173"/>
          <w:tab w:val="num" w:pos="374"/>
        </w:tabs>
        <w:ind w:left="374" w:hanging="374"/>
        <w:rPr>
          <w:rFonts w:ascii="Arial" w:hAnsi="Arial" w:cs="Arial"/>
          <w:szCs w:val="24"/>
        </w:rPr>
      </w:pPr>
      <w:r w:rsidRPr="00B05A21">
        <w:rPr>
          <w:rFonts w:ascii="Arial" w:hAnsi="Arial" w:cs="Arial"/>
          <w:szCs w:val="24"/>
        </w:rPr>
        <w:t>Central processing units (mainframes) and all related features and peripheral units, including processor storage, console devices, channel devices, etc.;</w:t>
      </w:r>
    </w:p>
    <w:p w:rsidR="001F4B28" w:rsidRPr="00B05A21" w:rsidRDefault="001F4B28" w:rsidP="00432650">
      <w:pPr>
        <w:pStyle w:val="BulletText1"/>
        <w:tabs>
          <w:tab w:val="clear" w:pos="173"/>
          <w:tab w:val="num" w:pos="374"/>
        </w:tabs>
        <w:ind w:left="374" w:hanging="374"/>
        <w:rPr>
          <w:rFonts w:ascii="Arial" w:hAnsi="Arial" w:cs="Arial"/>
          <w:szCs w:val="24"/>
        </w:rPr>
      </w:pPr>
      <w:r w:rsidRPr="00B05A21">
        <w:rPr>
          <w:rFonts w:ascii="Arial" w:hAnsi="Arial" w:cs="Arial"/>
          <w:szCs w:val="24"/>
        </w:rPr>
        <w:lastRenderedPageBreak/>
        <w:t>Minicomputers, midrange computers, microcomputers and personal computers and all peripheral units associated with such computers;</w:t>
      </w:r>
    </w:p>
    <w:p w:rsidR="001F4B28" w:rsidRPr="00B05A21" w:rsidRDefault="001F4B28" w:rsidP="00432650">
      <w:pPr>
        <w:pStyle w:val="BulletText1"/>
        <w:tabs>
          <w:tab w:val="clear" w:pos="173"/>
          <w:tab w:val="num" w:pos="374"/>
        </w:tabs>
        <w:ind w:left="374" w:hanging="374"/>
        <w:rPr>
          <w:rFonts w:ascii="Arial" w:hAnsi="Arial" w:cs="Arial"/>
          <w:szCs w:val="24"/>
        </w:rPr>
      </w:pPr>
      <w:r w:rsidRPr="00B05A21">
        <w:rPr>
          <w:rFonts w:ascii="Arial" w:hAnsi="Arial" w:cs="Arial"/>
          <w:szCs w:val="24"/>
        </w:rPr>
        <w:t>Special purpose systems including work process:</w:t>
      </w:r>
    </w:p>
    <w:p w:rsidR="001F4B28" w:rsidRPr="00B05A21" w:rsidRDefault="001F4B28" w:rsidP="00432650">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Magnetic Ink Character Recognition (MICR)</w:t>
      </w:r>
    </w:p>
    <w:p w:rsidR="001F4B28" w:rsidRPr="00B05A21" w:rsidRDefault="001F4B28" w:rsidP="00432650">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Optical Character Recognition (OCR)</w:t>
      </w:r>
    </w:p>
    <w:p w:rsidR="001F4B28" w:rsidRPr="00B05A21" w:rsidRDefault="001F4B28" w:rsidP="00432650">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Photo composition</w:t>
      </w:r>
    </w:p>
    <w:p w:rsidR="001F4B28" w:rsidRPr="00B05A21" w:rsidRDefault="001F4B28" w:rsidP="00432650">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Typesetting and electronic bookkeeping</w:t>
      </w:r>
    </w:p>
    <w:p w:rsidR="001F4B28" w:rsidRPr="00B05A21" w:rsidRDefault="001F4B28" w:rsidP="00432650">
      <w:pPr>
        <w:pStyle w:val="BulletText1"/>
        <w:tabs>
          <w:tab w:val="clear" w:pos="173"/>
          <w:tab w:val="num" w:pos="374"/>
        </w:tabs>
        <w:ind w:left="374" w:hanging="374"/>
        <w:rPr>
          <w:rFonts w:ascii="Arial" w:hAnsi="Arial" w:cs="Arial"/>
          <w:szCs w:val="24"/>
        </w:rPr>
      </w:pPr>
      <w:r w:rsidRPr="00B05A21">
        <w:rPr>
          <w:rFonts w:ascii="Arial" w:hAnsi="Arial" w:cs="Arial"/>
          <w:szCs w:val="24"/>
        </w:rPr>
        <w:t>Communication devices used for transmission of data such as:</w:t>
      </w:r>
    </w:p>
    <w:p w:rsidR="001F4B28" w:rsidRPr="00B05A21" w:rsidRDefault="001F4B28" w:rsidP="00432650">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Modems</w:t>
      </w:r>
    </w:p>
    <w:p w:rsidR="001F4B28" w:rsidRPr="00B05A21" w:rsidRDefault="001F4B28" w:rsidP="00432650">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Data sets</w:t>
      </w:r>
    </w:p>
    <w:p w:rsidR="001F4B28" w:rsidRPr="00B05A21" w:rsidRDefault="001F4B28" w:rsidP="00432650">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Multiplexors</w:t>
      </w:r>
    </w:p>
    <w:p w:rsidR="001F4B28" w:rsidRPr="00B05A21" w:rsidRDefault="001F4B28" w:rsidP="00432650">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Concentrators</w:t>
      </w:r>
    </w:p>
    <w:p w:rsidR="001F4B28" w:rsidRPr="00B05A21" w:rsidRDefault="001F4B28" w:rsidP="00432650">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Routers</w:t>
      </w:r>
    </w:p>
    <w:p w:rsidR="001F4B28" w:rsidRPr="00B05A21" w:rsidRDefault="001F4B28" w:rsidP="00432650">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Switches</w:t>
      </w:r>
    </w:p>
    <w:p w:rsidR="001F4B28" w:rsidRPr="00B05A21" w:rsidRDefault="001F4B28" w:rsidP="00432650">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Local area network (LAN)</w:t>
      </w:r>
    </w:p>
    <w:p w:rsidR="001F4B28" w:rsidRPr="00B05A21" w:rsidRDefault="001F4B28" w:rsidP="00432650">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Private branch exchanges</w:t>
      </w:r>
    </w:p>
    <w:p w:rsidR="001F4B28" w:rsidRPr="00B05A21" w:rsidRDefault="001F4B28" w:rsidP="00432650">
      <w:pPr>
        <w:pStyle w:val="BulletText1"/>
        <w:tabs>
          <w:tab w:val="clear" w:pos="173"/>
          <w:tab w:val="num" w:pos="374"/>
        </w:tabs>
        <w:ind w:left="374" w:hanging="374"/>
        <w:rPr>
          <w:rFonts w:ascii="Arial" w:hAnsi="Arial" w:cs="Arial"/>
          <w:szCs w:val="24"/>
        </w:rPr>
      </w:pPr>
      <w:r w:rsidRPr="00B05A21">
        <w:rPr>
          <w:rFonts w:ascii="Arial" w:hAnsi="Arial" w:cs="Arial"/>
          <w:szCs w:val="24"/>
        </w:rPr>
        <w:t>Network control equipment, or microwave or satellite communications systems.</w:t>
      </w:r>
    </w:p>
    <w:p w:rsidR="001F4B28" w:rsidRPr="00B05A21" w:rsidRDefault="001F4B28" w:rsidP="00432650">
      <w:pPr>
        <w:pStyle w:val="BulletText1"/>
        <w:tabs>
          <w:tab w:val="clear" w:pos="173"/>
          <w:tab w:val="num" w:pos="374"/>
        </w:tabs>
        <w:ind w:left="374" w:hanging="374"/>
        <w:rPr>
          <w:rFonts w:ascii="Arial" w:hAnsi="Arial" w:cs="Arial"/>
          <w:szCs w:val="24"/>
        </w:rPr>
      </w:pPr>
      <w:r w:rsidRPr="00B05A21">
        <w:rPr>
          <w:rFonts w:ascii="Arial" w:hAnsi="Arial" w:cs="Arial"/>
          <w:szCs w:val="24"/>
        </w:rPr>
        <w:t>Input-output (peripheral) units (off-line or on-line) including:</w:t>
      </w:r>
    </w:p>
    <w:p w:rsidR="001F4B28" w:rsidRPr="00B05A21" w:rsidRDefault="001F4B28" w:rsidP="00432650">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Terminal</w:t>
      </w:r>
    </w:p>
    <w:p w:rsidR="001F4B28" w:rsidRPr="00B05A21" w:rsidRDefault="001F4B28" w:rsidP="00432650">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Card readers</w:t>
      </w:r>
    </w:p>
    <w:p w:rsidR="001F4B28" w:rsidRPr="00B05A21" w:rsidRDefault="001F4B28" w:rsidP="00432650">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Optical character readers</w:t>
      </w:r>
    </w:p>
    <w:p w:rsidR="001F4B28" w:rsidRPr="00B05A21" w:rsidRDefault="001F4B28" w:rsidP="00432650">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Magnetic tape units</w:t>
      </w:r>
    </w:p>
    <w:p w:rsidR="001F4B28" w:rsidRPr="00B05A21" w:rsidRDefault="001F4B28" w:rsidP="00432650">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Mass storage devices</w:t>
      </w:r>
    </w:p>
    <w:p w:rsidR="001F4B28" w:rsidRPr="00B05A21" w:rsidRDefault="001F4B28" w:rsidP="00432650">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Card punches</w:t>
      </w:r>
    </w:p>
    <w:p w:rsidR="001F4B28" w:rsidRPr="00B05A21" w:rsidRDefault="001F4B28" w:rsidP="00432650">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Printers</w:t>
      </w:r>
    </w:p>
    <w:p w:rsidR="001F4B28" w:rsidRPr="00B05A21" w:rsidRDefault="001F4B28" w:rsidP="00432650">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Computer output to microform converters (COM)</w:t>
      </w:r>
    </w:p>
    <w:p w:rsidR="001F4B28" w:rsidRPr="00B05A21" w:rsidRDefault="001F4B28" w:rsidP="00432650">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Video display units</w:t>
      </w:r>
    </w:p>
    <w:p w:rsidR="001F4B28" w:rsidRPr="00B05A21" w:rsidRDefault="001F4B28" w:rsidP="00432650">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Data entry devices</w:t>
      </w:r>
    </w:p>
    <w:p w:rsidR="001F4B28" w:rsidRPr="00B05A21" w:rsidRDefault="001F4B28" w:rsidP="00432650">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Teletypes</w:t>
      </w:r>
    </w:p>
    <w:p w:rsidR="001F4B28" w:rsidRPr="00B05A21" w:rsidRDefault="001F4B28" w:rsidP="00432650">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Teleprinters</w:t>
      </w:r>
    </w:p>
    <w:p w:rsidR="001F4B28" w:rsidRPr="00B05A21" w:rsidRDefault="001F4B28" w:rsidP="00432650">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Plotters</w:t>
      </w:r>
    </w:p>
    <w:p w:rsidR="001F4B28" w:rsidRPr="00B05A21" w:rsidRDefault="001F4B28" w:rsidP="00432650">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Scanners</w:t>
      </w:r>
    </w:p>
    <w:p w:rsidR="001F4B28" w:rsidRPr="00B05A21" w:rsidRDefault="001F4B28" w:rsidP="00432650">
      <w:pPr>
        <w:pStyle w:val="BulletText1"/>
        <w:tabs>
          <w:tab w:val="clear" w:pos="173"/>
          <w:tab w:val="num" w:pos="374"/>
        </w:tabs>
        <w:ind w:left="374" w:hanging="374"/>
        <w:rPr>
          <w:rFonts w:ascii="Arial" w:hAnsi="Arial" w:cs="Arial"/>
          <w:szCs w:val="24"/>
        </w:rPr>
      </w:pPr>
      <w:r w:rsidRPr="00B05A21">
        <w:rPr>
          <w:rFonts w:ascii="Arial" w:hAnsi="Arial" w:cs="Arial"/>
          <w:szCs w:val="24"/>
        </w:rPr>
        <w:t>Or any device used as a terminal to a computer and control units for these devices.</w:t>
      </w:r>
    </w:p>
    <w:p w:rsidR="001F4B28" w:rsidRPr="00B05A21" w:rsidRDefault="001F4B28" w:rsidP="00432650">
      <w:pPr>
        <w:pStyle w:val="BlockText0"/>
        <w:rPr>
          <w:rFonts w:ascii="Arial" w:hAnsi="Arial" w:cs="Arial"/>
          <w:szCs w:val="24"/>
        </w:rPr>
      </w:pPr>
    </w:p>
    <w:p w:rsidR="001F4B28" w:rsidRPr="00B05A21" w:rsidRDefault="001F4B28" w:rsidP="00740F1E">
      <w:pPr>
        <w:pStyle w:val="BulletText1"/>
        <w:numPr>
          <w:ilvl w:val="0"/>
          <w:numId w:val="0"/>
        </w:numPr>
        <w:rPr>
          <w:rFonts w:ascii="Arial" w:hAnsi="Arial" w:cs="Arial"/>
          <w:szCs w:val="24"/>
        </w:rPr>
      </w:pPr>
      <w:r w:rsidRPr="00B05A21">
        <w:rPr>
          <w:rFonts w:ascii="Arial" w:hAnsi="Arial" w:cs="Arial"/>
          <w:szCs w:val="24"/>
        </w:rPr>
        <w:t>The above items are considered IT equipment and may be purchased by departments with IT purchasing authority.</w:t>
      </w:r>
    </w:p>
    <w:p w:rsidR="000459EC" w:rsidRPr="00B05A21" w:rsidRDefault="000459EC" w:rsidP="000459EC">
      <w:pPr>
        <w:pStyle w:val="BlockLine"/>
        <w:tabs>
          <w:tab w:val="left" w:pos="2655"/>
        </w:tabs>
        <w:rPr>
          <w:rFonts w:ascii="Arial" w:hAnsi="Arial" w:cs="Arial"/>
          <w:szCs w:val="24"/>
        </w:rPr>
      </w:pPr>
      <w:r w:rsidRPr="00B05A21">
        <w:rPr>
          <w:rFonts w:ascii="Arial" w:hAnsi="Arial" w:cs="Arial"/>
          <w:szCs w:val="24"/>
        </w:rPr>
        <w:tab/>
      </w:r>
    </w:p>
    <w:p w:rsidR="00B52EE7" w:rsidRPr="00B05A21" w:rsidRDefault="00B52EE7" w:rsidP="00B52EE7">
      <w:pPr>
        <w:pStyle w:val="Heading3"/>
        <w:spacing w:after="120"/>
        <w:jc w:val="left"/>
        <w:rPr>
          <w:rFonts w:cs="Arial"/>
          <w:bCs/>
          <w:sz w:val="24"/>
          <w:szCs w:val="24"/>
        </w:rPr>
      </w:pPr>
      <w:bookmarkStart w:id="120" w:name="_Toc12885948"/>
      <w:r w:rsidRPr="00B05A21">
        <w:rPr>
          <w:rFonts w:cs="Arial"/>
          <w:bCs/>
          <w:sz w:val="24"/>
          <w:szCs w:val="24"/>
        </w:rPr>
        <w:t>2.B2.2   IT supplies</w:t>
      </w:r>
      <w:bookmarkEnd w:id="120"/>
    </w:p>
    <w:p w:rsidR="00B52EE7" w:rsidRPr="00B05A21" w:rsidRDefault="00B52EE7" w:rsidP="00432650">
      <w:pPr>
        <w:pStyle w:val="BlockText0"/>
        <w:rPr>
          <w:rFonts w:ascii="Arial" w:hAnsi="Arial" w:cs="Arial"/>
          <w:szCs w:val="24"/>
        </w:rPr>
      </w:pPr>
      <w:r w:rsidRPr="00B05A21">
        <w:rPr>
          <w:rFonts w:ascii="Arial" w:hAnsi="Arial" w:cs="Arial"/>
          <w:szCs w:val="24"/>
        </w:rPr>
        <w:t>The following consumable items are considered IT products, but may be acquired as non-IT goods:</w:t>
      </w:r>
    </w:p>
    <w:p w:rsidR="00B52EE7" w:rsidRPr="00B05A21" w:rsidRDefault="00B52EE7" w:rsidP="00432650">
      <w:pPr>
        <w:pStyle w:val="BulletText1"/>
        <w:tabs>
          <w:tab w:val="clear" w:pos="173"/>
          <w:tab w:val="num" w:pos="374"/>
        </w:tabs>
        <w:ind w:left="374" w:hanging="374"/>
        <w:rPr>
          <w:rFonts w:ascii="Arial" w:hAnsi="Arial" w:cs="Arial"/>
          <w:szCs w:val="24"/>
        </w:rPr>
      </w:pPr>
      <w:r w:rsidRPr="00B05A21">
        <w:rPr>
          <w:rFonts w:ascii="Arial" w:hAnsi="Arial" w:cs="Arial"/>
          <w:szCs w:val="24"/>
        </w:rPr>
        <w:t>Documents, i.e., standards and procedures manuals, contractor supplied systems documentation and educational or training manuals.</w:t>
      </w:r>
    </w:p>
    <w:p w:rsidR="00B52EE7" w:rsidRPr="00B05A21" w:rsidRDefault="00B52EE7" w:rsidP="00432650">
      <w:pPr>
        <w:pStyle w:val="BulletText1"/>
        <w:tabs>
          <w:tab w:val="clear" w:pos="173"/>
          <w:tab w:val="num" w:pos="374"/>
        </w:tabs>
        <w:ind w:left="374" w:hanging="374"/>
        <w:rPr>
          <w:rFonts w:ascii="Arial" w:hAnsi="Arial" w:cs="Arial"/>
          <w:szCs w:val="24"/>
        </w:rPr>
      </w:pPr>
      <w:r w:rsidRPr="00B05A21">
        <w:rPr>
          <w:rFonts w:ascii="Arial" w:hAnsi="Arial" w:cs="Arial"/>
          <w:szCs w:val="24"/>
        </w:rPr>
        <w:t>Equipment supplies, i.e. printer forms, punch card stock, disk packs, floppy disks, magnetic tape and printer ribbons or cartridges;</w:t>
      </w:r>
    </w:p>
    <w:p w:rsidR="00B52EE7" w:rsidRPr="00B05A21" w:rsidRDefault="00B52EE7" w:rsidP="00432650">
      <w:pPr>
        <w:pStyle w:val="BulletText1"/>
        <w:tabs>
          <w:tab w:val="clear" w:pos="173"/>
          <w:tab w:val="num" w:pos="374"/>
        </w:tabs>
        <w:ind w:left="374" w:hanging="374"/>
        <w:rPr>
          <w:rFonts w:ascii="Arial" w:hAnsi="Arial" w:cs="Arial"/>
          <w:szCs w:val="24"/>
        </w:rPr>
      </w:pPr>
      <w:r w:rsidRPr="00B05A21">
        <w:rPr>
          <w:rFonts w:ascii="Arial" w:hAnsi="Arial" w:cs="Arial"/>
          <w:szCs w:val="24"/>
        </w:rPr>
        <w:t>Furniture (IT-related, such as desktop station tables and printer stands).</w:t>
      </w:r>
    </w:p>
    <w:p w:rsidR="00432650" w:rsidRPr="00B05A21" w:rsidRDefault="00432650" w:rsidP="00432650">
      <w:pPr>
        <w:pStyle w:val="BlockLine"/>
        <w:tabs>
          <w:tab w:val="left" w:pos="2655"/>
        </w:tabs>
        <w:rPr>
          <w:rFonts w:ascii="Arial" w:hAnsi="Arial" w:cs="Arial"/>
          <w:szCs w:val="24"/>
        </w:rPr>
      </w:pPr>
      <w:r w:rsidRPr="00B05A21">
        <w:rPr>
          <w:rFonts w:ascii="Arial" w:hAnsi="Arial" w:cs="Arial"/>
          <w:szCs w:val="24"/>
        </w:rPr>
        <w:lastRenderedPageBreak/>
        <w:tab/>
      </w:r>
    </w:p>
    <w:p w:rsidR="008F7130" w:rsidRPr="00B05A21" w:rsidRDefault="008F7130" w:rsidP="008F7130">
      <w:pPr>
        <w:pStyle w:val="Heading3"/>
        <w:spacing w:after="120"/>
        <w:jc w:val="left"/>
        <w:rPr>
          <w:rFonts w:cs="Arial"/>
          <w:bCs/>
          <w:sz w:val="24"/>
          <w:szCs w:val="24"/>
        </w:rPr>
      </w:pPr>
      <w:bookmarkStart w:id="121" w:name="_Toc12885949"/>
      <w:r w:rsidRPr="00B05A21">
        <w:rPr>
          <w:rFonts w:cs="Arial"/>
          <w:bCs/>
          <w:sz w:val="24"/>
          <w:szCs w:val="24"/>
        </w:rPr>
        <w:t>2.B2.3   IT goods not considered supplies</w:t>
      </w:r>
      <w:bookmarkEnd w:id="121"/>
    </w:p>
    <w:p w:rsidR="008F7130" w:rsidRPr="00B05A21" w:rsidRDefault="008F7130" w:rsidP="00432650">
      <w:pPr>
        <w:pStyle w:val="BlockText0"/>
        <w:rPr>
          <w:rFonts w:ascii="Arial" w:hAnsi="Arial" w:cs="Arial"/>
          <w:szCs w:val="24"/>
          <w:u w:val="single"/>
        </w:rPr>
      </w:pPr>
      <w:r w:rsidRPr="00B05A21">
        <w:rPr>
          <w:rFonts w:ascii="Arial" w:hAnsi="Arial" w:cs="Arial"/>
          <w:szCs w:val="24"/>
        </w:rPr>
        <w:t>PC keyboards, mice, zip drives, memory cards,</w:t>
      </w:r>
      <w:r w:rsidRPr="00B05A21">
        <w:rPr>
          <w:rFonts w:ascii="Arial" w:hAnsi="Arial" w:cs="Arial"/>
          <w:color w:val="000000"/>
          <w:szCs w:val="24"/>
        </w:rPr>
        <w:t xml:space="preserve"> personal digital assistants (PDA)</w:t>
      </w:r>
      <w:r w:rsidRPr="00B05A21">
        <w:rPr>
          <w:rFonts w:ascii="Arial" w:hAnsi="Arial" w:cs="Arial"/>
          <w:szCs w:val="24"/>
        </w:rPr>
        <w:t xml:space="preserve">, software and scanners </w:t>
      </w:r>
      <w:r w:rsidRPr="00B05A21">
        <w:rPr>
          <w:rFonts w:ascii="Arial" w:hAnsi="Arial" w:cs="Arial"/>
          <w:szCs w:val="24"/>
          <w:u w:val="single"/>
        </w:rPr>
        <w:t xml:space="preserve">are not supplies. </w:t>
      </w:r>
    </w:p>
    <w:p w:rsidR="008F7130" w:rsidRPr="00B05A21" w:rsidRDefault="008F7130" w:rsidP="00432650">
      <w:pPr>
        <w:pStyle w:val="BlockText0"/>
        <w:rPr>
          <w:rFonts w:ascii="Arial" w:hAnsi="Arial" w:cs="Arial"/>
          <w:szCs w:val="24"/>
          <w:u w:val="single"/>
        </w:rPr>
      </w:pPr>
    </w:p>
    <w:p w:rsidR="008F7130" w:rsidRPr="00B05A21" w:rsidRDefault="008F7130" w:rsidP="00432650">
      <w:pPr>
        <w:rPr>
          <w:rFonts w:ascii="Arial" w:hAnsi="Arial" w:cs="Arial"/>
        </w:rPr>
      </w:pPr>
      <w:r w:rsidRPr="00B05A21">
        <w:rPr>
          <w:rFonts w:ascii="Arial" w:hAnsi="Arial" w:cs="Arial"/>
          <w:b/>
          <w:u w:val="single"/>
        </w:rPr>
        <w:t>Note</w:t>
      </w:r>
      <w:r w:rsidRPr="00B05A21">
        <w:rPr>
          <w:rFonts w:ascii="Arial" w:hAnsi="Arial" w:cs="Arial"/>
        </w:rPr>
        <w:t>:  Only departments with an approved IT purchasing authority may acquire the above in accordance with all applicable IT project and procurement standards and requirements.</w:t>
      </w:r>
    </w:p>
    <w:p w:rsidR="00432650" w:rsidRPr="00B05A21" w:rsidRDefault="00432650" w:rsidP="00432650">
      <w:pPr>
        <w:pStyle w:val="BlockLine"/>
        <w:tabs>
          <w:tab w:val="left" w:pos="2655"/>
        </w:tabs>
        <w:rPr>
          <w:rFonts w:ascii="Arial" w:hAnsi="Arial" w:cs="Arial"/>
          <w:szCs w:val="24"/>
        </w:rPr>
      </w:pPr>
      <w:r w:rsidRPr="00B05A21">
        <w:rPr>
          <w:rFonts w:ascii="Arial" w:hAnsi="Arial" w:cs="Arial"/>
          <w:szCs w:val="24"/>
        </w:rPr>
        <w:tab/>
      </w:r>
    </w:p>
    <w:p w:rsidR="00F17D5B" w:rsidRPr="00B05A21" w:rsidRDefault="00F17D5B" w:rsidP="00F17D5B">
      <w:pPr>
        <w:pStyle w:val="Heading3"/>
        <w:spacing w:after="120"/>
        <w:jc w:val="left"/>
        <w:rPr>
          <w:rFonts w:cs="Arial"/>
          <w:bCs/>
          <w:sz w:val="24"/>
          <w:szCs w:val="24"/>
        </w:rPr>
      </w:pPr>
      <w:bookmarkStart w:id="122" w:name="_Toc12885950"/>
      <w:r w:rsidRPr="00B05A21">
        <w:rPr>
          <w:rFonts w:cs="Arial"/>
          <w:bCs/>
          <w:sz w:val="24"/>
          <w:szCs w:val="24"/>
        </w:rPr>
        <w:t>2.B2.4   IT services</w:t>
      </w:r>
      <w:bookmarkEnd w:id="122"/>
      <w:r w:rsidRPr="00B05A21">
        <w:rPr>
          <w:rFonts w:cs="Arial"/>
          <w:bCs/>
          <w:sz w:val="24"/>
          <w:szCs w:val="24"/>
        </w:rPr>
        <w:t xml:space="preserve"> </w:t>
      </w:r>
    </w:p>
    <w:p w:rsidR="00F17D5B" w:rsidRPr="00B05A21" w:rsidRDefault="00F17D5B" w:rsidP="00432650">
      <w:pPr>
        <w:pStyle w:val="BlockText0"/>
        <w:rPr>
          <w:rFonts w:ascii="Arial" w:hAnsi="Arial" w:cs="Arial"/>
          <w:szCs w:val="24"/>
        </w:rPr>
      </w:pPr>
      <w:r w:rsidRPr="00B05A21">
        <w:rPr>
          <w:rFonts w:ascii="Arial" w:hAnsi="Arial" w:cs="Arial"/>
          <w:szCs w:val="24"/>
          <w:u w:val="single"/>
        </w:rPr>
        <w:t>IT personal services</w:t>
      </w:r>
      <w:r w:rsidRPr="00B05A21">
        <w:rPr>
          <w:rFonts w:ascii="Arial" w:hAnsi="Arial" w:cs="Arial"/>
          <w:szCs w:val="24"/>
        </w:rPr>
        <w:t xml:space="preserve"> are services that have someone doing IT related services, e.g., hardware, software or system maintenance services.</w:t>
      </w:r>
    </w:p>
    <w:p w:rsidR="00F17D5B" w:rsidRPr="00B05A21" w:rsidRDefault="00F17D5B" w:rsidP="00432650">
      <w:pPr>
        <w:pStyle w:val="BlockText0"/>
        <w:rPr>
          <w:rFonts w:ascii="Arial" w:hAnsi="Arial" w:cs="Arial"/>
          <w:szCs w:val="24"/>
          <w:u w:val="single"/>
        </w:rPr>
      </w:pPr>
    </w:p>
    <w:p w:rsidR="00F17D5B" w:rsidRPr="00B05A21" w:rsidRDefault="00F17D5B" w:rsidP="00432650">
      <w:pPr>
        <w:pStyle w:val="BlockText0"/>
        <w:rPr>
          <w:rFonts w:ascii="Arial" w:hAnsi="Arial" w:cs="Arial"/>
          <w:szCs w:val="24"/>
        </w:rPr>
      </w:pPr>
      <w:r w:rsidRPr="00B05A21">
        <w:rPr>
          <w:rFonts w:ascii="Arial" w:hAnsi="Arial" w:cs="Arial"/>
          <w:szCs w:val="24"/>
          <w:u w:val="single"/>
        </w:rPr>
        <w:t>IT consulting services</w:t>
      </w:r>
      <w:r w:rsidRPr="00B05A21">
        <w:rPr>
          <w:rFonts w:ascii="Arial" w:hAnsi="Arial" w:cs="Arial"/>
          <w:szCs w:val="24"/>
        </w:rPr>
        <w:t xml:space="preserve"> are services of an advisory nature that provide a recommended course of action or personal expertise (product of the mind).  This may include subject matter experts or specialists within the IT field overseeing technical projects or providing IT training.</w:t>
      </w:r>
    </w:p>
    <w:p w:rsidR="00F17D5B" w:rsidRPr="00B05A21" w:rsidRDefault="00F17D5B" w:rsidP="00432650">
      <w:pPr>
        <w:pStyle w:val="BlockText0"/>
        <w:rPr>
          <w:rFonts w:ascii="Arial" w:hAnsi="Arial" w:cs="Arial"/>
          <w:szCs w:val="24"/>
        </w:rPr>
      </w:pPr>
    </w:p>
    <w:p w:rsidR="00F17D5B" w:rsidRPr="00B05A21" w:rsidRDefault="00F17D5B" w:rsidP="00432650">
      <w:pPr>
        <w:pStyle w:val="BlockText0"/>
        <w:rPr>
          <w:rFonts w:ascii="Arial" w:hAnsi="Arial" w:cs="Arial"/>
          <w:szCs w:val="24"/>
        </w:rPr>
      </w:pPr>
      <w:r w:rsidRPr="00B05A21">
        <w:rPr>
          <w:rFonts w:ascii="Arial" w:hAnsi="Arial" w:cs="Arial"/>
          <w:szCs w:val="24"/>
        </w:rPr>
        <w:t>Resumes and customer references should always be reviewed to ensure the level of expertise and experience matches the project requirements or skill levels as identified in the solicitation or request for offer, as well as in the applicable LPA service contracts (CMAS or MSA).</w:t>
      </w:r>
    </w:p>
    <w:p w:rsidR="00F17D5B" w:rsidRPr="00B05A21" w:rsidRDefault="00F17D5B" w:rsidP="00432650">
      <w:pPr>
        <w:pStyle w:val="BlockText0"/>
        <w:rPr>
          <w:rFonts w:ascii="Arial" w:hAnsi="Arial" w:cs="Arial"/>
          <w:szCs w:val="24"/>
        </w:rPr>
      </w:pPr>
    </w:p>
    <w:p w:rsidR="00F17D5B" w:rsidRPr="00B05A21" w:rsidRDefault="00F17D5B" w:rsidP="00432650">
      <w:pPr>
        <w:pStyle w:val="BlockText0"/>
        <w:rPr>
          <w:rFonts w:ascii="Arial" w:hAnsi="Arial" w:cs="Arial"/>
          <w:szCs w:val="24"/>
        </w:rPr>
      </w:pPr>
      <w:r w:rsidRPr="00B05A21">
        <w:rPr>
          <w:rFonts w:ascii="Arial" w:hAnsi="Arial" w:cs="Arial"/>
          <w:szCs w:val="24"/>
        </w:rPr>
        <w:t>The end product may transmit information, either written or verbal, and is related to the governmental functions of a State department’s administration and management and program management or innovation.  It may include anything from answers to specific questions to design of a system or plan, and includes workshops, seminars, retreats, and conferences for which paid expertise is retained by contract.</w:t>
      </w:r>
    </w:p>
    <w:p w:rsidR="00F17D5B" w:rsidRPr="00B05A21" w:rsidRDefault="00F17D5B" w:rsidP="00432650">
      <w:pPr>
        <w:pStyle w:val="BlockText0"/>
        <w:rPr>
          <w:rFonts w:ascii="Arial" w:hAnsi="Arial" w:cs="Arial"/>
          <w:szCs w:val="24"/>
        </w:rPr>
      </w:pPr>
    </w:p>
    <w:p w:rsidR="00F17D5B" w:rsidRPr="00B05A21" w:rsidRDefault="00F17D5B" w:rsidP="00432650">
      <w:pPr>
        <w:pStyle w:val="BlockText0"/>
        <w:rPr>
          <w:rFonts w:ascii="Arial" w:hAnsi="Arial" w:cs="Arial"/>
          <w:szCs w:val="24"/>
          <w:u w:val="single"/>
        </w:rPr>
      </w:pPr>
      <w:r w:rsidRPr="00B05A21">
        <w:rPr>
          <w:rFonts w:ascii="Arial" w:hAnsi="Arial" w:cs="Arial"/>
          <w:szCs w:val="24"/>
          <w:u w:val="single"/>
        </w:rPr>
        <w:t>Example:</w:t>
      </w:r>
    </w:p>
    <w:p w:rsidR="00F17D5B" w:rsidRPr="00B05A21" w:rsidRDefault="00F17D5B" w:rsidP="00432650">
      <w:pPr>
        <w:rPr>
          <w:rFonts w:ascii="Arial" w:hAnsi="Arial" w:cs="Arial"/>
        </w:rPr>
      </w:pPr>
      <w:r w:rsidRPr="00B05A21">
        <w:rPr>
          <w:rFonts w:ascii="Arial" w:hAnsi="Arial" w:cs="Arial"/>
        </w:rPr>
        <w:t>Independent Verification and Validation (IVV) consulting services or Independent Project Oversight (IPO) consulting services are consider</w:t>
      </w:r>
      <w:r w:rsidR="00CA5776">
        <w:rPr>
          <w:rFonts w:ascii="Arial" w:hAnsi="Arial" w:cs="Arial"/>
        </w:rPr>
        <w:t>ed</w:t>
      </w:r>
      <w:r w:rsidRPr="00B05A21">
        <w:rPr>
          <w:rFonts w:ascii="Arial" w:hAnsi="Arial" w:cs="Arial"/>
        </w:rPr>
        <w:t xml:space="preserve"> IT services because they provide oversight and validation on large IT Integration Projects (required by SIMM section 45).  These services must be acquired in adherence to IT procurement rules.</w:t>
      </w:r>
    </w:p>
    <w:p w:rsidR="00432650" w:rsidRPr="00B05A21" w:rsidRDefault="00432650" w:rsidP="00432650">
      <w:pPr>
        <w:pStyle w:val="BlockLine"/>
        <w:tabs>
          <w:tab w:val="left" w:pos="2655"/>
        </w:tabs>
        <w:rPr>
          <w:rFonts w:ascii="Arial" w:hAnsi="Arial" w:cs="Arial"/>
          <w:szCs w:val="24"/>
        </w:rPr>
      </w:pPr>
      <w:r w:rsidRPr="00B05A21">
        <w:rPr>
          <w:rFonts w:ascii="Arial" w:hAnsi="Arial" w:cs="Arial"/>
          <w:szCs w:val="24"/>
        </w:rPr>
        <w:tab/>
      </w:r>
    </w:p>
    <w:bookmarkEnd w:id="116"/>
    <w:bookmarkEnd w:id="117"/>
    <w:p w:rsidR="005E5BDA" w:rsidRPr="003551BF" w:rsidRDefault="007E3A71" w:rsidP="00971F47">
      <w:pPr>
        <w:pStyle w:val="Heading2"/>
        <w:spacing w:after="120"/>
        <w:ind w:left="1498" w:hanging="1498"/>
        <w:jc w:val="left"/>
        <w:rPr>
          <w:rFonts w:cs="Arial"/>
          <w:bCs/>
          <w:szCs w:val="32"/>
        </w:rPr>
      </w:pPr>
      <w:r w:rsidRPr="00B05A21">
        <w:rPr>
          <w:rFonts w:cs="Arial"/>
          <w:sz w:val="24"/>
          <w:szCs w:val="24"/>
        </w:rPr>
        <w:br w:type="page"/>
      </w:r>
      <w:bookmarkStart w:id="123" w:name="_Topic_2_–_Procurement_Planning_–_Wh_2"/>
      <w:bookmarkStart w:id="124" w:name="_Topic_2_–_Procurement_Planning_–_Wh_1"/>
      <w:bookmarkStart w:id="125" w:name="_Topic_2_–_Procurement_Planning_–_Wh"/>
      <w:bookmarkStart w:id="126" w:name="_Toc12885951"/>
      <w:bookmarkStart w:id="127" w:name="_Toc116951923"/>
      <w:bookmarkEnd w:id="123"/>
      <w:bookmarkEnd w:id="124"/>
      <w:bookmarkEnd w:id="125"/>
      <w:r w:rsidR="005E5BDA" w:rsidRPr="003551BF">
        <w:rPr>
          <w:rFonts w:cs="Arial"/>
          <w:bCs/>
          <w:szCs w:val="32"/>
        </w:rPr>
        <w:lastRenderedPageBreak/>
        <w:t>Topic 3 – Acquisition Planning</w:t>
      </w:r>
      <w:bookmarkEnd w:id="126"/>
    </w:p>
    <w:p w:rsidR="005E5BDA" w:rsidRPr="00B05A21" w:rsidRDefault="005E5BDA" w:rsidP="005E5BDA">
      <w:pPr>
        <w:pStyle w:val="BlockLine"/>
        <w:tabs>
          <w:tab w:val="left" w:pos="2655"/>
        </w:tabs>
        <w:rPr>
          <w:rFonts w:ascii="Arial" w:hAnsi="Arial" w:cs="Arial"/>
          <w:szCs w:val="24"/>
        </w:rPr>
      </w:pPr>
      <w:r w:rsidRPr="00B05A21">
        <w:rPr>
          <w:rFonts w:ascii="Arial" w:hAnsi="Arial" w:cs="Arial"/>
          <w:szCs w:val="24"/>
        </w:rPr>
        <w:tab/>
      </w:r>
    </w:p>
    <w:p w:rsidR="00971F47" w:rsidRPr="00B05A21" w:rsidRDefault="00971F47" w:rsidP="00971F47">
      <w:pPr>
        <w:pStyle w:val="Heading3"/>
        <w:spacing w:after="120"/>
        <w:jc w:val="left"/>
        <w:rPr>
          <w:rFonts w:cs="Arial"/>
          <w:bCs/>
          <w:sz w:val="24"/>
          <w:szCs w:val="24"/>
        </w:rPr>
      </w:pPr>
      <w:bookmarkStart w:id="128" w:name="_Toc12885952"/>
      <w:r w:rsidRPr="00B05A21">
        <w:rPr>
          <w:rFonts w:cs="Arial"/>
          <w:bCs/>
          <w:sz w:val="24"/>
          <w:szCs w:val="24"/>
        </w:rPr>
        <w:t>2.B3.0   Start planning early</w:t>
      </w:r>
      <w:bookmarkEnd w:id="128"/>
    </w:p>
    <w:p w:rsidR="00971F47" w:rsidRPr="00B05A21" w:rsidRDefault="00971F47" w:rsidP="005E5BDA">
      <w:pPr>
        <w:rPr>
          <w:rFonts w:ascii="Arial" w:hAnsi="Arial" w:cs="Arial"/>
        </w:rPr>
      </w:pPr>
      <w:r w:rsidRPr="00B05A21">
        <w:rPr>
          <w:rFonts w:ascii="Arial" w:hAnsi="Arial" w:cs="Arial"/>
        </w:rPr>
        <w:t>Acquisition planning commences with a legislated directive or when a concept or a need surfaces.  It includes identification of what is needed, when it is needed, how it will be acquired and by whom, and determination of needed approvals (e.g., creation of a feasibility study report.  Planning the purchase should begin at the earliest practicable time.  The amount of time necessary for the planning process is dependent upon the dollar value, risk, complexity, and criticality of the proposed purchase.  In addition, the purchase must be classified (IT goods or IT services) and a decision made on the acquisition approach (competitive, non-competitive, or using an existing source such as a State program or an LPA).</w:t>
      </w:r>
    </w:p>
    <w:p w:rsidR="00971F47" w:rsidRPr="00B05A21" w:rsidRDefault="00971F47" w:rsidP="005E5BDA">
      <w:pPr>
        <w:rPr>
          <w:rFonts w:ascii="Arial" w:hAnsi="Arial" w:cs="Arial"/>
        </w:rPr>
      </w:pPr>
    </w:p>
    <w:p w:rsidR="00971F47" w:rsidRPr="00B05A21" w:rsidRDefault="00971F47" w:rsidP="001F0E0D">
      <w:pPr>
        <w:rPr>
          <w:rFonts w:ascii="Arial" w:hAnsi="Arial" w:cs="Arial"/>
        </w:rPr>
      </w:pPr>
      <w:r w:rsidRPr="00B05A21">
        <w:rPr>
          <w:rFonts w:ascii="Arial" w:hAnsi="Arial" w:cs="Arial"/>
          <w:b/>
        </w:rPr>
        <w:t>Note</w:t>
      </w:r>
      <w:r w:rsidRPr="00B05A21">
        <w:rPr>
          <w:rFonts w:ascii="Arial" w:hAnsi="Arial" w:cs="Arial"/>
        </w:rPr>
        <w:t>:  Departments are advised to involve DGS/PD early in the acquisition process regarding IT procurement strategy.  Examples include when a feasibility study report is being created and prior to the creation of an Information Technology Procurement Plan (ITPP), before an evaluation or assessment methodology is formalized.</w:t>
      </w:r>
    </w:p>
    <w:p w:rsidR="005E5BDA" w:rsidRPr="00B05A21" w:rsidRDefault="005E5BDA" w:rsidP="005E5BDA">
      <w:pPr>
        <w:pStyle w:val="BlockLine"/>
        <w:tabs>
          <w:tab w:val="left" w:pos="2655"/>
        </w:tabs>
        <w:rPr>
          <w:rFonts w:ascii="Arial" w:hAnsi="Arial" w:cs="Arial"/>
          <w:szCs w:val="24"/>
        </w:rPr>
      </w:pPr>
    </w:p>
    <w:p w:rsidR="003E4A07" w:rsidRPr="00B05A21" w:rsidRDefault="003E4A07" w:rsidP="003E4A07">
      <w:pPr>
        <w:pStyle w:val="Heading3"/>
        <w:spacing w:after="120"/>
        <w:jc w:val="left"/>
        <w:rPr>
          <w:rFonts w:cs="Arial"/>
          <w:bCs/>
          <w:sz w:val="24"/>
          <w:szCs w:val="24"/>
        </w:rPr>
      </w:pPr>
      <w:bookmarkStart w:id="129" w:name="_Toc12885953"/>
      <w:r w:rsidRPr="00B05A21">
        <w:rPr>
          <w:rFonts w:cs="Arial"/>
          <w:bCs/>
          <w:sz w:val="24"/>
          <w:szCs w:val="24"/>
        </w:rPr>
        <w:t>2.B3.1   Initial review</w:t>
      </w:r>
      <w:bookmarkEnd w:id="129"/>
    </w:p>
    <w:p w:rsidR="003E4A07" w:rsidRPr="00B05A21" w:rsidRDefault="003E4A07" w:rsidP="005E5BDA">
      <w:pPr>
        <w:rPr>
          <w:rFonts w:ascii="Arial" w:hAnsi="Arial" w:cs="Arial"/>
          <w:color w:val="000000"/>
        </w:rPr>
      </w:pPr>
      <w:r w:rsidRPr="00B05A21">
        <w:rPr>
          <w:rFonts w:ascii="Arial" w:hAnsi="Arial" w:cs="Arial"/>
        </w:rPr>
        <w:t>The first step in conducting a procurement is the initial review of a purchase request (purchase requisition, purchase estimate, etc. depending on what the department’s policies and procedures are regarding the necessary documentation to be submitted to the procuring office).   Reviewing the request in terms of the following information will assist in determining any impact in relationship to procurement planning and scheduling activities.</w:t>
      </w:r>
    </w:p>
    <w:p w:rsidR="003E4A07" w:rsidRPr="00B05A21" w:rsidRDefault="003E4A07" w:rsidP="005E5BDA">
      <w:pPr>
        <w:pStyle w:val="BulletText1"/>
        <w:tabs>
          <w:tab w:val="clear" w:pos="173"/>
          <w:tab w:val="num" w:pos="374"/>
        </w:tabs>
        <w:ind w:left="374" w:hanging="374"/>
        <w:rPr>
          <w:rFonts w:ascii="Arial" w:hAnsi="Arial" w:cs="Arial"/>
          <w:szCs w:val="24"/>
        </w:rPr>
      </w:pPr>
      <w:r w:rsidRPr="00B05A21">
        <w:rPr>
          <w:rFonts w:ascii="Arial" w:hAnsi="Arial" w:cs="Arial"/>
          <w:szCs w:val="24"/>
        </w:rPr>
        <w:t>Departmental review and approvals</w:t>
      </w:r>
    </w:p>
    <w:p w:rsidR="003E4A07" w:rsidRPr="00B05A21" w:rsidRDefault="003E4A07" w:rsidP="005E5BDA">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Have the proper approval signatures been secured?</w:t>
      </w:r>
    </w:p>
    <w:p w:rsidR="003E4A07" w:rsidRPr="00B05A21" w:rsidRDefault="003E4A07" w:rsidP="005E5BDA">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Is the request in compliance with equipment standards?</w:t>
      </w:r>
    </w:p>
    <w:p w:rsidR="003E4A07" w:rsidRPr="00B05A21" w:rsidRDefault="003E4A07" w:rsidP="005E5BDA">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Does the request require any department technical review?</w:t>
      </w:r>
    </w:p>
    <w:p w:rsidR="003E4A07" w:rsidRPr="00B05A21" w:rsidRDefault="003E4A07" w:rsidP="005E5BDA">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Is there documentation in sufficient detail to support and justify conducting the procurement?</w:t>
      </w:r>
    </w:p>
    <w:p w:rsidR="003E4A07" w:rsidRPr="00B05A21" w:rsidRDefault="003E4A07" w:rsidP="005E5BDA">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Are there any program schedule requirements, special delivery instructions, time constraints, etc.?</w:t>
      </w:r>
    </w:p>
    <w:p w:rsidR="003E4A07" w:rsidRPr="00B05A21" w:rsidRDefault="003E4A07" w:rsidP="005E5BDA">
      <w:pPr>
        <w:pStyle w:val="BulletText1"/>
        <w:tabs>
          <w:tab w:val="clear" w:pos="173"/>
          <w:tab w:val="num" w:pos="374"/>
        </w:tabs>
        <w:ind w:left="374" w:hanging="374"/>
        <w:rPr>
          <w:rFonts w:ascii="Arial" w:hAnsi="Arial" w:cs="Arial"/>
          <w:szCs w:val="24"/>
        </w:rPr>
      </w:pPr>
      <w:r w:rsidRPr="00B05A21">
        <w:rPr>
          <w:rFonts w:ascii="Arial" w:hAnsi="Arial" w:cs="Arial"/>
          <w:szCs w:val="24"/>
        </w:rPr>
        <w:t>Funding authority</w:t>
      </w:r>
    </w:p>
    <w:p w:rsidR="003E4A07" w:rsidRPr="00B05A21" w:rsidRDefault="003E4A07" w:rsidP="005E5BDA">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Is the procurement scheduling and planning effort limited by:</w:t>
      </w:r>
    </w:p>
    <w:p w:rsidR="003E4A07" w:rsidRPr="00B05A21" w:rsidRDefault="003E4A07" w:rsidP="005E5BDA">
      <w:pPr>
        <w:pStyle w:val="BulletText2"/>
        <w:numPr>
          <w:ilvl w:val="1"/>
          <w:numId w:val="5"/>
        </w:numPr>
        <w:tabs>
          <w:tab w:val="clear" w:pos="1267"/>
          <w:tab w:val="left" w:pos="1122"/>
        </w:tabs>
        <w:ind w:left="1122" w:hanging="374"/>
        <w:rPr>
          <w:rFonts w:ascii="Arial" w:hAnsi="Arial" w:cs="Arial"/>
          <w:szCs w:val="24"/>
        </w:rPr>
      </w:pPr>
      <w:r w:rsidRPr="00B05A21">
        <w:rPr>
          <w:rFonts w:ascii="Arial" w:hAnsi="Arial" w:cs="Arial"/>
          <w:szCs w:val="24"/>
        </w:rPr>
        <w:t>Budgetary constraints?</w:t>
      </w:r>
    </w:p>
    <w:p w:rsidR="003E4A07" w:rsidRPr="00B05A21" w:rsidRDefault="003E4A07" w:rsidP="005E5BDA">
      <w:pPr>
        <w:pStyle w:val="BulletText2"/>
        <w:numPr>
          <w:ilvl w:val="1"/>
          <w:numId w:val="5"/>
        </w:numPr>
        <w:tabs>
          <w:tab w:val="clear" w:pos="1267"/>
          <w:tab w:val="left" w:pos="1122"/>
        </w:tabs>
        <w:ind w:left="1122" w:hanging="374"/>
        <w:rPr>
          <w:rFonts w:ascii="Arial" w:hAnsi="Arial" w:cs="Arial"/>
          <w:szCs w:val="24"/>
        </w:rPr>
      </w:pPr>
      <w:r w:rsidRPr="00B05A21">
        <w:rPr>
          <w:rFonts w:ascii="Arial" w:hAnsi="Arial" w:cs="Arial"/>
          <w:szCs w:val="24"/>
        </w:rPr>
        <w:t>Federal funding limitations and/or restrictions?</w:t>
      </w:r>
    </w:p>
    <w:p w:rsidR="003E4A07" w:rsidRPr="00B05A21" w:rsidRDefault="003E4A07" w:rsidP="005E5BDA">
      <w:pPr>
        <w:pStyle w:val="BulletText2"/>
        <w:numPr>
          <w:ilvl w:val="1"/>
          <w:numId w:val="5"/>
        </w:numPr>
        <w:tabs>
          <w:tab w:val="clear" w:pos="1267"/>
          <w:tab w:val="left" w:pos="1122"/>
        </w:tabs>
        <w:ind w:left="1122" w:hanging="374"/>
        <w:rPr>
          <w:rFonts w:ascii="Arial" w:hAnsi="Arial" w:cs="Arial"/>
          <w:szCs w:val="24"/>
        </w:rPr>
      </w:pPr>
      <w:r w:rsidRPr="00B05A21">
        <w:rPr>
          <w:rFonts w:ascii="Arial" w:hAnsi="Arial" w:cs="Arial"/>
          <w:szCs w:val="24"/>
        </w:rPr>
        <w:t>Availability of current and future year funding?</w:t>
      </w:r>
    </w:p>
    <w:p w:rsidR="003E4A07" w:rsidRPr="00B05A21" w:rsidRDefault="003E4A07" w:rsidP="005E5BDA">
      <w:pPr>
        <w:pStyle w:val="BulletText2"/>
        <w:numPr>
          <w:ilvl w:val="1"/>
          <w:numId w:val="5"/>
        </w:numPr>
        <w:tabs>
          <w:tab w:val="clear" w:pos="1267"/>
          <w:tab w:val="left" w:pos="1122"/>
        </w:tabs>
        <w:ind w:left="1122" w:hanging="374"/>
        <w:rPr>
          <w:rFonts w:ascii="Arial" w:hAnsi="Arial" w:cs="Arial"/>
          <w:szCs w:val="24"/>
        </w:rPr>
      </w:pPr>
      <w:r w:rsidRPr="00B05A21">
        <w:rPr>
          <w:rFonts w:ascii="Arial" w:hAnsi="Arial" w:cs="Arial"/>
          <w:szCs w:val="24"/>
        </w:rPr>
        <w:t>Timing constraints impacted by availability of fiscal year funding?</w:t>
      </w:r>
    </w:p>
    <w:p w:rsidR="003E4A07" w:rsidRPr="00B05A21" w:rsidRDefault="003E4A07" w:rsidP="005E5BDA">
      <w:pPr>
        <w:pStyle w:val="BulletText1"/>
        <w:tabs>
          <w:tab w:val="clear" w:pos="173"/>
          <w:tab w:val="num" w:pos="374"/>
        </w:tabs>
        <w:ind w:left="374" w:hanging="374"/>
        <w:rPr>
          <w:rFonts w:ascii="Arial" w:hAnsi="Arial" w:cs="Arial"/>
          <w:szCs w:val="24"/>
        </w:rPr>
      </w:pPr>
      <w:r w:rsidRPr="00B05A21">
        <w:rPr>
          <w:rFonts w:ascii="Arial" w:hAnsi="Arial" w:cs="Arial"/>
          <w:szCs w:val="24"/>
        </w:rPr>
        <w:t>External reviews, waivers and/or approvals</w:t>
      </w:r>
    </w:p>
    <w:p w:rsidR="003E4A07" w:rsidRPr="00B05A21" w:rsidRDefault="003E4A07" w:rsidP="005E5BDA">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 xml:space="preserve">What is required by law, regulation or policy? </w:t>
      </w:r>
    </w:p>
    <w:p w:rsidR="003E4A07" w:rsidRPr="00B05A21" w:rsidRDefault="003E4A07" w:rsidP="005E5BDA">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Refer to Section C, Topics 1 - 8 of this chapter for details for external reviews and approvals.</w:t>
      </w:r>
    </w:p>
    <w:p w:rsidR="003E4A07" w:rsidRPr="00B05A21" w:rsidRDefault="003E4A07" w:rsidP="005E5BDA">
      <w:pPr>
        <w:pStyle w:val="BulletText1"/>
        <w:tabs>
          <w:tab w:val="clear" w:pos="173"/>
          <w:tab w:val="num" w:pos="374"/>
        </w:tabs>
        <w:ind w:left="374" w:hanging="374"/>
        <w:rPr>
          <w:rFonts w:ascii="Arial" w:hAnsi="Arial" w:cs="Arial"/>
          <w:szCs w:val="24"/>
        </w:rPr>
      </w:pPr>
      <w:r w:rsidRPr="00B05A21">
        <w:rPr>
          <w:rFonts w:ascii="Arial" w:hAnsi="Arial" w:cs="Arial"/>
          <w:szCs w:val="24"/>
        </w:rPr>
        <w:t>Coordination within the department for a particular project</w:t>
      </w:r>
    </w:p>
    <w:p w:rsidR="003E4A07" w:rsidRPr="00B05A21" w:rsidRDefault="003E4A07" w:rsidP="005E5BDA">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lastRenderedPageBreak/>
        <w:t>Have all impacted issues been addressed?</w:t>
      </w:r>
    </w:p>
    <w:p w:rsidR="003E4A07" w:rsidRPr="00B05A21" w:rsidRDefault="003E4A07" w:rsidP="005E5BDA">
      <w:pPr>
        <w:pStyle w:val="BulletText2"/>
        <w:numPr>
          <w:ilvl w:val="0"/>
          <w:numId w:val="5"/>
        </w:numPr>
        <w:tabs>
          <w:tab w:val="num" w:pos="748"/>
        </w:tabs>
        <w:ind w:left="748"/>
        <w:rPr>
          <w:rFonts w:ascii="Arial" w:hAnsi="Arial" w:cs="Arial"/>
          <w:szCs w:val="24"/>
        </w:rPr>
      </w:pPr>
      <w:r w:rsidRPr="00B05A21">
        <w:rPr>
          <w:rFonts w:ascii="Arial" w:hAnsi="Arial" w:cs="Arial"/>
          <w:szCs w:val="24"/>
        </w:rPr>
        <w:t>Are corresponding program areas on board (so that nothing is overlooked – either from a technology perspective or a program perspective).</w:t>
      </w:r>
    </w:p>
    <w:p w:rsidR="005E5BDA" w:rsidRPr="00B05A21" w:rsidRDefault="005E5BDA" w:rsidP="005E5BDA">
      <w:pPr>
        <w:pStyle w:val="BlockLine"/>
        <w:tabs>
          <w:tab w:val="left" w:pos="2655"/>
        </w:tabs>
        <w:rPr>
          <w:rFonts w:ascii="Arial" w:hAnsi="Arial" w:cs="Arial"/>
          <w:szCs w:val="24"/>
        </w:rPr>
      </w:pPr>
      <w:r w:rsidRPr="00B05A21">
        <w:rPr>
          <w:rFonts w:ascii="Arial" w:hAnsi="Arial" w:cs="Arial"/>
          <w:szCs w:val="24"/>
        </w:rPr>
        <w:tab/>
      </w:r>
    </w:p>
    <w:p w:rsidR="00A47FFB" w:rsidRPr="00B05A21" w:rsidRDefault="00A47FFB" w:rsidP="00A47FFB">
      <w:pPr>
        <w:pStyle w:val="Heading3"/>
        <w:spacing w:after="120"/>
        <w:jc w:val="left"/>
        <w:rPr>
          <w:rFonts w:cs="Arial"/>
          <w:bCs/>
          <w:sz w:val="24"/>
          <w:szCs w:val="24"/>
        </w:rPr>
      </w:pPr>
      <w:bookmarkStart w:id="130" w:name="_Toc12885954"/>
      <w:r w:rsidRPr="00B05A21">
        <w:rPr>
          <w:rFonts w:cs="Arial"/>
          <w:bCs/>
          <w:sz w:val="24"/>
          <w:szCs w:val="24"/>
        </w:rPr>
        <w:t>2.B3.2   Legal participation</w:t>
      </w:r>
      <w:r w:rsidR="007A092D">
        <w:rPr>
          <w:rFonts w:cs="Arial"/>
          <w:bCs/>
          <w:sz w:val="24"/>
          <w:szCs w:val="24"/>
        </w:rPr>
        <w:t xml:space="preserve"> </w:t>
      </w:r>
      <w:bookmarkEnd w:id="130"/>
    </w:p>
    <w:p w:rsidR="00A47FFB" w:rsidRPr="00B05A21" w:rsidRDefault="00A47FFB" w:rsidP="005E5BDA">
      <w:pPr>
        <w:pStyle w:val="BlockText0"/>
        <w:rPr>
          <w:rFonts w:ascii="Arial" w:hAnsi="Arial" w:cs="Arial"/>
          <w:szCs w:val="24"/>
        </w:rPr>
      </w:pPr>
      <w:r w:rsidRPr="00B05A21">
        <w:rPr>
          <w:rFonts w:ascii="Arial" w:hAnsi="Arial" w:cs="Arial"/>
          <w:szCs w:val="24"/>
        </w:rPr>
        <w:t>Legal participation should be sought as early in the project as possible.  Purchasing activities that benefit from legal staff participation may include but are not limited to the following:</w:t>
      </w:r>
    </w:p>
    <w:p w:rsidR="00A47FFB" w:rsidRPr="00B05A21" w:rsidRDefault="00A47FFB" w:rsidP="005E5BDA">
      <w:pPr>
        <w:pStyle w:val="BulletText1"/>
        <w:tabs>
          <w:tab w:val="clear" w:pos="173"/>
          <w:tab w:val="num" w:pos="374"/>
        </w:tabs>
        <w:ind w:left="374" w:hanging="374"/>
        <w:rPr>
          <w:rFonts w:ascii="Arial" w:hAnsi="Arial" w:cs="Arial"/>
          <w:szCs w:val="24"/>
        </w:rPr>
      </w:pPr>
      <w:r w:rsidRPr="00B05A21">
        <w:rPr>
          <w:rFonts w:ascii="Arial" w:hAnsi="Arial" w:cs="Arial"/>
          <w:szCs w:val="24"/>
        </w:rPr>
        <w:t>Purchases that have a history of protests or litigation.</w:t>
      </w:r>
    </w:p>
    <w:p w:rsidR="00A47FFB" w:rsidRPr="00B05A21" w:rsidRDefault="00A47FFB" w:rsidP="005E5BDA">
      <w:pPr>
        <w:pStyle w:val="BulletText1"/>
        <w:tabs>
          <w:tab w:val="clear" w:pos="173"/>
          <w:tab w:val="num" w:pos="374"/>
        </w:tabs>
        <w:ind w:left="374" w:hanging="374"/>
        <w:rPr>
          <w:rFonts w:ascii="Arial" w:hAnsi="Arial" w:cs="Arial"/>
          <w:szCs w:val="24"/>
        </w:rPr>
      </w:pPr>
      <w:r w:rsidRPr="00B05A21">
        <w:rPr>
          <w:rFonts w:ascii="Arial" w:hAnsi="Arial" w:cs="Arial"/>
          <w:szCs w:val="24"/>
        </w:rPr>
        <w:t>Large scale IT integration projects.</w:t>
      </w:r>
    </w:p>
    <w:p w:rsidR="00A47FFB" w:rsidRPr="00B05A21" w:rsidRDefault="00A47FFB" w:rsidP="005E5BDA">
      <w:pPr>
        <w:pStyle w:val="BulletText1"/>
        <w:tabs>
          <w:tab w:val="clear" w:pos="173"/>
          <w:tab w:val="num" w:pos="374"/>
        </w:tabs>
        <w:ind w:left="374" w:hanging="374"/>
        <w:rPr>
          <w:rFonts w:ascii="Arial" w:hAnsi="Arial" w:cs="Arial"/>
          <w:szCs w:val="24"/>
        </w:rPr>
      </w:pPr>
      <w:r w:rsidRPr="00B05A21">
        <w:rPr>
          <w:rFonts w:ascii="Arial" w:hAnsi="Arial" w:cs="Arial"/>
          <w:szCs w:val="24"/>
        </w:rPr>
        <w:t>Conflict of interest issues.</w:t>
      </w:r>
    </w:p>
    <w:p w:rsidR="00A47FFB" w:rsidRPr="00B05A21" w:rsidRDefault="00A47FFB" w:rsidP="005E5BDA">
      <w:pPr>
        <w:pStyle w:val="BulletText1"/>
        <w:tabs>
          <w:tab w:val="clear" w:pos="173"/>
          <w:tab w:val="num" w:pos="374"/>
        </w:tabs>
        <w:ind w:left="374" w:hanging="374"/>
        <w:rPr>
          <w:rFonts w:ascii="Arial" w:hAnsi="Arial" w:cs="Arial"/>
          <w:szCs w:val="24"/>
        </w:rPr>
      </w:pPr>
      <w:r w:rsidRPr="00B05A21">
        <w:rPr>
          <w:rFonts w:ascii="Arial" w:hAnsi="Arial" w:cs="Arial"/>
          <w:szCs w:val="24"/>
        </w:rPr>
        <w:t>Follow-on contracting issues.</w:t>
      </w:r>
    </w:p>
    <w:p w:rsidR="00A47FFB" w:rsidRPr="00C46674" w:rsidRDefault="00A47FFB" w:rsidP="004E5E35">
      <w:pPr>
        <w:pStyle w:val="BulletText1"/>
        <w:tabs>
          <w:tab w:val="clear" w:pos="173"/>
          <w:tab w:val="num" w:pos="374"/>
        </w:tabs>
        <w:ind w:left="374" w:hanging="374"/>
        <w:rPr>
          <w:rFonts w:ascii="Arial" w:hAnsi="Arial" w:cs="Arial"/>
          <w:szCs w:val="24"/>
        </w:rPr>
      </w:pPr>
      <w:r w:rsidRPr="00C46674">
        <w:rPr>
          <w:rFonts w:ascii="Arial" w:hAnsi="Arial" w:cs="Arial"/>
          <w:szCs w:val="24"/>
        </w:rPr>
        <w:t>In any purchase where suppliers are using an attorney.</w:t>
      </w:r>
    </w:p>
    <w:p w:rsidR="005E5BDA" w:rsidRPr="00B05A21" w:rsidRDefault="005E5BDA" w:rsidP="005E5BDA">
      <w:pPr>
        <w:pStyle w:val="BlockLine"/>
        <w:tabs>
          <w:tab w:val="left" w:pos="2655"/>
        </w:tabs>
        <w:rPr>
          <w:rFonts w:ascii="Arial" w:hAnsi="Arial" w:cs="Arial"/>
          <w:szCs w:val="24"/>
        </w:rPr>
      </w:pPr>
      <w:r w:rsidRPr="00B05A21">
        <w:rPr>
          <w:rFonts w:ascii="Arial" w:hAnsi="Arial" w:cs="Arial"/>
          <w:szCs w:val="24"/>
        </w:rPr>
        <w:tab/>
      </w:r>
    </w:p>
    <w:p w:rsidR="00B547BF" w:rsidRPr="00B05A21" w:rsidRDefault="00B547BF" w:rsidP="00B547BF">
      <w:pPr>
        <w:pStyle w:val="Heading3"/>
        <w:spacing w:after="120"/>
        <w:jc w:val="left"/>
        <w:rPr>
          <w:rFonts w:cs="Arial"/>
          <w:bCs/>
          <w:sz w:val="24"/>
          <w:szCs w:val="24"/>
        </w:rPr>
      </w:pPr>
      <w:bookmarkStart w:id="131" w:name="_Toc12885955"/>
      <w:r w:rsidRPr="00B05A21">
        <w:rPr>
          <w:rFonts w:cs="Arial"/>
          <w:bCs/>
          <w:sz w:val="24"/>
          <w:szCs w:val="24"/>
        </w:rPr>
        <w:t>2.B3.3   Acquisition approach to meet needs</w:t>
      </w:r>
      <w:bookmarkEnd w:id="131"/>
    </w:p>
    <w:p w:rsidR="00B547BF" w:rsidRPr="00B05A21" w:rsidRDefault="00B547BF" w:rsidP="005E5BDA">
      <w:pPr>
        <w:pStyle w:val="BlockText0"/>
        <w:rPr>
          <w:rFonts w:ascii="Arial" w:hAnsi="Arial" w:cs="Arial"/>
          <w:szCs w:val="24"/>
        </w:rPr>
      </w:pPr>
      <w:r w:rsidRPr="00B05A21">
        <w:rPr>
          <w:rFonts w:ascii="Arial" w:hAnsi="Arial" w:cs="Arial"/>
          <w:szCs w:val="24"/>
        </w:rPr>
        <w:t>The following questions will assist in determining the best acquisition approach to meet needs:</w:t>
      </w:r>
    </w:p>
    <w:p w:rsidR="00B547BF" w:rsidRPr="00B05A21" w:rsidRDefault="00B547BF" w:rsidP="005E5BDA">
      <w:pPr>
        <w:pStyle w:val="BulletText1"/>
        <w:tabs>
          <w:tab w:val="clear" w:pos="173"/>
          <w:tab w:val="num" w:pos="374"/>
        </w:tabs>
        <w:ind w:left="374" w:hanging="374"/>
        <w:rPr>
          <w:rFonts w:ascii="Arial" w:hAnsi="Arial" w:cs="Arial"/>
          <w:szCs w:val="24"/>
        </w:rPr>
      </w:pPr>
      <w:r w:rsidRPr="00B05A21">
        <w:rPr>
          <w:rFonts w:ascii="Arial" w:hAnsi="Arial" w:cs="Arial"/>
          <w:szCs w:val="24"/>
        </w:rPr>
        <w:t>What is the Statement of Work (SOW)?</w:t>
      </w:r>
    </w:p>
    <w:p w:rsidR="00B547BF" w:rsidRPr="00B05A21" w:rsidRDefault="00B547BF" w:rsidP="005E5BDA">
      <w:pPr>
        <w:pStyle w:val="BulletText1"/>
        <w:tabs>
          <w:tab w:val="clear" w:pos="173"/>
          <w:tab w:val="num" w:pos="374"/>
        </w:tabs>
        <w:ind w:left="374" w:hanging="374"/>
        <w:rPr>
          <w:rFonts w:ascii="Arial" w:hAnsi="Arial" w:cs="Arial"/>
          <w:szCs w:val="24"/>
        </w:rPr>
      </w:pPr>
      <w:r w:rsidRPr="00B05A21">
        <w:rPr>
          <w:rFonts w:ascii="Arial" w:hAnsi="Arial" w:cs="Arial"/>
          <w:szCs w:val="24"/>
        </w:rPr>
        <w:t>Is the acquisition an emergency purchase as defined by PCC section 12102(a)(2)?</w:t>
      </w:r>
    </w:p>
    <w:p w:rsidR="00B547BF" w:rsidRPr="00B05A21" w:rsidRDefault="00B547BF" w:rsidP="005E5BDA">
      <w:pPr>
        <w:pStyle w:val="BulletText1"/>
        <w:tabs>
          <w:tab w:val="clear" w:pos="173"/>
          <w:tab w:val="num" w:pos="374"/>
        </w:tabs>
        <w:ind w:left="374" w:hanging="374"/>
        <w:rPr>
          <w:rFonts w:ascii="Arial" w:hAnsi="Arial" w:cs="Arial"/>
          <w:szCs w:val="24"/>
        </w:rPr>
      </w:pPr>
      <w:r w:rsidRPr="00B05A21">
        <w:rPr>
          <w:rFonts w:ascii="Arial" w:hAnsi="Arial" w:cs="Arial"/>
          <w:szCs w:val="24"/>
        </w:rPr>
        <w:t>Can civil servants, as opposed to private companies, satisfactorily perform the services?</w:t>
      </w:r>
    </w:p>
    <w:p w:rsidR="00B547BF" w:rsidRPr="00B05A21" w:rsidRDefault="00B547BF" w:rsidP="005E5BDA">
      <w:pPr>
        <w:pStyle w:val="BulletText1"/>
        <w:tabs>
          <w:tab w:val="clear" w:pos="173"/>
          <w:tab w:val="num" w:pos="374"/>
        </w:tabs>
        <w:ind w:left="374" w:hanging="374"/>
        <w:rPr>
          <w:rFonts w:ascii="Arial" w:hAnsi="Arial" w:cs="Arial"/>
          <w:szCs w:val="24"/>
        </w:rPr>
      </w:pPr>
      <w:r w:rsidRPr="00B05A21">
        <w:rPr>
          <w:rFonts w:ascii="Arial" w:hAnsi="Arial" w:cs="Arial"/>
          <w:szCs w:val="24"/>
        </w:rPr>
        <w:t>Can another State department provide the product or service through an interagency agreement or alternate contracting means?</w:t>
      </w:r>
    </w:p>
    <w:p w:rsidR="00B547BF" w:rsidRPr="00B05A21" w:rsidRDefault="00B547BF" w:rsidP="005E5BDA">
      <w:pPr>
        <w:pStyle w:val="BulletText1"/>
        <w:tabs>
          <w:tab w:val="clear" w:pos="173"/>
          <w:tab w:val="num" w:pos="374"/>
        </w:tabs>
        <w:ind w:left="374" w:hanging="374"/>
        <w:rPr>
          <w:rFonts w:ascii="Arial" w:hAnsi="Arial" w:cs="Arial"/>
          <w:szCs w:val="24"/>
        </w:rPr>
      </w:pPr>
      <w:r w:rsidRPr="00B05A21">
        <w:rPr>
          <w:rFonts w:ascii="Arial" w:hAnsi="Arial" w:cs="Arial"/>
          <w:szCs w:val="24"/>
        </w:rPr>
        <w:t>Does the purchase require the use of any mandatory purchasing processes such as use of existing telecommunications contracts?</w:t>
      </w:r>
    </w:p>
    <w:p w:rsidR="00B547BF" w:rsidRPr="00B05A21" w:rsidRDefault="00B547BF" w:rsidP="005E5BDA">
      <w:pPr>
        <w:pStyle w:val="BulletText1"/>
        <w:tabs>
          <w:tab w:val="clear" w:pos="173"/>
          <w:tab w:val="num" w:pos="374"/>
        </w:tabs>
        <w:ind w:left="374" w:hanging="374"/>
        <w:rPr>
          <w:rFonts w:ascii="Arial" w:hAnsi="Arial" w:cs="Arial"/>
          <w:szCs w:val="24"/>
        </w:rPr>
      </w:pPr>
      <w:r w:rsidRPr="00B05A21">
        <w:rPr>
          <w:rFonts w:ascii="Arial" w:hAnsi="Arial" w:cs="Arial"/>
          <w:szCs w:val="24"/>
        </w:rPr>
        <w:t>Is the request within the scope of the department’s approved purchasing authority?</w:t>
      </w:r>
    </w:p>
    <w:p w:rsidR="00B547BF" w:rsidRPr="00B05A21" w:rsidRDefault="00B547BF" w:rsidP="005E5BDA">
      <w:pPr>
        <w:pStyle w:val="BulletText1"/>
        <w:tabs>
          <w:tab w:val="clear" w:pos="173"/>
          <w:tab w:val="num" w:pos="374"/>
        </w:tabs>
        <w:ind w:left="374" w:hanging="374"/>
        <w:rPr>
          <w:rFonts w:ascii="Arial" w:hAnsi="Arial" w:cs="Arial"/>
          <w:szCs w:val="24"/>
        </w:rPr>
      </w:pPr>
      <w:r w:rsidRPr="00B05A21">
        <w:rPr>
          <w:rFonts w:ascii="Arial" w:hAnsi="Arial" w:cs="Arial"/>
          <w:szCs w:val="24"/>
        </w:rPr>
        <w:t>Can you consolidate other requests for like equipment into a single purchase?</w:t>
      </w:r>
    </w:p>
    <w:p w:rsidR="00B547BF" w:rsidRPr="00B05A21" w:rsidRDefault="00B547BF" w:rsidP="005E5BDA">
      <w:pPr>
        <w:pStyle w:val="BulletText1"/>
        <w:tabs>
          <w:tab w:val="clear" w:pos="173"/>
          <w:tab w:val="num" w:pos="374"/>
        </w:tabs>
        <w:ind w:left="374" w:hanging="374"/>
        <w:rPr>
          <w:rFonts w:ascii="Arial" w:hAnsi="Arial" w:cs="Arial"/>
          <w:szCs w:val="24"/>
        </w:rPr>
      </w:pPr>
      <w:r w:rsidRPr="00B05A21">
        <w:rPr>
          <w:rFonts w:ascii="Arial" w:hAnsi="Arial" w:cs="Arial"/>
          <w:szCs w:val="24"/>
        </w:rPr>
        <w:t>What is the department’s total need for acquiring the goods or services over the next 12-month period of time and can the acquisitions be reasonably consolidated to maximize purchasing power?</w:t>
      </w:r>
    </w:p>
    <w:p w:rsidR="00B547BF" w:rsidRPr="00B05A21" w:rsidRDefault="00B547BF" w:rsidP="005E5BDA">
      <w:pPr>
        <w:pStyle w:val="BulletText1"/>
        <w:tabs>
          <w:tab w:val="clear" w:pos="173"/>
          <w:tab w:val="num" w:pos="374"/>
        </w:tabs>
        <w:ind w:left="374" w:hanging="374"/>
        <w:rPr>
          <w:rFonts w:ascii="Arial" w:hAnsi="Arial" w:cs="Arial"/>
          <w:szCs w:val="24"/>
        </w:rPr>
      </w:pPr>
      <w:r w:rsidRPr="00B05A21">
        <w:rPr>
          <w:rFonts w:ascii="Arial" w:hAnsi="Arial" w:cs="Arial"/>
          <w:szCs w:val="24"/>
        </w:rPr>
        <w:t>What available purchasing approach can effectively meet the department’s needs at the least cost in terms of time and resources?</w:t>
      </w:r>
    </w:p>
    <w:p w:rsidR="00B547BF" w:rsidRPr="00B05A21" w:rsidRDefault="00B547BF" w:rsidP="005E5BDA">
      <w:pPr>
        <w:pStyle w:val="BulletText1"/>
        <w:tabs>
          <w:tab w:val="clear" w:pos="173"/>
          <w:tab w:val="num" w:pos="374"/>
        </w:tabs>
        <w:ind w:left="374" w:hanging="374"/>
        <w:rPr>
          <w:rFonts w:ascii="Arial" w:hAnsi="Arial" w:cs="Arial"/>
          <w:szCs w:val="24"/>
        </w:rPr>
      </w:pPr>
      <w:r w:rsidRPr="00B05A21">
        <w:rPr>
          <w:rFonts w:ascii="Arial" w:hAnsi="Arial" w:cs="Arial"/>
          <w:szCs w:val="24"/>
        </w:rPr>
        <w:t>Can the functional requirements of the request be met through an LPA (i.e., CMAS, Master Agreement, Statewide Contract or State Price Schedule)?</w:t>
      </w:r>
    </w:p>
    <w:p w:rsidR="00B547BF" w:rsidRPr="00B05A21" w:rsidRDefault="00B547BF" w:rsidP="005E5BDA">
      <w:pPr>
        <w:pStyle w:val="BulletText1"/>
        <w:tabs>
          <w:tab w:val="clear" w:pos="173"/>
          <w:tab w:val="num" w:pos="374"/>
        </w:tabs>
        <w:ind w:left="374" w:hanging="374"/>
        <w:rPr>
          <w:rFonts w:ascii="Arial" w:hAnsi="Arial" w:cs="Arial"/>
          <w:szCs w:val="24"/>
        </w:rPr>
      </w:pPr>
      <w:r w:rsidRPr="00B05A21">
        <w:rPr>
          <w:rFonts w:ascii="Arial" w:hAnsi="Arial" w:cs="Arial"/>
          <w:szCs w:val="24"/>
        </w:rPr>
        <w:t>Are there certified small businesses, microbusinesses or certified DVBEs that can be solicited to provide the IT good and/or service?</w:t>
      </w:r>
    </w:p>
    <w:p w:rsidR="00B547BF" w:rsidRPr="00B05A21" w:rsidRDefault="00B547BF" w:rsidP="005E5BDA">
      <w:pPr>
        <w:pStyle w:val="BulletText1"/>
        <w:tabs>
          <w:tab w:val="clear" w:pos="173"/>
          <w:tab w:val="num" w:pos="374"/>
        </w:tabs>
        <w:ind w:left="374" w:hanging="374"/>
        <w:rPr>
          <w:rFonts w:ascii="Arial" w:hAnsi="Arial" w:cs="Arial"/>
          <w:szCs w:val="24"/>
        </w:rPr>
      </w:pPr>
      <w:r w:rsidRPr="00B05A21">
        <w:rPr>
          <w:rFonts w:ascii="Arial" w:hAnsi="Arial" w:cs="Arial"/>
          <w:szCs w:val="24"/>
        </w:rPr>
        <w:t>Can the department’s procurement needs and purchasing goals both be met by conducting a small business (SB) and DVBE procurement based upon GC section 14838.5 (SB/DVBE Option)?</w:t>
      </w:r>
    </w:p>
    <w:p w:rsidR="00B547BF" w:rsidRPr="00B05A21" w:rsidRDefault="00B547BF" w:rsidP="005E5BDA">
      <w:pPr>
        <w:pStyle w:val="BulletText1"/>
        <w:tabs>
          <w:tab w:val="clear" w:pos="173"/>
          <w:tab w:val="num" w:pos="374"/>
        </w:tabs>
        <w:ind w:left="374" w:hanging="374"/>
        <w:rPr>
          <w:rFonts w:ascii="Arial" w:hAnsi="Arial" w:cs="Arial"/>
          <w:szCs w:val="24"/>
        </w:rPr>
      </w:pPr>
      <w:r w:rsidRPr="00B05A21">
        <w:rPr>
          <w:rFonts w:ascii="Arial" w:hAnsi="Arial" w:cs="Arial"/>
          <w:szCs w:val="24"/>
        </w:rPr>
        <w:t>Is there a known supplier market and can the acquisition best be met through open competition?</w:t>
      </w:r>
    </w:p>
    <w:p w:rsidR="00B547BF" w:rsidRPr="00B05A21" w:rsidRDefault="00B547BF" w:rsidP="005E5BDA">
      <w:pPr>
        <w:pStyle w:val="BulletText1"/>
        <w:tabs>
          <w:tab w:val="clear" w:pos="173"/>
          <w:tab w:val="num" w:pos="374"/>
        </w:tabs>
        <w:ind w:left="374" w:hanging="374"/>
        <w:rPr>
          <w:rFonts w:ascii="Arial" w:hAnsi="Arial" w:cs="Arial"/>
          <w:szCs w:val="24"/>
        </w:rPr>
      </w:pPr>
      <w:r w:rsidRPr="00B05A21">
        <w:rPr>
          <w:rFonts w:ascii="Arial" w:hAnsi="Arial" w:cs="Arial"/>
          <w:szCs w:val="24"/>
        </w:rPr>
        <w:t xml:space="preserve">Is the request so unique that no competition exists and the needs of the customer can only be met through a non-competitively bid (NCB) contract?  </w:t>
      </w:r>
    </w:p>
    <w:p w:rsidR="00B547BF" w:rsidRPr="00B05A21" w:rsidRDefault="00B547BF" w:rsidP="005E5BDA">
      <w:pPr>
        <w:pStyle w:val="BulletText1"/>
        <w:tabs>
          <w:tab w:val="clear" w:pos="173"/>
          <w:tab w:val="num" w:pos="374"/>
        </w:tabs>
        <w:ind w:left="374" w:hanging="374"/>
        <w:rPr>
          <w:rFonts w:ascii="Arial" w:hAnsi="Arial" w:cs="Arial"/>
          <w:szCs w:val="24"/>
        </w:rPr>
      </w:pPr>
      <w:r w:rsidRPr="00B05A21">
        <w:rPr>
          <w:rFonts w:ascii="Arial" w:hAnsi="Arial" w:cs="Arial"/>
          <w:szCs w:val="24"/>
        </w:rPr>
        <w:t>What risk factors are inherent to the purchase and what steps can be taken in advance to mitigate them?</w:t>
      </w:r>
    </w:p>
    <w:p w:rsidR="00B547BF" w:rsidRPr="00B05A21" w:rsidRDefault="00B547BF" w:rsidP="00740EDD">
      <w:pPr>
        <w:pStyle w:val="BlockLine"/>
        <w:tabs>
          <w:tab w:val="left" w:pos="2655"/>
        </w:tabs>
        <w:ind w:left="0"/>
        <w:rPr>
          <w:rFonts w:ascii="Arial" w:hAnsi="Arial" w:cs="Arial"/>
          <w:szCs w:val="24"/>
        </w:rPr>
      </w:pPr>
      <w:r w:rsidRPr="00B05A21">
        <w:rPr>
          <w:rFonts w:ascii="Arial" w:hAnsi="Arial" w:cs="Arial"/>
          <w:szCs w:val="24"/>
        </w:rPr>
        <w:lastRenderedPageBreak/>
        <w:tab/>
      </w:r>
    </w:p>
    <w:p w:rsidR="00B547BF" w:rsidRPr="00B05A21" w:rsidRDefault="00B547BF" w:rsidP="005600E7">
      <w:pPr>
        <w:pStyle w:val="Heading3"/>
        <w:spacing w:after="120"/>
        <w:jc w:val="left"/>
        <w:rPr>
          <w:rFonts w:cs="Arial"/>
          <w:b w:val="0"/>
          <w:sz w:val="24"/>
          <w:szCs w:val="24"/>
          <w:u w:val="single"/>
        </w:rPr>
      </w:pPr>
      <w:bookmarkStart w:id="132" w:name="_Toc12885956"/>
      <w:r w:rsidRPr="00B05A21">
        <w:rPr>
          <w:rFonts w:cs="Arial"/>
          <w:bCs/>
          <w:sz w:val="24"/>
          <w:szCs w:val="24"/>
        </w:rPr>
        <w:t>2.B3.4   Hybrid RFP Procurement Process and Development</w:t>
      </w:r>
      <w:r w:rsidR="005600E7">
        <w:rPr>
          <w:rFonts w:cs="Arial"/>
          <w:bCs/>
          <w:sz w:val="24"/>
          <w:szCs w:val="24"/>
        </w:rPr>
        <w:t xml:space="preserve"> </w:t>
      </w:r>
      <w:bookmarkEnd w:id="132"/>
    </w:p>
    <w:p w:rsidR="00B547BF" w:rsidRPr="00B05A21" w:rsidRDefault="00B547BF" w:rsidP="001A1E0E">
      <w:pPr>
        <w:pStyle w:val="BlockText0"/>
        <w:rPr>
          <w:rFonts w:ascii="Arial" w:hAnsi="Arial" w:cs="Arial"/>
          <w:szCs w:val="24"/>
        </w:rPr>
      </w:pPr>
      <w:r w:rsidRPr="00B05A21">
        <w:rPr>
          <w:rFonts w:ascii="Arial" w:hAnsi="Arial" w:cs="Arial"/>
          <w:szCs w:val="24"/>
        </w:rPr>
        <w:t>As warranted, and generally only for the most complex, risk sensitive IT procurements, DGS/PD will consider using a hybrid RFP procurement process that includes a mixture of techniques from the traditional ten section RFP process and some or all of the following elements:</w:t>
      </w:r>
    </w:p>
    <w:p w:rsidR="00B547BF" w:rsidRPr="00B05A21" w:rsidRDefault="00B547BF" w:rsidP="001A1E0E">
      <w:pPr>
        <w:pStyle w:val="BlockText0"/>
        <w:rPr>
          <w:rFonts w:ascii="Arial" w:hAnsi="Arial" w:cs="Arial"/>
          <w:szCs w:val="24"/>
        </w:rPr>
      </w:pPr>
    </w:p>
    <w:p w:rsidR="00B547BF" w:rsidRPr="00B05A21" w:rsidRDefault="00B547BF" w:rsidP="00CF7D13">
      <w:pPr>
        <w:pStyle w:val="BlockText0"/>
        <w:numPr>
          <w:ilvl w:val="0"/>
          <w:numId w:val="22"/>
        </w:numPr>
        <w:rPr>
          <w:rFonts w:ascii="Arial" w:hAnsi="Arial" w:cs="Arial"/>
          <w:szCs w:val="24"/>
        </w:rPr>
      </w:pPr>
      <w:r w:rsidRPr="00B05A21">
        <w:rPr>
          <w:rFonts w:ascii="Arial" w:hAnsi="Arial" w:cs="Arial"/>
          <w:szCs w:val="24"/>
        </w:rPr>
        <w:t>Accelerated RFP development sessions</w:t>
      </w:r>
    </w:p>
    <w:p w:rsidR="00B547BF" w:rsidRPr="00B05A21" w:rsidRDefault="00B547BF" w:rsidP="00CF7D13">
      <w:pPr>
        <w:pStyle w:val="BlockText0"/>
        <w:numPr>
          <w:ilvl w:val="0"/>
          <w:numId w:val="22"/>
        </w:numPr>
        <w:rPr>
          <w:rFonts w:ascii="Arial" w:hAnsi="Arial" w:cs="Arial"/>
          <w:szCs w:val="24"/>
        </w:rPr>
      </w:pPr>
      <w:r w:rsidRPr="00B05A21">
        <w:rPr>
          <w:rFonts w:ascii="Arial" w:hAnsi="Arial" w:cs="Arial"/>
          <w:szCs w:val="24"/>
        </w:rPr>
        <w:t>Solution based requirements</w:t>
      </w:r>
    </w:p>
    <w:p w:rsidR="00B547BF" w:rsidRPr="00B05A21" w:rsidRDefault="00B547BF" w:rsidP="00CF7D13">
      <w:pPr>
        <w:pStyle w:val="BlockText0"/>
        <w:numPr>
          <w:ilvl w:val="0"/>
          <w:numId w:val="22"/>
        </w:numPr>
        <w:rPr>
          <w:rFonts w:ascii="Arial" w:hAnsi="Arial" w:cs="Arial"/>
          <w:szCs w:val="24"/>
        </w:rPr>
      </w:pPr>
      <w:r w:rsidRPr="00B05A21">
        <w:rPr>
          <w:rFonts w:ascii="Arial" w:hAnsi="Arial" w:cs="Arial"/>
          <w:szCs w:val="24"/>
        </w:rPr>
        <w:t>Multiple proposal stages</w:t>
      </w:r>
    </w:p>
    <w:p w:rsidR="00B547BF" w:rsidRPr="00B05A21" w:rsidRDefault="00B547BF" w:rsidP="001A1E0E">
      <w:pPr>
        <w:pStyle w:val="BlockText0"/>
        <w:rPr>
          <w:rFonts w:ascii="Arial" w:hAnsi="Arial" w:cs="Arial"/>
          <w:szCs w:val="24"/>
        </w:rPr>
      </w:pPr>
    </w:p>
    <w:p w:rsidR="00B547BF" w:rsidRPr="00B05A21" w:rsidRDefault="00B547BF" w:rsidP="001A1E0E">
      <w:pPr>
        <w:pStyle w:val="BlockText0"/>
        <w:rPr>
          <w:rFonts w:ascii="Arial" w:hAnsi="Arial" w:cs="Arial"/>
          <w:szCs w:val="24"/>
        </w:rPr>
      </w:pPr>
      <w:r w:rsidRPr="00B05A21">
        <w:rPr>
          <w:rFonts w:ascii="Arial" w:hAnsi="Arial" w:cs="Arial"/>
          <w:szCs w:val="24"/>
        </w:rPr>
        <w:t>Due to the complexity of the hybrid processes, only DGS/PD has the authority to conduct such procurements.  Departments that wish to partner with DGS to use any of the elements of the hybrid RFP processes, including use of a multiple proposal stages approach, are encouraged to contact DGS/PD early to discuss their requirements.</w:t>
      </w:r>
    </w:p>
    <w:p w:rsidR="00B547BF" w:rsidRPr="00B05A21" w:rsidRDefault="00B547BF" w:rsidP="001A1E0E">
      <w:pPr>
        <w:pStyle w:val="BlockText0"/>
        <w:rPr>
          <w:rFonts w:ascii="Arial" w:hAnsi="Arial" w:cs="Arial"/>
          <w:szCs w:val="24"/>
        </w:rPr>
      </w:pPr>
    </w:p>
    <w:p w:rsidR="00B547BF" w:rsidRPr="00B05A21" w:rsidRDefault="00B547BF" w:rsidP="001A1E0E">
      <w:pPr>
        <w:pStyle w:val="BlockText0"/>
        <w:rPr>
          <w:rFonts w:ascii="Arial" w:hAnsi="Arial" w:cs="Arial"/>
          <w:szCs w:val="24"/>
        </w:rPr>
      </w:pPr>
      <w:r w:rsidRPr="00B05A21">
        <w:rPr>
          <w:rFonts w:ascii="Arial" w:hAnsi="Arial" w:cs="Arial"/>
          <w:szCs w:val="24"/>
        </w:rPr>
        <w:t>For additional information on the hybrid RFP procurement process, refer to Chapter 4.</w:t>
      </w:r>
    </w:p>
    <w:p w:rsidR="005E5BDA" w:rsidRPr="00B05A21" w:rsidRDefault="005E5BDA" w:rsidP="005E5BDA">
      <w:pPr>
        <w:pStyle w:val="BlockLine"/>
        <w:tabs>
          <w:tab w:val="left" w:pos="2655"/>
        </w:tabs>
        <w:rPr>
          <w:rFonts w:ascii="Arial" w:hAnsi="Arial" w:cs="Arial"/>
          <w:szCs w:val="24"/>
        </w:rPr>
      </w:pPr>
      <w:r w:rsidRPr="00B05A21">
        <w:rPr>
          <w:rFonts w:ascii="Arial" w:hAnsi="Arial" w:cs="Arial"/>
          <w:szCs w:val="24"/>
        </w:rPr>
        <w:tab/>
      </w:r>
    </w:p>
    <w:p w:rsidR="000C09A6" w:rsidRPr="00B05A21" w:rsidRDefault="000C09A6" w:rsidP="000C09A6">
      <w:pPr>
        <w:pStyle w:val="Heading3"/>
        <w:spacing w:after="120"/>
        <w:jc w:val="left"/>
        <w:rPr>
          <w:rFonts w:cs="Arial"/>
          <w:bCs/>
          <w:sz w:val="24"/>
          <w:szCs w:val="24"/>
        </w:rPr>
      </w:pPr>
      <w:bookmarkStart w:id="133" w:name="_Toc12885957"/>
      <w:r w:rsidRPr="00B05A21">
        <w:rPr>
          <w:rFonts w:cs="Arial"/>
          <w:bCs/>
          <w:sz w:val="24"/>
          <w:szCs w:val="24"/>
        </w:rPr>
        <w:t>2.B3.5   Specifications development</w:t>
      </w:r>
      <w:bookmarkEnd w:id="133"/>
    </w:p>
    <w:p w:rsidR="000C09A6" w:rsidRPr="00B05A21" w:rsidRDefault="000C09A6" w:rsidP="00740F1E">
      <w:pPr>
        <w:rPr>
          <w:rFonts w:ascii="Arial" w:hAnsi="Arial" w:cs="Arial"/>
        </w:rPr>
      </w:pPr>
      <w:r w:rsidRPr="00B05A21">
        <w:rPr>
          <w:rFonts w:ascii="Arial" w:hAnsi="Arial" w:cs="Arial"/>
        </w:rPr>
        <w:t>Specifications (or the State’s needs) for procurements conducted using a Request for Proposals (RFP) are more general in nature than those used in Invitation for Bids.  Rather than specifying a specific product design, an RFP describes a problem to be solved or the goal to be achieved thus allowing bidders to propose a solution.</w:t>
      </w:r>
    </w:p>
    <w:p w:rsidR="005E5BDA" w:rsidRPr="00B05A21" w:rsidRDefault="005E5BDA" w:rsidP="005E5BDA">
      <w:pPr>
        <w:pStyle w:val="BlockLine"/>
        <w:tabs>
          <w:tab w:val="left" w:pos="2655"/>
        </w:tabs>
        <w:rPr>
          <w:rFonts w:ascii="Arial" w:hAnsi="Arial" w:cs="Arial"/>
          <w:szCs w:val="24"/>
        </w:rPr>
      </w:pPr>
      <w:r w:rsidRPr="00B05A21">
        <w:rPr>
          <w:rFonts w:ascii="Arial" w:hAnsi="Arial" w:cs="Arial"/>
          <w:szCs w:val="24"/>
        </w:rPr>
        <w:tab/>
      </w:r>
    </w:p>
    <w:p w:rsidR="00805898" w:rsidRPr="00B05A21" w:rsidRDefault="00805898" w:rsidP="00805898">
      <w:pPr>
        <w:pStyle w:val="Heading3"/>
        <w:spacing w:after="120"/>
        <w:jc w:val="left"/>
        <w:rPr>
          <w:rFonts w:cs="Arial"/>
          <w:bCs/>
          <w:sz w:val="24"/>
          <w:szCs w:val="24"/>
        </w:rPr>
      </w:pPr>
      <w:bookmarkStart w:id="134" w:name="_Toc12885958"/>
      <w:r w:rsidRPr="00B05A21">
        <w:rPr>
          <w:rFonts w:cs="Arial"/>
          <w:bCs/>
          <w:sz w:val="24"/>
          <w:szCs w:val="24"/>
        </w:rPr>
        <w:t>2.B3.6   Specifications development assistance</w:t>
      </w:r>
      <w:bookmarkEnd w:id="134"/>
    </w:p>
    <w:p w:rsidR="00805898" w:rsidRPr="00B05A21" w:rsidRDefault="00805898" w:rsidP="005E5BDA">
      <w:pPr>
        <w:pStyle w:val="BlockText0"/>
        <w:rPr>
          <w:rFonts w:ascii="Arial" w:hAnsi="Arial" w:cs="Arial"/>
          <w:szCs w:val="24"/>
        </w:rPr>
      </w:pPr>
      <w:r w:rsidRPr="00B05A21">
        <w:rPr>
          <w:rFonts w:ascii="Arial" w:hAnsi="Arial" w:cs="Arial"/>
          <w:szCs w:val="24"/>
        </w:rPr>
        <w:t>DGS/PD Engineering Services is available to assist departments in providing technical knowledge and assistance in planning efforts and specification preparation.</w:t>
      </w:r>
    </w:p>
    <w:p w:rsidR="00805898" w:rsidRPr="00B05A21" w:rsidRDefault="00805898" w:rsidP="005E5BDA">
      <w:pPr>
        <w:rPr>
          <w:rFonts w:ascii="Arial" w:hAnsi="Arial" w:cs="Arial"/>
          <w:color w:val="000000"/>
        </w:rPr>
      </w:pPr>
    </w:p>
    <w:p w:rsidR="00805898" w:rsidRPr="00B05A21" w:rsidRDefault="00805898" w:rsidP="00740F1E">
      <w:pPr>
        <w:rPr>
          <w:rFonts w:ascii="Arial" w:hAnsi="Arial" w:cs="Arial"/>
        </w:rPr>
      </w:pPr>
      <w:r w:rsidRPr="00B05A21">
        <w:rPr>
          <w:rFonts w:ascii="Arial" w:hAnsi="Arial" w:cs="Arial"/>
        </w:rPr>
        <w:t xml:space="preserve">Click here to access the </w:t>
      </w:r>
      <w:hyperlink r:id="rId11" w:history="1">
        <w:r w:rsidRPr="00B05A21">
          <w:rPr>
            <w:rStyle w:val="Hyperlink"/>
            <w:rFonts w:ascii="Arial" w:hAnsi="Arial" w:cs="Arial"/>
          </w:rPr>
          <w:t>DGS/PD Engineering Services webpage</w:t>
        </w:r>
      </w:hyperlink>
      <w:r w:rsidRPr="00B05A21">
        <w:rPr>
          <w:rFonts w:ascii="Arial" w:hAnsi="Arial" w:cs="Arial"/>
        </w:rPr>
        <w:t>.</w:t>
      </w:r>
    </w:p>
    <w:p w:rsidR="00B53F38" w:rsidRPr="00B05A21" w:rsidRDefault="005E5BDA" w:rsidP="005E5BDA">
      <w:pPr>
        <w:pStyle w:val="BlockLine"/>
        <w:tabs>
          <w:tab w:val="left" w:pos="2655"/>
        </w:tabs>
        <w:rPr>
          <w:rFonts w:ascii="Arial" w:hAnsi="Arial" w:cs="Arial"/>
          <w:szCs w:val="24"/>
        </w:rPr>
      </w:pPr>
      <w:r w:rsidRPr="00B05A21">
        <w:rPr>
          <w:rFonts w:ascii="Arial" w:hAnsi="Arial" w:cs="Arial"/>
          <w:szCs w:val="24"/>
        </w:rPr>
        <w:tab/>
      </w:r>
    </w:p>
    <w:p w:rsidR="005E5BDA" w:rsidRPr="003551BF" w:rsidRDefault="005371C4" w:rsidP="004D167E">
      <w:pPr>
        <w:pStyle w:val="Heading2"/>
        <w:spacing w:after="120"/>
        <w:ind w:left="1498" w:hanging="1498"/>
        <w:jc w:val="left"/>
        <w:rPr>
          <w:rFonts w:cs="Arial"/>
          <w:bCs/>
          <w:szCs w:val="32"/>
        </w:rPr>
      </w:pPr>
      <w:bookmarkStart w:id="135" w:name="_1.B2.0_Start_Planning_Early"/>
      <w:bookmarkStart w:id="136" w:name="_1.B3.0_Start_Planning_Early"/>
      <w:bookmarkStart w:id="137" w:name="_1.B3.5__Specifications_Development_"/>
      <w:bookmarkEnd w:id="127"/>
      <w:bookmarkEnd w:id="135"/>
      <w:bookmarkEnd w:id="136"/>
      <w:bookmarkEnd w:id="137"/>
      <w:r w:rsidRPr="00B05A21">
        <w:rPr>
          <w:rFonts w:cs="Arial"/>
          <w:sz w:val="24"/>
          <w:szCs w:val="24"/>
        </w:rPr>
        <w:br w:type="page"/>
      </w:r>
      <w:bookmarkStart w:id="138" w:name="_Topic_4_-_Other_Considerations_Affe"/>
      <w:bookmarkStart w:id="139" w:name="_Topic_3_-_Other_Considerations_Affe_1"/>
      <w:bookmarkStart w:id="140" w:name="_Topic_3_-_Other_Considerations_Affe"/>
      <w:bookmarkStart w:id="141" w:name="_Toc12885959"/>
      <w:bookmarkStart w:id="142" w:name="_Toc83450116"/>
      <w:bookmarkStart w:id="143" w:name="_Toc116951928"/>
      <w:bookmarkEnd w:id="138"/>
      <w:bookmarkEnd w:id="139"/>
      <w:bookmarkEnd w:id="140"/>
      <w:r w:rsidR="005E5BDA" w:rsidRPr="003551BF">
        <w:rPr>
          <w:rFonts w:cs="Arial"/>
          <w:bCs/>
          <w:szCs w:val="32"/>
        </w:rPr>
        <w:lastRenderedPageBreak/>
        <w:t>Topic 4 – Other Considerations Affecting the Planning Process</w:t>
      </w:r>
      <w:bookmarkEnd w:id="141"/>
    </w:p>
    <w:p w:rsidR="005E5BDA" w:rsidRPr="00B05A21" w:rsidRDefault="005E5BDA" w:rsidP="005E5BDA">
      <w:pPr>
        <w:pStyle w:val="BlockLine"/>
        <w:tabs>
          <w:tab w:val="left" w:pos="2655"/>
        </w:tabs>
        <w:rPr>
          <w:rFonts w:ascii="Arial" w:hAnsi="Arial" w:cs="Arial"/>
          <w:szCs w:val="24"/>
        </w:rPr>
      </w:pPr>
      <w:r w:rsidRPr="00B05A21">
        <w:rPr>
          <w:rFonts w:ascii="Arial" w:hAnsi="Arial" w:cs="Arial"/>
          <w:szCs w:val="24"/>
        </w:rPr>
        <w:tab/>
      </w:r>
    </w:p>
    <w:p w:rsidR="00C4274E" w:rsidRPr="00B05A21" w:rsidRDefault="00C4274E" w:rsidP="00C4274E">
      <w:pPr>
        <w:pStyle w:val="Heading3"/>
        <w:spacing w:after="120"/>
        <w:jc w:val="left"/>
        <w:rPr>
          <w:rFonts w:cs="Arial"/>
          <w:bCs/>
          <w:sz w:val="24"/>
          <w:szCs w:val="24"/>
        </w:rPr>
      </w:pPr>
      <w:bookmarkStart w:id="144" w:name="_Toc12885960"/>
      <w:r w:rsidRPr="00B05A21">
        <w:rPr>
          <w:rFonts w:cs="Arial"/>
          <w:bCs/>
          <w:sz w:val="24"/>
          <w:szCs w:val="24"/>
        </w:rPr>
        <w:t>2.B4.0   Promotional materials</w:t>
      </w:r>
      <w:bookmarkEnd w:id="144"/>
    </w:p>
    <w:p w:rsidR="00C4274E" w:rsidRPr="00B05A21" w:rsidRDefault="00C4274E" w:rsidP="00740F1E">
      <w:pPr>
        <w:rPr>
          <w:rFonts w:ascii="Arial" w:hAnsi="Arial" w:cs="Arial"/>
        </w:rPr>
      </w:pPr>
      <w:r w:rsidRPr="00B05A21">
        <w:rPr>
          <w:rFonts w:ascii="Arial" w:hAnsi="Arial" w:cs="Arial"/>
        </w:rPr>
        <w:t>Prior to conducting a purchase for promotional materials, justification must be written supporting how the purchase meets the department’s mission and business needs. Written justifications should include a general or specific description of the type of event(s) and how the promotional material(s) will be used.   The written justification must be kept in the procurement file.</w:t>
      </w:r>
    </w:p>
    <w:p w:rsidR="005E5BDA" w:rsidRPr="00B05A21" w:rsidRDefault="005E5BDA" w:rsidP="005E5BDA">
      <w:pPr>
        <w:pStyle w:val="BlockLine"/>
        <w:tabs>
          <w:tab w:val="left" w:pos="2655"/>
        </w:tabs>
        <w:rPr>
          <w:rFonts w:ascii="Arial" w:hAnsi="Arial" w:cs="Arial"/>
          <w:szCs w:val="24"/>
        </w:rPr>
      </w:pPr>
      <w:r w:rsidRPr="00B05A21">
        <w:rPr>
          <w:rFonts w:ascii="Arial" w:hAnsi="Arial" w:cs="Arial"/>
          <w:szCs w:val="24"/>
        </w:rPr>
        <w:tab/>
      </w:r>
    </w:p>
    <w:p w:rsidR="00C5433C" w:rsidRPr="00B05A21" w:rsidRDefault="00C5433C" w:rsidP="00C5433C">
      <w:pPr>
        <w:pStyle w:val="Heading3"/>
        <w:spacing w:after="120"/>
        <w:jc w:val="left"/>
        <w:rPr>
          <w:rFonts w:cs="Arial"/>
          <w:bCs/>
          <w:sz w:val="24"/>
          <w:szCs w:val="24"/>
        </w:rPr>
      </w:pPr>
      <w:bookmarkStart w:id="145" w:name="_Toc12885961"/>
      <w:r w:rsidRPr="00B05A21">
        <w:rPr>
          <w:rFonts w:cs="Arial"/>
          <w:bCs/>
          <w:sz w:val="24"/>
          <w:szCs w:val="24"/>
        </w:rPr>
        <w:t xml:space="preserve">2.B4.1   Requests for reasonable </w:t>
      </w:r>
      <w:r w:rsidR="00CA5776" w:rsidRPr="00B05A21">
        <w:rPr>
          <w:rFonts w:cs="Arial"/>
          <w:bCs/>
          <w:sz w:val="24"/>
          <w:szCs w:val="24"/>
        </w:rPr>
        <w:t>a</w:t>
      </w:r>
      <w:r w:rsidR="00CA5776">
        <w:rPr>
          <w:rFonts w:cs="Arial"/>
          <w:bCs/>
          <w:sz w:val="24"/>
          <w:szCs w:val="24"/>
        </w:rPr>
        <w:t>ccomm</w:t>
      </w:r>
      <w:r w:rsidR="00CA5776" w:rsidRPr="00B05A21">
        <w:rPr>
          <w:rFonts w:cs="Arial"/>
          <w:bCs/>
          <w:sz w:val="24"/>
          <w:szCs w:val="24"/>
        </w:rPr>
        <w:t>odation</w:t>
      </w:r>
      <w:r w:rsidRPr="00B05A21">
        <w:rPr>
          <w:rFonts w:cs="Arial"/>
          <w:bCs/>
          <w:sz w:val="24"/>
          <w:szCs w:val="24"/>
        </w:rPr>
        <w:t xml:space="preserve"> purchases</w:t>
      </w:r>
      <w:bookmarkEnd w:id="145"/>
    </w:p>
    <w:p w:rsidR="00C5433C" w:rsidRPr="00B05A21" w:rsidRDefault="00C5433C" w:rsidP="00740F1E">
      <w:pPr>
        <w:rPr>
          <w:rFonts w:ascii="Arial" w:hAnsi="Arial" w:cs="Arial"/>
        </w:rPr>
      </w:pPr>
      <w:r w:rsidRPr="00B05A21">
        <w:rPr>
          <w:rFonts w:ascii="Arial" w:hAnsi="Arial" w:cs="Arial"/>
        </w:rPr>
        <w:t>A purchase made in response to a request for reasonable accommodation does not preclude adherence to State procurement laws, regulations, executive orders, and policies.  However, when conducting a procurement to fulfill a reasonable accommodation request, buyers must be mindful of the need to expedite the purchase, regardless of the purchase class or approach used.</w:t>
      </w:r>
    </w:p>
    <w:p w:rsidR="005E5BDA" w:rsidRPr="00B05A21" w:rsidRDefault="005E5BDA" w:rsidP="005E5BDA">
      <w:pPr>
        <w:pStyle w:val="BlockLine"/>
        <w:tabs>
          <w:tab w:val="left" w:pos="2655"/>
        </w:tabs>
        <w:rPr>
          <w:rFonts w:ascii="Arial" w:hAnsi="Arial" w:cs="Arial"/>
          <w:szCs w:val="24"/>
        </w:rPr>
      </w:pPr>
      <w:r w:rsidRPr="00B05A21">
        <w:rPr>
          <w:rFonts w:ascii="Arial" w:hAnsi="Arial" w:cs="Arial"/>
          <w:szCs w:val="24"/>
        </w:rPr>
        <w:tab/>
      </w:r>
    </w:p>
    <w:p w:rsidR="007531F4" w:rsidRPr="00B05A21" w:rsidRDefault="007531F4" w:rsidP="007531F4">
      <w:pPr>
        <w:pStyle w:val="Heading3"/>
        <w:spacing w:after="120"/>
        <w:jc w:val="left"/>
        <w:rPr>
          <w:rFonts w:cs="Arial"/>
          <w:bCs/>
          <w:sz w:val="24"/>
          <w:szCs w:val="24"/>
        </w:rPr>
      </w:pPr>
      <w:bookmarkStart w:id="146" w:name="_Toc12885962"/>
      <w:r w:rsidRPr="00B05A21">
        <w:rPr>
          <w:rFonts w:cs="Arial"/>
          <w:bCs/>
          <w:sz w:val="24"/>
          <w:szCs w:val="24"/>
        </w:rPr>
        <w:t>2.B4.2   Installation of physical layer cable</w:t>
      </w:r>
      <w:bookmarkEnd w:id="146"/>
    </w:p>
    <w:p w:rsidR="007531F4" w:rsidRPr="00B05A21" w:rsidRDefault="007531F4" w:rsidP="005E5BDA">
      <w:pPr>
        <w:rPr>
          <w:rFonts w:ascii="Arial" w:hAnsi="Arial" w:cs="Arial"/>
        </w:rPr>
      </w:pPr>
      <w:r w:rsidRPr="00B05A21">
        <w:rPr>
          <w:rFonts w:ascii="Arial" w:hAnsi="Arial" w:cs="Arial"/>
        </w:rPr>
        <w:t>Installation of physical layer cable (all electrical and mechanical aspects relating to the connection of a device to a transmission medium, i.e., connection of a workstation to a LAN) is considered public works.  A public works component may be allowed only when it is incidental to the overall project requirements.  Any portion of a contract that has a public works component that exceeds $1,000 must meet the prevailing wage requirements of Labor Code section 1771 and California State Contracting Licensing Board requirements for public works.</w:t>
      </w:r>
    </w:p>
    <w:p w:rsidR="007531F4" w:rsidRPr="00B05A21" w:rsidRDefault="007531F4" w:rsidP="005E5BDA">
      <w:pPr>
        <w:rPr>
          <w:rFonts w:ascii="Arial" w:hAnsi="Arial" w:cs="Arial"/>
        </w:rPr>
      </w:pPr>
    </w:p>
    <w:p w:rsidR="007531F4" w:rsidRPr="00B05A21" w:rsidRDefault="007531F4" w:rsidP="00740F1E">
      <w:pPr>
        <w:rPr>
          <w:rFonts w:ascii="Arial" w:hAnsi="Arial" w:cs="Arial"/>
        </w:rPr>
      </w:pPr>
      <w:r w:rsidRPr="00B05A21">
        <w:rPr>
          <w:rFonts w:ascii="Arial" w:hAnsi="Arial" w:cs="Arial"/>
          <w:b/>
        </w:rPr>
        <w:t>Note:</w:t>
      </w:r>
      <w:r w:rsidRPr="00B05A21">
        <w:rPr>
          <w:rFonts w:ascii="Arial" w:hAnsi="Arial" w:cs="Arial"/>
        </w:rPr>
        <w:t xml:space="preserve">  For information on Public Works Contracts, see SCM Vol. 1.</w:t>
      </w:r>
    </w:p>
    <w:p w:rsidR="005E5BDA" w:rsidRPr="00B05A21" w:rsidRDefault="005E5BDA" w:rsidP="005E5BDA">
      <w:pPr>
        <w:pStyle w:val="BlockLine"/>
        <w:tabs>
          <w:tab w:val="left" w:pos="2655"/>
        </w:tabs>
        <w:rPr>
          <w:rFonts w:ascii="Arial" w:hAnsi="Arial" w:cs="Arial"/>
          <w:szCs w:val="24"/>
        </w:rPr>
      </w:pPr>
      <w:r w:rsidRPr="00B05A21">
        <w:rPr>
          <w:rFonts w:ascii="Arial" w:hAnsi="Arial" w:cs="Arial"/>
          <w:szCs w:val="24"/>
        </w:rPr>
        <w:tab/>
      </w:r>
    </w:p>
    <w:p w:rsidR="001327FA" w:rsidRPr="00B05A21" w:rsidRDefault="001327FA" w:rsidP="001327FA">
      <w:pPr>
        <w:pStyle w:val="Heading3"/>
        <w:spacing w:after="120"/>
        <w:jc w:val="left"/>
        <w:rPr>
          <w:rFonts w:cs="Arial"/>
          <w:bCs/>
          <w:sz w:val="24"/>
          <w:szCs w:val="24"/>
        </w:rPr>
      </w:pPr>
      <w:bookmarkStart w:id="147" w:name="_Toc12885963"/>
      <w:r w:rsidRPr="00B05A21">
        <w:rPr>
          <w:rFonts w:cs="Arial"/>
          <w:bCs/>
          <w:sz w:val="24"/>
          <w:szCs w:val="24"/>
        </w:rPr>
        <w:t xml:space="preserve">2.B4.3   Contracted services </w:t>
      </w:r>
      <w:bookmarkEnd w:id="147"/>
    </w:p>
    <w:p w:rsidR="001327FA" w:rsidRPr="00B05A21" w:rsidRDefault="001327FA" w:rsidP="00B25465">
      <w:pPr>
        <w:rPr>
          <w:rFonts w:ascii="Arial" w:hAnsi="Arial" w:cs="Arial"/>
        </w:rPr>
      </w:pPr>
      <w:r w:rsidRPr="00B05A21">
        <w:rPr>
          <w:rFonts w:ascii="Arial" w:hAnsi="Arial" w:cs="Arial"/>
        </w:rPr>
        <w:t xml:space="preserve">Careful analysis must be given when determining whether to use contracted personnel versus civil service positions within State government. Contracting for personal services, in lieu of using civil service personnel is permitted only if the standards outlined in GC section 19130 (a) or (b) are met. </w:t>
      </w:r>
    </w:p>
    <w:p w:rsidR="001327FA" w:rsidRPr="00B05A21" w:rsidRDefault="001327FA" w:rsidP="00B25465">
      <w:pPr>
        <w:rPr>
          <w:rFonts w:ascii="Arial" w:hAnsi="Arial" w:cs="Arial"/>
        </w:rPr>
      </w:pPr>
    </w:p>
    <w:p w:rsidR="001327FA" w:rsidRPr="00B05A21" w:rsidRDefault="001327FA" w:rsidP="00B25465">
      <w:pPr>
        <w:rPr>
          <w:rFonts w:ascii="Arial" w:hAnsi="Arial" w:cs="Arial"/>
        </w:rPr>
      </w:pPr>
      <w:r w:rsidRPr="00B05A21">
        <w:rPr>
          <w:rFonts w:ascii="Arial" w:hAnsi="Arial" w:cs="Arial"/>
        </w:rPr>
        <w:t>GC section 19130 (a) permits contracting for personal services to achieve cost savings.  Any department proposing to execute a contract based on cost savings to the state as justification for not using civil service personnel, must first notify the State Personnel Board (SPB) of its intention.</w:t>
      </w:r>
    </w:p>
    <w:p w:rsidR="001327FA" w:rsidRPr="00B05A21" w:rsidRDefault="001327FA" w:rsidP="00464863">
      <w:pPr>
        <w:pStyle w:val="TOC1"/>
        <w:rPr>
          <w:sz w:val="24"/>
          <w:szCs w:val="24"/>
        </w:rPr>
      </w:pPr>
    </w:p>
    <w:p w:rsidR="001327FA" w:rsidRPr="00B05A21" w:rsidRDefault="001327FA" w:rsidP="00B25465">
      <w:pPr>
        <w:rPr>
          <w:rFonts w:ascii="Arial" w:hAnsi="Arial" w:cs="Arial"/>
        </w:rPr>
      </w:pPr>
      <w:r w:rsidRPr="00B05A21">
        <w:rPr>
          <w:rFonts w:ascii="Arial" w:hAnsi="Arial" w:cs="Arial"/>
        </w:rPr>
        <w:t>GC section 19130 (b) permits contracting for personal services when any of the requirements of GC section 19130 (b) are met.</w:t>
      </w:r>
    </w:p>
    <w:p w:rsidR="001327FA" w:rsidRPr="00B05A21" w:rsidRDefault="001327FA" w:rsidP="00B25465">
      <w:pPr>
        <w:rPr>
          <w:rFonts w:ascii="Arial" w:hAnsi="Arial" w:cs="Arial"/>
        </w:rPr>
      </w:pPr>
    </w:p>
    <w:p w:rsidR="001327FA" w:rsidRPr="00B05A21" w:rsidRDefault="001327FA" w:rsidP="00B25465">
      <w:pPr>
        <w:rPr>
          <w:rFonts w:ascii="Arial" w:hAnsi="Arial" w:cs="Arial"/>
        </w:rPr>
      </w:pPr>
      <w:r w:rsidRPr="00B05A21">
        <w:rPr>
          <w:rFonts w:ascii="Arial" w:hAnsi="Arial" w:cs="Arial"/>
        </w:rPr>
        <w:lastRenderedPageBreak/>
        <w:t>Contracts awarded on the basis of GC section 19130 (b) are subject to review at the request of an employee organization representing state employees.</w:t>
      </w:r>
    </w:p>
    <w:p w:rsidR="001327FA" w:rsidRPr="00B05A21" w:rsidRDefault="001327FA" w:rsidP="00B25465">
      <w:pPr>
        <w:rPr>
          <w:rFonts w:ascii="Arial" w:hAnsi="Arial" w:cs="Arial"/>
        </w:rPr>
      </w:pPr>
    </w:p>
    <w:p w:rsidR="001327FA" w:rsidRPr="00B05A21" w:rsidRDefault="001327FA" w:rsidP="00CF7D13">
      <w:pPr>
        <w:widowControl w:val="0"/>
        <w:numPr>
          <w:ilvl w:val="0"/>
          <w:numId w:val="23"/>
        </w:numPr>
        <w:spacing w:after="120"/>
        <w:rPr>
          <w:rFonts w:ascii="Arial" w:hAnsi="Arial" w:cs="Arial"/>
        </w:rPr>
      </w:pPr>
      <w:r w:rsidRPr="00B05A21">
        <w:rPr>
          <w:rFonts w:ascii="Arial" w:hAnsi="Arial" w:cs="Arial"/>
        </w:rPr>
        <w:t xml:space="preserve">Departments must provide the designated exclusive representative copies of personal services contacts, RFPs, IFBs, STD. 215/agreement summary or the department’s equivalent that call for personal services found in the bargaining unit. The designated exclusive representatives are found in the Policy Memo - “Contracting Out Update” on </w:t>
      </w:r>
      <w:hyperlink r:id="rId12" w:history="1">
        <w:r w:rsidRPr="00B05A21">
          <w:rPr>
            <w:rStyle w:val="Hyperlink"/>
            <w:rFonts w:ascii="Arial" w:hAnsi="Arial" w:cs="Arial"/>
          </w:rPr>
          <w:t>DPA’s website</w:t>
        </w:r>
      </w:hyperlink>
      <w:r w:rsidRPr="00B05A21">
        <w:rPr>
          <w:rFonts w:ascii="Arial" w:hAnsi="Arial" w:cs="Arial"/>
        </w:rPr>
        <w:t xml:space="preserve">.  </w:t>
      </w:r>
    </w:p>
    <w:p w:rsidR="001327FA" w:rsidRPr="00B05A21" w:rsidRDefault="001327FA" w:rsidP="00CF7D13">
      <w:pPr>
        <w:numPr>
          <w:ilvl w:val="0"/>
          <w:numId w:val="23"/>
        </w:numPr>
        <w:rPr>
          <w:rFonts w:ascii="Arial" w:hAnsi="Arial" w:cs="Arial"/>
        </w:rPr>
      </w:pPr>
      <w:r w:rsidRPr="00B05A21">
        <w:rPr>
          <w:rFonts w:ascii="Arial" w:hAnsi="Arial" w:cs="Arial"/>
        </w:rPr>
        <w:t xml:space="preserve">When a department requests approval from DGS for a contract let under GC 19130(b), the department shall include with its contract transmittal a written justification (STD.215 or department’s equivalent form) that includes specific and detailed factual information that demonstrates how the contract meets one or more of the conditions specified in GC 19130(b) See </w:t>
      </w:r>
      <w:r w:rsidR="004E5E35">
        <w:rPr>
          <w:rFonts w:ascii="Arial" w:hAnsi="Arial" w:cs="Arial"/>
        </w:rPr>
        <w:t xml:space="preserve">the </w:t>
      </w:r>
      <w:hyperlink r:id="rId13" w:history="1">
        <w:r w:rsidR="004E5E35" w:rsidRPr="004E5E35">
          <w:rPr>
            <w:rStyle w:val="Hyperlink"/>
            <w:rFonts w:ascii="Arial" w:hAnsi="Arial" w:cs="Arial"/>
          </w:rPr>
          <w:t>State Personnel Board</w:t>
        </w:r>
      </w:hyperlink>
      <w:r w:rsidR="004E5E35">
        <w:rPr>
          <w:rFonts w:ascii="Arial" w:hAnsi="Arial" w:cs="Arial"/>
        </w:rPr>
        <w:t xml:space="preserve"> webpage at </w:t>
      </w:r>
      <w:r w:rsidRPr="004E5E35">
        <w:rPr>
          <w:rFonts w:ascii="Arial" w:hAnsi="Arial" w:cs="Arial"/>
        </w:rPr>
        <w:t>www.spb.ca.gov</w:t>
      </w:r>
      <w:r w:rsidRPr="00B05A21">
        <w:rPr>
          <w:rFonts w:ascii="Arial" w:hAnsi="Arial" w:cs="Arial"/>
        </w:rPr>
        <w:t xml:space="preserve">. </w:t>
      </w:r>
    </w:p>
    <w:p w:rsidR="001327FA" w:rsidRPr="00B05A21" w:rsidRDefault="001327FA" w:rsidP="00CF7D13">
      <w:pPr>
        <w:widowControl w:val="0"/>
        <w:numPr>
          <w:ilvl w:val="0"/>
          <w:numId w:val="23"/>
        </w:numPr>
        <w:spacing w:before="120"/>
        <w:rPr>
          <w:rFonts w:ascii="Arial" w:hAnsi="Arial" w:cs="Arial"/>
        </w:rPr>
      </w:pPr>
      <w:r w:rsidRPr="00B05A21">
        <w:rPr>
          <w:rFonts w:ascii="Arial" w:hAnsi="Arial" w:cs="Arial"/>
        </w:rPr>
        <w:t>For each personal service and/or consulting service transaction, regardless of purchasing approach or category utilized (i.e. competitive, LPA, etc.), the department must prepare and retain in the procurement file all data and information relevant to the contract and necessary for a specific application of standards set forth in GC 19130 in the event that the SPB’s review is requested. For standards of review see PCC 10337.</w:t>
      </w:r>
    </w:p>
    <w:p w:rsidR="001327FA" w:rsidRPr="00B05A21" w:rsidRDefault="001327FA" w:rsidP="00B25465">
      <w:pPr>
        <w:rPr>
          <w:rFonts w:ascii="Arial" w:hAnsi="Arial" w:cs="Arial"/>
        </w:rPr>
      </w:pPr>
    </w:p>
    <w:p w:rsidR="001327FA" w:rsidRPr="00B05A21" w:rsidRDefault="001327FA" w:rsidP="00E80F60">
      <w:pPr>
        <w:widowControl w:val="0"/>
        <w:spacing w:before="120"/>
        <w:rPr>
          <w:rFonts w:ascii="Arial" w:hAnsi="Arial" w:cs="Arial"/>
        </w:rPr>
      </w:pPr>
      <w:r w:rsidRPr="00B05A21">
        <w:rPr>
          <w:rFonts w:ascii="Arial" w:hAnsi="Arial" w:cs="Arial"/>
        </w:rPr>
        <w:t>GC 19130(c) requires that all persons who provide services to the state under conditions that constitute an employment relationship shall, unless exempted by Article VII (Section 4) of the California Constitution, be retained under an appropriate civil service appointment.  Therefore, state law and policy require that each department’s contract for services with individuals be executed and administered in a manner consistent with the establishment of an independent contractor status when a civil service appointment is not intended.</w:t>
      </w:r>
    </w:p>
    <w:p w:rsidR="001327FA" w:rsidRPr="00B05A21" w:rsidRDefault="001327FA" w:rsidP="00740F1E">
      <w:pPr>
        <w:rPr>
          <w:rFonts w:ascii="Arial" w:hAnsi="Arial" w:cs="Arial"/>
        </w:rPr>
      </w:pPr>
    </w:p>
    <w:bookmarkEnd w:id="142"/>
    <w:bookmarkEnd w:id="143"/>
    <w:p w:rsidR="00E80F60" w:rsidRPr="00B05A21" w:rsidRDefault="00E80F60" w:rsidP="00E80F60">
      <w:pPr>
        <w:ind w:left="1710"/>
        <w:rPr>
          <w:rFonts w:ascii="Arial" w:hAnsi="Arial" w:cs="Arial"/>
        </w:rPr>
      </w:pPr>
      <w:r w:rsidRPr="00B05A21">
        <w:rPr>
          <w:rFonts w:ascii="Arial" w:hAnsi="Arial" w:cs="Arial"/>
        </w:rPr>
        <w:t>Pursuant to GC section 19135, if a contract is disapproved by the SPB or its delegate, a department shall immediately discontinue that contract unless ordered otherwise by the SPB or its delegate. The department shall not circumvent or disregard the SPB’s action by entering into another contract for the same or similar services or to continue the services that were the subject of the contract disapproved by the board or its delegate. A department ordered to discontinue a contract shall serve notice of the discontinuation of the contract to the vendor within 15 days from the SPB’s final action unless a different notice period is specified. A copy of the notice also shall be served on the SPB and the employee organization that filed the contract challenge.</w:t>
      </w:r>
    </w:p>
    <w:p w:rsidR="00B60AB8" w:rsidRPr="00B05A21" w:rsidRDefault="00B60AB8" w:rsidP="00536237">
      <w:pPr>
        <w:ind w:left="990" w:firstLine="720"/>
        <w:rPr>
          <w:rFonts w:ascii="Arial" w:hAnsi="Arial" w:cs="Arial"/>
        </w:rPr>
      </w:pPr>
    </w:p>
    <w:p w:rsidR="00E80F60" w:rsidRPr="00B05A21" w:rsidRDefault="00E80F60" w:rsidP="00536237">
      <w:pPr>
        <w:ind w:left="990" w:firstLine="720"/>
        <w:rPr>
          <w:rFonts w:ascii="Arial" w:hAnsi="Arial" w:cs="Arial"/>
        </w:rPr>
      </w:pPr>
      <w:r w:rsidRPr="00B05A21">
        <w:rPr>
          <w:rFonts w:ascii="Arial" w:hAnsi="Arial" w:cs="Arial"/>
        </w:rPr>
        <w:t xml:space="preserve">Click here to access </w:t>
      </w:r>
      <w:hyperlink r:id="rId14" w:history="1">
        <w:r w:rsidR="007E126A" w:rsidRPr="00B05A21">
          <w:rPr>
            <w:rStyle w:val="Hyperlink"/>
            <w:rFonts w:ascii="Arial" w:hAnsi="Arial" w:cs="Arial"/>
          </w:rPr>
          <w:t>California Law</w:t>
        </w:r>
      </w:hyperlink>
      <w:r w:rsidRPr="00B05A21">
        <w:rPr>
          <w:rFonts w:ascii="Arial" w:hAnsi="Arial" w:cs="Arial"/>
        </w:rPr>
        <w:t>.</w:t>
      </w:r>
    </w:p>
    <w:p w:rsidR="00F52CFF" w:rsidRPr="00B05A21" w:rsidRDefault="00E80F60" w:rsidP="004B198D">
      <w:pPr>
        <w:pStyle w:val="BlockLine"/>
        <w:tabs>
          <w:tab w:val="left" w:pos="2655"/>
        </w:tabs>
        <w:rPr>
          <w:rFonts w:ascii="Arial" w:hAnsi="Arial" w:cs="Arial"/>
          <w:szCs w:val="24"/>
        </w:rPr>
      </w:pPr>
      <w:r w:rsidRPr="00B05A21">
        <w:rPr>
          <w:rFonts w:ascii="Arial" w:hAnsi="Arial" w:cs="Arial"/>
          <w:szCs w:val="24"/>
        </w:rPr>
        <w:tab/>
      </w:r>
    </w:p>
    <w:p w:rsidR="004B198D" w:rsidRPr="00B05A21" w:rsidRDefault="004B198D" w:rsidP="004B198D">
      <w:pPr>
        <w:pStyle w:val="Heading3"/>
        <w:spacing w:after="120"/>
        <w:jc w:val="left"/>
        <w:rPr>
          <w:rFonts w:cs="Arial"/>
          <w:bCs/>
          <w:sz w:val="24"/>
          <w:szCs w:val="24"/>
        </w:rPr>
      </w:pPr>
      <w:bookmarkStart w:id="148" w:name="_Toc12885964"/>
      <w:bookmarkStart w:id="149" w:name="_Toc116951931"/>
      <w:r w:rsidRPr="00B05A21">
        <w:rPr>
          <w:rFonts w:cs="Arial"/>
          <w:bCs/>
          <w:sz w:val="24"/>
          <w:szCs w:val="24"/>
        </w:rPr>
        <w:t>2.B4.4   Leasing equipment</w:t>
      </w:r>
      <w:bookmarkEnd w:id="148"/>
    </w:p>
    <w:p w:rsidR="004B198D" w:rsidRPr="00B05A21" w:rsidRDefault="004B198D" w:rsidP="005E5BDA">
      <w:pPr>
        <w:rPr>
          <w:rFonts w:ascii="Arial" w:hAnsi="Arial" w:cs="Arial"/>
        </w:rPr>
      </w:pPr>
      <w:r w:rsidRPr="00B05A21">
        <w:rPr>
          <w:rFonts w:ascii="Arial" w:hAnsi="Arial" w:cs="Arial"/>
        </w:rPr>
        <w:lastRenderedPageBreak/>
        <w:t>IT equipment may be acquired by departments by lease or purchase.  The decision to lease or purchase should be the result of a careful analysis of all factors involved, especially the total cost to the State for the expected period of use.</w:t>
      </w:r>
    </w:p>
    <w:p w:rsidR="004B198D" w:rsidRPr="00B05A21" w:rsidRDefault="004B198D" w:rsidP="005E5BDA">
      <w:pPr>
        <w:rPr>
          <w:rFonts w:ascii="Arial" w:hAnsi="Arial" w:cs="Arial"/>
        </w:rPr>
      </w:pPr>
    </w:p>
    <w:p w:rsidR="004B198D" w:rsidRPr="00B05A21" w:rsidRDefault="004B198D" w:rsidP="005E5BDA">
      <w:pPr>
        <w:rPr>
          <w:rFonts w:ascii="Arial" w:hAnsi="Arial" w:cs="Arial"/>
        </w:rPr>
      </w:pPr>
      <w:r w:rsidRPr="00B05A21">
        <w:rPr>
          <w:rFonts w:ascii="Arial" w:hAnsi="Arial" w:cs="Arial"/>
        </w:rPr>
        <w:t>Purchase costs are usually lower than lease costs if equipment is used for an appreciable portion of its useful life.  One major disadvantage of consummating a purchase is that the buyer may be "locked in" to the acquisition if a major breakthrough in the technology becomes available.  Leasing provides a measure of flexibility.  This method is frequently used when the department acquiring the equipment is unable to forecast its future need either due to lack of planning data or to unresolved decisions outside of its control.</w:t>
      </w:r>
    </w:p>
    <w:p w:rsidR="004B198D" w:rsidRPr="00B05A21" w:rsidRDefault="004B198D" w:rsidP="005E5BDA">
      <w:pPr>
        <w:rPr>
          <w:rFonts w:ascii="Arial" w:hAnsi="Arial" w:cs="Arial"/>
        </w:rPr>
      </w:pPr>
    </w:p>
    <w:p w:rsidR="004B198D" w:rsidRPr="00B05A21" w:rsidRDefault="004B198D" w:rsidP="00740F1E">
      <w:pPr>
        <w:rPr>
          <w:rFonts w:ascii="Arial" w:hAnsi="Arial" w:cs="Arial"/>
        </w:rPr>
      </w:pPr>
      <w:r w:rsidRPr="00B05A21">
        <w:rPr>
          <w:rFonts w:ascii="Arial" w:hAnsi="Arial" w:cs="Arial"/>
        </w:rPr>
        <w:t>Departments may lack budgeted funds sufficient for outright cash purchases of equipment and cite this as a reason to lease.  Such funding limitations need not preclude the purchase of equipment on conditional sales or installment payment contracts.  There are unique tax advantages available to suppliers and lending institutes selling to governments that allow them to quote special low interest rates on conditional sales contracts.  The combined total of both lower equipment costs and lower interest charges on conditional sales contracts often show purchase to be less expensive than leasing over time periods of three to five years or more.</w:t>
      </w:r>
    </w:p>
    <w:p w:rsidR="005E5BDA" w:rsidRPr="00B05A21" w:rsidRDefault="005E5BDA" w:rsidP="005E5BDA">
      <w:pPr>
        <w:pStyle w:val="BlockLine"/>
        <w:tabs>
          <w:tab w:val="left" w:pos="2655"/>
        </w:tabs>
        <w:rPr>
          <w:rFonts w:ascii="Arial" w:hAnsi="Arial" w:cs="Arial"/>
          <w:szCs w:val="24"/>
        </w:rPr>
      </w:pPr>
      <w:r w:rsidRPr="00B05A21">
        <w:rPr>
          <w:rFonts w:ascii="Arial" w:hAnsi="Arial" w:cs="Arial"/>
          <w:szCs w:val="24"/>
        </w:rPr>
        <w:tab/>
      </w:r>
    </w:p>
    <w:p w:rsidR="00406D1F" w:rsidRPr="00B05A21" w:rsidRDefault="00406D1F" w:rsidP="00406D1F">
      <w:pPr>
        <w:pStyle w:val="Heading3"/>
        <w:spacing w:after="120"/>
        <w:jc w:val="left"/>
        <w:rPr>
          <w:rFonts w:cs="Arial"/>
          <w:bCs/>
          <w:sz w:val="24"/>
          <w:szCs w:val="24"/>
        </w:rPr>
      </w:pPr>
      <w:bookmarkStart w:id="150" w:name="_Toc12885965"/>
      <w:r w:rsidRPr="00B05A21">
        <w:rPr>
          <w:rFonts w:cs="Arial"/>
          <w:bCs/>
          <w:sz w:val="24"/>
          <w:szCs w:val="24"/>
        </w:rPr>
        <w:t>2.B4.5   Cost analysis – lease vs. purchase</w:t>
      </w:r>
      <w:bookmarkEnd w:id="150"/>
    </w:p>
    <w:p w:rsidR="00406D1F" w:rsidRPr="00B05A21" w:rsidRDefault="00406D1F" w:rsidP="008F5178">
      <w:pPr>
        <w:pStyle w:val="content"/>
        <w:spacing w:before="0" w:beforeAutospacing="0" w:after="0" w:afterAutospacing="0"/>
        <w:rPr>
          <w:color w:val="auto"/>
          <w:sz w:val="24"/>
          <w:szCs w:val="24"/>
        </w:rPr>
      </w:pPr>
      <w:r w:rsidRPr="00B05A21">
        <w:rPr>
          <w:color w:val="auto"/>
          <w:sz w:val="24"/>
          <w:szCs w:val="24"/>
        </w:rPr>
        <w:t>Before initiating the acquisition, departments are expected to perform a cost analysis of leasing versus purchasing.  Departments should follow the directions contained in SAM section 3700 et seq., in making cost analyses.</w:t>
      </w:r>
    </w:p>
    <w:p w:rsidR="00406D1F" w:rsidRPr="00B05A21" w:rsidRDefault="00406D1F" w:rsidP="008F5178">
      <w:pPr>
        <w:pStyle w:val="content"/>
        <w:spacing w:before="0" w:beforeAutospacing="0" w:after="0" w:afterAutospacing="0"/>
        <w:rPr>
          <w:color w:val="auto"/>
          <w:sz w:val="24"/>
          <w:szCs w:val="24"/>
        </w:rPr>
      </w:pPr>
    </w:p>
    <w:p w:rsidR="00406D1F" w:rsidRPr="00B05A21" w:rsidRDefault="00406D1F" w:rsidP="008F5178">
      <w:pPr>
        <w:pStyle w:val="content"/>
        <w:spacing w:before="0" w:beforeAutospacing="0" w:after="0" w:afterAutospacing="0"/>
        <w:rPr>
          <w:color w:val="auto"/>
          <w:sz w:val="24"/>
          <w:szCs w:val="24"/>
        </w:rPr>
      </w:pPr>
      <w:r w:rsidRPr="00B05A21">
        <w:rPr>
          <w:color w:val="auto"/>
          <w:sz w:val="24"/>
          <w:szCs w:val="24"/>
        </w:rPr>
        <w:t>Cost analyses are to be based on the "contract or program life" of the items being required.  "Contract or program life" is the anticipated life cycle of the requirement for which they are to be used, less any reasonable estimated length of time when a substitute capability will become available at a lesser cost.  "Contract or program life" is not to be confused with "usable" or machine life.  Modern electronic equipment can be expected to operate within design specifications for up to ten years when adequately maintained.  This period is their "usable" or machine life.</w:t>
      </w:r>
    </w:p>
    <w:p w:rsidR="00406D1F" w:rsidRPr="00B05A21" w:rsidRDefault="00406D1F" w:rsidP="008F5178">
      <w:pPr>
        <w:pStyle w:val="content"/>
        <w:spacing w:before="0" w:beforeAutospacing="0" w:after="0" w:afterAutospacing="0"/>
        <w:rPr>
          <w:color w:val="0000FF"/>
          <w:sz w:val="24"/>
          <w:szCs w:val="24"/>
        </w:rPr>
      </w:pPr>
    </w:p>
    <w:p w:rsidR="00406D1F" w:rsidRPr="00B05A21" w:rsidRDefault="00406D1F" w:rsidP="008F5178">
      <w:pPr>
        <w:pStyle w:val="content"/>
        <w:spacing w:before="0" w:beforeAutospacing="0" w:after="0" w:afterAutospacing="0"/>
        <w:rPr>
          <w:color w:val="auto"/>
          <w:sz w:val="24"/>
          <w:szCs w:val="24"/>
        </w:rPr>
      </w:pPr>
      <w:r w:rsidRPr="00B05A21">
        <w:rPr>
          <w:color w:val="auto"/>
          <w:sz w:val="24"/>
          <w:szCs w:val="24"/>
        </w:rPr>
        <w:t>When the lease/purchase analysis indicates leasing is the least costly acquisition method, departments are to enter into such a contract in accordance with the procedures set forth herein.  The terms of such contract should be equal to the predicted "contract or program life."</w:t>
      </w:r>
    </w:p>
    <w:p w:rsidR="00406D1F" w:rsidRPr="00B05A21" w:rsidRDefault="00406D1F" w:rsidP="008F5178">
      <w:pPr>
        <w:pStyle w:val="content"/>
        <w:spacing w:before="0" w:beforeAutospacing="0" w:after="0" w:afterAutospacing="0"/>
        <w:rPr>
          <w:color w:val="auto"/>
          <w:sz w:val="24"/>
          <w:szCs w:val="24"/>
        </w:rPr>
      </w:pPr>
      <w:r w:rsidRPr="00B05A21">
        <w:rPr>
          <w:color w:val="auto"/>
          <w:sz w:val="24"/>
          <w:szCs w:val="24"/>
        </w:rPr>
        <w:t>When such analyses indicate purchase is the least costly method, agencies are to enter into such a contract in accordance with the procedures set forth herein and SAM section 3700 et seq., except when:</w:t>
      </w:r>
    </w:p>
    <w:p w:rsidR="00406D1F" w:rsidRPr="00B05A21" w:rsidRDefault="00406D1F" w:rsidP="008F5178">
      <w:pPr>
        <w:numPr>
          <w:ilvl w:val="0"/>
          <w:numId w:val="9"/>
        </w:numPr>
        <w:rPr>
          <w:rFonts w:ascii="Arial" w:hAnsi="Arial" w:cs="Arial"/>
        </w:rPr>
      </w:pPr>
      <w:r w:rsidRPr="00B05A21">
        <w:rPr>
          <w:rFonts w:ascii="Arial" w:hAnsi="Arial" w:cs="Arial"/>
        </w:rPr>
        <w:t>Insufficient funding is available for either outright or deferred purchase; or</w:t>
      </w:r>
    </w:p>
    <w:p w:rsidR="00406D1F" w:rsidRPr="00B05A21" w:rsidRDefault="00406D1F" w:rsidP="008F5178">
      <w:pPr>
        <w:numPr>
          <w:ilvl w:val="0"/>
          <w:numId w:val="9"/>
        </w:numPr>
        <w:rPr>
          <w:rFonts w:ascii="Arial" w:hAnsi="Arial" w:cs="Arial"/>
        </w:rPr>
      </w:pPr>
      <w:r w:rsidRPr="00B05A21">
        <w:rPr>
          <w:rFonts w:ascii="Arial" w:hAnsi="Arial" w:cs="Arial"/>
        </w:rPr>
        <w:t>A short period of operational experience is desirable to provide validity of a system or equipment design with which there is no previous reliable experience.</w:t>
      </w:r>
    </w:p>
    <w:p w:rsidR="00406D1F" w:rsidRPr="00B05A21" w:rsidRDefault="00406D1F" w:rsidP="008F5178">
      <w:pPr>
        <w:rPr>
          <w:rFonts w:ascii="Arial" w:hAnsi="Arial" w:cs="Arial"/>
        </w:rPr>
      </w:pPr>
    </w:p>
    <w:p w:rsidR="00406D1F" w:rsidRPr="00B05A21" w:rsidRDefault="00406D1F" w:rsidP="008F5178">
      <w:pPr>
        <w:pStyle w:val="BlockText0"/>
        <w:tabs>
          <w:tab w:val="left" w:pos="3927"/>
        </w:tabs>
        <w:rPr>
          <w:rFonts w:ascii="Arial" w:hAnsi="Arial" w:cs="Arial"/>
          <w:szCs w:val="24"/>
        </w:rPr>
      </w:pPr>
      <w:r w:rsidRPr="00B05A21">
        <w:rPr>
          <w:rFonts w:ascii="Arial" w:hAnsi="Arial" w:cs="Arial"/>
          <w:szCs w:val="24"/>
        </w:rPr>
        <w:t>Click here to access the Lease versus Purchase Analysis form</w:t>
      </w:r>
      <w:r w:rsidRPr="00B05A21">
        <w:rPr>
          <w:rFonts w:ascii="Arial" w:hAnsi="Arial" w:cs="Arial"/>
          <w:color w:val="0000FF"/>
          <w:szCs w:val="24"/>
        </w:rPr>
        <w:t xml:space="preserve">.  </w:t>
      </w:r>
      <w:hyperlink r:id="rId15" w:history="1">
        <w:r w:rsidRPr="00B05A21">
          <w:rPr>
            <w:rStyle w:val="Hyperlink"/>
            <w:rFonts w:ascii="Arial" w:hAnsi="Arial" w:cs="Arial"/>
            <w:szCs w:val="24"/>
          </w:rPr>
          <w:t>Word</w:t>
        </w:r>
      </w:hyperlink>
      <w:r w:rsidRPr="00B05A21">
        <w:rPr>
          <w:rFonts w:ascii="Arial" w:hAnsi="Arial" w:cs="Arial"/>
          <w:szCs w:val="24"/>
        </w:rPr>
        <w:t xml:space="preserve">   </w:t>
      </w:r>
      <w:hyperlink r:id="rId16" w:history="1">
        <w:r w:rsidRPr="00B05A21">
          <w:rPr>
            <w:rStyle w:val="Hyperlink"/>
            <w:rFonts w:ascii="Arial" w:hAnsi="Arial" w:cs="Arial"/>
            <w:szCs w:val="24"/>
          </w:rPr>
          <w:t>PDF</w:t>
        </w:r>
      </w:hyperlink>
      <w:r w:rsidRPr="00B05A21">
        <w:rPr>
          <w:rFonts w:ascii="Arial" w:hAnsi="Arial" w:cs="Arial"/>
          <w:szCs w:val="24"/>
        </w:rPr>
        <w:t xml:space="preserve">  </w:t>
      </w:r>
    </w:p>
    <w:p w:rsidR="00406D1F" w:rsidRPr="00B05A21" w:rsidRDefault="00406D1F" w:rsidP="008F5178">
      <w:pPr>
        <w:pStyle w:val="BlockText0"/>
        <w:tabs>
          <w:tab w:val="left" w:pos="3927"/>
        </w:tabs>
        <w:ind w:left="552" w:hanging="552"/>
        <w:rPr>
          <w:rFonts w:ascii="Arial" w:hAnsi="Arial" w:cs="Arial"/>
          <w:szCs w:val="24"/>
        </w:rPr>
      </w:pPr>
      <w:r w:rsidRPr="00B05A21">
        <w:rPr>
          <w:rFonts w:ascii="Arial" w:hAnsi="Arial" w:cs="Arial"/>
          <w:szCs w:val="24"/>
        </w:rPr>
        <w:lastRenderedPageBreak/>
        <w:t xml:space="preserve">Click here to access a legible copy of the </w:t>
      </w:r>
      <w:hyperlink r:id="rId17" w:history="1">
        <w:r w:rsidRPr="00B05A21">
          <w:rPr>
            <w:rStyle w:val="Hyperlink"/>
            <w:rFonts w:ascii="Arial" w:hAnsi="Arial" w:cs="Arial"/>
            <w:szCs w:val="24"/>
          </w:rPr>
          <w:t>lease versus purchase analysis form</w:t>
        </w:r>
      </w:hyperlink>
      <w:r w:rsidRPr="00B05A21">
        <w:rPr>
          <w:rFonts w:ascii="Arial" w:hAnsi="Arial" w:cs="Arial"/>
          <w:szCs w:val="24"/>
        </w:rPr>
        <w:t xml:space="preserve"> as shown in SAM section 3700 Appendices (A-1). </w:t>
      </w:r>
    </w:p>
    <w:p w:rsidR="00406D1F" w:rsidRPr="00B05A21" w:rsidRDefault="00406D1F" w:rsidP="008F5178">
      <w:pPr>
        <w:pStyle w:val="BlockText0"/>
        <w:tabs>
          <w:tab w:val="left" w:pos="3927"/>
        </w:tabs>
        <w:ind w:left="552" w:hanging="552"/>
        <w:rPr>
          <w:rFonts w:ascii="Arial" w:hAnsi="Arial" w:cs="Arial"/>
          <w:szCs w:val="24"/>
        </w:rPr>
      </w:pPr>
    </w:p>
    <w:p w:rsidR="00406D1F" w:rsidRPr="00B05A21" w:rsidRDefault="00406D1F" w:rsidP="008F5178">
      <w:pPr>
        <w:tabs>
          <w:tab w:val="left" w:pos="3927"/>
        </w:tabs>
        <w:rPr>
          <w:rFonts w:ascii="Arial" w:hAnsi="Arial" w:cs="Arial"/>
        </w:rPr>
      </w:pPr>
      <w:r w:rsidRPr="00B05A21">
        <w:rPr>
          <w:rFonts w:ascii="Arial" w:hAnsi="Arial" w:cs="Arial"/>
          <w:b/>
        </w:rPr>
        <w:t>Note:</w:t>
      </w:r>
      <w:r w:rsidRPr="00B05A21">
        <w:rPr>
          <w:rFonts w:ascii="Arial" w:hAnsi="Arial" w:cs="Arial"/>
        </w:rPr>
        <w:t xml:space="preserve"> Use of any financing arrangement other than GS $Mart is prohibited without prior approval from Finance per Budget Letter 06-27.  See Chapter 9, California’s Financial Marketplace.</w:t>
      </w:r>
    </w:p>
    <w:p w:rsidR="008F5178" w:rsidRPr="00B05A21" w:rsidRDefault="008F5178" w:rsidP="008F5178">
      <w:pPr>
        <w:pStyle w:val="BlockLine"/>
        <w:tabs>
          <w:tab w:val="left" w:pos="2655"/>
        </w:tabs>
        <w:rPr>
          <w:rFonts w:ascii="Arial" w:hAnsi="Arial" w:cs="Arial"/>
          <w:szCs w:val="24"/>
        </w:rPr>
      </w:pPr>
      <w:r w:rsidRPr="00B05A21">
        <w:rPr>
          <w:rFonts w:ascii="Arial" w:hAnsi="Arial" w:cs="Arial"/>
          <w:szCs w:val="24"/>
        </w:rPr>
        <w:tab/>
      </w:r>
    </w:p>
    <w:p w:rsidR="004C4E94" w:rsidRPr="00B05A21" w:rsidRDefault="004C4E94" w:rsidP="004C4E94">
      <w:pPr>
        <w:pStyle w:val="Heading3"/>
        <w:spacing w:after="120"/>
        <w:jc w:val="left"/>
        <w:rPr>
          <w:rFonts w:cs="Arial"/>
          <w:bCs/>
          <w:sz w:val="24"/>
          <w:szCs w:val="24"/>
        </w:rPr>
      </w:pPr>
      <w:bookmarkStart w:id="151" w:name="_Toc12885966"/>
      <w:r w:rsidRPr="00B05A21">
        <w:rPr>
          <w:rFonts w:cs="Arial"/>
          <w:bCs/>
          <w:sz w:val="24"/>
          <w:szCs w:val="24"/>
        </w:rPr>
        <w:t>2.B4.6   Purchase option credits</w:t>
      </w:r>
      <w:bookmarkEnd w:id="151"/>
    </w:p>
    <w:p w:rsidR="004C4E94" w:rsidRPr="00B05A21" w:rsidRDefault="004C4E94" w:rsidP="00740F1E">
      <w:pPr>
        <w:rPr>
          <w:rFonts w:ascii="Arial" w:hAnsi="Arial" w:cs="Arial"/>
        </w:rPr>
      </w:pPr>
      <w:r w:rsidRPr="00B05A21">
        <w:rPr>
          <w:rFonts w:ascii="Arial" w:hAnsi="Arial" w:cs="Arial"/>
        </w:rPr>
        <w:t>Many lease contracts allow the accrual of monetary credits which the contractor agrees may be applied toward the eventual outright purchase of the equipment being leased if the user so elects.  If the probability of exercising a purchase option is remote, the inclusion of purchase option credits in a bid evaluation process will distort the evaluation to a point where it is likely that the bid with the lowest cost will not be selected, and the State will incur higher costs than it would if the winning bid was selected on the basis of the rent alone.  Purchase option credits should be cost evaluated in a lease contract only if there is reasonable probability that a purchase option in a lease contract may be executed.  Otherwise, purchase option credits are to be excluded from the cost evaluation.</w:t>
      </w:r>
    </w:p>
    <w:p w:rsidR="00190D31" w:rsidRPr="00B05A21" w:rsidRDefault="00190D31" w:rsidP="00190D31">
      <w:pPr>
        <w:pStyle w:val="BlockLine"/>
        <w:tabs>
          <w:tab w:val="left" w:pos="2655"/>
        </w:tabs>
        <w:rPr>
          <w:rFonts w:ascii="Arial" w:hAnsi="Arial" w:cs="Arial"/>
          <w:szCs w:val="24"/>
        </w:rPr>
      </w:pPr>
      <w:r w:rsidRPr="00B05A21">
        <w:rPr>
          <w:rFonts w:ascii="Arial" w:hAnsi="Arial" w:cs="Arial"/>
          <w:szCs w:val="24"/>
        </w:rPr>
        <w:tab/>
      </w:r>
    </w:p>
    <w:p w:rsidR="0078784F" w:rsidRPr="00B05A21" w:rsidRDefault="0078784F" w:rsidP="0078784F">
      <w:pPr>
        <w:pStyle w:val="Heading3"/>
        <w:spacing w:after="120"/>
        <w:jc w:val="left"/>
        <w:rPr>
          <w:rFonts w:cs="Arial"/>
          <w:bCs/>
          <w:sz w:val="24"/>
          <w:szCs w:val="24"/>
        </w:rPr>
      </w:pPr>
      <w:bookmarkStart w:id="152" w:name="_Toc12885967"/>
      <w:r w:rsidRPr="00B05A21">
        <w:rPr>
          <w:rFonts w:cs="Arial"/>
          <w:bCs/>
          <w:sz w:val="24"/>
          <w:szCs w:val="24"/>
        </w:rPr>
        <w:t>2.B4.7   Lease purchase financing</w:t>
      </w:r>
      <w:bookmarkEnd w:id="152"/>
    </w:p>
    <w:p w:rsidR="0078784F" w:rsidRPr="00B05A21" w:rsidRDefault="0078784F" w:rsidP="00190D31">
      <w:pPr>
        <w:pStyle w:val="BlockText0"/>
        <w:rPr>
          <w:rFonts w:ascii="Arial" w:hAnsi="Arial" w:cs="Arial"/>
          <w:szCs w:val="24"/>
        </w:rPr>
      </w:pPr>
      <w:r w:rsidRPr="00B05A21">
        <w:rPr>
          <w:rFonts w:ascii="Arial" w:hAnsi="Arial" w:cs="Arial"/>
          <w:szCs w:val="24"/>
        </w:rPr>
        <w:t>All State departments and tax funded agencies, i.e., local government, are permitted to enter into either installment purchase agreements (commonly referred to in the industry as “lease purchases”) or financed leases as described in the Uniform Commercial Code, Section 2A (commonly referred to as “operating leases”), via DGS/PD’s financial marketplaces – “</w:t>
      </w:r>
      <w:r w:rsidRPr="00B05A21">
        <w:rPr>
          <w:rStyle w:val="Strong"/>
          <w:rFonts w:ascii="Arial" w:hAnsi="Arial" w:cs="Arial"/>
          <w:b w:val="0"/>
          <w:bCs w:val="0"/>
          <w:color w:val="000000"/>
          <w:szCs w:val="24"/>
        </w:rPr>
        <w:t>GS $Mart®</w:t>
      </w:r>
      <w:r w:rsidRPr="00B05A21">
        <w:rPr>
          <w:rFonts w:ascii="Arial" w:hAnsi="Arial" w:cs="Arial"/>
          <w:szCs w:val="24"/>
        </w:rPr>
        <w:t>” or “Lease $Mart</w:t>
      </w:r>
      <w:r w:rsidRPr="00B05A21">
        <w:rPr>
          <w:rStyle w:val="Strong"/>
          <w:rFonts w:ascii="Arial" w:hAnsi="Arial" w:cs="Arial"/>
          <w:b w:val="0"/>
          <w:bCs w:val="0"/>
          <w:color w:val="000000"/>
          <w:szCs w:val="24"/>
        </w:rPr>
        <w:t>®</w:t>
      </w:r>
      <w:r w:rsidRPr="00B05A21">
        <w:rPr>
          <w:rFonts w:ascii="Arial" w:hAnsi="Arial" w:cs="Arial"/>
          <w:szCs w:val="24"/>
        </w:rPr>
        <w:t>.”</w:t>
      </w:r>
    </w:p>
    <w:p w:rsidR="0078784F" w:rsidRPr="00B05A21" w:rsidRDefault="0078784F" w:rsidP="00190D31">
      <w:pPr>
        <w:pStyle w:val="BlockText0"/>
        <w:rPr>
          <w:rFonts w:ascii="Arial" w:hAnsi="Arial" w:cs="Arial"/>
          <w:szCs w:val="24"/>
        </w:rPr>
      </w:pPr>
    </w:p>
    <w:p w:rsidR="0078784F" w:rsidRPr="00B05A21" w:rsidRDefault="0078784F" w:rsidP="00190D31">
      <w:pPr>
        <w:pStyle w:val="BlockText0"/>
        <w:rPr>
          <w:rFonts w:ascii="Arial" w:hAnsi="Arial" w:cs="Arial"/>
          <w:szCs w:val="24"/>
        </w:rPr>
      </w:pPr>
      <w:r w:rsidRPr="00B05A21">
        <w:rPr>
          <w:rFonts w:ascii="Arial" w:hAnsi="Arial" w:cs="Arial"/>
          <w:szCs w:val="24"/>
        </w:rPr>
        <w:t>See Chapter 9 for more information on the State of California’s Financial Marketplace.</w:t>
      </w:r>
    </w:p>
    <w:p w:rsidR="00190D31" w:rsidRPr="00B05A21" w:rsidRDefault="00190D31" w:rsidP="00190D31">
      <w:pPr>
        <w:pStyle w:val="BlockLine"/>
        <w:tabs>
          <w:tab w:val="left" w:pos="2655"/>
        </w:tabs>
        <w:rPr>
          <w:rFonts w:ascii="Arial" w:hAnsi="Arial" w:cs="Arial"/>
          <w:szCs w:val="24"/>
        </w:rPr>
      </w:pPr>
      <w:r w:rsidRPr="00B05A21">
        <w:rPr>
          <w:rFonts w:ascii="Arial" w:hAnsi="Arial" w:cs="Arial"/>
          <w:szCs w:val="24"/>
        </w:rPr>
        <w:tab/>
      </w:r>
    </w:p>
    <w:p w:rsidR="0078784F" w:rsidRPr="00B05A21" w:rsidRDefault="0078784F" w:rsidP="0078784F">
      <w:pPr>
        <w:pStyle w:val="Heading3"/>
        <w:spacing w:after="120"/>
        <w:jc w:val="left"/>
        <w:rPr>
          <w:rFonts w:cs="Arial"/>
          <w:bCs/>
          <w:sz w:val="24"/>
          <w:szCs w:val="24"/>
        </w:rPr>
      </w:pPr>
      <w:bookmarkStart w:id="153" w:name="_Toc12885968"/>
      <w:r w:rsidRPr="00B05A21">
        <w:rPr>
          <w:rFonts w:cs="Arial"/>
          <w:bCs/>
          <w:sz w:val="24"/>
          <w:szCs w:val="24"/>
        </w:rPr>
        <w:t>2.B4.8   Extensions or renewals of IT activity contract</w:t>
      </w:r>
      <w:bookmarkEnd w:id="153"/>
    </w:p>
    <w:p w:rsidR="0078784F" w:rsidRPr="00B05A21" w:rsidRDefault="0078784F" w:rsidP="00190D31">
      <w:pPr>
        <w:tabs>
          <w:tab w:val="left" w:pos="374"/>
        </w:tabs>
        <w:autoSpaceDE w:val="0"/>
        <w:autoSpaceDN w:val="0"/>
        <w:adjustRightInd w:val="0"/>
        <w:rPr>
          <w:rFonts w:ascii="Arial" w:hAnsi="Arial" w:cs="Arial"/>
        </w:rPr>
      </w:pPr>
      <w:r w:rsidRPr="00B05A21">
        <w:rPr>
          <w:rFonts w:ascii="Arial" w:hAnsi="Arial" w:cs="Arial"/>
        </w:rPr>
        <w:t>If a "contract or program life" is accurately estimated at the time of the initial acquisition, there will normally be no need for extending the agreement.  To enable an orderly termination of contracts, which may include supplier notifications as well as internal management adjustments, or to provide lead time for renewing or rebidding the contract, the following procedures apply:</w:t>
      </w:r>
    </w:p>
    <w:p w:rsidR="0078784F" w:rsidRPr="00B05A21" w:rsidRDefault="0078784F" w:rsidP="00190D31">
      <w:pPr>
        <w:numPr>
          <w:ilvl w:val="0"/>
          <w:numId w:val="8"/>
        </w:numPr>
        <w:tabs>
          <w:tab w:val="clear" w:pos="360"/>
          <w:tab w:val="left" w:pos="374"/>
          <w:tab w:val="left" w:pos="720"/>
          <w:tab w:val="left" w:pos="1496"/>
        </w:tabs>
        <w:autoSpaceDE w:val="0"/>
        <w:autoSpaceDN w:val="0"/>
        <w:adjustRightInd w:val="0"/>
        <w:rPr>
          <w:rFonts w:ascii="Arial" w:hAnsi="Arial" w:cs="Arial"/>
        </w:rPr>
      </w:pPr>
      <w:r w:rsidRPr="00B05A21">
        <w:rPr>
          <w:rFonts w:ascii="Arial" w:hAnsi="Arial" w:cs="Arial"/>
        </w:rPr>
        <w:t>Each IT equipment and/or equipment maintenance; personal services; and IT processing and support services contract is to have a scheduled review, which should be concluded no later than six months prior to the scheduled expiration date, to determine whether the contract can be permitted to expire and, if applicable, any leased equipment returned to the supplier.  (This is general guidance.  The amount of lead time may be as much as 12 months or more depending upon the scope of the contract.  A rule of thumb that may be used is the amount of time required to plan and conduct the original procurements.)</w:t>
      </w:r>
    </w:p>
    <w:p w:rsidR="0078784F" w:rsidRPr="00B05A21" w:rsidRDefault="0078784F" w:rsidP="00190D31">
      <w:pPr>
        <w:numPr>
          <w:ilvl w:val="0"/>
          <w:numId w:val="8"/>
        </w:numPr>
        <w:tabs>
          <w:tab w:val="clear" w:pos="360"/>
          <w:tab w:val="left" w:pos="374"/>
          <w:tab w:val="left" w:pos="1496"/>
        </w:tabs>
        <w:autoSpaceDE w:val="0"/>
        <w:autoSpaceDN w:val="0"/>
        <w:adjustRightInd w:val="0"/>
        <w:rPr>
          <w:rFonts w:ascii="Arial" w:hAnsi="Arial" w:cs="Arial"/>
        </w:rPr>
      </w:pPr>
      <w:r w:rsidRPr="00B05A21">
        <w:rPr>
          <w:rFonts w:ascii="Arial" w:hAnsi="Arial" w:cs="Arial"/>
        </w:rPr>
        <w:t xml:space="preserve">If it is determined that there is a continuing need for the goods or services provided under the contract, the department should document those reasons and re-estimate </w:t>
      </w:r>
      <w:r w:rsidRPr="00B05A21">
        <w:rPr>
          <w:rFonts w:ascii="Arial" w:hAnsi="Arial" w:cs="Arial"/>
        </w:rPr>
        <w:lastRenderedPageBreak/>
        <w:t>a "contract or program life."  The department should conduct a lease/purchase analysis for the new period if hardware is involved.</w:t>
      </w:r>
    </w:p>
    <w:p w:rsidR="0078784F" w:rsidRPr="00B05A21" w:rsidRDefault="0078784F" w:rsidP="00190D31">
      <w:pPr>
        <w:numPr>
          <w:ilvl w:val="0"/>
          <w:numId w:val="8"/>
        </w:numPr>
        <w:tabs>
          <w:tab w:val="clear" w:pos="360"/>
          <w:tab w:val="left" w:pos="374"/>
          <w:tab w:val="left" w:pos="1496"/>
        </w:tabs>
        <w:autoSpaceDE w:val="0"/>
        <w:autoSpaceDN w:val="0"/>
        <w:adjustRightInd w:val="0"/>
        <w:rPr>
          <w:rFonts w:ascii="Arial" w:hAnsi="Arial" w:cs="Arial"/>
        </w:rPr>
      </w:pPr>
      <w:r w:rsidRPr="00B05A21">
        <w:rPr>
          <w:rFonts w:ascii="Arial" w:hAnsi="Arial" w:cs="Arial"/>
        </w:rPr>
        <w:t>If the lease/purchase analysis or other considerations indicate that a purchase is more desirable than a lease, action should be initiated to affect the purchase.</w:t>
      </w:r>
    </w:p>
    <w:p w:rsidR="0078784F" w:rsidRPr="00B05A21" w:rsidRDefault="0078784F" w:rsidP="00190D31">
      <w:pPr>
        <w:numPr>
          <w:ilvl w:val="0"/>
          <w:numId w:val="8"/>
        </w:numPr>
        <w:tabs>
          <w:tab w:val="clear" w:pos="360"/>
          <w:tab w:val="left" w:pos="374"/>
          <w:tab w:val="left" w:pos="1496"/>
        </w:tabs>
        <w:autoSpaceDE w:val="0"/>
        <w:autoSpaceDN w:val="0"/>
        <w:adjustRightInd w:val="0"/>
        <w:rPr>
          <w:rFonts w:ascii="Arial" w:hAnsi="Arial" w:cs="Arial"/>
        </w:rPr>
      </w:pPr>
      <w:r w:rsidRPr="00B05A21">
        <w:rPr>
          <w:rFonts w:ascii="Arial" w:hAnsi="Arial" w:cs="Arial"/>
        </w:rPr>
        <w:t>When a lease/purchase analysis indicates that leasing is more appropriate, contracts may not be extended with the same supplier unless it can be demonstrated that the incumbent supplier's prices are competitive or there is no alternative source.  To determine if prices remain competitive, the market is to be tested by obtaining quotes from a reasonable number of suppliers, and from the incumbent supplier.  The supplier quotations should be in writing and placed with the contract file.  If there is no alternate item or source, a statement supporting this fact is required in the contract file.</w:t>
      </w:r>
    </w:p>
    <w:p w:rsidR="0078784F" w:rsidRPr="00B05A21" w:rsidRDefault="0078784F" w:rsidP="00190D31">
      <w:pPr>
        <w:numPr>
          <w:ilvl w:val="0"/>
          <w:numId w:val="8"/>
        </w:numPr>
        <w:tabs>
          <w:tab w:val="clear" w:pos="360"/>
          <w:tab w:val="left" w:pos="374"/>
          <w:tab w:val="left" w:pos="1496"/>
        </w:tabs>
        <w:rPr>
          <w:rFonts w:ascii="Arial" w:hAnsi="Arial" w:cs="Arial"/>
        </w:rPr>
      </w:pPr>
      <w:r w:rsidRPr="00B05A21">
        <w:rPr>
          <w:rFonts w:ascii="Arial" w:hAnsi="Arial" w:cs="Arial"/>
        </w:rPr>
        <w:t xml:space="preserve">If it appears that extension of the lease with the incumbent supplier is the most appropriate course of action, approval of such an extension should be requested from DGS/PD.  The analysis supporting such extension and all supporting documents must accompany such requests.  </w:t>
      </w:r>
      <w:r w:rsidR="00A864AB" w:rsidRPr="00B05A21">
        <w:rPr>
          <w:rFonts w:ascii="Arial" w:hAnsi="Arial" w:cs="Arial"/>
        </w:rPr>
        <w:t>If,</w:t>
      </w:r>
      <w:r w:rsidRPr="00B05A21">
        <w:rPr>
          <w:rFonts w:ascii="Arial" w:hAnsi="Arial" w:cs="Arial"/>
        </w:rPr>
        <w:t xml:space="preserve"> however, a lease is appropriate but continuation with the incumbent supplier is not, the department must immediately contact DGS/PD to initiate a new competitive procurement.</w:t>
      </w:r>
    </w:p>
    <w:p w:rsidR="00CE61C4" w:rsidRPr="00B05A21" w:rsidRDefault="00190D31" w:rsidP="00912BFA">
      <w:pPr>
        <w:pStyle w:val="BlockLine"/>
        <w:tabs>
          <w:tab w:val="left" w:pos="2655"/>
        </w:tabs>
        <w:rPr>
          <w:rFonts w:ascii="Arial" w:hAnsi="Arial" w:cs="Arial"/>
          <w:szCs w:val="24"/>
        </w:rPr>
      </w:pPr>
      <w:r w:rsidRPr="00B05A21">
        <w:rPr>
          <w:rFonts w:ascii="Arial" w:hAnsi="Arial" w:cs="Arial"/>
          <w:szCs w:val="24"/>
        </w:rPr>
        <w:tab/>
      </w:r>
      <w:bookmarkStart w:id="154" w:name="_1.B4.5_Cost_Analysis_–_Lease_vs._Pu"/>
      <w:bookmarkStart w:id="155" w:name="_1.B3.5_State_of_California’s_Financ"/>
      <w:bookmarkStart w:id="156" w:name="_1.B4.7_Lease_Purchase_Financing"/>
      <w:bookmarkStart w:id="157" w:name="_1.B4.8_Extensions_of_Renewals_of_IT"/>
      <w:bookmarkEnd w:id="149"/>
      <w:bookmarkEnd w:id="154"/>
      <w:bookmarkEnd w:id="155"/>
      <w:bookmarkEnd w:id="156"/>
      <w:bookmarkEnd w:id="157"/>
    </w:p>
    <w:p w:rsidR="00912BFA" w:rsidRPr="00B05A21" w:rsidRDefault="00912BFA" w:rsidP="00912BFA">
      <w:pPr>
        <w:pStyle w:val="Heading3"/>
        <w:spacing w:after="120"/>
        <w:jc w:val="left"/>
        <w:rPr>
          <w:rFonts w:cs="Arial"/>
          <w:bCs/>
          <w:sz w:val="24"/>
          <w:szCs w:val="24"/>
        </w:rPr>
      </w:pPr>
      <w:bookmarkStart w:id="158" w:name="_Toc12885969"/>
      <w:bookmarkStart w:id="159" w:name="_Toc116951935"/>
      <w:r w:rsidRPr="00B05A21">
        <w:rPr>
          <w:rFonts w:cs="Arial"/>
          <w:bCs/>
          <w:sz w:val="24"/>
          <w:szCs w:val="24"/>
        </w:rPr>
        <w:t>2.B4.9   Shipping charges</w:t>
      </w:r>
      <w:bookmarkEnd w:id="158"/>
    </w:p>
    <w:p w:rsidR="00912BFA" w:rsidRPr="00B05A21" w:rsidRDefault="00912BFA" w:rsidP="00912BFA">
      <w:pPr>
        <w:pStyle w:val="BlockText0"/>
        <w:spacing w:after="120"/>
        <w:rPr>
          <w:rFonts w:ascii="Arial" w:hAnsi="Arial" w:cs="Arial"/>
          <w:szCs w:val="24"/>
        </w:rPr>
      </w:pPr>
      <w:r w:rsidRPr="00B05A21">
        <w:rPr>
          <w:rFonts w:ascii="Arial" w:hAnsi="Arial" w:cs="Arial"/>
          <w:szCs w:val="24"/>
        </w:rPr>
        <w:t xml:space="preserve">Shipping terms shall be determined during the acquisition planning phase.  The preferred shipping method is “Free on Board” (FOB) Destination Freight Pre-paid (FRT. PPD) where the supplier is responsible for freight charges and costs as well as owning the goods while in transit. </w:t>
      </w:r>
    </w:p>
    <w:p w:rsidR="00912BFA" w:rsidRPr="00B05A21" w:rsidRDefault="00912BFA" w:rsidP="00912BFA">
      <w:pPr>
        <w:pStyle w:val="BlockText0"/>
        <w:spacing w:after="120"/>
        <w:rPr>
          <w:rFonts w:ascii="Arial" w:hAnsi="Arial" w:cs="Arial"/>
          <w:szCs w:val="24"/>
        </w:rPr>
      </w:pPr>
    </w:p>
    <w:p w:rsidR="00912BFA" w:rsidRPr="00B05A21" w:rsidRDefault="00912BFA" w:rsidP="00912BFA">
      <w:pPr>
        <w:pStyle w:val="BlockText0"/>
        <w:spacing w:after="120"/>
        <w:rPr>
          <w:rFonts w:ascii="Arial" w:hAnsi="Arial" w:cs="Arial"/>
          <w:szCs w:val="24"/>
        </w:rPr>
      </w:pPr>
      <w:r w:rsidRPr="00B05A21">
        <w:rPr>
          <w:rFonts w:ascii="Arial" w:hAnsi="Arial" w:cs="Arial"/>
          <w:szCs w:val="24"/>
        </w:rPr>
        <w:t>Should it be determined that another method of shipping is more appropriate in meeting needs and the weight of the purchase is 100-lbs or more, then the Transportation Management Unit (TMU) shall be contacted to provide the cost of freight charges from pre-established shipping agreements.  For purchases weighing less than 100 lbs., TMU need not be contacted.</w:t>
      </w:r>
    </w:p>
    <w:p w:rsidR="00912BFA" w:rsidRPr="00B05A21" w:rsidRDefault="00912BFA" w:rsidP="00912BFA">
      <w:pPr>
        <w:pStyle w:val="BlockText0"/>
        <w:spacing w:after="120"/>
        <w:rPr>
          <w:rFonts w:ascii="Arial" w:hAnsi="Arial" w:cs="Arial"/>
          <w:szCs w:val="24"/>
        </w:rPr>
      </w:pPr>
    </w:p>
    <w:p w:rsidR="00912BFA" w:rsidRPr="00B05A21" w:rsidRDefault="00912BFA" w:rsidP="00912BFA">
      <w:pPr>
        <w:pStyle w:val="BlockText0"/>
        <w:spacing w:after="120"/>
        <w:rPr>
          <w:rFonts w:ascii="Arial" w:hAnsi="Arial" w:cs="Arial"/>
          <w:szCs w:val="24"/>
        </w:rPr>
      </w:pPr>
      <w:r w:rsidRPr="00B05A21">
        <w:rPr>
          <w:rFonts w:ascii="Arial" w:hAnsi="Arial" w:cs="Arial"/>
          <w:b/>
          <w:szCs w:val="24"/>
        </w:rPr>
        <w:t>Note</w:t>
      </w:r>
      <w:r w:rsidRPr="00B05A21">
        <w:rPr>
          <w:rFonts w:ascii="Arial" w:hAnsi="Arial" w:cs="Arial"/>
          <w:szCs w:val="24"/>
        </w:rPr>
        <w:t>:  If shipping charges for purchases weighing less than 100 lbs. appear to be excessive (e.g., $500 for a 5 lb. package where the shipping charge is a percentage of the cost of the item being purchased), departments are encouraged to contact the TMU for help to obtain more appropriate pricing.</w:t>
      </w:r>
    </w:p>
    <w:p w:rsidR="00912BFA" w:rsidRPr="00B05A21" w:rsidRDefault="00912BFA" w:rsidP="00912BFA">
      <w:pPr>
        <w:pStyle w:val="BlockText0"/>
        <w:spacing w:after="120"/>
        <w:rPr>
          <w:rFonts w:ascii="Arial" w:hAnsi="Arial" w:cs="Arial"/>
          <w:szCs w:val="24"/>
        </w:rPr>
      </w:pPr>
    </w:p>
    <w:p w:rsidR="00912BFA" w:rsidRPr="00B05A21" w:rsidRDefault="00912BFA" w:rsidP="00912BFA">
      <w:pPr>
        <w:pStyle w:val="BlockText0"/>
        <w:spacing w:after="120"/>
        <w:rPr>
          <w:rFonts w:ascii="Arial" w:hAnsi="Arial" w:cs="Arial"/>
          <w:szCs w:val="24"/>
        </w:rPr>
      </w:pPr>
      <w:r w:rsidRPr="00B05A21">
        <w:rPr>
          <w:rFonts w:ascii="Arial" w:hAnsi="Arial" w:cs="Arial"/>
          <w:szCs w:val="24"/>
        </w:rPr>
        <w:t>Refer to Chapter 4 - Competitive Solicitations and Chapter 8 – Purchase Documents for additional information.</w:t>
      </w:r>
    </w:p>
    <w:p w:rsidR="00912BFA" w:rsidRPr="00B05A21" w:rsidRDefault="00912BFA" w:rsidP="00912BFA">
      <w:pPr>
        <w:pStyle w:val="BlockText0"/>
        <w:spacing w:after="120"/>
        <w:rPr>
          <w:rFonts w:ascii="Arial" w:hAnsi="Arial" w:cs="Arial"/>
          <w:szCs w:val="24"/>
        </w:rPr>
      </w:pPr>
    </w:p>
    <w:p w:rsidR="00912BFA" w:rsidRPr="00B05A21" w:rsidRDefault="00912BFA" w:rsidP="00912BFA">
      <w:pPr>
        <w:pStyle w:val="BlockText0"/>
        <w:spacing w:after="120"/>
        <w:rPr>
          <w:rFonts w:ascii="Arial" w:hAnsi="Arial" w:cs="Arial"/>
          <w:szCs w:val="24"/>
        </w:rPr>
      </w:pPr>
      <w:r w:rsidRPr="00B05A21">
        <w:rPr>
          <w:rFonts w:ascii="Arial" w:hAnsi="Arial" w:cs="Arial"/>
          <w:szCs w:val="24"/>
        </w:rPr>
        <w:t xml:space="preserve">Click here to access the </w:t>
      </w:r>
      <w:hyperlink r:id="rId18" w:history="1">
        <w:r w:rsidRPr="00B05A21">
          <w:rPr>
            <w:rStyle w:val="Hyperlink"/>
            <w:rFonts w:ascii="Arial" w:hAnsi="Arial" w:cs="Arial"/>
            <w:szCs w:val="24"/>
          </w:rPr>
          <w:t>TMU web page</w:t>
        </w:r>
      </w:hyperlink>
      <w:r w:rsidRPr="00B05A21">
        <w:rPr>
          <w:rFonts w:ascii="Arial" w:hAnsi="Arial" w:cs="Arial"/>
          <w:szCs w:val="24"/>
        </w:rPr>
        <w:t>.</w:t>
      </w:r>
    </w:p>
    <w:p w:rsidR="00651D80" w:rsidRPr="00B05A21" w:rsidRDefault="00651D80" w:rsidP="00651D80">
      <w:pPr>
        <w:pStyle w:val="BlockLine"/>
        <w:rPr>
          <w:rFonts w:ascii="Arial" w:hAnsi="Arial" w:cs="Arial"/>
          <w:szCs w:val="24"/>
        </w:rPr>
      </w:pPr>
    </w:p>
    <w:p w:rsidR="00616B52" w:rsidRPr="00B05A21" w:rsidRDefault="00616B52" w:rsidP="00616B52">
      <w:pPr>
        <w:pStyle w:val="Heading3"/>
        <w:spacing w:after="120"/>
        <w:jc w:val="left"/>
        <w:rPr>
          <w:rFonts w:cs="Arial"/>
          <w:bCs/>
          <w:sz w:val="24"/>
          <w:szCs w:val="24"/>
        </w:rPr>
      </w:pPr>
      <w:bookmarkStart w:id="160" w:name="_Topic_4_–_Statement_of_Work_(SOW)_2"/>
      <w:bookmarkStart w:id="161" w:name="_Topic_4_–_Statement_of_Work_(SOW)_1"/>
      <w:bookmarkStart w:id="162" w:name="_Topic_4_–_Statement_of_Work_(SOW)"/>
      <w:bookmarkStart w:id="163" w:name="_Toc12885970"/>
      <w:bookmarkStart w:id="164" w:name="_Toc249419823"/>
      <w:bookmarkStart w:id="165" w:name="_Toc83450117"/>
      <w:bookmarkStart w:id="166" w:name="_Toc116951937"/>
      <w:bookmarkEnd w:id="159"/>
      <w:bookmarkEnd w:id="160"/>
      <w:bookmarkEnd w:id="161"/>
      <w:bookmarkEnd w:id="162"/>
      <w:r w:rsidRPr="00B05A21">
        <w:rPr>
          <w:rFonts w:cs="Arial"/>
          <w:bCs/>
          <w:sz w:val="24"/>
          <w:szCs w:val="24"/>
        </w:rPr>
        <w:t>2.B4.</w:t>
      </w:r>
      <w:r w:rsidR="00A864AB" w:rsidRPr="00B05A21">
        <w:rPr>
          <w:rFonts w:cs="Arial"/>
          <w:bCs/>
          <w:sz w:val="24"/>
          <w:szCs w:val="24"/>
        </w:rPr>
        <w:t>10 State</w:t>
      </w:r>
      <w:r w:rsidRPr="00B05A21">
        <w:rPr>
          <w:rFonts w:cs="Arial"/>
          <w:bCs/>
          <w:sz w:val="24"/>
          <w:szCs w:val="24"/>
        </w:rPr>
        <w:t xml:space="preserve"> contracts for IT goods and/or services, loss leader</w:t>
      </w:r>
      <w:bookmarkEnd w:id="163"/>
    </w:p>
    <w:p w:rsidR="00616B52" w:rsidRPr="00B05A21" w:rsidRDefault="00616B52" w:rsidP="00E35AC1">
      <w:pPr>
        <w:rPr>
          <w:rFonts w:ascii="Arial" w:hAnsi="Arial" w:cs="Arial"/>
        </w:rPr>
      </w:pPr>
      <w:r w:rsidRPr="00B05A21">
        <w:rPr>
          <w:rFonts w:ascii="Arial" w:hAnsi="Arial" w:cs="Arial"/>
        </w:rPr>
        <w:lastRenderedPageBreak/>
        <w:t xml:space="preserve">Pursuant to PCC section 12104.5(b)(1) all RFPs for IT goods and/or services shall contain the following statement:  </w:t>
      </w:r>
    </w:p>
    <w:p w:rsidR="00616B52" w:rsidRPr="00B05A21" w:rsidRDefault="00616B52" w:rsidP="00E35AC1">
      <w:pPr>
        <w:rPr>
          <w:rFonts w:ascii="Arial" w:hAnsi="Arial" w:cs="Arial"/>
        </w:rPr>
      </w:pPr>
      <w:r w:rsidRPr="00B05A21">
        <w:rPr>
          <w:rFonts w:ascii="Arial" w:hAnsi="Arial" w:cs="Arial"/>
        </w:rPr>
        <w:t xml:space="preserve">“It is unlawful for any person engaged in business within this state to sell or use any article or product as a “loss leader” as defined in Section 17030 of the Business and Professions Code.” </w:t>
      </w:r>
    </w:p>
    <w:p w:rsidR="00616B52" w:rsidRPr="00B05A21" w:rsidRDefault="00616B52" w:rsidP="00E35AC1">
      <w:pPr>
        <w:rPr>
          <w:rFonts w:ascii="Arial" w:hAnsi="Arial" w:cs="Arial"/>
        </w:rPr>
      </w:pPr>
    </w:p>
    <w:p w:rsidR="00616B52" w:rsidRPr="00B05A21" w:rsidRDefault="00616B52" w:rsidP="00351896">
      <w:pPr>
        <w:rPr>
          <w:rFonts w:ascii="Arial" w:hAnsi="Arial" w:cs="Arial"/>
          <w:i/>
        </w:rPr>
      </w:pPr>
      <w:r w:rsidRPr="00B05A21">
        <w:rPr>
          <w:rFonts w:ascii="Arial" w:hAnsi="Arial" w:cs="Arial"/>
        </w:rPr>
        <w:t>The above statement shall be deemed to be part of an RFP even if the statement is inadvertently omitted from the RFP (PCC § 12104.5(b)(4)).</w:t>
      </w:r>
    </w:p>
    <w:p w:rsidR="00E35AC1" w:rsidRPr="00B05A21" w:rsidRDefault="00E35AC1" w:rsidP="00E35AC1">
      <w:pPr>
        <w:pStyle w:val="BlockLine"/>
        <w:rPr>
          <w:rFonts w:ascii="Arial" w:hAnsi="Arial" w:cs="Arial"/>
          <w:szCs w:val="24"/>
        </w:rPr>
      </w:pPr>
    </w:p>
    <w:p w:rsidR="0031494C" w:rsidRPr="00B05A21" w:rsidRDefault="0031494C" w:rsidP="0031494C">
      <w:pPr>
        <w:pStyle w:val="Heading3"/>
        <w:spacing w:after="120"/>
        <w:jc w:val="left"/>
        <w:rPr>
          <w:rFonts w:cs="Arial"/>
          <w:bCs/>
          <w:sz w:val="24"/>
          <w:szCs w:val="24"/>
        </w:rPr>
      </w:pPr>
      <w:bookmarkStart w:id="167" w:name="_Toc12885971"/>
      <w:r w:rsidRPr="00B05A21">
        <w:rPr>
          <w:rFonts w:cs="Arial"/>
          <w:bCs/>
          <w:sz w:val="24"/>
          <w:szCs w:val="24"/>
        </w:rPr>
        <w:t>2.B4.</w:t>
      </w:r>
      <w:r w:rsidR="00A864AB" w:rsidRPr="00B05A21">
        <w:rPr>
          <w:rFonts w:cs="Arial"/>
          <w:bCs/>
          <w:sz w:val="24"/>
          <w:szCs w:val="24"/>
        </w:rPr>
        <w:t>11 Excluded</w:t>
      </w:r>
      <w:r w:rsidRPr="00B05A21">
        <w:rPr>
          <w:rFonts w:cs="Arial"/>
          <w:bCs/>
          <w:sz w:val="24"/>
          <w:szCs w:val="24"/>
        </w:rPr>
        <w:t xml:space="preserve"> acquisitions, loss leader </w:t>
      </w:r>
      <w:bookmarkEnd w:id="167"/>
    </w:p>
    <w:p w:rsidR="0031494C" w:rsidRPr="00B05A21" w:rsidRDefault="0031494C" w:rsidP="00E35AC1">
      <w:pPr>
        <w:pStyle w:val="BlockText0"/>
        <w:rPr>
          <w:rFonts w:ascii="Arial" w:hAnsi="Arial" w:cs="Arial"/>
          <w:szCs w:val="24"/>
        </w:rPr>
      </w:pPr>
      <w:r w:rsidRPr="00B05A21">
        <w:rPr>
          <w:rFonts w:ascii="Arial" w:hAnsi="Arial" w:cs="Arial"/>
          <w:szCs w:val="24"/>
        </w:rPr>
        <w:t xml:space="preserve">The following acquisitions do not require loss leader language: </w:t>
      </w:r>
    </w:p>
    <w:p w:rsidR="0031494C" w:rsidRPr="00B05A21" w:rsidRDefault="0031494C" w:rsidP="00CF7D13">
      <w:pPr>
        <w:pStyle w:val="BlockText0"/>
        <w:numPr>
          <w:ilvl w:val="0"/>
          <w:numId w:val="18"/>
        </w:numPr>
        <w:rPr>
          <w:rFonts w:ascii="Arial" w:hAnsi="Arial" w:cs="Arial"/>
          <w:szCs w:val="24"/>
        </w:rPr>
      </w:pPr>
      <w:r w:rsidRPr="00B05A21">
        <w:rPr>
          <w:rFonts w:ascii="Arial" w:hAnsi="Arial" w:cs="Arial"/>
          <w:szCs w:val="24"/>
        </w:rPr>
        <w:t xml:space="preserve">RFOs for acquisitions from Leveraged Procurement Agreements </w:t>
      </w:r>
    </w:p>
    <w:p w:rsidR="0031494C" w:rsidRPr="00B05A21" w:rsidRDefault="0031494C" w:rsidP="00CF7D13">
      <w:pPr>
        <w:pStyle w:val="BlockText0"/>
        <w:numPr>
          <w:ilvl w:val="0"/>
          <w:numId w:val="18"/>
        </w:numPr>
        <w:rPr>
          <w:rFonts w:ascii="Arial" w:hAnsi="Arial" w:cs="Arial"/>
          <w:szCs w:val="24"/>
        </w:rPr>
      </w:pPr>
      <w:r w:rsidRPr="00B05A21">
        <w:rPr>
          <w:rFonts w:ascii="Arial" w:hAnsi="Arial" w:cs="Arial"/>
          <w:szCs w:val="24"/>
        </w:rPr>
        <w:t>Acquisitions made using Fair and Reasonable method</w:t>
      </w:r>
    </w:p>
    <w:p w:rsidR="0031494C" w:rsidRPr="00B05A21" w:rsidRDefault="0031494C" w:rsidP="00CF7D13">
      <w:pPr>
        <w:pStyle w:val="BodyText2"/>
        <w:numPr>
          <w:ilvl w:val="0"/>
          <w:numId w:val="18"/>
        </w:numPr>
        <w:spacing w:after="0" w:line="240" w:lineRule="auto"/>
        <w:rPr>
          <w:sz w:val="24"/>
          <w:szCs w:val="24"/>
        </w:rPr>
      </w:pPr>
      <w:r w:rsidRPr="00B05A21">
        <w:rPr>
          <w:sz w:val="24"/>
          <w:szCs w:val="24"/>
        </w:rPr>
        <w:t>Acquisitions made using the SB/DVBE Option.</w:t>
      </w:r>
    </w:p>
    <w:p w:rsidR="00E16BD5" w:rsidRPr="00B05A21" w:rsidRDefault="00E16BD5" w:rsidP="00E16BD5">
      <w:pPr>
        <w:pStyle w:val="BlockLine"/>
        <w:rPr>
          <w:rFonts w:ascii="Arial" w:hAnsi="Arial" w:cs="Arial"/>
          <w:szCs w:val="24"/>
        </w:rPr>
      </w:pPr>
    </w:p>
    <w:p w:rsidR="00BC3B11" w:rsidRPr="00B05A21" w:rsidRDefault="00BC3B11" w:rsidP="00BC3B11">
      <w:pPr>
        <w:pStyle w:val="Heading3"/>
        <w:spacing w:after="120"/>
        <w:jc w:val="left"/>
        <w:rPr>
          <w:rFonts w:cs="Arial"/>
          <w:bCs/>
          <w:color w:val="000000"/>
          <w:sz w:val="24"/>
          <w:szCs w:val="24"/>
        </w:rPr>
      </w:pPr>
      <w:bookmarkStart w:id="168" w:name="_Toc12885972"/>
      <w:bookmarkEnd w:id="164"/>
      <w:r w:rsidRPr="00B05A21">
        <w:rPr>
          <w:rFonts w:cs="Arial"/>
          <w:bCs/>
          <w:color w:val="000000"/>
          <w:sz w:val="24"/>
          <w:szCs w:val="24"/>
        </w:rPr>
        <w:t>2.B4.</w:t>
      </w:r>
      <w:r w:rsidR="00A864AB" w:rsidRPr="00B05A21">
        <w:rPr>
          <w:rFonts w:cs="Arial"/>
          <w:bCs/>
          <w:color w:val="000000"/>
          <w:sz w:val="24"/>
          <w:szCs w:val="24"/>
        </w:rPr>
        <w:t>12 Non</w:t>
      </w:r>
      <w:r w:rsidRPr="00B05A21">
        <w:rPr>
          <w:rFonts w:cs="Arial"/>
          <w:bCs/>
          <w:color w:val="000000"/>
          <w:sz w:val="24"/>
          <w:szCs w:val="24"/>
        </w:rPr>
        <w:t>-discrimination</w:t>
      </w:r>
      <w:bookmarkEnd w:id="168"/>
    </w:p>
    <w:p w:rsidR="00BC3B11" w:rsidRPr="00B05A21" w:rsidRDefault="00BC3B11" w:rsidP="00E35AC1">
      <w:pPr>
        <w:pStyle w:val="BodyText2"/>
        <w:spacing w:after="0" w:line="240" w:lineRule="auto"/>
        <w:rPr>
          <w:sz w:val="24"/>
          <w:szCs w:val="24"/>
        </w:rPr>
      </w:pPr>
      <w:r w:rsidRPr="00B05A21">
        <w:rPr>
          <w:sz w:val="24"/>
          <w:szCs w:val="24"/>
        </w:rPr>
        <w:t xml:space="preserve">Any employer who wishes to contract with the State for non-IT goods is subject to the provisions of GC 12990 relating to discrimination in employment.  Contractors that do not meet the provisions of GC 12990 are not eligible to contract with the State for non-IT goods. Ineligible contractors can be found in the California Regulatory Notice Register. To access the California Regulatory Notice Register, use this </w:t>
      </w:r>
      <w:hyperlink r:id="rId19" w:history="1">
        <w:r w:rsidRPr="00B05A21">
          <w:rPr>
            <w:rStyle w:val="Hyperlink"/>
            <w:sz w:val="24"/>
            <w:szCs w:val="24"/>
          </w:rPr>
          <w:t>link</w:t>
        </w:r>
      </w:hyperlink>
      <w:r w:rsidRPr="00B05A21">
        <w:rPr>
          <w:sz w:val="24"/>
          <w:szCs w:val="24"/>
        </w:rPr>
        <w:t>.</w:t>
      </w:r>
    </w:p>
    <w:p w:rsidR="00E35AC1" w:rsidRPr="00B05A21" w:rsidRDefault="00E35AC1" w:rsidP="00E35AC1">
      <w:pPr>
        <w:pStyle w:val="BlockLine"/>
        <w:rPr>
          <w:rFonts w:ascii="Arial" w:hAnsi="Arial" w:cs="Arial"/>
          <w:szCs w:val="24"/>
        </w:rPr>
      </w:pPr>
    </w:p>
    <w:p w:rsidR="00BC3B11" w:rsidRPr="00B05A21" w:rsidRDefault="00BC3B11" w:rsidP="00BC3B11">
      <w:pPr>
        <w:pStyle w:val="Heading3"/>
        <w:spacing w:after="120"/>
        <w:jc w:val="left"/>
        <w:rPr>
          <w:rFonts w:cs="Arial"/>
          <w:bCs/>
          <w:sz w:val="24"/>
          <w:szCs w:val="24"/>
        </w:rPr>
      </w:pPr>
      <w:bookmarkStart w:id="169" w:name="_Toc12885973"/>
      <w:r w:rsidRPr="00B05A21">
        <w:rPr>
          <w:rFonts w:cs="Arial"/>
          <w:bCs/>
          <w:sz w:val="24"/>
          <w:szCs w:val="24"/>
        </w:rPr>
        <w:t>2.B4.</w:t>
      </w:r>
      <w:bookmarkEnd w:id="169"/>
      <w:r w:rsidR="00A864AB" w:rsidRPr="00B05A21">
        <w:rPr>
          <w:rFonts w:cs="Arial"/>
          <w:bCs/>
          <w:sz w:val="24"/>
          <w:szCs w:val="24"/>
        </w:rPr>
        <w:t>13 Exception</w:t>
      </w:r>
    </w:p>
    <w:p w:rsidR="00BC3B11" w:rsidRPr="00B05A21" w:rsidRDefault="00BC3B11" w:rsidP="00E05723">
      <w:pPr>
        <w:pStyle w:val="BodyText2"/>
        <w:spacing w:after="0" w:line="240" w:lineRule="auto"/>
        <w:rPr>
          <w:sz w:val="24"/>
          <w:szCs w:val="24"/>
        </w:rPr>
      </w:pPr>
      <w:r w:rsidRPr="00B05A21">
        <w:rPr>
          <w:sz w:val="24"/>
          <w:szCs w:val="24"/>
        </w:rPr>
        <w:t>The requirements of GC 12990 do not apply to a credit card purchase of goods of two thousand five hundred dollars ($2,500) or less. The total amount of exemption authorized herein shall not exceed seven thousand five hundred dollars ($7,500) per year for each company from which a state agency is purchasing goods by credit card. It shall be the responsibility of each state agency to monitor the use of this exemption and adhere to these restrictions on these purchases.</w:t>
      </w:r>
    </w:p>
    <w:p w:rsidR="009307C8" w:rsidRPr="00B05A21" w:rsidRDefault="009307C8" w:rsidP="009307C8">
      <w:pPr>
        <w:pStyle w:val="BlockLine"/>
        <w:rPr>
          <w:rFonts w:ascii="Arial" w:hAnsi="Arial" w:cs="Arial"/>
          <w:szCs w:val="24"/>
        </w:rPr>
      </w:pPr>
    </w:p>
    <w:p w:rsidR="00A4706A" w:rsidRPr="00B05A21" w:rsidRDefault="00A4706A" w:rsidP="00A4706A">
      <w:pPr>
        <w:pStyle w:val="Heading3"/>
        <w:spacing w:after="120"/>
        <w:jc w:val="left"/>
        <w:rPr>
          <w:rFonts w:cs="Arial"/>
          <w:bCs/>
          <w:color w:val="000000"/>
          <w:sz w:val="24"/>
          <w:szCs w:val="24"/>
        </w:rPr>
      </w:pPr>
      <w:bookmarkStart w:id="170" w:name="_Toc301339699"/>
      <w:bookmarkStart w:id="171" w:name="_Toc12885976"/>
      <w:r w:rsidRPr="00B05A21">
        <w:rPr>
          <w:rFonts w:cs="Arial"/>
          <w:bCs/>
          <w:color w:val="000000"/>
          <w:sz w:val="24"/>
          <w:szCs w:val="24"/>
        </w:rPr>
        <w:t xml:space="preserve">2.B4.15   Iran Contracting Act </w:t>
      </w:r>
      <w:bookmarkEnd w:id="170"/>
      <w:bookmarkEnd w:id="171"/>
    </w:p>
    <w:p w:rsidR="00A4706A" w:rsidRPr="00B05A21" w:rsidRDefault="00A4706A" w:rsidP="002149CC">
      <w:pPr>
        <w:rPr>
          <w:rFonts w:ascii="Arial" w:hAnsi="Arial" w:cs="Arial"/>
        </w:rPr>
      </w:pPr>
      <w:r w:rsidRPr="00B05A21">
        <w:rPr>
          <w:rFonts w:ascii="Arial" w:hAnsi="Arial" w:cs="Arial"/>
        </w:rPr>
        <w:t xml:space="preserve">Pursuant to the Iran Contracting Act of 2010 (Public Contract Code sections 2200 through 2208 are “the Act”), vendors are ineligible to bid on, submit a proposal for, enter into, or renew any contract with the state for goods or services of one million dollars ($1,000,000) or more if the vendor engages in investment activities in Iran, as defined in the Act. The Act requires that DGS establish and periodically update a list of ineligible vendors. </w:t>
      </w:r>
    </w:p>
    <w:p w:rsidR="00A4706A" w:rsidRPr="00B05A21" w:rsidRDefault="00A4706A" w:rsidP="002149CC">
      <w:pPr>
        <w:rPr>
          <w:rFonts w:ascii="Arial" w:hAnsi="Arial" w:cs="Arial"/>
        </w:rPr>
      </w:pPr>
    </w:p>
    <w:p w:rsidR="00A4706A" w:rsidRPr="00B05A21" w:rsidRDefault="00A4706A" w:rsidP="002149CC">
      <w:pPr>
        <w:rPr>
          <w:rFonts w:ascii="Arial" w:hAnsi="Arial" w:cs="Arial"/>
        </w:rPr>
      </w:pPr>
      <w:r w:rsidRPr="00B05A21">
        <w:rPr>
          <w:rFonts w:ascii="Arial" w:hAnsi="Arial" w:cs="Arial"/>
        </w:rPr>
        <w:t>Also, pursuant to the Act, financial institutions are ineligible to bid on, submit a proposal for, enter into, or renew any contract with the state for goods or services of one million dollars ($1,000,000) or more if the financial institution extends credit, as defined in the Act, to a business identified on the DGS list of ineligible vendors that will use the credit to provide goods or services in the energy sector in Iran.</w:t>
      </w:r>
    </w:p>
    <w:p w:rsidR="00A4706A" w:rsidRPr="00B05A21" w:rsidRDefault="00A4706A" w:rsidP="002149CC">
      <w:pPr>
        <w:rPr>
          <w:rFonts w:ascii="Arial" w:hAnsi="Arial" w:cs="Arial"/>
        </w:rPr>
      </w:pPr>
    </w:p>
    <w:p w:rsidR="00A4706A" w:rsidRPr="00B05A21" w:rsidRDefault="00A4706A" w:rsidP="004077DE">
      <w:pPr>
        <w:spacing w:after="240"/>
        <w:rPr>
          <w:rFonts w:ascii="Arial" w:hAnsi="Arial" w:cs="Arial"/>
        </w:rPr>
      </w:pPr>
      <w:r w:rsidRPr="00B05A21">
        <w:rPr>
          <w:rFonts w:ascii="Arial" w:hAnsi="Arial" w:cs="Arial"/>
        </w:rPr>
        <w:t xml:space="preserve">Prior to submitting a bid or proposal and prior to executing any state contract or renewal for goods or services of one million dollars ($1,000,000) or more, a vendor must certify that it is not on the </w:t>
      </w:r>
      <w:hyperlink r:id="rId20" w:history="1">
        <w:r w:rsidRPr="00B05A21">
          <w:rPr>
            <w:rStyle w:val="Hyperlink"/>
            <w:rFonts w:ascii="Arial" w:hAnsi="Arial" w:cs="Arial"/>
          </w:rPr>
          <w:t>list of ineligible vendors</w:t>
        </w:r>
      </w:hyperlink>
      <w:r w:rsidRPr="00B05A21">
        <w:rPr>
          <w:rFonts w:ascii="Arial" w:hAnsi="Arial" w:cs="Arial"/>
        </w:rPr>
        <w:t xml:space="preserve"> prohibited from doing business with the State of California. During the bid evaluation, it is the buyer’s responsibility to check the list of ineligible vendors to confirm that the bidder is not on that list. Also financial institutions must certify that they are not extending credit to an ineligible vendor as described in the Act.  This certification requirement applies regardless of the procurement approach, method, or solicitation format used, including, but not limited to:  Request for Proposals, Invitation for Bids, and non-competitive awards. This </w:t>
      </w:r>
      <w:hyperlink r:id="rId21" w:history="1">
        <w:r w:rsidRPr="00B05A21">
          <w:rPr>
            <w:rStyle w:val="Hyperlink"/>
            <w:rFonts w:ascii="Arial" w:hAnsi="Arial" w:cs="Arial"/>
          </w:rPr>
          <w:t>sample</w:t>
        </w:r>
      </w:hyperlink>
      <w:r w:rsidRPr="00B05A21">
        <w:rPr>
          <w:rFonts w:ascii="Arial" w:hAnsi="Arial" w:cs="Arial"/>
        </w:rPr>
        <w:t xml:space="preserve"> or a similar code-compliant document should be used to satisfy the Act’s certification requirements. Departments that elect to develop their own processes or documents to suit their business needs should work with their legal counsel to </w:t>
      </w:r>
      <w:r w:rsidR="004077DE">
        <w:rPr>
          <w:rFonts w:ascii="Arial" w:hAnsi="Arial" w:cs="Arial"/>
        </w:rPr>
        <w:t>ensure compliance with the Act.</w:t>
      </w:r>
    </w:p>
    <w:p w:rsidR="00A4706A" w:rsidRPr="00B05A21" w:rsidRDefault="00A4706A" w:rsidP="002149CC">
      <w:pPr>
        <w:pStyle w:val="BodyText2"/>
        <w:spacing w:after="0" w:line="240" w:lineRule="auto"/>
        <w:rPr>
          <w:sz w:val="24"/>
          <w:szCs w:val="24"/>
        </w:rPr>
      </w:pPr>
      <w:r w:rsidRPr="00B05A21">
        <w:rPr>
          <w:sz w:val="24"/>
          <w:szCs w:val="24"/>
        </w:rPr>
        <w:t>The Act provides exceptions to the certification requirement, see PCC sections 2203(c) and (d) for additional information regarding the exceptions.</w:t>
      </w:r>
    </w:p>
    <w:p w:rsidR="003A576A" w:rsidRPr="00B05A21" w:rsidRDefault="003A576A" w:rsidP="003A576A">
      <w:pPr>
        <w:pStyle w:val="BlockLine"/>
        <w:rPr>
          <w:rFonts w:ascii="Arial" w:hAnsi="Arial" w:cs="Arial"/>
          <w:szCs w:val="24"/>
        </w:rPr>
      </w:pPr>
    </w:p>
    <w:p w:rsidR="00750DE5" w:rsidRPr="00B05A21" w:rsidRDefault="004077DE" w:rsidP="00750DE5">
      <w:pPr>
        <w:pStyle w:val="Heading3"/>
        <w:spacing w:after="120"/>
        <w:jc w:val="left"/>
        <w:rPr>
          <w:rFonts w:cs="Arial"/>
          <w:bCs/>
          <w:color w:val="000000"/>
          <w:sz w:val="24"/>
          <w:szCs w:val="24"/>
        </w:rPr>
      </w:pPr>
      <w:bookmarkStart w:id="172" w:name="_Toc12885977"/>
      <w:r>
        <w:rPr>
          <w:rFonts w:cs="Arial"/>
          <w:bCs/>
          <w:color w:val="000000"/>
          <w:sz w:val="24"/>
          <w:szCs w:val="24"/>
        </w:rPr>
        <w:t xml:space="preserve">2.B4.16 </w:t>
      </w:r>
      <w:r w:rsidR="00750DE5" w:rsidRPr="00B05A21">
        <w:rPr>
          <w:rFonts w:cs="Arial"/>
          <w:bCs/>
          <w:color w:val="000000"/>
          <w:sz w:val="24"/>
          <w:szCs w:val="24"/>
        </w:rPr>
        <w:t>Certification for PCC 2010</w:t>
      </w:r>
      <w:bookmarkEnd w:id="172"/>
    </w:p>
    <w:p w:rsidR="00750DE5" w:rsidRPr="00B05A21" w:rsidRDefault="00750DE5" w:rsidP="00E124BC">
      <w:pPr>
        <w:shd w:val="clear" w:color="auto" w:fill="FFFFFF"/>
        <w:jc w:val="both"/>
        <w:textAlignment w:val="baseline"/>
        <w:rPr>
          <w:rFonts w:ascii="Arial" w:hAnsi="Arial" w:cs="Arial"/>
          <w:color w:val="333333"/>
        </w:rPr>
      </w:pPr>
      <w:r w:rsidRPr="00B05A21">
        <w:rPr>
          <w:rFonts w:ascii="Arial" w:hAnsi="Arial" w:cs="Arial"/>
        </w:rPr>
        <w:t>Pursuant to PCC 2010, a</w:t>
      </w:r>
      <w:r w:rsidRPr="00B05A21">
        <w:rPr>
          <w:rFonts w:ascii="Arial" w:hAnsi="Arial" w:cs="Arial"/>
          <w:color w:val="333333"/>
        </w:rPr>
        <w:t xml:space="preserve"> person that submits a bid or proposal or proposes to renew a contract with, a state agency in the amount of one hundred thousand dollars ($100,000) or more shall certify, under penalty of perjury, at the time the bid or proposal is submitted or the contract is renewed, all of the following:</w:t>
      </w:r>
    </w:p>
    <w:p w:rsidR="00750DE5" w:rsidRPr="00B05A21" w:rsidRDefault="00750DE5" w:rsidP="00E124BC">
      <w:pPr>
        <w:numPr>
          <w:ilvl w:val="0"/>
          <w:numId w:val="35"/>
        </w:numPr>
        <w:shd w:val="clear" w:color="auto" w:fill="FFFFFF"/>
        <w:jc w:val="both"/>
        <w:textAlignment w:val="baseline"/>
        <w:rPr>
          <w:rFonts w:ascii="Arial" w:hAnsi="Arial" w:cs="Arial"/>
          <w:color w:val="333333"/>
        </w:rPr>
      </w:pPr>
      <w:r w:rsidRPr="00B05A21">
        <w:rPr>
          <w:rFonts w:ascii="Arial" w:hAnsi="Arial" w:cs="Arial"/>
          <w:color w:val="333333"/>
        </w:rPr>
        <w:t>That they are in compliance with the Unruh Civil Rights Act (Section 51 of the Civil Code).</w:t>
      </w:r>
    </w:p>
    <w:p w:rsidR="00750DE5" w:rsidRPr="00B05A21" w:rsidRDefault="00750DE5" w:rsidP="00E124BC">
      <w:pPr>
        <w:numPr>
          <w:ilvl w:val="0"/>
          <w:numId w:val="35"/>
        </w:numPr>
        <w:shd w:val="clear" w:color="auto" w:fill="FFFFFF"/>
        <w:jc w:val="both"/>
        <w:textAlignment w:val="baseline"/>
        <w:rPr>
          <w:rFonts w:ascii="Arial" w:hAnsi="Arial" w:cs="Arial"/>
          <w:color w:val="333333"/>
        </w:rPr>
      </w:pPr>
      <w:r w:rsidRPr="00B05A21">
        <w:rPr>
          <w:rFonts w:ascii="Arial" w:hAnsi="Arial" w:cs="Arial"/>
          <w:color w:val="333333"/>
        </w:rPr>
        <w:t>That they are in compliance with the California Fair Employment and Housing Act (Chapter 7 (commencing with Section 12960) of Part 2.8 of Division 3 of Title 2 of the Government Code).</w:t>
      </w:r>
    </w:p>
    <w:p w:rsidR="00750DE5" w:rsidRPr="00B05A21" w:rsidRDefault="00750DE5" w:rsidP="00E124BC">
      <w:pPr>
        <w:numPr>
          <w:ilvl w:val="0"/>
          <w:numId w:val="35"/>
        </w:numPr>
        <w:shd w:val="clear" w:color="auto" w:fill="FFFFFF"/>
        <w:jc w:val="both"/>
        <w:textAlignment w:val="baseline"/>
        <w:rPr>
          <w:rFonts w:ascii="Arial" w:hAnsi="Arial" w:cs="Arial"/>
          <w:color w:val="333333"/>
        </w:rPr>
      </w:pPr>
      <w:r w:rsidRPr="00B05A21">
        <w:rPr>
          <w:rFonts w:ascii="Arial" w:hAnsi="Arial" w:cs="Arial"/>
          <w:color w:val="333333"/>
        </w:rPr>
        <w:t>Supplier discrimination policies:</w:t>
      </w:r>
    </w:p>
    <w:p w:rsidR="00750DE5" w:rsidRPr="00B05A21" w:rsidRDefault="00750DE5" w:rsidP="00E124BC">
      <w:pPr>
        <w:numPr>
          <w:ilvl w:val="1"/>
          <w:numId w:val="35"/>
        </w:numPr>
        <w:shd w:val="clear" w:color="auto" w:fill="FFFFFF"/>
        <w:jc w:val="both"/>
        <w:textAlignment w:val="baseline"/>
        <w:rPr>
          <w:rFonts w:ascii="Arial" w:hAnsi="Arial" w:cs="Arial"/>
          <w:color w:val="333333"/>
        </w:rPr>
      </w:pPr>
      <w:r w:rsidRPr="00B05A21">
        <w:rPr>
          <w:rFonts w:ascii="Arial" w:hAnsi="Arial" w:cs="Arial"/>
          <w:color w:val="333333"/>
        </w:rPr>
        <w:t>That any policy that they have against any sovereign nation or peoples recognized by the government of the United States, including, but not limited to, the nation and people of Israel, is not used to discriminate in violation of the Unruh Civil Rights Act (Section 51 of the Civil Code) or the California Fair Employment and Housing Act (Chapter 7 (commencing with Section 12960) of Part 2.8 of Division 3 of Title 2 of the Government Code).</w:t>
      </w:r>
    </w:p>
    <w:p w:rsidR="00750DE5" w:rsidRPr="00B05A21" w:rsidRDefault="00750DE5" w:rsidP="00E124BC">
      <w:pPr>
        <w:numPr>
          <w:ilvl w:val="1"/>
          <w:numId w:val="35"/>
        </w:numPr>
        <w:shd w:val="clear" w:color="auto" w:fill="FFFFFF"/>
        <w:jc w:val="both"/>
        <w:textAlignment w:val="baseline"/>
        <w:rPr>
          <w:rFonts w:ascii="Arial" w:hAnsi="Arial" w:cs="Arial"/>
          <w:color w:val="333333"/>
        </w:rPr>
      </w:pPr>
      <w:r w:rsidRPr="00B05A21">
        <w:rPr>
          <w:rFonts w:ascii="Arial" w:hAnsi="Arial" w:cs="Arial"/>
          <w:color w:val="333333"/>
        </w:rPr>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p>
    <w:p w:rsidR="00750DE5" w:rsidRPr="00B05A21" w:rsidRDefault="00750DE5" w:rsidP="00E124BC">
      <w:pPr>
        <w:pStyle w:val="BlockText0"/>
        <w:rPr>
          <w:rFonts w:ascii="Arial" w:hAnsi="Arial" w:cs="Arial"/>
          <w:szCs w:val="24"/>
        </w:rPr>
      </w:pPr>
    </w:p>
    <w:p w:rsidR="00750DE5" w:rsidRPr="00B05A21" w:rsidRDefault="00750DE5" w:rsidP="007266A3">
      <w:pPr>
        <w:rPr>
          <w:rFonts w:ascii="Arial" w:hAnsi="Arial" w:cs="Arial"/>
          <w:color w:val="000000"/>
        </w:rPr>
      </w:pPr>
      <w:r w:rsidRPr="00B05A21">
        <w:rPr>
          <w:rFonts w:ascii="Arial" w:hAnsi="Arial" w:cs="Arial"/>
        </w:rPr>
        <w:t xml:space="preserve">Application is required regardless of the procurement approach, method, or solicitation format, including, but not limited to: Formal Bids, Informal Bids, Request for Proposals, Invitation for Bids, Non-Competitive Bids and the SB/DVBE Option. When renewing a </w:t>
      </w:r>
      <w:r w:rsidRPr="00B05A21">
        <w:rPr>
          <w:rFonts w:ascii="Arial" w:hAnsi="Arial" w:cs="Arial"/>
        </w:rPr>
        <w:lastRenderedPageBreak/>
        <w:t>contract either by utilizing an option to extend or an amendment to add time or funding to an existing contract, the supplier must re-certify.</w:t>
      </w:r>
    </w:p>
    <w:p w:rsidR="00750DE5" w:rsidRPr="00B05A21" w:rsidRDefault="00750DE5" w:rsidP="007266A3">
      <w:pPr>
        <w:rPr>
          <w:rFonts w:ascii="Arial" w:hAnsi="Arial" w:cs="Arial"/>
          <w:color w:val="000000"/>
        </w:rPr>
      </w:pPr>
    </w:p>
    <w:p w:rsidR="00750DE5" w:rsidRPr="00B05A21" w:rsidRDefault="00750DE5" w:rsidP="007266A3">
      <w:pPr>
        <w:rPr>
          <w:rFonts w:ascii="Arial" w:hAnsi="Arial" w:cs="Arial"/>
        </w:rPr>
      </w:pPr>
      <w:r w:rsidRPr="00B05A21">
        <w:rPr>
          <w:rFonts w:ascii="Arial" w:hAnsi="Arial" w:cs="Arial"/>
          <w:color w:val="000000"/>
        </w:rPr>
        <w:t xml:space="preserve">This </w:t>
      </w:r>
      <w:hyperlink r:id="rId22" w:history="1">
        <w:r w:rsidRPr="00B05A21">
          <w:rPr>
            <w:rFonts w:ascii="Arial" w:hAnsi="Arial" w:cs="Arial"/>
            <w:color w:val="0000FF"/>
            <w:u w:val="single"/>
          </w:rPr>
          <w:t>sample</w:t>
        </w:r>
      </w:hyperlink>
      <w:r w:rsidRPr="00B05A21">
        <w:rPr>
          <w:rFonts w:ascii="Arial" w:hAnsi="Arial" w:cs="Arial"/>
          <w:color w:val="000000"/>
        </w:rPr>
        <w:t xml:space="preserve"> or a similar code-compliant document should be used to satisfy this certification requirement</w:t>
      </w:r>
      <w:r w:rsidRPr="00B05A21">
        <w:rPr>
          <w:rFonts w:ascii="Arial" w:hAnsi="Arial" w:cs="Arial"/>
        </w:rPr>
        <w:t xml:space="preserve">. </w:t>
      </w:r>
    </w:p>
    <w:p w:rsidR="00BF363A" w:rsidRPr="00B05A21" w:rsidRDefault="00BF363A" w:rsidP="00BF363A">
      <w:pPr>
        <w:pStyle w:val="BlockLine"/>
        <w:rPr>
          <w:rFonts w:ascii="Arial" w:hAnsi="Arial" w:cs="Arial"/>
          <w:szCs w:val="24"/>
        </w:rPr>
      </w:pPr>
    </w:p>
    <w:p w:rsidR="00750DE5" w:rsidRPr="00B05A21" w:rsidRDefault="00750DE5" w:rsidP="00750DE5">
      <w:pPr>
        <w:pStyle w:val="Heading3"/>
        <w:spacing w:after="120"/>
        <w:jc w:val="left"/>
        <w:rPr>
          <w:rFonts w:cs="Arial"/>
          <w:sz w:val="24"/>
          <w:szCs w:val="24"/>
        </w:rPr>
      </w:pPr>
      <w:bookmarkStart w:id="173" w:name="_Toc511222987"/>
      <w:bookmarkStart w:id="174" w:name="_Toc12885978"/>
      <w:r w:rsidRPr="00B05A21">
        <w:rPr>
          <w:rFonts w:cs="Arial"/>
          <w:bCs/>
          <w:color w:val="000000"/>
          <w:sz w:val="24"/>
          <w:szCs w:val="24"/>
        </w:rPr>
        <w:t>2.B4.</w:t>
      </w:r>
      <w:r w:rsidR="00A864AB" w:rsidRPr="00B05A21">
        <w:rPr>
          <w:rFonts w:cs="Arial"/>
          <w:bCs/>
          <w:color w:val="000000"/>
          <w:sz w:val="24"/>
          <w:szCs w:val="24"/>
        </w:rPr>
        <w:t>17 Prohibition</w:t>
      </w:r>
      <w:r w:rsidRPr="00B05A21">
        <w:rPr>
          <w:rFonts w:cs="Arial"/>
          <w:bCs/>
          <w:color w:val="000000"/>
          <w:sz w:val="24"/>
          <w:szCs w:val="24"/>
        </w:rPr>
        <w:t xml:space="preserve"> on tax delinquents bidding</w:t>
      </w:r>
      <w:bookmarkEnd w:id="173"/>
      <w:bookmarkEnd w:id="174"/>
    </w:p>
    <w:p w:rsidR="00750DE5" w:rsidRPr="00B05A21" w:rsidRDefault="00750DE5" w:rsidP="00A73261">
      <w:pPr>
        <w:rPr>
          <w:rFonts w:ascii="Arial" w:hAnsi="Arial" w:cs="Arial"/>
        </w:rPr>
      </w:pPr>
      <w:r w:rsidRPr="00B05A21">
        <w:rPr>
          <w:rFonts w:ascii="Arial" w:hAnsi="Arial" w:cs="Arial"/>
        </w:rPr>
        <w:t>Pursuant to the Public Contract Code section 10295.4, effective July 1, 2012, persons or companies identified as the largest tax delinquents by the Franchise Tax Board (FTB) or the California Department of Tax and Fee Administration (CDTFA) are ineligible to enter into any contract with the state for IT goods and services. Any contract entered into in violation of section 10295.4 is void and unenforceable.</w:t>
      </w:r>
    </w:p>
    <w:p w:rsidR="00750DE5" w:rsidRPr="00B05A21" w:rsidRDefault="00750DE5" w:rsidP="00A73261">
      <w:pPr>
        <w:rPr>
          <w:rFonts w:ascii="Arial" w:hAnsi="Arial" w:cs="Arial"/>
        </w:rPr>
      </w:pPr>
    </w:p>
    <w:p w:rsidR="00750DE5" w:rsidRPr="00B05A21" w:rsidRDefault="00750DE5" w:rsidP="00A73261">
      <w:pPr>
        <w:rPr>
          <w:rFonts w:ascii="Arial" w:hAnsi="Arial" w:cs="Arial"/>
        </w:rPr>
      </w:pPr>
      <w:r w:rsidRPr="00B05A21">
        <w:rPr>
          <w:rFonts w:ascii="Arial" w:hAnsi="Arial" w:cs="Arial"/>
        </w:rPr>
        <w:t>Prior to executing any state contract or renewal for IT goods and services, the contracting department must verify that the contractor is not on a prohibited list by checking both the FTB and CDTFA websites. This requirement applies regardless of the procurement approach, method, or solicitation format used, including, but not limited to:  Request for Proposals, Invitation for Bids, and non-competitive awards. Departments that elect to develop their own processes or documents to suit their business needs should work with their legal counsel to ensure compliance with code.</w:t>
      </w:r>
    </w:p>
    <w:p w:rsidR="00750DE5" w:rsidRPr="00B05A21" w:rsidRDefault="00750DE5" w:rsidP="00A73261">
      <w:pPr>
        <w:rPr>
          <w:rFonts w:ascii="Arial" w:hAnsi="Arial" w:cs="Arial"/>
        </w:rPr>
      </w:pPr>
    </w:p>
    <w:p w:rsidR="00750DE5" w:rsidRPr="00B05A21" w:rsidRDefault="00750DE5" w:rsidP="00A73261">
      <w:pPr>
        <w:rPr>
          <w:rFonts w:ascii="Arial" w:hAnsi="Arial" w:cs="Arial"/>
        </w:rPr>
      </w:pPr>
      <w:r w:rsidRPr="00B05A21">
        <w:rPr>
          <w:rFonts w:ascii="Arial" w:hAnsi="Arial" w:cs="Arial"/>
        </w:rPr>
        <w:t>Public Contract Code 10295.4 provides no exceptions to these prohibitions.</w:t>
      </w:r>
    </w:p>
    <w:p w:rsidR="00750DE5" w:rsidRPr="00B05A21" w:rsidRDefault="00750DE5" w:rsidP="00A73261">
      <w:pPr>
        <w:rPr>
          <w:rFonts w:ascii="Arial" w:hAnsi="Arial" w:cs="Arial"/>
        </w:rPr>
      </w:pPr>
    </w:p>
    <w:p w:rsidR="00750DE5" w:rsidRPr="00B05A21" w:rsidRDefault="00750DE5" w:rsidP="00A73261">
      <w:pPr>
        <w:rPr>
          <w:rFonts w:ascii="Arial" w:hAnsi="Arial" w:cs="Arial"/>
        </w:rPr>
      </w:pPr>
      <w:r w:rsidRPr="00B05A21">
        <w:rPr>
          <w:rFonts w:ascii="Arial" w:hAnsi="Arial" w:cs="Arial"/>
        </w:rPr>
        <w:t>The list esta</w:t>
      </w:r>
      <w:r w:rsidR="004E5E35">
        <w:rPr>
          <w:rFonts w:ascii="Arial" w:hAnsi="Arial" w:cs="Arial"/>
        </w:rPr>
        <w:t xml:space="preserve">blished by FTB can be found on the </w:t>
      </w:r>
      <w:hyperlink r:id="rId23" w:history="1">
        <w:r w:rsidR="004E5E35" w:rsidRPr="004E5E35">
          <w:rPr>
            <w:rStyle w:val="Hyperlink"/>
            <w:rFonts w:ascii="Arial" w:hAnsi="Arial" w:cs="Arial"/>
          </w:rPr>
          <w:t>FTB webp</w:t>
        </w:r>
        <w:r w:rsidR="004E5E35" w:rsidRPr="004E5E35">
          <w:rPr>
            <w:rStyle w:val="Hyperlink"/>
            <w:rFonts w:ascii="Arial" w:hAnsi="Arial" w:cs="Arial"/>
          </w:rPr>
          <w:t>a</w:t>
        </w:r>
        <w:r w:rsidR="004E5E35" w:rsidRPr="004E5E35">
          <w:rPr>
            <w:rStyle w:val="Hyperlink"/>
            <w:rFonts w:ascii="Arial" w:hAnsi="Arial" w:cs="Arial"/>
          </w:rPr>
          <w:t>ge</w:t>
        </w:r>
      </w:hyperlink>
      <w:r w:rsidRPr="00B05A21">
        <w:rPr>
          <w:rFonts w:ascii="Arial" w:hAnsi="Arial" w:cs="Arial"/>
        </w:rPr>
        <w:t xml:space="preserve"> </w:t>
      </w:r>
      <w:r w:rsidR="004E5E35">
        <w:rPr>
          <w:rFonts w:ascii="Arial" w:hAnsi="Arial" w:cs="Arial"/>
        </w:rPr>
        <w:t xml:space="preserve">at </w:t>
      </w:r>
      <w:r w:rsidR="00A864AB" w:rsidRPr="00A864AB">
        <w:rPr>
          <w:rFonts w:ascii="Arial" w:hAnsi="Arial" w:cs="Arial"/>
        </w:rPr>
        <w:t>https://www.ftb.ca.gov/about-ftb/newsroom/top-500-past-due-balances/index.html</w:t>
      </w:r>
      <w:r w:rsidR="004E5E35">
        <w:rPr>
          <w:rFonts w:ascii="Arial" w:hAnsi="Arial" w:cs="Arial"/>
        </w:rPr>
        <w:t>.</w:t>
      </w:r>
    </w:p>
    <w:p w:rsidR="00750DE5" w:rsidRPr="00B05A21" w:rsidRDefault="00750DE5" w:rsidP="00A73261">
      <w:pPr>
        <w:rPr>
          <w:rFonts w:ascii="Arial" w:hAnsi="Arial" w:cs="Arial"/>
        </w:rPr>
      </w:pPr>
    </w:p>
    <w:p w:rsidR="00750DE5" w:rsidRPr="00B05A21" w:rsidRDefault="00750DE5" w:rsidP="00A73261">
      <w:pPr>
        <w:rPr>
          <w:rFonts w:ascii="Arial" w:hAnsi="Arial" w:cs="Arial"/>
        </w:rPr>
      </w:pPr>
      <w:r w:rsidRPr="00B05A21">
        <w:rPr>
          <w:rFonts w:ascii="Arial" w:hAnsi="Arial" w:cs="Arial"/>
        </w:rPr>
        <w:t xml:space="preserve">The list established by CDTFA can be found </w:t>
      </w:r>
      <w:hyperlink r:id="rId24" w:history="1">
        <w:r w:rsidRPr="00B05A21">
          <w:rPr>
            <w:rStyle w:val="Hyperlink"/>
            <w:rFonts w:ascii="Arial" w:hAnsi="Arial" w:cs="Arial"/>
          </w:rPr>
          <w:t>here</w:t>
        </w:r>
      </w:hyperlink>
      <w:r w:rsidRPr="00B05A21">
        <w:rPr>
          <w:rFonts w:ascii="Arial" w:hAnsi="Arial" w:cs="Arial"/>
        </w:rPr>
        <w:t xml:space="preserve">. </w:t>
      </w:r>
    </w:p>
    <w:p w:rsidR="008070FA" w:rsidRPr="00B05A21" w:rsidRDefault="008070FA" w:rsidP="008070FA">
      <w:pPr>
        <w:pStyle w:val="BlockLine"/>
        <w:rPr>
          <w:rFonts w:ascii="Arial" w:hAnsi="Arial" w:cs="Arial"/>
          <w:szCs w:val="24"/>
        </w:rPr>
      </w:pPr>
    </w:p>
    <w:p w:rsidR="003E131A" w:rsidRPr="004A7FB7" w:rsidRDefault="00651D80" w:rsidP="0049267E">
      <w:pPr>
        <w:pStyle w:val="Heading2"/>
        <w:spacing w:after="120"/>
        <w:ind w:left="1498" w:hanging="1498"/>
        <w:jc w:val="left"/>
        <w:rPr>
          <w:rFonts w:cs="Arial"/>
          <w:bCs/>
          <w:szCs w:val="32"/>
        </w:rPr>
      </w:pPr>
      <w:r w:rsidRPr="00B05A21">
        <w:rPr>
          <w:rFonts w:cs="Arial"/>
          <w:bCs/>
          <w:sz w:val="24"/>
          <w:szCs w:val="24"/>
        </w:rPr>
        <w:br w:type="page"/>
      </w:r>
      <w:bookmarkStart w:id="175" w:name="_Toc12885979"/>
      <w:r w:rsidR="003E131A" w:rsidRPr="004A7FB7">
        <w:rPr>
          <w:rFonts w:cs="Arial"/>
          <w:bCs/>
          <w:szCs w:val="32"/>
        </w:rPr>
        <w:lastRenderedPageBreak/>
        <w:t>Topic 5 – Statement of Work (SOW)</w:t>
      </w:r>
      <w:bookmarkEnd w:id="175"/>
    </w:p>
    <w:p w:rsidR="003E131A" w:rsidRPr="00B05A21" w:rsidRDefault="003E131A" w:rsidP="003E131A">
      <w:pPr>
        <w:pStyle w:val="BlockLine"/>
        <w:tabs>
          <w:tab w:val="left" w:pos="2655"/>
        </w:tabs>
        <w:rPr>
          <w:rFonts w:ascii="Arial" w:hAnsi="Arial" w:cs="Arial"/>
          <w:szCs w:val="24"/>
        </w:rPr>
      </w:pPr>
      <w:r w:rsidRPr="00B05A21">
        <w:rPr>
          <w:rFonts w:ascii="Arial" w:hAnsi="Arial" w:cs="Arial"/>
          <w:szCs w:val="24"/>
        </w:rPr>
        <w:tab/>
      </w:r>
    </w:p>
    <w:p w:rsidR="0049267E" w:rsidRPr="00B05A21" w:rsidRDefault="0049267E" w:rsidP="0049267E">
      <w:pPr>
        <w:pStyle w:val="Heading3"/>
        <w:spacing w:after="120"/>
        <w:jc w:val="left"/>
        <w:rPr>
          <w:rFonts w:cs="Arial"/>
          <w:bCs/>
          <w:sz w:val="24"/>
          <w:szCs w:val="24"/>
        </w:rPr>
      </w:pPr>
      <w:bookmarkStart w:id="176" w:name="_Toc12885980"/>
      <w:r w:rsidRPr="00B05A21">
        <w:rPr>
          <w:rFonts w:cs="Arial"/>
          <w:bCs/>
          <w:sz w:val="24"/>
          <w:szCs w:val="24"/>
        </w:rPr>
        <w:t>2.B5.0   Determining the need for an SOW</w:t>
      </w:r>
      <w:bookmarkEnd w:id="176"/>
    </w:p>
    <w:p w:rsidR="0049267E" w:rsidRPr="00B05A21" w:rsidRDefault="0049267E" w:rsidP="003E131A">
      <w:pPr>
        <w:rPr>
          <w:rFonts w:ascii="Arial" w:hAnsi="Arial" w:cs="Arial"/>
        </w:rPr>
      </w:pPr>
      <w:r w:rsidRPr="00B05A21">
        <w:rPr>
          <w:rFonts w:ascii="Arial" w:hAnsi="Arial" w:cs="Arial"/>
          <w:color w:val="000000"/>
        </w:rPr>
        <w:t xml:space="preserve">An SOW must be included for all IT service transactions and for IT goods transactions when appropriate.  </w:t>
      </w:r>
      <w:r w:rsidRPr="00B05A21">
        <w:rPr>
          <w:rFonts w:ascii="Arial" w:hAnsi="Arial" w:cs="Arial"/>
        </w:rPr>
        <w:t>A full and complete SOW protects the State and the contractor by identifying and documenting the details of the work to be performed.</w:t>
      </w:r>
    </w:p>
    <w:p w:rsidR="003E131A" w:rsidRPr="00B05A21" w:rsidRDefault="003E131A" w:rsidP="003E131A">
      <w:pPr>
        <w:pStyle w:val="BlockLine"/>
        <w:tabs>
          <w:tab w:val="left" w:pos="2655"/>
        </w:tabs>
        <w:rPr>
          <w:rFonts w:ascii="Arial" w:hAnsi="Arial" w:cs="Arial"/>
          <w:szCs w:val="24"/>
        </w:rPr>
      </w:pPr>
      <w:r w:rsidRPr="00B05A21">
        <w:rPr>
          <w:rFonts w:ascii="Arial" w:hAnsi="Arial" w:cs="Arial"/>
          <w:szCs w:val="24"/>
        </w:rPr>
        <w:tab/>
      </w:r>
    </w:p>
    <w:p w:rsidR="0049267E" w:rsidRPr="00B05A21" w:rsidRDefault="0049267E" w:rsidP="0049267E">
      <w:pPr>
        <w:pStyle w:val="Heading3"/>
        <w:spacing w:after="120"/>
        <w:jc w:val="left"/>
        <w:rPr>
          <w:rFonts w:cs="Arial"/>
          <w:bCs/>
          <w:sz w:val="24"/>
          <w:szCs w:val="24"/>
        </w:rPr>
      </w:pPr>
      <w:bookmarkStart w:id="177" w:name="_Toc12885981"/>
      <w:r w:rsidRPr="00B05A21">
        <w:rPr>
          <w:rFonts w:cs="Arial"/>
          <w:bCs/>
          <w:sz w:val="24"/>
          <w:szCs w:val="24"/>
        </w:rPr>
        <w:t>2.B5.1   What to include in an SOW</w:t>
      </w:r>
      <w:bookmarkEnd w:id="177"/>
    </w:p>
    <w:p w:rsidR="0049267E" w:rsidRPr="00B05A21" w:rsidRDefault="0049267E" w:rsidP="003E131A">
      <w:pPr>
        <w:rPr>
          <w:rFonts w:ascii="Arial" w:hAnsi="Arial" w:cs="Arial"/>
        </w:rPr>
      </w:pPr>
      <w:r w:rsidRPr="00B05A21">
        <w:rPr>
          <w:rFonts w:ascii="Arial" w:hAnsi="Arial" w:cs="Arial"/>
        </w:rPr>
        <w:t>An SOW is unique to each purchase document, but usually consists of some or all of the following:</w:t>
      </w:r>
    </w:p>
    <w:p w:rsidR="0049267E" w:rsidRPr="00B05A21" w:rsidRDefault="0049267E" w:rsidP="003E131A">
      <w:pPr>
        <w:pStyle w:val="BulletText1"/>
        <w:tabs>
          <w:tab w:val="clear" w:pos="173"/>
          <w:tab w:val="num" w:pos="374"/>
        </w:tabs>
        <w:ind w:left="374" w:hanging="374"/>
        <w:rPr>
          <w:rFonts w:ascii="Arial" w:hAnsi="Arial" w:cs="Arial"/>
          <w:szCs w:val="24"/>
        </w:rPr>
      </w:pPr>
      <w:r w:rsidRPr="00B05A21">
        <w:rPr>
          <w:rFonts w:ascii="Arial" w:hAnsi="Arial" w:cs="Arial"/>
          <w:szCs w:val="24"/>
        </w:rPr>
        <w:t>A detailed statement of the purpose, objective or goals to be undertaken by the contractor</w:t>
      </w:r>
    </w:p>
    <w:p w:rsidR="0049267E" w:rsidRPr="00B05A21" w:rsidRDefault="0049267E" w:rsidP="003E131A">
      <w:pPr>
        <w:pStyle w:val="BulletText1"/>
        <w:tabs>
          <w:tab w:val="clear" w:pos="173"/>
          <w:tab w:val="num" w:pos="374"/>
        </w:tabs>
        <w:ind w:left="374" w:hanging="374"/>
        <w:rPr>
          <w:rFonts w:ascii="Arial" w:hAnsi="Arial" w:cs="Arial"/>
          <w:szCs w:val="24"/>
        </w:rPr>
      </w:pPr>
      <w:r w:rsidRPr="00B05A21">
        <w:rPr>
          <w:rFonts w:ascii="Arial" w:hAnsi="Arial" w:cs="Arial"/>
          <w:szCs w:val="24"/>
        </w:rPr>
        <w:t>The job classification or approximate skill level of the personnel to be made available by the contractor</w:t>
      </w:r>
    </w:p>
    <w:p w:rsidR="0049267E" w:rsidRPr="00B05A21" w:rsidRDefault="0049267E" w:rsidP="003E131A">
      <w:pPr>
        <w:pStyle w:val="BulletText1"/>
        <w:tabs>
          <w:tab w:val="clear" w:pos="173"/>
          <w:tab w:val="num" w:pos="374"/>
        </w:tabs>
        <w:ind w:left="374" w:hanging="374"/>
        <w:rPr>
          <w:rFonts w:ascii="Arial" w:hAnsi="Arial" w:cs="Arial"/>
          <w:szCs w:val="24"/>
        </w:rPr>
      </w:pPr>
      <w:r w:rsidRPr="00B05A21">
        <w:rPr>
          <w:rFonts w:ascii="Arial" w:hAnsi="Arial" w:cs="Arial"/>
          <w:szCs w:val="24"/>
        </w:rPr>
        <w:t>An identification of all significant material to be developed by the contractor and delivered to the State</w:t>
      </w:r>
    </w:p>
    <w:p w:rsidR="0049267E" w:rsidRPr="00B05A21" w:rsidRDefault="0049267E" w:rsidP="003E131A">
      <w:pPr>
        <w:pStyle w:val="BulletText1"/>
        <w:tabs>
          <w:tab w:val="clear" w:pos="173"/>
          <w:tab w:val="num" w:pos="374"/>
        </w:tabs>
        <w:ind w:left="374" w:hanging="374"/>
        <w:rPr>
          <w:rFonts w:ascii="Arial" w:hAnsi="Arial" w:cs="Arial"/>
          <w:szCs w:val="24"/>
        </w:rPr>
      </w:pPr>
      <w:r w:rsidRPr="00B05A21">
        <w:rPr>
          <w:rFonts w:ascii="Arial" w:hAnsi="Arial" w:cs="Arial"/>
          <w:szCs w:val="24"/>
        </w:rPr>
        <w:t>An identification of all significant materials to be delivered by the State to the contractor</w:t>
      </w:r>
    </w:p>
    <w:p w:rsidR="0049267E" w:rsidRPr="00B05A21" w:rsidRDefault="0049267E" w:rsidP="003E131A">
      <w:pPr>
        <w:pStyle w:val="BulletText1"/>
        <w:tabs>
          <w:tab w:val="clear" w:pos="173"/>
          <w:tab w:val="num" w:pos="374"/>
        </w:tabs>
        <w:ind w:left="374" w:hanging="374"/>
        <w:rPr>
          <w:rFonts w:ascii="Arial" w:hAnsi="Arial" w:cs="Arial"/>
          <w:szCs w:val="24"/>
        </w:rPr>
      </w:pPr>
      <w:r w:rsidRPr="00B05A21">
        <w:rPr>
          <w:rFonts w:ascii="Arial" w:hAnsi="Arial" w:cs="Arial"/>
          <w:szCs w:val="24"/>
        </w:rPr>
        <w:t>An estimated time schedule for the provision of these services by the contractor</w:t>
      </w:r>
    </w:p>
    <w:p w:rsidR="0049267E" w:rsidRPr="00B05A21" w:rsidRDefault="0049267E" w:rsidP="003E131A">
      <w:pPr>
        <w:pStyle w:val="BulletText1"/>
        <w:tabs>
          <w:tab w:val="clear" w:pos="173"/>
          <w:tab w:val="num" w:pos="374"/>
        </w:tabs>
        <w:ind w:left="374" w:hanging="374"/>
        <w:rPr>
          <w:rFonts w:ascii="Arial" w:hAnsi="Arial" w:cs="Arial"/>
          <w:szCs w:val="24"/>
        </w:rPr>
      </w:pPr>
      <w:r w:rsidRPr="00B05A21">
        <w:rPr>
          <w:rFonts w:ascii="Arial" w:hAnsi="Arial" w:cs="Arial"/>
          <w:szCs w:val="24"/>
        </w:rPr>
        <w:t>Completion criteria for the work to be performed</w:t>
      </w:r>
    </w:p>
    <w:p w:rsidR="0049267E" w:rsidRPr="00B05A21" w:rsidRDefault="0049267E" w:rsidP="003E131A">
      <w:pPr>
        <w:pStyle w:val="BulletText1"/>
        <w:tabs>
          <w:tab w:val="clear" w:pos="173"/>
          <w:tab w:val="num" w:pos="374"/>
        </w:tabs>
        <w:ind w:left="374" w:hanging="374"/>
        <w:rPr>
          <w:rFonts w:ascii="Arial" w:hAnsi="Arial" w:cs="Arial"/>
          <w:szCs w:val="24"/>
        </w:rPr>
      </w:pPr>
      <w:r w:rsidRPr="00B05A21">
        <w:rPr>
          <w:rFonts w:ascii="Arial" w:hAnsi="Arial" w:cs="Arial"/>
          <w:szCs w:val="24"/>
        </w:rPr>
        <w:t>An identification of maintenance that will be provided</w:t>
      </w:r>
    </w:p>
    <w:p w:rsidR="0049267E" w:rsidRPr="00B05A21" w:rsidRDefault="0049267E" w:rsidP="003E131A">
      <w:pPr>
        <w:pStyle w:val="BulletText1"/>
        <w:tabs>
          <w:tab w:val="clear" w:pos="173"/>
          <w:tab w:val="num" w:pos="374"/>
        </w:tabs>
        <w:ind w:left="374" w:hanging="374"/>
        <w:rPr>
          <w:rFonts w:ascii="Arial" w:hAnsi="Arial" w:cs="Arial"/>
          <w:szCs w:val="24"/>
        </w:rPr>
      </w:pPr>
      <w:r w:rsidRPr="00B05A21">
        <w:rPr>
          <w:rFonts w:ascii="Arial" w:hAnsi="Arial" w:cs="Arial"/>
          <w:szCs w:val="24"/>
        </w:rPr>
        <w:t>An identification of support that will be provided</w:t>
      </w:r>
    </w:p>
    <w:p w:rsidR="0049267E" w:rsidRPr="00B05A21" w:rsidRDefault="0049267E" w:rsidP="003E131A">
      <w:pPr>
        <w:pStyle w:val="BulletText1"/>
        <w:tabs>
          <w:tab w:val="clear" w:pos="173"/>
          <w:tab w:val="num" w:pos="374"/>
        </w:tabs>
        <w:ind w:left="374" w:hanging="374"/>
        <w:rPr>
          <w:rFonts w:ascii="Arial" w:hAnsi="Arial" w:cs="Arial"/>
          <w:szCs w:val="24"/>
        </w:rPr>
      </w:pPr>
      <w:r w:rsidRPr="00B05A21">
        <w:rPr>
          <w:rFonts w:ascii="Arial" w:hAnsi="Arial" w:cs="Arial"/>
          <w:szCs w:val="24"/>
        </w:rPr>
        <w:t>The name or identification of the contractor personnel to be assigned.</w:t>
      </w:r>
    </w:p>
    <w:p w:rsidR="0049267E" w:rsidRPr="00B05A21" w:rsidRDefault="0049267E" w:rsidP="003E131A">
      <w:pPr>
        <w:pStyle w:val="BulletText1"/>
        <w:tabs>
          <w:tab w:val="clear" w:pos="173"/>
          <w:tab w:val="num" w:pos="374"/>
        </w:tabs>
        <w:ind w:left="374" w:hanging="374"/>
        <w:rPr>
          <w:rFonts w:ascii="Arial" w:hAnsi="Arial" w:cs="Arial"/>
          <w:szCs w:val="24"/>
        </w:rPr>
      </w:pPr>
      <w:r w:rsidRPr="00B05A21">
        <w:rPr>
          <w:rFonts w:ascii="Arial" w:hAnsi="Arial" w:cs="Arial"/>
          <w:szCs w:val="24"/>
        </w:rPr>
        <w:t>The contractor’s work hours required to accomplish the purpose, objective or goals</w:t>
      </w:r>
    </w:p>
    <w:p w:rsidR="0049267E" w:rsidRPr="00B05A21" w:rsidRDefault="0049267E" w:rsidP="003E131A">
      <w:pPr>
        <w:pStyle w:val="BulletText1"/>
        <w:tabs>
          <w:tab w:val="clear" w:pos="173"/>
          <w:tab w:val="num" w:pos="374"/>
        </w:tabs>
        <w:ind w:left="374" w:hanging="374"/>
        <w:rPr>
          <w:rFonts w:ascii="Arial" w:hAnsi="Arial" w:cs="Arial"/>
          <w:szCs w:val="24"/>
        </w:rPr>
      </w:pPr>
      <w:r w:rsidRPr="00B05A21">
        <w:rPr>
          <w:rFonts w:ascii="Arial" w:hAnsi="Arial" w:cs="Arial"/>
          <w:szCs w:val="24"/>
        </w:rPr>
        <w:t>The contractor’s billing rates per work hour (as provided in the contract documentation)</w:t>
      </w:r>
    </w:p>
    <w:p w:rsidR="0049267E" w:rsidRPr="00B05A21" w:rsidRDefault="0049267E" w:rsidP="003E131A">
      <w:pPr>
        <w:pStyle w:val="BulletText1"/>
        <w:tabs>
          <w:tab w:val="clear" w:pos="173"/>
          <w:tab w:val="num" w:pos="374"/>
        </w:tabs>
        <w:ind w:left="374" w:hanging="374"/>
        <w:rPr>
          <w:rFonts w:ascii="Arial" w:hAnsi="Arial" w:cs="Arial"/>
          <w:szCs w:val="24"/>
        </w:rPr>
      </w:pPr>
      <w:r w:rsidRPr="00B05A21">
        <w:rPr>
          <w:rFonts w:ascii="Arial" w:hAnsi="Arial" w:cs="Arial"/>
          <w:szCs w:val="24"/>
        </w:rPr>
        <w:t>The cost per deliverable</w:t>
      </w:r>
    </w:p>
    <w:p w:rsidR="0049267E" w:rsidRPr="00B05A21" w:rsidRDefault="0049267E" w:rsidP="003E131A">
      <w:pPr>
        <w:pStyle w:val="BulletText1"/>
        <w:tabs>
          <w:tab w:val="clear" w:pos="173"/>
          <w:tab w:val="num" w:pos="374"/>
        </w:tabs>
        <w:ind w:left="374" w:hanging="374"/>
        <w:rPr>
          <w:rFonts w:ascii="Arial" w:hAnsi="Arial" w:cs="Arial"/>
          <w:szCs w:val="24"/>
        </w:rPr>
      </w:pPr>
      <w:r w:rsidRPr="00B05A21">
        <w:rPr>
          <w:rFonts w:ascii="Arial" w:hAnsi="Arial" w:cs="Arial"/>
          <w:szCs w:val="24"/>
        </w:rPr>
        <w:t>Invoice procedures</w:t>
      </w:r>
    </w:p>
    <w:p w:rsidR="0049267E" w:rsidRPr="00B05A21" w:rsidRDefault="0049267E" w:rsidP="003E131A">
      <w:pPr>
        <w:pStyle w:val="BulletText1"/>
        <w:tabs>
          <w:tab w:val="clear" w:pos="173"/>
          <w:tab w:val="num" w:pos="374"/>
        </w:tabs>
        <w:ind w:left="374" w:hanging="374"/>
        <w:rPr>
          <w:rFonts w:ascii="Arial" w:hAnsi="Arial" w:cs="Arial"/>
          <w:szCs w:val="24"/>
        </w:rPr>
      </w:pPr>
      <w:r w:rsidRPr="00B05A21">
        <w:rPr>
          <w:rFonts w:ascii="Arial" w:hAnsi="Arial" w:cs="Arial"/>
          <w:szCs w:val="24"/>
        </w:rPr>
        <w:t>Contractor’s total cost, including any applicable taxes</w:t>
      </w:r>
    </w:p>
    <w:p w:rsidR="0049267E" w:rsidRPr="00B05A21" w:rsidRDefault="0049267E" w:rsidP="003E131A">
      <w:pPr>
        <w:pStyle w:val="BulletText1"/>
        <w:tabs>
          <w:tab w:val="clear" w:pos="173"/>
          <w:tab w:val="num" w:pos="374"/>
        </w:tabs>
        <w:ind w:left="374" w:hanging="374"/>
        <w:rPr>
          <w:rFonts w:ascii="Arial" w:hAnsi="Arial" w:cs="Arial"/>
          <w:szCs w:val="24"/>
        </w:rPr>
      </w:pPr>
      <w:r w:rsidRPr="00B05A21">
        <w:rPr>
          <w:rFonts w:ascii="Arial" w:hAnsi="Arial" w:cs="Arial"/>
          <w:szCs w:val="24"/>
        </w:rPr>
        <w:t>Product specifications</w:t>
      </w:r>
    </w:p>
    <w:p w:rsidR="0049267E" w:rsidRPr="00B05A21" w:rsidRDefault="0049267E" w:rsidP="003E131A">
      <w:pPr>
        <w:pStyle w:val="BulletText1"/>
        <w:tabs>
          <w:tab w:val="clear" w:pos="173"/>
          <w:tab w:val="num" w:pos="374"/>
        </w:tabs>
        <w:ind w:left="374" w:hanging="374"/>
        <w:rPr>
          <w:rFonts w:ascii="Arial" w:hAnsi="Arial" w:cs="Arial"/>
          <w:szCs w:val="24"/>
        </w:rPr>
      </w:pPr>
      <w:r w:rsidRPr="00B05A21">
        <w:rPr>
          <w:rFonts w:ascii="Arial" w:hAnsi="Arial" w:cs="Arial"/>
          <w:szCs w:val="24"/>
        </w:rPr>
        <w:t>Description of when and where product is to be delivered</w:t>
      </w:r>
    </w:p>
    <w:p w:rsidR="0049267E" w:rsidRPr="00B05A21" w:rsidRDefault="0049267E" w:rsidP="003E131A">
      <w:pPr>
        <w:pStyle w:val="BulletText1"/>
        <w:tabs>
          <w:tab w:val="clear" w:pos="173"/>
          <w:tab w:val="num" w:pos="374"/>
        </w:tabs>
        <w:ind w:left="374" w:hanging="374"/>
        <w:rPr>
          <w:rFonts w:ascii="Arial" w:hAnsi="Arial" w:cs="Arial"/>
          <w:szCs w:val="24"/>
        </w:rPr>
      </w:pPr>
      <w:r w:rsidRPr="00B05A21">
        <w:rPr>
          <w:rFonts w:ascii="Arial" w:hAnsi="Arial" w:cs="Arial"/>
          <w:szCs w:val="24"/>
        </w:rPr>
        <w:t>Palletization requirements</w:t>
      </w:r>
    </w:p>
    <w:p w:rsidR="0049267E" w:rsidRPr="00B05A21" w:rsidRDefault="0049267E" w:rsidP="003E131A">
      <w:pPr>
        <w:pStyle w:val="BulletText1"/>
        <w:tabs>
          <w:tab w:val="clear" w:pos="173"/>
          <w:tab w:val="num" w:pos="374"/>
        </w:tabs>
        <w:ind w:left="374" w:hanging="374"/>
        <w:rPr>
          <w:rFonts w:ascii="Arial" w:hAnsi="Arial" w:cs="Arial"/>
          <w:szCs w:val="24"/>
        </w:rPr>
      </w:pPr>
      <w:r w:rsidRPr="00B05A21">
        <w:rPr>
          <w:rFonts w:ascii="Arial" w:hAnsi="Arial" w:cs="Arial"/>
          <w:szCs w:val="24"/>
        </w:rPr>
        <w:t>Delivery personnel requirements</w:t>
      </w:r>
    </w:p>
    <w:p w:rsidR="000E54FF" w:rsidRPr="00B05A21" w:rsidRDefault="000E54FF" w:rsidP="00CC19E9">
      <w:pPr>
        <w:pStyle w:val="BlockLine"/>
        <w:rPr>
          <w:rFonts w:ascii="Arial" w:hAnsi="Arial" w:cs="Arial"/>
          <w:szCs w:val="24"/>
        </w:rPr>
      </w:pPr>
    </w:p>
    <w:p w:rsidR="0049267E" w:rsidRPr="00B05A21" w:rsidRDefault="0049267E" w:rsidP="0049267E">
      <w:pPr>
        <w:pStyle w:val="Heading3"/>
        <w:spacing w:after="120"/>
        <w:jc w:val="left"/>
        <w:rPr>
          <w:rFonts w:cs="Arial"/>
          <w:bCs/>
          <w:sz w:val="24"/>
          <w:szCs w:val="24"/>
          <w:highlight w:val="yellow"/>
        </w:rPr>
      </w:pPr>
      <w:bookmarkStart w:id="178" w:name="_Topic_5_–_Understanding_Information"/>
      <w:bookmarkStart w:id="179" w:name="_Topic_6_–_Requirements_Specific_to__1"/>
      <w:bookmarkStart w:id="180" w:name="_Topic_6_–_Requirements_Specific_to_"/>
      <w:bookmarkStart w:id="181" w:name="_Toc12885982"/>
      <w:bookmarkStart w:id="182" w:name="_Toc83450119"/>
      <w:bookmarkStart w:id="183" w:name="_Toc116951947"/>
      <w:bookmarkEnd w:id="165"/>
      <w:bookmarkEnd w:id="166"/>
      <w:bookmarkEnd w:id="178"/>
      <w:bookmarkEnd w:id="179"/>
      <w:bookmarkEnd w:id="180"/>
      <w:r w:rsidRPr="00B05A21">
        <w:rPr>
          <w:rFonts w:cs="Arial"/>
          <w:bCs/>
          <w:sz w:val="24"/>
          <w:szCs w:val="24"/>
        </w:rPr>
        <w:t xml:space="preserve">2.B5.2   Additional Considerations for Cloud Computing </w:t>
      </w:r>
      <w:bookmarkEnd w:id="181"/>
    </w:p>
    <w:p w:rsidR="0049267E" w:rsidRPr="00B05A21" w:rsidRDefault="0049267E" w:rsidP="00A77A22">
      <w:pPr>
        <w:rPr>
          <w:rFonts w:ascii="Arial" w:hAnsi="Arial" w:cs="Arial"/>
        </w:rPr>
      </w:pPr>
      <w:r w:rsidRPr="00B05A21">
        <w:rPr>
          <w:rFonts w:ascii="Arial" w:hAnsi="Arial" w:cs="Arial"/>
        </w:rPr>
        <w:t xml:space="preserve">Additional considerations must be provided for when acquiring Cloud Computing services. Guidance has been developed to assist with identifying service level expectations and writing the SOW.  You can access the Cloud Computing Contract Checklist for (SaaS) document </w:t>
      </w:r>
      <w:hyperlink r:id="rId25" w:history="1">
        <w:r w:rsidRPr="00B05A21">
          <w:rPr>
            <w:rStyle w:val="Hyperlink"/>
            <w:rFonts w:ascii="Arial" w:hAnsi="Arial" w:cs="Arial"/>
          </w:rPr>
          <w:t>here</w:t>
        </w:r>
      </w:hyperlink>
      <w:r w:rsidRPr="00B05A21">
        <w:rPr>
          <w:rFonts w:ascii="Arial" w:hAnsi="Arial" w:cs="Arial"/>
        </w:rPr>
        <w:t>.</w:t>
      </w:r>
    </w:p>
    <w:p w:rsidR="0049267E" w:rsidRPr="00B05A21" w:rsidRDefault="0049267E" w:rsidP="00A77A22">
      <w:pPr>
        <w:rPr>
          <w:rFonts w:ascii="Arial" w:hAnsi="Arial" w:cs="Arial"/>
        </w:rPr>
      </w:pPr>
    </w:p>
    <w:p w:rsidR="0049267E" w:rsidRPr="00B05A21" w:rsidRDefault="0049267E" w:rsidP="00A77A22">
      <w:pPr>
        <w:rPr>
          <w:rFonts w:ascii="Arial" w:hAnsi="Arial" w:cs="Arial"/>
          <w:highlight w:val="yellow"/>
        </w:rPr>
      </w:pPr>
      <w:r w:rsidRPr="00B05A21">
        <w:rPr>
          <w:rFonts w:ascii="Arial" w:hAnsi="Arial" w:cs="Arial"/>
        </w:rPr>
        <w:t xml:space="preserve">For additional tools and information, refer to the </w:t>
      </w:r>
      <w:hyperlink r:id="rId26" w:history="1">
        <w:r w:rsidRPr="00B05A21">
          <w:rPr>
            <w:rStyle w:val="Hyperlink"/>
            <w:rFonts w:ascii="Arial" w:hAnsi="Arial" w:cs="Arial"/>
          </w:rPr>
          <w:t>DGS/PD Cloud Computing webpage.</w:t>
        </w:r>
      </w:hyperlink>
    </w:p>
    <w:p w:rsidR="00A77A22" w:rsidRPr="00B05A21" w:rsidRDefault="00A77A22" w:rsidP="00A77A22">
      <w:pPr>
        <w:pStyle w:val="BlockLine"/>
        <w:tabs>
          <w:tab w:val="left" w:pos="2655"/>
        </w:tabs>
        <w:rPr>
          <w:rFonts w:ascii="Arial" w:hAnsi="Arial" w:cs="Arial"/>
          <w:szCs w:val="24"/>
        </w:rPr>
      </w:pPr>
      <w:r w:rsidRPr="00B05A21">
        <w:rPr>
          <w:rFonts w:ascii="Arial" w:hAnsi="Arial" w:cs="Arial"/>
          <w:szCs w:val="24"/>
        </w:rPr>
        <w:tab/>
      </w:r>
    </w:p>
    <w:p w:rsidR="0098137A" w:rsidRPr="003551BF" w:rsidRDefault="007E3A71" w:rsidP="00E83816">
      <w:pPr>
        <w:pStyle w:val="Heading2"/>
        <w:spacing w:after="120"/>
        <w:jc w:val="left"/>
        <w:rPr>
          <w:rFonts w:cs="Arial"/>
          <w:bCs/>
          <w:szCs w:val="32"/>
        </w:rPr>
      </w:pPr>
      <w:r w:rsidRPr="00B05A21">
        <w:rPr>
          <w:rFonts w:cs="Arial"/>
          <w:bCs/>
          <w:sz w:val="24"/>
          <w:szCs w:val="24"/>
        </w:rPr>
        <w:br w:type="page"/>
      </w:r>
      <w:bookmarkStart w:id="184" w:name="_Toc12885983"/>
      <w:r w:rsidR="0098137A" w:rsidRPr="003551BF">
        <w:rPr>
          <w:rFonts w:cs="Arial"/>
          <w:bCs/>
          <w:szCs w:val="32"/>
        </w:rPr>
        <w:lastRenderedPageBreak/>
        <w:t>Topic 6 – Requirements Specific to IT Goods and</w:t>
      </w:r>
      <w:r w:rsidR="002142CA" w:rsidRPr="003551BF">
        <w:rPr>
          <w:rFonts w:cs="Arial"/>
          <w:bCs/>
          <w:szCs w:val="32"/>
        </w:rPr>
        <w:t>/or</w:t>
      </w:r>
      <w:r w:rsidR="0098137A" w:rsidRPr="003551BF">
        <w:rPr>
          <w:rFonts w:cs="Arial"/>
          <w:bCs/>
          <w:szCs w:val="32"/>
        </w:rPr>
        <w:t xml:space="preserve"> Services</w:t>
      </w:r>
      <w:bookmarkEnd w:id="182"/>
      <w:bookmarkEnd w:id="183"/>
      <w:bookmarkEnd w:id="184"/>
    </w:p>
    <w:p w:rsidR="003E131A" w:rsidRPr="00B05A21" w:rsidRDefault="003E131A" w:rsidP="003E131A">
      <w:pPr>
        <w:pStyle w:val="BlockLine"/>
        <w:tabs>
          <w:tab w:val="left" w:pos="2655"/>
        </w:tabs>
        <w:rPr>
          <w:rFonts w:ascii="Arial" w:hAnsi="Arial" w:cs="Arial"/>
          <w:szCs w:val="24"/>
        </w:rPr>
      </w:pPr>
      <w:r w:rsidRPr="00B05A21">
        <w:rPr>
          <w:rFonts w:ascii="Arial" w:hAnsi="Arial" w:cs="Arial"/>
          <w:szCs w:val="24"/>
        </w:rPr>
        <w:tab/>
      </w:r>
    </w:p>
    <w:p w:rsidR="00E83816" w:rsidRPr="00B05A21" w:rsidRDefault="00E83816" w:rsidP="00E83816">
      <w:pPr>
        <w:pStyle w:val="Heading3"/>
        <w:spacing w:after="120"/>
        <w:jc w:val="left"/>
        <w:rPr>
          <w:rFonts w:cs="Arial"/>
          <w:bCs/>
          <w:sz w:val="24"/>
          <w:szCs w:val="24"/>
        </w:rPr>
      </w:pPr>
      <w:bookmarkStart w:id="185" w:name="_Toc12885984"/>
      <w:r w:rsidRPr="00B05A21">
        <w:rPr>
          <w:rFonts w:cs="Arial"/>
          <w:bCs/>
          <w:sz w:val="24"/>
          <w:szCs w:val="24"/>
        </w:rPr>
        <w:t>2.B6.0   New equipment</w:t>
      </w:r>
      <w:bookmarkEnd w:id="185"/>
    </w:p>
    <w:p w:rsidR="00E83816" w:rsidRPr="00B05A21" w:rsidRDefault="00E83816" w:rsidP="003E131A">
      <w:pPr>
        <w:pStyle w:val="content"/>
        <w:spacing w:before="0" w:beforeAutospacing="0" w:after="0" w:afterAutospacing="0"/>
        <w:rPr>
          <w:sz w:val="24"/>
          <w:szCs w:val="24"/>
        </w:rPr>
      </w:pPr>
      <w:r w:rsidRPr="00B05A21">
        <w:rPr>
          <w:sz w:val="24"/>
          <w:szCs w:val="24"/>
        </w:rPr>
        <w:t xml:space="preserve">The State will procure new information technology equipment.  All equipment must be new and the latest model in current production.  Used, shopworn, demonstrator, prototype, or discontinued models are not acceptable. </w:t>
      </w:r>
    </w:p>
    <w:p w:rsidR="00E83816" w:rsidRPr="00B05A21" w:rsidRDefault="00E83816" w:rsidP="003E131A">
      <w:pPr>
        <w:pStyle w:val="content"/>
        <w:spacing w:before="0" w:beforeAutospacing="0" w:after="0" w:afterAutospacing="0"/>
        <w:rPr>
          <w:sz w:val="24"/>
          <w:szCs w:val="24"/>
        </w:rPr>
      </w:pPr>
    </w:p>
    <w:p w:rsidR="00E83816" w:rsidRPr="00B05A21" w:rsidRDefault="00E83816" w:rsidP="003E131A">
      <w:pPr>
        <w:rPr>
          <w:rFonts w:ascii="Arial" w:hAnsi="Arial" w:cs="Arial"/>
        </w:rPr>
      </w:pPr>
      <w:r w:rsidRPr="00B05A21">
        <w:rPr>
          <w:rFonts w:ascii="Arial" w:hAnsi="Arial" w:cs="Arial"/>
        </w:rPr>
        <w:t>Equipment owned by a State department that is transferred or sold to another State department is exempt from this requirement.  However, such transfers must be conducted in accordance with the rules for disposal of IT equipment and all rules applicable to developing a new or enhanced information technology capability.</w:t>
      </w:r>
    </w:p>
    <w:p w:rsidR="00E83816" w:rsidRPr="00B05A21" w:rsidRDefault="00E83816" w:rsidP="003E131A">
      <w:pPr>
        <w:rPr>
          <w:rFonts w:ascii="Arial" w:hAnsi="Arial" w:cs="Arial"/>
        </w:rPr>
      </w:pPr>
    </w:p>
    <w:p w:rsidR="00E83816" w:rsidRPr="00B05A21" w:rsidRDefault="00E83816" w:rsidP="003E131A">
      <w:pPr>
        <w:pStyle w:val="content"/>
        <w:spacing w:before="0" w:beforeAutospacing="0" w:after="0" w:afterAutospacing="0"/>
        <w:rPr>
          <w:sz w:val="24"/>
          <w:szCs w:val="24"/>
        </w:rPr>
      </w:pPr>
      <w:r w:rsidRPr="00B05A21">
        <w:rPr>
          <w:sz w:val="24"/>
          <w:szCs w:val="24"/>
        </w:rPr>
        <w:t>Exceptions may be considered for equipment that marginally extends an existing production operation and for which no equivalent new equipment is available.  Exceptions will not normally be approved for development or acquisition of a new capability, for enhancement of an existing capability, or for system replacement or upgrade. Requests for exceptions must be fully justified and in the State's long-term best interest.  Requests for exceptions must be submitted in writing to the California Department of Technology (CDT).  Written approval of an exception must be received CDT prior to release of any solicitation document and kept in the procurement file.</w:t>
      </w:r>
    </w:p>
    <w:p w:rsidR="00E83816" w:rsidRPr="00B05A21" w:rsidRDefault="00E83816" w:rsidP="003E131A">
      <w:pPr>
        <w:pStyle w:val="BlockText"/>
        <w:rPr>
          <w:rFonts w:ascii="Arial" w:hAnsi="Arial" w:cs="Arial"/>
        </w:rPr>
      </w:pPr>
    </w:p>
    <w:p w:rsidR="00E83816" w:rsidRPr="00B05A21" w:rsidRDefault="00E83816" w:rsidP="00114565">
      <w:pPr>
        <w:rPr>
          <w:rFonts w:ascii="Arial" w:hAnsi="Arial" w:cs="Arial"/>
        </w:rPr>
      </w:pPr>
      <w:r w:rsidRPr="00B05A21">
        <w:rPr>
          <w:rFonts w:ascii="Arial" w:hAnsi="Arial" w:cs="Arial"/>
        </w:rPr>
        <w:t xml:space="preserve">If the purchase is for equipment that contains used parts, the equipment may be obtained without CDT approval if the supplier certifies or warrants in writing the equipment as new.  This condition must be documented in the purchase document and supporting documentation retained within the procurement file. </w:t>
      </w:r>
    </w:p>
    <w:p w:rsidR="00B618D4" w:rsidRPr="00B05A21" w:rsidRDefault="00B618D4" w:rsidP="00B618D4">
      <w:pPr>
        <w:pStyle w:val="BlockLine"/>
        <w:rPr>
          <w:rFonts w:ascii="Arial" w:hAnsi="Arial" w:cs="Arial"/>
          <w:szCs w:val="24"/>
        </w:rPr>
      </w:pPr>
    </w:p>
    <w:p w:rsidR="003F5132" w:rsidRPr="00B05A21" w:rsidRDefault="003F5132" w:rsidP="003F5132">
      <w:pPr>
        <w:pStyle w:val="Heading3"/>
        <w:spacing w:after="120"/>
        <w:jc w:val="left"/>
        <w:rPr>
          <w:rFonts w:cs="Arial"/>
          <w:bCs/>
          <w:sz w:val="24"/>
          <w:szCs w:val="24"/>
        </w:rPr>
      </w:pPr>
      <w:bookmarkStart w:id="186" w:name="_Toc12885985"/>
      <w:r w:rsidRPr="00B05A21">
        <w:rPr>
          <w:rFonts w:cs="Arial"/>
          <w:bCs/>
          <w:sz w:val="24"/>
          <w:szCs w:val="24"/>
        </w:rPr>
        <w:t>2.B6.1   Low power office computing policy</w:t>
      </w:r>
      <w:bookmarkEnd w:id="186"/>
    </w:p>
    <w:p w:rsidR="003F5132" w:rsidRPr="00B05A21" w:rsidRDefault="003F5132" w:rsidP="007F7A59">
      <w:pPr>
        <w:pStyle w:val="BulletText1"/>
        <w:numPr>
          <w:ilvl w:val="0"/>
          <w:numId w:val="0"/>
        </w:numPr>
        <w:rPr>
          <w:rFonts w:ascii="Arial" w:hAnsi="Arial" w:cs="Arial"/>
          <w:szCs w:val="24"/>
        </w:rPr>
      </w:pPr>
      <w:r w:rsidRPr="00B05A21">
        <w:rPr>
          <w:rFonts w:ascii="Arial" w:hAnsi="Arial" w:cs="Arial"/>
          <w:color w:val="000000"/>
          <w:szCs w:val="24"/>
        </w:rPr>
        <w:t xml:space="preserve">When purchasing IT equipment, departments shall follow the Low Power Office Computing policy outlined in IT Policy Letter (ITPL)10-04.  Click here to access ITPL </w:t>
      </w:r>
      <w:hyperlink r:id="rId27" w:tooltip="http://www.cio.ca.gov/Government/IT_Policy/ITPL.html" w:history="1">
        <w:r w:rsidRPr="00B05A21">
          <w:rPr>
            <w:rStyle w:val="Hyperlink"/>
            <w:rFonts w:ascii="Arial" w:hAnsi="Arial" w:cs="Arial"/>
            <w:szCs w:val="24"/>
          </w:rPr>
          <w:t>10-04</w:t>
        </w:r>
      </w:hyperlink>
      <w:r w:rsidR="001F6345">
        <w:rPr>
          <w:rFonts w:ascii="Arial" w:hAnsi="Arial" w:cs="Arial"/>
          <w:color w:val="000000"/>
          <w:szCs w:val="24"/>
        </w:rPr>
        <w:t>.</w:t>
      </w:r>
    </w:p>
    <w:p w:rsidR="003E131A" w:rsidRPr="00B05A21" w:rsidRDefault="003E131A" w:rsidP="003E131A">
      <w:pPr>
        <w:pStyle w:val="BlockLine"/>
        <w:tabs>
          <w:tab w:val="left" w:pos="2655"/>
        </w:tabs>
        <w:rPr>
          <w:rFonts w:ascii="Arial" w:hAnsi="Arial" w:cs="Arial"/>
          <w:szCs w:val="24"/>
        </w:rPr>
      </w:pPr>
    </w:p>
    <w:p w:rsidR="003F5132" w:rsidRPr="00B05A21" w:rsidRDefault="003F5132" w:rsidP="003F5132">
      <w:pPr>
        <w:pStyle w:val="Heading3"/>
        <w:spacing w:after="120"/>
        <w:jc w:val="left"/>
        <w:rPr>
          <w:rFonts w:cs="Arial"/>
          <w:bCs/>
          <w:sz w:val="24"/>
          <w:szCs w:val="24"/>
        </w:rPr>
      </w:pPr>
      <w:bookmarkStart w:id="187" w:name="_Toc12885986"/>
      <w:r w:rsidRPr="00B05A21">
        <w:rPr>
          <w:rFonts w:cs="Arial"/>
          <w:bCs/>
          <w:sz w:val="24"/>
          <w:szCs w:val="24"/>
        </w:rPr>
        <w:t>2.B6.2   Productive use requirements</w:t>
      </w:r>
      <w:bookmarkEnd w:id="187"/>
    </w:p>
    <w:p w:rsidR="003F5132" w:rsidRPr="00B05A21" w:rsidRDefault="003F5132" w:rsidP="003E131A">
      <w:pPr>
        <w:spacing w:after="100" w:afterAutospacing="1"/>
        <w:rPr>
          <w:rFonts w:ascii="Arial" w:hAnsi="Arial" w:cs="Arial"/>
          <w:color w:val="000000"/>
        </w:rPr>
      </w:pPr>
      <w:r w:rsidRPr="00B05A21">
        <w:rPr>
          <w:rFonts w:ascii="Arial" w:hAnsi="Arial" w:cs="Arial"/>
          <w:color w:val="000000"/>
        </w:rPr>
        <w:t>Successful operation of a State program frequently depends upon reliable operation of IT equipment or software.  Failure of procured IT products may result in loss of revenue, unnecessary expenditure of funds, idling of State personnel or interruption of services to program recipients.</w:t>
      </w:r>
    </w:p>
    <w:p w:rsidR="003F5132" w:rsidRPr="00B05A21" w:rsidRDefault="003F5132" w:rsidP="003E131A">
      <w:pPr>
        <w:spacing w:before="100" w:beforeAutospacing="1" w:after="100" w:afterAutospacing="1"/>
        <w:rPr>
          <w:rFonts w:ascii="Arial" w:hAnsi="Arial" w:cs="Arial"/>
          <w:color w:val="000000"/>
        </w:rPr>
      </w:pPr>
      <w:r w:rsidRPr="00B05A21">
        <w:rPr>
          <w:rFonts w:ascii="Arial" w:hAnsi="Arial" w:cs="Arial"/>
          <w:color w:val="000000"/>
        </w:rPr>
        <w:t>These Productive Use Requirements are intended to</w:t>
      </w:r>
      <w:r w:rsidR="00A864AB" w:rsidRPr="00B05A21">
        <w:rPr>
          <w:rFonts w:ascii="Arial" w:hAnsi="Arial" w:cs="Arial"/>
          <w:color w:val="000000"/>
        </w:rPr>
        <w:t>: (</w:t>
      </w:r>
      <w:r w:rsidRPr="00B05A21">
        <w:rPr>
          <w:rFonts w:ascii="Arial" w:hAnsi="Arial" w:cs="Arial"/>
          <w:color w:val="000000"/>
        </w:rPr>
        <w:t>1) minimize risk of failure of a procured product; and (2) protect the State from procuring equipment or software that has no record of proven performance.  The requirements pertain to all procurements for IT goods.</w:t>
      </w:r>
    </w:p>
    <w:p w:rsidR="003F5132" w:rsidRPr="00B05A21" w:rsidRDefault="003F5132" w:rsidP="003E131A">
      <w:pPr>
        <w:pStyle w:val="content"/>
        <w:rPr>
          <w:rFonts w:eastAsia="Times New Roman"/>
          <w:sz w:val="24"/>
          <w:szCs w:val="24"/>
        </w:rPr>
      </w:pPr>
      <w:r w:rsidRPr="00B05A21">
        <w:rPr>
          <w:rFonts w:eastAsia="Times New Roman"/>
          <w:sz w:val="24"/>
          <w:szCs w:val="24"/>
        </w:rPr>
        <w:t>Model language for inclusion in solicitation documents regarding Productive Use Requirements is provided in the IFB/RFP solicitation format.</w:t>
      </w:r>
    </w:p>
    <w:p w:rsidR="003F5132" w:rsidRPr="00B05A21" w:rsidRDefault="003F5132" w:rsidP="003E131A">
      <w:pPr>
        <w:pStyle w:val="content"/>
        <w:rPr>
          <w:rFonts w:eastAsia="Times New Roman"/>
          <w:sz w:val="24"/>
          <w:szCs w:val="24"/>
        </w:rPr>
      </w:pPr>
      <w:r w:rsidRPr="00B05A21">
        <w:rPr>
          <w:sz w:val="24"/>
          <w:szCs w:val="24"/>
        </w:rPr>
        <w:lastRenderedPageBreak/>
        <w:t xml:space="preserve">Click here to access the </w:t>
      </w:r>
      <w:hyperlink r:id="rId28" w:history="1">
        <w:r w:rsidRPr="00B05A21">
          <w:rPr>
            <w:rStyle w:val="Hyperlink"/>
            <w:sz w:val="24"/>
            <w:szCs w:val="24"/>
          </w:rPr>
          <w:t>IFB/RFP solicitation format</w:t>
        </w:r>
      </w:hyperlink>
      <w:r w:rsidRPr="00B05A21">
        <w:rPr>
          <w:sz w:val="24"/>
          <w:szCs w:val="24"/>
        </w:rPr>
        <w:t>.</w:t>
      </w:r>
    </w:p>
    <w:p w:rsidR="003E131A" w:rsidRPr="00B05A21" w:rsidRDefault="003E131A" w:rsidP="003E131A">
      <w:pPr>
        <w:pStyle w:val="BlockLine"/>
        <w:tabs>
          <w:tab w:val="left" w:pos="2655"/>
        </w:tabs>
        <w:rPr>
          <w:rFonts w:ascii="Arial" w:hAnsi="Arial" w:cs="Arial"/>
          <w:szCs w:val="24"/>
        </w:rPr>
      </w:pPr>
      <w:r w:rsidRPr="00B05A21">
        <w:rPr>
          <w:rFonts w:ascii="Arial" w:hAnsi="Arial" w:cs="Arial"/>
          <w:szCs w:val="24"/>
        </w:rPr>
        <w:tab/>
      </w:r>
    </w:p>
    <w:p w:rsidR="003C70CA" w:rsidRPr="00B05A21" w:rsidRDefault="003C70CA" w:rsidP="003C70CA">
      <w:pPr>
        <w:pStyle w:val="Heading3"/>
        <w:spacing w:after="120"/>
        <w:jc w:val="left"/>
        <w:rPr>
          <w:rFonts w:cs="Arial"/>
          <w:bCs/>
          <w:sz w:val="24"/>
          <w:szCs w:val="24"/>
        </w:rPr>
      </w:pPr>
      <w:bookmarkStart w:id="188" w:name="_Toc12885987"/>
      <w:r w:rsidRPr="00B05A21">
        <w:rPr>
          <w:rFonts w:cs="Arial"/>
          <w:bCs/>
          <w:sz w:val="24"/>
          <w:szCs w:val="24"/>
        </w:rPr>
        <w:t>2.B6.3   Consulting services in feasibility studies and other IT procurements</w:t>
      </w:r>
      <w:bookmarkEnd w:id="188"/>
    </w:p>
    <w:p w:rsidR="003C70CA" w:rsidRPr="00B05A21" w:rsidRDefault="003C70CA" w:rsidP="003E131A">
      <w:pPr>
        <w:rPr>
          <w:rFonts w:ascii="Arial" w:hAnsi="Arial" w:cs="Arial"/>
          <w:color w:val="000000"/>
        </w:rPr>
      </w:pPr>
      <w:r w:rsidRPr="00B05A21">
        <w:rPr>
          <w:rFonts w:ascii="Arial" w:hAnsi="Arial" w:cs="Arial"/>
          <w:color w:val="000000"/>
        </w:rPr>
        <w:t>Occasionally, the State contracts with consultants to assist in the preparation of feasibility studies and/or to make recommendations for the acquisition IT goods and/or services.  It is the State's intention that such consultant assistance and all ensuing recommendations be based on objective, unbiased analyses of the relevant facts.</w:t>
      </w:r>
    </w:p>
    <w:p w:rsidR="003C70CA" w:rsidRPr="00B05A21" w:rsidRDefault="003C70CA" w:rsidP="003E131A">
      <w:pPr>
        <w:rPr>
          <w:rFonts w:ascii="Arial" w:hAnsi="Arial" w:cs="Arial"/>
          <w:color w:val="000000"/>
        </w:rPr>
      </w:pPr>
    </w:p>
    <w:p w:rsidR="003C70CA" w:rsidRPr="00B05A21" w:rsidRDefault="003C70CA" w:rsidP="003E131A">
      <w:pPr>
        <w:rPr>
          <w:rFonts w:ascii="Arial" w:hAnsi="Arial" w:cs="Arial"/>
          <w:color w:val="000000"/>
        </w:rPr>
      </w:pPr>
      <w:r w:rsidRPr="00B05A21">
        <w:rPr>
          <w:rFonts w:ascii="Arial" w:hAnsi="Arial" w:cs="Arial"/>
          <w:color w:val="000000"/>
        </w:rPr>
        <w:t>PCC section 10365.5 states, "No person, firm, or subsidiary thereof who has been awarded a consulting services contract may submit a bid for, nor be awarded a contract for, the provision of services, procurement of goods or supplies, or any other related action which is required, suggested, or otherwise deemed appropriate in the end product of the consulting services contract."  SCM Vol. 1, defines the term "consulting services" with respect to State contracts.</w:t>
      </w:r>
    </w:p>
    <w:p w:rsidR="003C70CA" w:rsidRPr="00B05A21" w:rsidRDefault="003C70CA" w:rsidP="003E131A">
      <w:pPr>
        <w:rPr>
          <w:rFonts w:ascii="Arial" w:hAnsi="Arial" w:cs="Arial"/>
          <w:color w:val="000000"/>
        </w:rPr>
      </w:pPr>
    </w:p>
    <w:p w:rsidR="003C70CA" w:rsidRPr="00B05A21" w:rsidRDefault="003C70CA" w:rsidP="003E131A">
      <w:pPr>
        <w:rPr>
          <w:rFonts w:ascii="Arial" w:hAnsi="Arial" w:cs="Arial"/>
          <w:color w:val="000000"/>
        </w:rPr>
      </w:pPr>
      <w:r w:rsidRPr="00B05A21">
        <w:rPr>
          <w:rFonts w:ascii="Arial" w:hAnsi="Arial" w:cs="Arial"/>
          <w:color w:val="000000"/>
        </w:rPr>
        <w:t>The requirements of PCC section 10365.5 and this section are applicable to any IT contract that includes a consulting component as articulated in PCC section 10430 (b)(1).</w:t>
      </w:r>
    </w:p>
    <w:p w:rsidR="003C70CA" w:rsidRPr="00B05A21" w:rsidRDefault="003C70CA" w:rsidP="003E131A">
      <w:pPr>
        <w:rPr>
          <w:rFonts w:ascii="Arial" w:hAnsi="Arial" w:cs="Arial"/>
          <w:color w:val="000000"/>
        </w:rPr>
      </w:pPr>
    </w:p>
    <w:p w:rsidR="003C70CA" w:rsidRPr="00B05A21" w:rsidRDefault="003C70CA" w:rsidP="003E131A">
      <w:pPr>
        <w:rPr>
          <w:rFonts w:ascii="Arial" w:hAnsi="Arial" w:cs="Arial"/>
        </w:rPr>
      </w:pPr>
      <w:r w:rsidRPr="00B05A21">
        <w:rPr>
          <w:rFonts w:ascii="Arial" w:hAnsi="Arial" w:cs="Arial"/>
        </w:rPr>
        <w:t>All IT solicitation documents that include a consulting component must include the language contained in 2.B6.4 and 2.B6.8 of this section.  Amendments to contracts that incorporate a consulting component that was not part of the original solicitation document must also contain this language.  A reference to these sections is not sufficient.  The actual language should be reproduced and included in the solicitation document.</w:t>
      </w:r>
    </w:p>
    <w:p w:rsidR="003C70CA" w:rsidRPr="00B05A21" w:rsidRDefault="003C70CA" w:rsidP="003E131A">
      <w:pPr>
        <w:rPr>
          <w:rFonts w:ascii="Arial" w:hAnsi="Arial" w:cs="Arial"/>
        </w:rPr>
      </w:pPr>
    </w:p>
    <w:p w:rsidR="003C70CA" w:rsidRPr="00B05A21" w:rsidRDefault="003C70CA" w:rsidP="003E131A">
      <w:pPr>
        <w:rPr>
          <w:rFonts w:ascii="Arial" w:hAnsi="Arial" w:cs="Arial"/>
          <w:color w:val="000000"/>
        </w:rPr>
      </w:pPr>
      <w:r w:rsidRPr="00B05A21">
        <w:rPr>
          <w:rFonts w:ascii="Arial" w:hAnsi="Arial" w:cs="Arial"/>
          <w:color w:val="000000"/>
        </w:rPr>
        <w:t>In addition, should a consultant establish or become aware of such a financial interest during the course of contract performance, the consultant must inform the State in writing within 10 working days.  If, in the State's judgment, the newly-established financial interest will jeopardize the objectivity of the recommendations, the State shall have the option of terminating the contract.</w:t>
      </w:r>
    </w:p>
    <w:p w:rsidR="003C70CA" w:rsidRPr="00B05A21" w:rsidRDefault="003C70CA" w:rsidP="003E131A">
      <w:pPr>
        <w:rPr>
          <w:rFonts w:ascii="Arial" w:hAnsi="Arial" w:cs="Arial"/>
          <w:color w:val="000000"/>
        </w:rPr>
      </w:pPr>
    </w:p>
    <w:p w:rsidR="003C70CA" w:rsidRPr="00B05A21" w:rsidRDefault="003C70CA" w:rsidP="003E131A">
      <w:pPr>
        <w:rPr>
          <w:rFonts w:ascii="Arial" w:hAnsi="Arial" w:cs="Arial"/>
          <w:color w:val="000000"/>
        </w:rPr>
      </w:pPr>
      <w:r w:rsidRPr="00B05A21">
        <w:rPr>
          <w:rFonts w:ascii="Arial" w:hAnsi="Arial" w:cs="Arial"/>
        </w:rPr>
        <w:t xml:space="preserve">Failure to disclose a relevant financial interest on the part of a consultant will be deemed grounds for termination of the contract with all associated costs to be </w:t>
      </w:r>
      <w:r w:rsidR="00A864AB" w:rsidRPr="00B05A21">
        <w:rPr>
          <w:rFonts w:ascii="Arial" w:hAnsi="Arial" w:cs="Arial"/>
        </w:rPr>
        <w:t>borne</w:t>
      </w:r>
      <w:r w:rsidRPr="00B05A21">
        <w:rPr>
          <w:rFonts w:ascii="Arial" w:hAnsi="Arial" w:cs="Arial"/>
        </w:rPr>
        <w:t xml:space="preserve"> by the consultant and, in addition, the consultant may be excluded from participating in the state's bid processes for a period of up to 36 months in accordance with PCC section 12102(j).</w:t>
      </w:r>
    </w:p>
    <w:p w:rsidR="003E131A" w:rsidRPr="00B05A21" w:rsidRDefault="003E131A" w:rsidP="003E131A">
      <w:pPr>
        <w:pStyle w:val="BlockLine"/>
        <w:tabs>
          <w:tab w:val="left" w:pos="2655"/>
        </w:tabs>
        <w:rPr>
          <w:rFonts w:ascii="Arial" w:hAnsi="Arial" w:cs="Arial"/>
          <w:szCs w:val="24"/>
        </w:rPr>
      </w:pPr>
      <w:r w:rsidRPr="00B05A21">
        <w:rPr>
          <w:rFonts w:ascii="Arial" w:hAnsi="Arial" w:cs="Arial"/>
          <w:szCs w:val="24"/>
        </w:rPr>
        <w:tab/>
      </w:r>
    </w:p>
    <w:p w:rsidR="00C55792" w:rsidRPr="00B05A21" w:rsidRDefault="00C55792" w:rsidP="00254884">
      <w:pPr>
        <w:pStyle w:val="Heading3"/>
        <w:spacing w:after="120"/>
        <w:jc w:val="left"/>
        <w:rPr>
          <w:rFonts w:cs="Arial"/>
          <w:bCs/>
          <w:sz w:val="24"/>
          <w:szCs w:val="24"/>
        </w:rPr>
      </w:pPr>
      <w:bookmarkStart w:id="189" w:name="_Toc12885988"/>
      <w:r w:rsidRPr="00B05A21">
        <w:rPr>
          <w:rFonts w:cs="Arial"/>
          <w:bCs/>
          <w:sz w:val="24"/>
          <w:szCs w:val="24"/>
        </w:rPr>
        <w:t>2.B6.4   Exclusion for conflict of interest</w:t>
      </w:r>
      <w:bookmarkEnd w:id="189"/>
    </w:p>
    <w:p w:rsidR="00C55792" w:rsidRPr="00B05A21" w:rsidRDefault="00C55792" w:rsidP="003E131A">
      <w:pPr>
        <w:pStyle w:val="content"/>
        <w:spacing w:before="0" w:beforeAutospacing="0" w:after="0" w:afterAutospacing="0"/>
        <w:rPr>
          <w:rFonts w:eastAsia="Times New Roman"/>
          <w:sz w:val="24"/>
          <w:szCs w:val="24"/>
        </w:rPr>
      </w:pPr>
      <w:r w:rsidRPr="00B05A21">
        <w:rPr>
          <w:sz w:val="24"/>
          <w:szCs w:val="24"/>
        </w:rPr>
        <w:t xml:space="preserve">No consultant shall be paid out of State funds for developing recommendations on the acquisition of IT goods or services or assisting in the preparation of a feasibility study, if that consultant is to be a source of such acquisition or would otherwise directly and/or materially benefit from the State adoption of such recommendations or the course of action recommended in the feasibility study.  Further, no consultant shall be paid out of State funds for developing recommendations on the disposal of State surplus IT </w:t>
      </w:r>
      <w:r w:rsidRPr="00B05A21">
        <w:rPr>
          <w:sz w:val="24"/>
          <w:szCs w:val="24"/>
        </w:rPr>
        <w:lastRenderedPageBreak/>
        <w:t>products if that consultant would directly and/or materially benefit from state adoption of such recommendations</w:t>
      </w:r>
    </w:p>
    <w:p w:rsidR="00310E8D" w:rsidRPr="00B05A21" w:rsidRDefault="00310E8D" w:rsidP="00B618D4">
      <w:pPr>
        <w:pStyle w:val="BlockLine"/>
        <w:tabs>
          <w:tab w:val="left" w:pos="2655"/>
        </w:tabs>
        <w:ind w:left="0"/>
        <w:rPr>
          <w:rFonts w:ascii="Arial" w:hAnsi="Arial" w:cs="Arial"/>
          <w:szCs w:val="24"/>
        </w:rPr>
      </w:pPr>
    </w:p>
    <w:p w:rsidR="00310E8D" w:rsidRPr="00B05A21" w:rsidRDefault="00310E8D">
      <w:pPr>
        <w:rPr>
          <w:rFonts w:ascii="Arial" w:hAnsi="Arial" w:cs="Arial"/>
        </w:rPr>
      </w:pPr>
      <w:r w:rsidRPr="00B05A21">
        <w:rPr>
          <w:rFonts w:ascii="Arial" w:hAnsi="Arial" w:cs="Arial"/>
          <w:b/>
        </w:rPr>
        <w:br w:type="page"/>
      </w:r>
    </w:p>
    <w:p w:rsidR="00254884" w:rsidRPr="00B05A21" w:rsidRDefault="00254884" w:rsidP="00F40798">
      <w:pPr>
        <w:pStyle w:val="Heading3"/>
        <w:tabs>
          <w:tab w:val="left" w:pos="1080"/>
        </w:tabs>
        <w:spacing w:after="120"/>
        <w:jc w:val="left"/>
        <w:rPr>
          <w:rFonts w:cs="Arial"/>
          <w:sz w:val="24"/>
          <w:szCs w:val="24"/>
        </w:rPr>
      </w:pPr>
      <w:bookmarkStart w:id="190" w:name="_Toc243288051"/>
      <w:bookmarkStart w:id="191" w:name="_Toc243798799"/>
      <w:bookmarkStart w:id="192" w:name="_Toc12885989"/>
      <w:r w:rsidRPr="00B05A21">
        <w:rPr>
          <w:rFonts w:cs="Arial"/>
          <w:sz w:val="24"/>
          <w:szCs w:val="24"/>
        </w:rPr>
        <w:lastRenderedPageBreak/>
        <w:t>2.</w:t>
      </w:r>
      <w:bookmarkEnd w:id="190"/>
      <w:r w:rsidRPr="00B05A21">
        <w:rPr>
          <w:rFonts w:cs="Arial"/>
          <w:sz w:val="24"/>
          <w:szCs w:val="24"/>
        </w:rPr>
        <w:t xml:space="preserve">B6.5   </w:t>
      </w:r>
      <w:r w:rsidRPr="00B05A21">
        <w:rPr>
          <w:rFonts w:cs="Arial"/>
          <w:bCs/>
          <w:sz w:val="24"/>
          <w:szCs w:val="24"/>
        </w:rPr>
        <w:t>Analysis of potential follow-on issues</w:t>
      </w:r>
      <w:bookmarkEnd w:id="191"/>
      <w:bookmarkEnd w:id="192"/>
    </w:p>
    <w:p w:rsidR="00254884" w:rsidRPr="00B05A21" w:rsidRDefault="00254884" w:rsidP="006435B5">
      <w:pPr>
        <w:tabs>
          <w:tab w:val="left" w:pos="935"/>
        </w:tabs>
        <w:rPr>
          <w:rFonts w:ascii="Arial" w:hAnsi="Arial" w:cs="Arial"/>
        </w:rPr>
      </w:pPr>
      <w:r w:rsidRPr="00B05A21">
        <w:rPr>
          <w:rFonts w:ascii="Arial" w:hAnsi="Arial" w:cs="Arial"/>
        </w:rPr>
        <w:t>An analysis of potential follow-on issues should be made and include consideration of the following factors.</w:t>
      </w:r>
    </w:p>
    <w:p w:rsidR="00254884" w:rsidRPr="00B05A21" w:rsidRDefault="00254884" w:rsidP="006435B5">
      <w:pPr>
        <w:tabs>
          <w:tab w:val="left" w:pos="935"/>
        </w:tabs>
        <w:ind w:left="935" w:hanging="935"/>
        <w:rPr>
          <w:rFonts w:ascii="Arial" w:hAnsi="Arial" w:cs="Arial"/>
        </w:rPr>
      </w:pPr>
    </w:p>
    <w:p w:rsidR="00254884" w:rsidRPr="00B05A21" w:rsidRDefault="00254884" w:rsidP="006435B5">
      <w:pPr>
        <w:tabs>
          <w:tab w:val="left" w:pos="935"/>
        </w:tabs>
        <w:rPr>
          <w:rFonts w:ascii="Arial" w:hAnsi="Arial" w:cs="Arial"/>
        </w:rPr>
      </w:pPr>
      <w:r w:rsidRPr="00B05A21">
        <w:rPr>
          <w:rFonts w:ascii="Arial" w:hAnsi="Arial" w:cs="Arial"/>
          <w:u w:val="single"/>
        </w:rPr>
        <w:t>Initial Contract</w:t>
      </w:r>
    </w:p>
    <w:p w:rsidR="00254884" w:rsidRPr="00B05A21" w:rsidRDefault="00254884" w:rsidP="006435B5">
      <w:pPr>
        <w:tabs>
          <w:tab w:val="left" w:pos="935"/>
        </w:tabs>
        <w:rPr>
          <w:rFonts w:ascii="Arial" w:hAnsi="Arial" w:cs="Arial"/>
        </w:rPr>
      </w:pPr>
      <w:r w:rsidRPr="00B05A21">
        <w:rPr>
          <w:rFonts w:ascii="Arial" w:hAnsi="Arial" w:cs="Arial"/>
        </w:rPr>
        <w:t>If the initial contract is not for consulting services, the prohibitions of PCC section 10365.5 do not apply.</w:t>
      </w:r>
    </w:p>
    <w:p w:rsidR="00254884" w:rsidRPr="00B05A21" w:rsidRDefault="00254884" w:rsidP="006435B5">
      <w:pPr>
        <w:tabs>
          <w:tab w:val="left" w:pos="935"/>
        </w:tabs>
        <w:rPr>
          <w:rFonts w:ascii="Arial" w:hAnsi="Arial" w:cs="Arial"/>
        </w:rPr>
      </w:pPr>
    </w:p>
    <w:p w:rsidR="00254884" w:rsidRPr="00B05A21" w:rsidRDefault="00254884" w:rsidP="006435B5">
      <w:pPr>
        <w:tabs>
          <w:tab w:val="left" w:pos="935"/>
        </w:tabs>
        <w:rPr>
          <w:rFonts w:ascii="Arial" w:hAnsi="Arial" w:cs="Arial"/>
        </w:rPr>
      </w:pPr>
      <w:r w:rsidRPr="00B05A21">
        <w:rPr>
          <w:rFonts w:ascii="Arial" w:hAnsi="Arial" w:cs="Arial"/>
          <w:u w:val="single"/>
        </w:rPr>
        <w:t>Contract Type</w:t>
      </w:r>
      <w:r w:rsidRPr="00B05A21">
        <w:rPr>
          <w:rFonts w:ascii="Arial" w:hAnsi="Arial" w:cs="Arial"/>
        </w:rPr>
        <w:br/>
        <w:t>In the lifecycle of a typical IT project there are no hard and fast rules; however, an evaluation of the initial contract type is a useful first step.  The following are examples of what are typically or not typically considered consulting services:</w:t>
      </w:r>
    </w:p>
    <w:p w:rsidR="00254884" w:rsidRPr="00B05A21" w:rsidRDefault="00254884" w:rsidP="006435B5">
      <w:pPr>
        <w:numPr>
          <w:ilvl w:val="0"/>
          <w:numId w:val="7"/>
        </w:numPr>
        <w:tabs>
          <w:tab w:val="left" w:pos="935"/>
        </w:tabs>
        <w:rPr>
          <w:rFonts w:ascii="Arial" w:hAnsi="Arial" w:cs="Arial"/>
        </w:rPr>
      </w:pPr>
      <w:r w:rsidRPr="00B05A21">
        <w:rPr>
          <w:rFonts w:ascii="Arial" w:hAnsi="Arial" w:cs="Arial"/>
        </w:rPr>
        <w:t>IT contracts typically considered a consulting services contract:</w:t>
      </w:r>
    </w:p>
    <w:p w:rsidR="00254884" w:rsidRPr="00B05A21" w:rsidRDefault="00254884" w:rsidP="006435B5">
      <w:pPr>
        <w:numPr>
          <w:ilvl w:val="0"/>
          <w:numId w:val="6"/>
        </w:numPr>
        <w:tabs>
          <w:tab w:val="clear" w:pos="547"/>
          <w:tab w:val="num" w:pos="748"/>
        </w:tabs>
        <w:ind w:left="748"/>
        <w:rPr>
          <w:rFonts w:ascii="Arial" w:hAnsi="Arial" w:cs="Arial"/>
        </w:rPr>
      </w:pPr>
      <w:r w:rsidRPr="00B05A21">
        <w:rPr>
          <w:rFonts w:ascii="Arial" w:hAnsi="Arial" w:cs="Arial"/>
        </w:rPr>
        <w:t>Feasibility Study Report</w:t>
      </w:r>
    </w:p>
    <w:p w:rsidR="00254884" w:rsidRPr="00B05A21" w:rsidRDefault="00254884" w:rsidP="006435B5">
      <w:pPr>
        <w:numPr>
          <w:ilvl w:val="0"/>
          <w:numId w:val="6"/>
        </w:numPr>
        <w:tabs>
          <w:tab w:val="clear" w:pos="547"/>
          <w:tab w:val="num" w:pos="748"/>
        </w:tabs>
        <w:ind w:left="748"/>
        <w:rPr>
          <w:rFonts w:ascii="Arial" w:hAnsi="Arial" w:cs="Arial"/>
        </w:rPr>
      </w:pPr>
      <w:r w:rsidRPr="00B05A21">
        <w:rPr>
          <w:rFonts w:ascii="Arial" w:hAnsi="Arial" w:cs="Arial"/>
        </w:rPr>
        <w:t xml:space="preserve">Strategic Planning and business process reengineering/improvement (not included in the lifecycle of an IT project) </w:t>
      </w:r>
    </w:p>
    <w:p w:rsidR="00254884" w:rsidRPr="00B05A21" w:rsidRDefault="00254884" w:rsidP="006435B5">
      <w:pPr>
        <w:numPr>
          <w:ilvl w:val="0"/>
          <w:numId w:val="6"/>
        </w:numPr>
        <w:tabs>
          <w:tab w:val="clear" w:pos="547"/>
          <w:tab w:val="num" w:pos="748"/>
        </w:tabs>
        <w:ind w:left="748"/>
        <w:rPr>
          <w:rFonts w:ascii="Arial" w:hAnsi="Arial" w:cs="Arial"/>
        </w:rPr>
      </w:pPr>
      <w:r w:rsidRPr="00B05A21">
        <w:rPr>
          <w:rFonts w:ascii="Arial" w:hAnsi="Arial" w:cs="Arial"/>
        </w:rPr>
        <w:t>Maintenance and Operations</w:t>
      </w:r>
    </w:p>
    <w:p w:rsidR="00254884" w:rsidRPr="00B05A21" w:rsidRDefault="00254884" w:rsidP="006435B5">
      <w:pPr>
        <w:numPr>
          <w:ilvl w:val="0"/>
          <w:numId w:val="7"/>
        </w:numPr>
        <w:tabs>
          <w:tab w:val="left" w:pos="935"/>
        </w:tabs>
        <w:rPr>
          <w:rFonts w:ascii="Arial" w:hAnsi="Arial" w:cs="Arial"/>
        </w:rPr>
      </w:pPr>
      <w:r w:rsidRPr="00B05A21">
        <w:rPr>
          <w:rFonts w:ascii="Arial" w:hAnsi="Arial" w:cs="Arial"/>
        </w:rPr>
        <w:t xml:space="preserve">IT contracts typically </w:t>
      </w:r>
      <w:r w:rsidRPr="00B05A21">
        <w:rPr>
          <w:rFonts w:ascii="Arial" w:hAnsi="Arial" w:cs="Arial"/>
          <w:u w:val="single"/>
        </w:rPr>
        <w:t>not</w:t>
      </w:r>
      <w:r w:rsidRPr="00B05A21">
        <w:rPr>
          <w:rFonts w:ascii="Arial" w:hAnsi="Arial" w:cs="Arial"/>
        </w:rPr>
        <w:t xml:space="preserve"> considered a consulting services contract because the primary purpose is not to deliver services having characteristics outlined in PCC section 10335.5(a):</w:t>
      </w:r>
    </w:p>
    <w:p w:rsidR="00254884" w:rsidRPr="00B05A21" w:rsidRDefault="00254884" w:rsidP="006435B5">
      <w:pPr>
        <w:numPr>
          <w:ilvl w:val="0"/>
          <w:numId w:val="6"/>
        </w:numPr>
        <w:tabs>
          <w:tab w:val="clear" w:pos="547"/>
          <w:tab w:val="num" w:pos="748"/>
        </w:tabs>
        <w:ind w:left="748"/>
        <w:rPr>
          <w:rFonts w:ascii="Arial" w:hAnsi="Arial" w:cs="Arial"/>
        </w:rPr>
      </w:pPr>
      <w:r w:rsidRPr="00B05A21">
        <w:rPr>
          <w:rFonts w:ascii="Arial" w:hAnsi="Arial" w:cs="Arial"/>
        </w:rPr>
        <w:t>Design Development and Implementation</w:t>
      </w:r>
    </w:p>
    <w:p w:rsidR="00254884" w:rsidRPr="00B05A21" w:rsidRDefault="00254884" w:rsidP="006435B5">
      <w:pPr>
        <w:numPr>
          <w:ilvl w:val="0"/>
          <w:numId w:val="6"/>
        </w:numPr>
        <w:tabs>
          <w:tab w:val="clear" w:pos="547"/>
          <w:tab w:val="num" w:pos="748"/>
        </w:tabs>
        <w:ind w:left="748"/>
        <w:rPr>
          <w:rFonts w:ascii="Arial" w:hAnsi="Arial" w:cs="Arial"/>
        </w:rPr>
      </w:pPr>
      <w:r w:rsidRPr="00B05A21">
        <w:rPr>
          <w:rFonts w:ascii="Arial" w:hAnsi="Arial" w:cs="Arial"/>
        </w:rPr>
        <w:t>Project Management</w:t>
      </w:r>
    </w:p>
    <w:p w:rsidR="00254884" w:rsidRPr="00B05A21" w:rsidRDefault="00254884" w:rsidP="006435B5">
      <w:pPr>
        <w:numPr>
          <w:ilvl w:val="0"/>
          <w:numId w:val="6"/>
        </w:numPr>
        <w:tabs>
          <w:tab w:val="clear" w:pos="547"/>
          <w:tab w:val="num" w:pos="748"/>
        </w:tabs>
        <w:ind w:left="748"/>
        <w:rPr>
          <w:rFonts w:ascii="Arial" w:hAnsi="Arial" w:cs="Arial"/>
        </w:rPr>
      </w:pPr>
      <w:r w:rsidRPr="00B05A21">
        <w:rPr>
          <w:rFonts w:ascii="Arial" w:hAnsi="Arial" w:cs="Arial"/>
        </w:rPr>
        <w:t>Independent Validation and Verification</w:t>
      </w:r>
    </w:p>
    <w:p w:rsidR="00254884" w:rsidRPr="00B05A21" w:rsidRDefault="00254884" w:rsidP="006435B5">
      <w:pPr>
        <w:numPr>
          <w:ilvl w:val="0"/>
          <w:numId w:val="6"/>
        </w:numPr>
        <w:tabs>
          <w:tab w:val="clear" w:pos="547"/>
          <w:tab w:val="num" w:pos="748"/>
        </w:tabs>
        <w:ind w:left="748"/>
        <w:rPr>
          <w:rFonts w:ascii="Arial" w:hAnsi="Arial" w:cs="Arial"/>
        </w:rPr>
      </w:pPr>
      <w:r w:rsidRPr="00B05A21">
        <w:rPr>
          <w:rFonts w:ascii="Arial" w:hAnsi="Arial" w:cs="Arial"/>
        </w:rPr>
        <w:t>Independent Project Oversight Consultant</w:t>
      </w:r>
    </w:p>
    <w:p w:rsidR="00254884" w:rsidRPr="00B05A21" w:rsidRDefault="00254884" w:rsidP="006435B5">
      <w:pPr>
        <w:numPr>
          <w:ilvl w:val="0"/>
          <w:numId w:val="7"/>
        </w:numPr>
        <w:tabs>
          <w:tab w:val="left" w:pos="935"/>
        </w:tabs>
        <w:rPr>
          <w:rFonts w:ascii="Arial" w:hAnsi="Arial" w:cs="Arial"/>
        </w:rPr>
      </w:pPr>
      <w:r w:rsidRPr="00B05A21">
        <w:rPr>
          <w:rFonts w:ascii="Arial" w:hAnsi="Arial" w:cs="Arial"/>
        </w:rPr>
        <w:t>IT contracts that require analysis of the specific details of the contract to determine whether it is a consulting services contract or not:</w:t>
      </w:r>
    </w:p>
    <w:p w:rsidR="00254884" w:rsidRPr="00B05A21" w:rsidRDefault="00254884" w:rsidP="006435B5">
      <w:pPr>
        <w:numPr>
          <w:ilvl w:val="0"/>
          <w:numId w:val="6"/>
        </w:numPr>
        <w:tabs>
          <w:tab w:val="clear" w:pos="547"/>
          <w:tab w:val="num" w:pos="748"/>
        </w:tabs>
        <w:ind w:left="748"/>
        <w:rPr>
          <w:rFonts w:ascii="Arial" w:hAnsi="Arial" w:cs="Arial"/>
        </w:rPr>
      </w:pPr>
      <w:r w:rsidRPr="00B05A21">
        <w:rPr>
          <w:rFonts w:ascii="Arial" w:hAnsi="Arial" w:cs="Arial"/>
        </w:rPr>
        <w:t>Acquisition Specialist</w:t>
      </w:r>
    </w:p>
    <w:p w:rsidR="00254884" w:rsidRPr="00B05A21" w:rsidRDefault="00254884" w:rsidP="006435B5">
      <w:pPr>
        <w:rPr>
          <w:rFonts w:ascii="Arial" w:hAnsi="Arial" w:cs="Arial"/>
        </w:rPr>
      </w:pPr>
      <w:r w:rsidRPr="00B05A21">
        <w:rPr>
          <w:rFonts w:ascii="Arial" w:hAnsi="Arial" w:cs="Arial"/>
        </w:rPr>
        <w:br/>
      </w:r>
      <w:r w:rsidRPr="00B05A21">
        <w:rPr>
          <w:rFonts w:ascii="Arial" w:hAnsi="Arial" w:cs="Arial"/>
          <w:b/>
        </w:rPr>
        <w:t>Note</w:t>
      </w:r>
      <w:r w:rsidRPr="00B05A21">
        <w:rPr>
          <w:rFonts w:ascii="Arial" w:hAnsi="Arial" w:cs="Arial"/>
        </w:rPr>
        <w:t>:  While the examples above are typically characterized as noted, analysis of contracts for purposes of the follow-on statute must be made on a case-by-case basis.  The essential issue is what the contract delivers, not how it is labeled.</w:t>
      </w:r>
    </w:p>
    <w:p w:rsidR="00254884" w:rsidRPr="00B05A21" w:rsidRDefault="00254884" w:rsidP="006435B5">
      <w:pPr>
        <w:tabs>
          <w:tab w:val="left" w:pos="5049"/>
        </w:tabs>
        <w:rPr>
          <w:rFonts w:ascii="Arial" w:hAnsi="Arial" w:cs="Arial"/>
        </w:rPr>
      </w:pPr>
    </w:p>
    <w:p w:rsidR="00254884" w:rsidRPr="00B05A21" w:rsidRDefault="00254884" w:rsidP="006435B5">
      <w:pPr>
        <w:tabs>
          <w:tab w:val="left" w:pos="935"/>
        </w:tabs>
        <w:rPr>
          <w:rFonts w:ascii="Arial" w:hAnsi="Arial" w:cs="Arial"/>
        </w:rPr>
      </w:pPr>
      <w:r w:rsidRPr="00B05A21">
        <w:rPr>
          <w:rFonts w:ascii="Arial" w:hAnsi="Arial" w:cs="Arial"/>
          <w:u w:val="single"/>
        </w:rPr>
        <w:t>Evaluation of Work and Deliverables</w:t>
      </w:r>
    </w:p>
    <w:p w:rsidR="00254884" w:rsidRPr="00B05A21" w:rsidRDefault="00254884" w:rsidP="006435B5">
      <w:pPr>
        <w:tabs>
          <w:tab w:val="left" w:pos="935"/>
        </w:tabs>
        <w:rPr>
          <w:rFonts w:ascii="Arial" w:hAnsi="Arial" w:cs="Arial"/>
        </w:rPr>
      </w:pPr>
      <w:r w:rsidRPr="00B05A21">
        <w:rPr>
          <w:rFonts w:ascii="Arial" w:hAnsi="Arial" w:cs="Arial"/>
        </w:rPr>
        <w:t>In evaluating contracts on a case-by-case basis, the following questions may prove helpful.</w:t>
      </w:r>
    </w:p>
    <w:p w:rsidR="00254884" w:rsidRPr="00B05A21" w:rsidRDefault="00254884" w:rsidP="006435B5">
      <w:pPr>
        <w:tabs>
          <w:tab w:val="left" w:pos="935"/>
        </w:tabs>
        <w:rPr>
          <w:rFonts w:ascii="Arial" w:hAnsi="Arial" w:cs="Arial"/>
        </w:rPr>
      </w:pPr>
    </w:p>
    <w:p w:rsidR="00254884" w:rsidRPr="00B05A21" w:rsidRDefault="00254884" w:rsidP="006435B5">
      <w:pPr>
        <w:numPr>
          <w:ilvl w:val="0"/>
          <w:numId w:val="7"/>
        </w:numPr>
        <w:tabs>
          <w:tab w:val="left" w:pos="935"/>
        </w:tabs>
        <w:rPr>
          <w:rFonts w:ascii="Arial" w:hAnsi="Arial" w:cs="Arial"/>
        </w:rPr>
      </w:pPr>
      <w:r w:rsidRPr="00B05A21">
        <w:rPr>
          <w:rFonts w:ascii="Arial" w:hAnsi="Arial" w:cs="Arial"/>
        </w:rPr>
        <w:t xml:space="preserve">Are consulting services present? </w:t>
      </w:r>
    </w:p>
    <w:p w:rsidR="00254884" w:rsidRPr="00B05A21" w:rsidRDefault="00254884" w:rsidP="006435B5">
      <w:pPr>
        <w:numPr>
          <w:ilvl w:val="0"/>
          <w:numId w:val="7"/>
        </w:numPr>
        <w:tabs>
          <w:tab w:val="left" w:pos="935"/>
        </w:tabs>
        <w:rPr>
          <w:rFonts w:ascii="Arial" w:hAnsi="Arial" w:cs="Arial"/>
        </w:rPr>
      </w:pPr>
      <w:r w:rsidRPr="00B05A21">
        <w:rPr>
          <w:rFonts w:ascii="Arial" w:hAnsi="Arial" w:cs="Arial"/>
        </w:rPr>
        <w:t>Does the contract call for services that are advisory in nature, providing a recommended course of action or personal expertise and having an end product that transmit information or analysis related to the governmental functions of a State department?</w:t>
      </w:r>
      <w:r w:rsidRPr="00B05A21">
        <w:rPr>
          <w:rFonts w:ascii="Arial" w:hAnsi="Arial" w:cs="Arial"/>
        </w:rPr>
        <w:br/>
      </w:r>
    </w:p>
    <w:p w:rsidR="00254884" w:rsidRPr="00B05A21" w:rsidRDefault="00254884" w:rsidP="006435B5">
      <w:pPr>
        <w:tabs>
          <w:tab w:val="left" w:pos="3366"/>
        </w:tabs>
        <w:ind w:left="14"/>
        <w:rPr>
          <w:rFonts w:ascii="Arial" w:hAnsi="Arial" w:cs="Arial"/>
        </w:rPr>
      </w:pPr>
      <w:r w:rsidRPr="00B05A21">
        <w:rPr>
          <w:rFonts w:ascii="Arial" w:hAnsi="Arial" w:cs="Arial"/>
        </w:rPr>
        <w:t>An analysis of the scope of work with these criteria in mind should suggest an answer.</w:t>
      </w:r>
    </w:p>
    <w:p w:rsidR="00254884" w:rsidRPr="00B05A21" w:rsidRDefault="00254884" w:rsidP="006435B5">
      <w:pPr>
        <w:tabs>
          <w:tab w:val="left" w:pos="3366"/>
        </w:tabs>
        <w:ind w:left="14"/>
        <w:rPr>
          <w:rFonts w:ascii="Arial" w:hAnsi="Arial" w:cs="Arial"/>
        </w:rPr>
      </w:pPr>
    </w:p>
    <w:p w:rsidR="00254884" w:rsidRPr="00B05A21" w:rsidRDefault="00254884" w:rsidP="006435B5">
      <w:pPr>
        <w:tabs>
          <w:tab w:val="left" w:pos="3366"/>
        </w:tabs>
        <w:ind w:left="14"/>
        <w:rPr>
          <w:rFonts w:ascii="Arial" w:hAnsi="Arial" w:cs="Arial"/>
        </w:rPr>
      </w:pPr>
      <w:r w:rsidRPr="00B05A21">
        <w:rPr>
          <w:rFonts w:ascii="Arial" w:hAnsi="Arial" w:cs="Arial"/>
        </w:rPr>
        <w:t>Are the actions:</w:t>
      </w:r>
    </w:p>
    <w:p w:rsidR="00254884" w:rsidRPr="00B05A21" w:rsidRDefault="00254884" w:rsidP="006435B5">
      <w:pPr>
        <w:numPr>
          <w:ilvl w:val="0"/>
          <w:numId w:val="7"/>
        </w:numPr>
        <w:tabs>
          <w:tab w:val="left" w:pos="935"/>
        </w:tabs>
        <w:rPr>
          <w:rFonts w:ascii="Arial" w:hAnsi="Arial" w:cs="Arial"/>
        </w:rPr>
      </w:pPr>
      <w:r w:rsidRPr="00B05A21">
        <w:rPr>
          <w:rFonts w:ascii="Arial" w:hAnsi="Arial" w:cs="Arial"/>
        </w:rPr>
        <w:t>Required, suggested, or otherwise deemed appropriate?</w:t>
      </w:r>
    </w:p>
    <w:p w:rsidR="00254884" w:rsidRPr="00B05A21" w:rsidRDefault="00254884" w:rsidP="006435B5">
      <w:pPr>
        <w:numPr>
          <w:ilvl w:val="0"/>
          <w:numId w:val="7"/>
        </w:numPr>
        <w:tabs>
          <w:tab w:val="left" w:pos="935"/>
        </w:tabs>
        <w:rPr>
          <w:rFonts w:ascii="Arial" w:hAnsi="Arial" w:cs="Arial"/>
        </w:rPr>
      </w:pPr>
      <w:r w:rsidRPr="00B05A21">
        <w:rPr>
          <w:rFonts w:ascii="Arial" w:hAnsi="Arial" w:cs="Arial"/>
        </w:rPr>
        <w:lastRenderedPageBreak/>
        <w:t>Found in an end product or deliverable of the contract (PCC section 10365.5(a))?</w:t>
      </w:r>
      <w:r w:rsidRPr="00B05A21">
        <w:rPr>
          <w:rFonts w:ascii="Arial" w:hAnsi="Arial" w:cs="Arial"/>
        </w:rPr>
        <w:br/>
      </w:r>
    </w:p>
    <w:p w:rsidR="00254884" w:rsidRPr="00B05A21" w:rsidRDefault="00254884" w:rsidP="006435B5">
      <w:pPr>
        <w:tabs>
          <w:tab w:val="left" w:pos="935"/>
        </w:tabs>
        <w:ind w:left="14"/>
        <w:rPr>
          <w:rFonts w:ascii="Arial" w:hAnsi="Arial" w:cs="Arial"/>
        </w:rPr>
      </w:pPr>
      <w:r w:rsidRPr="00B05A21">
        <w:rPr>
          <w:rFonts w:ascii="Arial" w:hAnsi="Arial" w:cs="Arial"/>
        </w:rPr>
        <w:t>If there is no “end product” or deliverable that has the characteristics of a consulting services contract, a follow-on situation will not exist.</w:t>
      </w:r>
    </w:p>
    <w:p w:rsidR="00254884" w:rsidRPr="00B05A21" w:rsidRDefault="00254884" w:rsidP="006435B5">
      <w:pPr>
        <w:tabs>
          <w:tab w:val="num" w:pos="1122"/>
          <w:tab w:val="left" w:pos="3366"/>
        </w:tabs>
        <w:rPr>
          <w:rFonts w:ascii="Arial" w:hAnsi="Arial" w:cs="Arial"/>
        </w:rPr>
      </w:pPr>
    </w:p>
    <w:p w:rsidR="00254884" w:rsidRPr="00B05A21" w:rsidRDefault="00254884" w:rsidP="006435B5">
      <w:pPr>
        <w:tabs>
          <w:tab w:val="left" w:pos="3366"/>
        </w:tabs>
        <w:ind w:left="28"/>
        <w:rPr>
          <w:rFonts w:ascii="Arial" w:hAnsi="Arial" w:cs="Arial"/>
        </w:rPr>
      </w:pPr>
      <w:r w:rsidRPr="00B05A21">
        <w:rPr>
          <w:rFonts w:ascii="Arial" w:hAnsi="Arial" w:cs="Arial"/>
          <w:u w:val="single"/>
        </w:rPr>
        <w:t>Multipurpose Contract</w:t>
      </w:r>
    </w:p>
    <w:p w:rsidR="00254884" w:rsidRPr="00B05A21" w:rsidRDefault="00254884" w:rsidP="006435B5">
      <w:pPr>
        <w:tabs>
          <w:tab w:val="left" w:pos="3366"/>
        </w:tabs>
        <w:ind w:left="28"/>
        <w:rPr>
          <w:rFonts w:ascii="Arial" w:hAnsi="Arial" w:cs="Arial"/>
        </w:rPr>
      </w:pPr>
      <w:r w:rsidRPr="00B05A21">
        <w:rPr>
          <w:rFonts w:ascii="Arial" w:hAnsi="Arial" w:cs="Arial"/>
        </w:rPr>
        <w:t>The above does not cover situations where the initial contract is not primarily a consulting services contract, but includes work that is consulting services in nature in the contract’s deliverables.  The statute is silent with regard to contracts that do not provide consulting services as the primary deliverable, but include them as a relative minor part of the contract.  No definitions are provided, nor is there any other specific guidance.</w:t>
      </w:r>
    </w:p>
    <w:p w:rsidR="00254884" w:rsidRPr="00B05A21" w:rsidRDefault="00254884" w:rsidP="006435B5">
      <w:pPr>
        <w:tabs>
          <w:tab w:val="left" w:pos="3366"/>
        </w:tabs>
        <w:ind w:left="28"/>
        <w:rPr>
          <w:rFonts w:ascii="Arial" w:hAnsi="Arial" w:cs="Arial"/>
        </w:rPr>
      </w:pPr>
      <w:r w:rsidRPr="00B05A21">
        <w:rPr>
          <w:rFonts w:ascii="Arial" w:hAnsi="Arial" w:cs="Arial"/>
        </w:rPr>
        <w:br/>
        <w:t>In absence of specific statutory guidance, the primary or predominant purpose of the initial contract must be determined.  PCC section 10335.5 provides some guidance.  Is the primary or predominant purpose of the contract “advisory in nature;” does it “recommend a course of action or personal expertise”?  Is the end product of the contract “basically a transmittal of information…related to the governmental functions of a state department?”</w:t>
      </w:r>
      <w:r w:rsidRPr="00B05A21">
        <w:rPr>
          <w:rFonts w:ascii="Arial" w:hAnsi="Arial" w:cs="Arial"/>
        </w:rPr>
        <w:br/>
      </w:r>
      <w:r w:rsidRPr="00B05A21">
        <w:rPr>
          <w:rFonts w:ascii="Arial" w:hAnsi="Arial" w:cs="Arial"/>
        </w:rPr>
        <w:br/>
        <w:t>For example, in a large system implementation contract, the supplier’s principal work is to design a new data processing system.  This contract would not reasonably be considered a consulting services contract even if, in the course of contract performance, the supplier makes recommendations regarding the new system which it is implementing.</w:t>
      </w:r>
      <w:r w:rsidRPr="00B05A21">
        <w:rPr>
          <w:rFonts w:ascii="Arial" w:hAnsi="Arial" w:cs="Arial"/>
        </w:rPr>
        <w:br/>
      </w:r>
      <w:r w:rsidRPr="00B05A21">
        <w:rPr>
          <w:rFonts w:ascii="Arial" w:hAnsi="Arial" w:cs="Arial"/>
        </w:rPr>
        <w:br/>
        <w:t>Therefore, if the primary or predominant purpose of the initial contract is not that of a consulting services contract, a follow-on situation will not exist.</w:t>
      </w:r>
      <w:r w:rsidRPr="00B05A21">
        <w:rPr>
          <w:rFonts w:ascii="Arial" w:hAnsi="Arial" w:cs="Arial"/>
        </w:rPr>
        <w:br/>
      </w:r>
      <w:r w:rsidRPr="00B05A21">
        <w:rPr>
          <w:rFonts w:ascii="Arial" w:hAnsi="Arial" w:cs="Arial"/>
        </w:rPr>
        <w:br/>
        <w:t>Although not based explicitly in statutory language, this approach is a reasonable attempt to meet the Legislature’s clear purpose to effectuate the State’s best interest in IT contracting, while guarding against the potential dangers inherent in the follow-on contracting situation.</w:t>
      </w:r>
    </w:p>
    <w:p w:rsidR="00254884" w:rsidRPr="00B05A21" w:rsidRDefault="00254884" w:rsidP="006435B5">
      <w:pPr>
        <w:tabs>
          <w:tab w:val="left" w:pos="3366"/>
        </w:tabs>
        <w:ind w:left="28"/>
        <w:rPr>
          <w:rFonts w:ascii="Arial" w:hAnsi="Arial" w:cs="Arial"/>
          <w:b/>
        </w:rPr>
      </w:pPr>
    </w:p>
    <w:p w:rsidR="00254884" w:rsidRPr="00B05A21" w:rsidRDefault="00254884" w:rsidP="006435B5">
      <w:pPr>
        <w:tabs>
          <w:tab w:val="left" w:pos="3366"/>
        </w:tabs>
        <w:ind w:left="28"/>
        <w:rPr>
          <w:rFonts w:ascii="Arial" w:hAnsi="Arial" w:cs="Arial"/>
        </w:rPr>
      </w:pPr>
      <w:r w:rsidRPr="00B05A21">
        <w:rPr>
          <w:rFonts w:ascii="Arial" w:hAnsi="Arial" w:cs="Arial"/>
          <w:b/>
        </w:rPr>
        <w:t>Note</w:t>
      </w:r>
      <w:r w:rsidRPr="00B05A21">
        <w:rPr>
          <w:rFonts w:ascii="Arial" w:hAnsi="Arial" w:cs="Arial"/>
        </w:rPr>
        <w:t>:  This is an administrative interpretation which has not been tested in the courts.  Both contracting agencies and suppliers are urged to exercise caution in this area.</w:t>
      </w:r>
      <w:r w:rsidRPr="00B05A21">
        <w:rPr>
          <w:rFonts w:ascii="Arial" w:hAnsi="Arial" w:cs="Arial"/>
        </w:rPr>
        <w:br/>
      </w:r>
    </w:p>
    <w:p w:rsidR="00254884" w:rsidRPr="00B05A21" w:rsidRDefault="00254884" w:rsidP="006435B5">
      <w:pPr>
        <w:tabs>
          <w:tab w:val="left" w:pos="935"/>
        </w:tabs>
        <w:rPr>
          <w:rFonts w:ascii="Arial" w:hAnsi="Arial" w:cs="Arial"/>
        </w:rPr>
      </w:pPr>
      <w:r w:rsidRPr="00B05A21">
        <w:rPr>
          <w:rFonts w:ascii="Arial" w:hAnsi="Arial" w:cs="Arial"/>
          <w:u w:val="single"/>
        </w:rPr>
        <w:t>Subsequent Contract</w:t>
      </w:r>
    </w:p>
    <w:p w:rsidR="00254884" w:rsidRPr="00B05A21" w:rsidRDefault="00254884" w:rsidP="006435B5">
      <w:pPr>
        <w:tabs>
          <w:tab w:val="left" w:pos="935"/>
        </w:tabs>
        <w:rPr>
          <w:rFonts w:ascii="Arial" w:hAnsi="Arial" w:cs="Arial"/>
        </w:rPr>
      </w:pPr>
      <w:r w:rsidRPr="00B05A21">
        <w:rPr>
          <w:rFonts w:ascii="Arial" w:hAnsi="Arial" w:cs="Arial"/>
        </w:rPr>
        <w:t xml:space="preserve">If the initial contract is determined to be a consulting services contract, the analysis must turn to the causal relationship, if any, between the initial contract and the potential follow-on contract.  The purpose of the causal inquiry is to determine whether there is sufficient link between the end product(s) of the first contract and the deliverable(s) to be procured by the second contract to warrant preclusion of the supplier that performed the first contract. </w:t>
      </w:r>
    </w:p>
    <w:p w:rsidR="006435B5" w:rsidRPr="00B05A21" w:rsidRDefault="006435B5" w:rsidP="006435B5">
      <w:pPr>
        <w:pStyle w:val="BlockLine"/>
        <w:tabs>
          <w:tab w:val="left" w:pos="4862"/>
        </w:tabs>
        <w:rPr>
          <w:rFonts w:ascii="Arial" w:hAnsi="Arial" w:cs="Arial"/>
          <w:szCs w:val="24"/>
        </w:rPr>
      </w:pPr>
    </w:p>
    <w:p w:rsidR="00846D2A" w:rsidRPr="00B05A21" w:rsidRDefault="00846D2A" w:rsidP="00846D2A">
      <w:pPr>
        <w:pStyle w:val="Heading3"/>
        <w:spacing w:after="120"/>
        <w:jc w:val="left"/>
        <w:rPr>
          <w:rFonts w:cs="Arial"/>
          <w:bCs/>
          <w:sz w:val="24"/>
          <w:szCs w:val="24"/>
        </w:rPr>
      </w:pPr>
      <w:bookmarkStart w:id="193" w:name="_Toc12885990"/>
      <w:r w:rsidRPr="00B05A21">
        <w:rPr>
          <w:rFonts w:cs="Arial"/>
          <w:bCs/>
          <w:sz w:val="24"/>
          <w:szCs w:val="24"/>
        </w:rPr>
        <w:t>2.B6.6   Consider potential contracting opportunities</w:t>
      </w:r>
      <w:bookmarkEnd w:id="193"/>
    </w:p>
    <w:p w:rsidR="00846D2A" w:rsidRPr="00B05A21" w:rsidRDefault="00846D2A" w:rsidP="006435B5">
      <w:pPr>
        <w:rPr>
          <w:rFonts w:ascii="Arial" w:hAnsi="Arial" w:cs="Arial"/>
        </w:rPr>
      </w:pPr>
      <w:r w:rsidRPr="00B05A21">
        <w:rPr>
          <w:rFonts w:ascii="Arial" w:hAnsi="Arial" w:cs="Arial"/>
        </w:rPr>
        <w:lastRenderedPageBreak/>
        <w:t>Since the determination of follow-on issues is dependent on the services rendered pursuant to the scope of the initial contract, care must be exercised in drafting the scope of services that are anticipated.  The awarding department and potential bidders should give serious consideration at the time that an initial contract is being developed to whether there may be potential future contracting opportunities that could fall within the follow-on prohibitions.  Solicitations for all consulting services contracts should advise of the application of PCC section 10365.5.</w:t>
      </w:r>
    </w:p>
    <w:p w:rsidR="00846D2A" w:rsidRPr="00B05A21" w:rsidRDefault="00846D2A" w:rsidP="006435B5">
      <w:pPr>
        <w:rPr>
          <w:rFonts w:ascii="Arial" w:hAnsi="Arial" w:cs="Arial"/>
        </w:rPr>
      </w:pPr>
    </w:p>
    <w:p w:rsidR="00846D2A" w:rsidRPr="00B05A21" w:rsidRDefault="00846D2A" w:rsidP="006435B5">
      <w:pPr>
        <w:pStyle w:val="content"/>
        <w:spacing w:before="0" w:beforeAutospacing="0" w:after="0" w:afterAutospacing="0"/>
        <w:rPr>
          <w:rFonts w:eastAsia="Times New Roman"/>
          <w:sz w:val="24"/>
          <w:szCs w:val="24"/>
        </w:rPr>
      </w:pPr>
      <w:r w:rsidRPr="00B05A21">
        <w:rPr>
          <w:b/>
          <w:sz w:val="24"/>
          <w:szCs w:val="24"/>
        </w:rPr>
        <w:t>Note</w:t>
      </w:r>
      <w:r w:rsidRPr="00B05A21">
        <w:rPr>
          <w:sz w:val="24"/>
          <w:szCs w:val="24"/>
        </w:rPr>
        <w:t>:  Departments may determine, as part of the initial contract that subsequent project oversight services, such as Independent Validation and Verification (IV&amp;V) and Independent Project Oversight Consultant (IPOC) services, shall be used and are not part of the deliverables on the initial contract, thus assuring that bidders in the initial contract may participate in bidding for oversight services without violating the prohibitions of Public Contract Code section 10365.5.</w:t>
      </w:r>
    </w:p>
    <w:p w:rsidR="006435B5" w:rsidRPr="00B05A21" w:rsidRDefault="006435B5" w:rsidP="006435B5">
      <w:pPr>
        <w:pStyle w:val="BlockLine"/>
        <w:tabs>
          <w:tab w:val="left" w:pos="2655"/>
        </w:tabs>
        <w:rPr>
          <w:rFonts w:ascii="Arial" w:hAnsi="Arial" w:cs="Arial"/>
          <w:szCs w:val="24"/>
        </w:rPr>
      </w:pPr>
      <w:r w:rsidRPr="00B05A21">
        <w:rPr>
          <w:rFonts w:ascii="Arial" w:hAnsi="Arial" w:cs="Arial"/>
          <w:szCs w:val="24"/>
        </w:rPr>
        <w:tab/>
      </w:r>
    </w:p>
    <w:p w:rsidR="00396A31" w:rsidRPr="00B05A21" w:rsidRDefault="00396A31" w:rsidP="00396A31">
      <w:pPr>
        <w:pStyle w:val="Heading3"/>
        <w:spacing w:after="120"/>
        <w:jc w:val="left"/>
        <w:rPr>
          <w:rFonts w:cs="Arial"/>
          <w:bCs/>
          <w:sz w:val="24"/>
          <w:szCs w:val="24"/>
        </w:rPr>
      </w:pPr>
      <w:bookmarkStart w:id="194" w:name="_Toc12885991"/>
      <w:r w:rsidRPr="00B05A21">
        <w:rPr>
          <w:rFonts w:cs="Arial"/>
          <w:bCs/>
          <w:sz w:val="24"/>
          <w:szCs w:val="24"/>
        </w:rPr>
        <w:t>2.B6.7   Advice process</w:t>
      </w:r>
      <w:bookmarkEnd w:id="194"/>
    </w:p>
    <w:p w:rsidR="00396A31" w:rsidRPr="00B05A21" w:rsidRDefault="00396A31" w:rsidP="006435B5">
      <w:pPr>
        <w:rPr>
          <w:rFonts w:ascii="Arial" w:hAnsi="Arial" w:cs="Arial"/>
        </w:rPr>
      </w:pPr>
      <w:r w:rsidRPr="00B05A21">
        <w:rPr>
          <w:rFonts w:ascii="Arial" w:hAnsi="Arial" w:cs="Arial"/>
        </w:rPr>
        <w:t>Before determining to either reject a potential bidder or withhold an award of a contract a State department should analyze the issues considering the information provided in this manual and applicable statutes.  Consultation with departmental counsel is strongly recommended.  Further advice may be sought when a bidder is participating in a solicitation to provide services or goods under circumstances which might constitute a follow-on (subsequent) contract.  The purpose of this advice is to facilitate an early determination to allow suppliers and departments to ascertain eligibility for proposed/pending procurements.</w:t>
      </w:r>
      <w:r w:rsidRPr="00B05A21">
        <w:rPr>
          <w:rFonts w:ascii="Arial" w:hAnsi="Arial" w:cs="Arial"/>
        </w:rPr>
        <w:br/>
      </w:r>
      <w:r w:rsidRPr="00B05A21">
        <w:rPr>
          <w:rFonts w:ascii="Arial" w:hAnsi="Arial" w:cs="Arial"/>
        </w:rPr>
        <w:br/>
        <w:t>For contracts awarded by DGS, or pursuant to purchasing authority delegated by DGS, or which are subject to the approval of DGS, the Procurement and Contracting Officer of a contracting department or a potentially disqualified bidder may seek advice from the Deputy Director, Procurement Division, within 10 business days after a contracting opportunity is advertised or announced to bidders, typically through the issuance of an RFI or RFP, whichever occurs first.  DGS may, in its discretion, consider requests made after the expiration of the time period.  For its part, DGS will make every effort to provide an expeditious response.  If the inquiry is from the contracting department, that department shall reimburse DGS for any costs associated for such review.</w:t>
      </w:r>
      <w:r w:rsidRPr="00B05A21">
        <w:rPr>
          <w:rFonts w:ascii="Arial" w:hAnsi="Arial" w:cs="Arial"/>
        </w:rPr>
        <w:br/>
      </w:r>
      <w:r w:rsidRPr="00B05A21">
        <w:rPr>
          <w:rFonts w:ascii="Arial" w:hAnsi="Arial" w:cs="Arial"/>
        </w:rPr>
        <w:br/>
        <w:t>The request for advice should be submitted to:</w:t>
      </w:r>
      <w:r w:rsidRPr="00B05A21">
        <w:rPr>
          <w:rFonts w:ascii="Arial" w:hAnsi="Arial" w:cs="Arial"/>
        </w:rPr>
        <w:br/>
        <w:t>Deputy Director</w:t>
      </w:r>
      <w:r w:rsidRPr="00B05A21">
        <w:rPr>
          <w:rFonts w:ascii="Arial" w:hAnsi="Arial" w:cs="Arial"/>
        </w:rPr>
        <w:br/>
        <w:t>Procurement Division</w:t>
      </w:r>
      <w:r w:rsidRPr="00B05A21">
        <w:rPr>
          <w:rFonts w:ascii="Arial" w:hAnsi="Arial" w:cs="Arial"/>
        </w:rPr>
        <w:br/>
        <w:t>707 Third Street, 2nd Floor</w:t>
      </w:r>
      <w:r w:rsidRPr="00B05A21">
        <w:rPr>
          <w:rFonts w:ascii="Arial" w:hAnsi="Arial" w:cs="Arial"/>
        </w:rPr>
        <w:br/>
        <w:t>West Sacramento, CA  95605</w:t>
      </w:r>
      <w:r w:rsidRPr="00B05A21">
        <w:rPr>
          <w:rFonts w:ascii="Arial" w:hAnsi="Arial" w:cs="Arial"/>
        </w:rPr>
        <w:br/>
        <w:t>FAX: (916) 375-4505</w:t>
      </w:r>
      <w:r w:rsidRPr="00B05A21">
        <w:rPr>
          <w:rFonts w:ascii="Arial" w:hAnsi="Arial" w:cs="Arial"/>
        </w:rPr>
        <w:br/>
      </w:r>
      <w:r w:rsidRPr="00B05A21">
        <w:rPr>
          <w:rFonts w:ascii="Arial" w:hAnsi="Arial" w:cs="Arial"/>
        </w:rPr>
        <w:br/>
        <w:t>Any documents submitted for review and any written advice of DGS shall be subject to the Public Records Act (GC section 6250 et seq.) and applicable exemptions thereto.</w:t>
      </w:r>
      <w:r w:rsidRPr="00B05A21">
        <w:rPr>
          <w:rFonts w:ascii="Arial" w:hAnsi="Arial" w:cs="Arial"/>
        </w:rPr>
        <w:br/>
      </w:r>
      <w:r w:rsidRPr="00B05A21">
        <w:rPr>
          <w:rFonts w:ascii="Arial" w:hAnsi="Arial" w:cs="Arial"/>
        </w:rPr>
        <w:br/>
        <w:t xml:space="preserve">The advice provided will be considered informal and not an official determination by DGS.  The provision of this informal advice shall not constrain any subsequent </w:t>
      </w:r>
      <w:r w:rsidRPr="00B05A21">
        <w:rPr>
          <w:rFonts w:ascii="Arial" w:hAnsi="Arial" w:cs="Arial"/>
        </w:rPr>
        <w:lastRenderedPageBreak/>
        <w:t>determination under law, nor will DGS be restricted from the full exercise of its contract review responsibilities, including further review of issues related to PCC section 10365.5 based on factors discovered by DGS subsequent to the initial determination.</w:t>
      </w:r>
    </w:p>
    <w:p w:rsidR="00396A31" w:rsidRPr="00B05A21" w:rsidRDefault="00396A31" w:rsidP="006435B5">
      <w:pPr>
        <w:rPr>
          <w:rFonts w:ascii="Arial" w:hAnsi="Arial" w:cs="Arial"/>
        </w:rPr>
      </w:pPr>
    </w:p>
    <w:p w:rsidR="00396A31" w:rsidRPr="00B05A21" w:rsidRDefault="00396A31" w:rsidP="006435B5">
      <w:pPr>
        <w:rPr>
          <w:rFonts w:ascii="Arial" w:hAnsi="Arial" w:cs="Arial"/>
        </w:rPr>
      </w:pPr>
      <w:r w:rsidRPr="00B05A21">
        <w:rPr>
          <w:rFonts w:ascii="Arial" w:hAnsi="Arial" w:cs="Arial"/>
          <w:b/>
        </w:rPr>
        <w:t>Note</w:t>
      </w:r>
      <w:r w:rsidRPr="00B05A21">
        <w:rPr>
          <w:rFonts w:ascii="Arial" w:hAnsi="Arial" w:cs="Arial"/>
        </w:rPr>
        <w:t>:</w:t>
      </w:r>
      <w:r w:rsidRPr="00B05A21">
        <w:rPr>
          <w:rFonts w:ascii="Arial" w:hAnsi="Arial" w:cs="Arial"/>
        </w:rPr>
        <w:tab/>
        <w:t>Departments must document the procurement file with known suppliers that may not compete.  In the event that no official consistent determination is made regarding a supplier’s ability to compete, departments must contact DGS/PAMS for advice regarding consistent application of the policy.</w:t>
      </w:r>
    </w:p>
    <w:p w:rsidR="006435B5" w:rsidRPr="00B05A21" w:rsidRDefault="006435B5" w:rsidP="006435B5">
      <w:pPr>
        <w:pStyle w:val="BlockLine"/>
        <w:tabs>
          <w:tab w:val="left" w:pos="2655"/>
        </w:tabs>
        <w:rPr>
          <w:rFonts w:ascii="Arial" w:hAnsi="Arial" w:cs="Arial"/>
          <w:szCs w:val="24"/>
        </w:rPr>
      </w:pPr>
      <w:r w:rsidRPr="00B05A21">
        <w:rPr>
          <w:rFonts w:ascii="Arial" w:hAnsi="Arial" w:cs="Arial"/>
          <w:szCs w:val="24"/>
        </w:rPr>
        <w:tab/>
      </w:r>
    </w:p>
    <w:p w:rsidR="00A822B7" w:rsidRPr="00B05A21" w:rsidRDefault="00A822B7" w:rsidP="00A822B7">
      <w:pPr>
        <w:pStyle w:val="Heading3"/>
        <w:spacing w:after="120"/>
        <w:jc w:val="left"/>
        <w:rPr>
          <w:rFonts w:cs="Arial"/>
          <w:bCs/>
          <w:sz w:val="24"/>
          <w:szCs w:val="24"/>
        </w:rPr>
      </w:pPr>
      <w:bookmarkStart w:id="195" w:name="_Toc12885992"/>
      <w:r w:rsidRPr="00B05A21">
        <w:rPr>
          <w:rFonts w:cs="Arial"/>
          <w:bCs/>
          <w:sz w:val="24"/>
          <w:szCs w:val="24"/>
        </w:rPr>
        <w:t>2.B6.8   Disclosure of financial interests</w:t>
      </w:r>
      <w:bookmarkEnd w:id="195"/>
    </w:p>
    <w:p w:rsidR="00A822B7" w:rsidRPr="00B05A21" w:rsidRDefault="00A822B7" w:rsidP="006435B5">
      <w:pPr>
        <w:rPr>
          <w:rFonts w:ascii="Arial" w:hAnsi="Arial" w:cs="Arial"/>
          <w:color w:val="000000"/>
        </w:rPr>
      </w:pPr>
      <w:r w:rsidRPr="00B05A21">
        <w:rPr>
          <w:rFonts w:ascii="Arial" w:hAnsi="Arial" w:cs="Arial"/>
        </w:rPr>
        <w:t>Proposals in response to State procurements for assistance in the preparation of feasibility studies or the development of recommendations for the acquisition of IT goods and/or services must disclose any financial interests (i.e., service contracts, OEM agreements, remarketing agreements, etc.) that may foreseeably allow the individual or organization submitting the proposal to materially benefit from the State's adoption of a course of action recommended in the feasibility study or of the acquisition recommendations.</w:t>
      </w:r>
    </w:p>
    <w:p w:rsidR="006435B5" w:rsidRPr="00B05A21" w:rsidRDefault="006435B5" w:rsidP="006435B5">
      <w:pPr>
        <w:pStyle w:val="BlockLine"/>
        <w:tabs>
          <w:tab w:val="left" w:pos="2655"/>
        </w:tabs>
        <w:rPr>
          <w:rFonts w:ascii="Arial" w:hAnsi="Arial" w:cs="Arial"/>
          <w:szCs w:val="24"/>
        </w:rPr>
      </w:pPr>
      <w:r w:rsidRPr="00B05A21">
        <w:rPr>
          <w:rFonts w:ascii="Arial" w:hAnsi="Arial" w:cs="Arial"/>
          <w:szCs w:val="24"/>
        </w:rPr>
        <w:tab/>
      </w:r>
    </w:p>
    <w:p w:rsidR="00943F50" w:rsidRPr="00B05A21" w:rsidRDefault="00943F50" w:rsidP="00943F50">
      <w:pPr>
        <w:pStyle w:val="Heading3"/>
        <w:spacing w:after="120"/>
        <w:jc w:val="left"/>
        <w:rPr>
          <w:rFonts w:cs="Arial"/>
          <w:bCs/>
          <w:sz w:val="24"/>
          <w:szCs w:val="24"/>
        </w:rPr>
      </w:pPr>
      <w:bookmarkStart w:id="196" w:name="_Toc12885993"/>
      <w:r w:rsidRPr="00B05A21">
        <w:rPr>
          <w:rFonts w:cs="Arial"/>
          <w:bCs/>
          <w:sz w:val="24"/>
          <w:szCs w:val="24"/>
        </w:rPr>
        <w:t>2.B6.9   IT equipment maintenance policies</w:t>
      </w:r>
      <w:bookmarkEnd w:id="196"/>
    </w:p>
    <w:p w:rsidR="00943F50" w:rsidRPr="00B05A21" w:rsidRDefault="00943F50" w:rsidP="006435B5">
      <w:pPr>
        <w:rPr>
          <w:rFonts w:ascii="Arial" w:hAnsi="Arial" w:cs="Arial"/>
        </w:rPr>
      </w:pPr>
      <w:r w:rsidRPr="00B05A21">
        <w:rPr>
          <w:rFonts w:ascii="Arial" w:hAnsi="Arial" w:cs="Arial"/>
        </w:rPr>
        <w:t>IT equipment maintenance shall be performed by State personnel when the technical expertise is available and the service can be provided in a timely manner.  If maintenance service is performed by private sector individuals or organizations, the services shall be acquired through the competitive bidding process, except as outlined below.</w:t>
      </w:r>
    </w:p>
    <w:p w:rsidR="00943F50" w:rsidRPr="00B05A21" w:rsidRDefault="00943F50" w:rsidP="006435B5">
      <w:pPr>
        <w:rPr>
          <w:rFonts w:ascii="Arial" w:hAnsi="Arial" w:cs="Arial"/>
        </w:rPr>
      </w:pPr>
    </w:p>
    <w:p w:rsidR="00943F50" w:rsidRPr="00B05A21" w:rsidRDefault="00943F50" w:rsidP="006435B5">
      <w:pPr>
        <w:rPr>
          <w:rFonts w:ascii="Arial" w:hAnsi="Arial" w:cs="Arial"/>
        </w:rPr>
      </w:pPr>
      <w:r w:rsidRPr="00B05A21">
        <w:rPr>
          <w:rFonts w:ascii="Arial" w:hAnsi="Arial" w:cs="Arial"/>
        </w:rPr>
        <w:t>PCC section 12102(a) states in part that “Acquisition of information technology goods and services shall be conducted through competitive means, except when the Director of General Services determines that (1) the goods and services proposed for acquisition are the only goods and services which can meet the state's need, or (2) the goods and services are needed in cases of emergency where immediate acquisition is necessary for the protection of the public health, welfare, or safety.”</w:t>
      </w:r>
    </w:p>
    <w:p w:rsidR="00943F50" w:rsidRPr="00B05A21" w:rsidRDefault="00943F50" w:rsidP="006435B5">
      <w:pPr>
        <w:rPr>
          <w:rFonts w:ascii="Arial" w:hAnsi="Arial" w:cs="Arial"/>
        </w:rPr>
      </w:pPr>
    </w:p>
    <w:p w:rsidR="00943F50" w:rsidRPr="00B05A21" w:rsidRDefault="00943F50" w:rsidP="006435B5">
      <w:pPr>
        <w:rPr>
          <w:rFonts w:ascii="Arial" w:hAnsi="Arial" w:cs="Arial"/>
          <w:color w:val="000000"/>
        </w:rPr>
      </w:pPr>
      <w:r w:rsidRPr="00B05A21">
        <w:rPr>
          <w:rFonts w:ascii="Arial" w:hAnsi="Arial" w:cs="Arial"/>
        </w:rPr>
        <w:t>Maintenance contracts for any State-owned IT equipment which do not meet the conditions for noncompetitive justification or another exception must be competitively bid.  See Chapter 4 for requirements for competitive bidding of maintenance contracts.  These requirements are to be applied in the development of the maintenance specifications and the procurement document must contain the specifications.</w:t>
      </w:r>
    </w:p>
    <w:p w:rsidR="006435B5" w:rsidRPr="00B05A21" w:rsidRDefault="006435B5" w:rsidP="006435B5">
      <w:pPr>
        <w:pStyle w:val="BlockLine"/>
        <w:tabs>
          <w:tab w:val="left" w:pos="2655"/>
        </w:tabs>
        <w:rPr>
          <w:rFonts w:ascii="Arial" w:hAnsi="Arial" w:cs="Arial"/>
          <w:szCs w:val="24"/>
        </w:rPr>
      </w:pPr>
      <w:r w:rsidRPr="00B05A21">
        <w:rPr>
          <w:rFonts w:ascii="Arial" w:hAnsi="Arial" w:cs="Arial"/>
          <w:szCs w:val="24"/>
        </w:rPr>
        <w:tab/>
      </w:r>
    </w:p>
    <w:p w:rsidR="00D94F9B" w:rsidRPr="00B05A21" w:rsidRDefault="00D94F9B" w:rsidP="00D94F9B">
      <w:pPr>
        <w:pStyle w:val="Heading3"/>
        <w:spacing w:after="120"/>
        <w:jc w:val="left"/>
        <w:rPr>
          <w:rFonts w:cs="Arial"/>
          <w:bCs/>
          <w:sz w:val="24"/>
          <w:szCs w:val="24"/>
        </w:rPr>
      </w:pPr>
      <w:bookmarkStart w:id="197" w:name="_Toc12885994"/>
      <w:r w:rsidRPr="00B05A21">
        <w:rPr>
          <w:rFonts w:cs="Arial"/>
          <w:bCs/>
          <w:sz w:val="24"/>
          <w:szCs w:val="24"/>
        </w:rPr>
        <w:t>2.B6.</w:t>
      </w:r>
      <w:r w:rsidR="00A864AB" w:rsidRPr="00B05A21">
        <w:rPr>
          <w:rFonts w:cs="Arial"/>
          <w:bCs/>
          <w:sz w:val="24"/>
          <w:szCs w:val="24"/>
        </w:rPr>
        <w:t>10 IT</w:t>
      </w:r>
      <w:r w:rsidRPr="00B05A21">
        <w:rPr>
          <w:rFonts w:cs="Arial"/>
          <w:bCs/>
          <w:sz w:val="24"/>
          <w:szCs w:val="24"/>
        </w:rPr>
        <w:t xml:space="preserve"> risk criteria guidelines and financial protection measures </w:t>
      </w:r>
      <w:bookmarkEnd w:id="197"/>
    </w:p>
    <w:p w:rsidR="00D94F9B" w:rsidRPr="00B05A21" w:rsidRDefault="00D94F9B" w:rsidP="0033314D">
      <w:pPr>
        <w:rPr>
          <w:rFonts w:ascii="Arial" w:hAnsi="Arial" w:cs="Arial"/>
        </w:rPr>
      </w:pPr>
      <w:r w:rsidRPr="00B05A21">
        <w:rPr>
          <w:rFonts w:ascii="Arial" w:hAnsi="Arial" w:cs="Arial"/>
        </w:rPr>
        <w:t xml:space="preserve">The risk evaluation guidelines and financial protection measures have been developed to protect the best interest of the State pursuant to PCC section 12112.  These guidelines and protections are effective as of March 19, 2008 and must be applied to all IT goods and/or services solicitations valued at and above $1,000,000.  Solicitations </w:t>
      </w:r>
      <w:r w:rsidRPr="00B05A21">
        <w:rPr>
          <w:rFonts w:ascii="Arial" w:hAnsi="Arial" w:cs="Arial"/>
        </w:rPr>
        <w:lastRenderedPageBreak/>
        <w:t xml:space="preserve">valued under $1,000,000 may comply with the risk evaluation guidelines and financial protection measures. </w:t>
      </w:r>
    </w:p>
    <w:p w:rsidR="00D94F9B" w:rsidRPr="00B05A21" w:rsidRDefault="00D94F9B" w:rsidP="0033314D">
      <w:pPr>
        <w:rPr>
          <w:rFonts w:ascii="Arial" w:hAnsi="Arial" w:cs="Arial"/>
          <w:bCs/>
        </w:rPr>
      </w:pPr>
      <w:r w:rsidRPr="00B05A21">
        <w:rPr>
          <w:rFonts w:ascii="Arial" w:hAnsi="Arial" w:cs="Arial"/>
        </w:rPr>
        <w:t>For additional information, refer to Chapter 4.</w:t>
      </w:r>
    </w:p>
    <w:p w:rsidR="006435B5" w:rsidRPr="00B05A21" w:rsidRDefault="006435B5" w:rsidP="006435B5">
      <w:pPr>
        <w:pStyle w:val="BlockLine"/>
        <w:tabs>
          <w:tab w:val="left" w:pos="2655"/>
        </w:tabs>
        <w:rPr>
          <w:rFonts w:ascii="Arial" w:hAnsi="Arial" w:cs="Arial"/>
          <w:szCs w:val="24"/>
        </w:rPr>
      </w:pPr>
      <w:r w:rsidRPr="00B05A21">
        <w:rPr>
          <w:rFonts w:ascii="Arial" w:hAnsi="Arial" w:cs="Arial"/>
          <w:szCs w:val="24"/>
        </w:rPr>
        <w:tab/>
      </w:r>
    </w:p>
    <w:p w:rsidR="00D770EB" w:rsidRPr="00B05A21" w:rsidRDefault="00D770EB" w:rsidP="00D770EB">
      <w:pPr>
        <w:pStyle w:val="Heading3"/>
        <w:spacing w:after="120"/>
        <w:jc w:val="left"/>
        <w:rPr>
          <w:rFonts w:cs="Arial"/>
          <w:bCs/>
          <w:sz w:val="24"/>
          <w:szCs w:val="24"/>
        </w:rPr>
      </w:pPr>
      <w:bookmarkStart w:id="198" w:name="_Toc12885995"/>
      <w:r w:rsidRPr="00B05A21">
        <w:rPr>
          <w:rFonts w:cs="Arial"/>
          <w:bCs/>
          <w:sz w:val="24"/>
          <w:szCs w:val="24"/>
        </w:rPr>
        <w:t>2.B6.</w:t>
      </w:r>
      <w:r w:rsidR="00A864AB" w:rsidRPr="00B05A21">
        <w:rPr>
          <w:rFonts w:cs="Arial"/>
          <w:bCs/>
          <w:sz w:val="24"/>
          <w:szCs w:val="24"/>
        </w:rPr>
        <w:t>11 Reporting</w:t>
      </w:r>
      <w:r w:rsidRPr="00B05A21">
        <w:rPr>
          <w:rFonts w:cs="Arial"/>
          <w:bCs/>
          <w:sz w:val="24"/>
          <w:szCs w:val="24"/>
        </w:rPr>
        <w:t xml:space="preserve"> IT projects, software licensing agreements and amendments to the legislature</w:t>
      </w:r>
      <w:bookmarkEnd w:id="198"/>
    </w:p>
    <w:p w:rsidR="00D770EB" w:rsidRPr="00B05A21" w:rsidRDefault="00D770EB" w:rsidP="006435B5">
      <w:pPr>
        <w:rPr>
          <w:rFonts w:ascii="Arial" w:hAnsi="Arial" w:cs="Arial"/>
        </w:rPr>
      </w:pPr>
      <w:r w:rsidRPr="00B05A21">
        <w:rPr>
          <w:rFonts w:ascii="Arial" w:hAnsi="Arial" w:cs="Arial"/>
        </w:rPr>
        <w:t xml:space="preserve">Pursuant to the Budget Act, certain contracts associated with IT projects, statewide software licensing agreements, and associated amendments must be reported to the Legislature.  With some exceptions, reporting must be made prior to entering into a contract or agreement that exceeds specific dollar thresholds approved for the project or the statewide software licensing business proposal.  Control Section 11.00 and 11.10 reporting allows the Legislature an opportunity to review future funding obligations and enterprise license commitments before they are made. </w:t>
      </w:r>
    </w:p>
    <w:p w:rsidR="00D770EB" w:rsidRPr="00B05A21" w:rsidRDefault="00D770EB" w:rsidP="008C534D">
      <w:pPr>
        <w:rPr>
          <w:rFonts w:ascii="Arial" w:hAnsi="Arial" w:cs="Arial"/>
        </w:rPr>
      </w:pPr>
      <w:r w:rsidRPr="00B05A21">
        <w:rPr>
          <w:rFonts w:ascii="Arial" w:hAnsi="Arial" w:cs="Arial"/>
        </w:rPr>
        <w:t xml:space="preserve">Refer to </w:t>
      </w:r>
      <w:hyperlink r:id="rId29" w:history="1">
        <w:r w:rsidRPr="00B05A21">
          <w:rPr>
            <w:rStyle w:val="Hyperlink"/>
            <w:rFonts w:ascii="Arial" w:hAnsi="Arial" w:cs="Arial"/>
          </w:rPr>
          <w:t xml:space="preserve">Budget Letter 17-20 </w:t>
        </w:r>
      </w:hyperlink>
      <w:r w:rsidRPr="00B05A21">
        <w:rPr>
          <w:rFonts w:ascii="Arial" w:hAnsi="Arial" w:cs="Arial"/>
        </w:rPr>
        <w:t xml:space="preserve"> for details.</w:t>
      </w:r>
    </w:p>
    <w:p w:rsidR="0001260C" w:rsidRPr="00B05A21" w:rsidRDefault="0001260C" w:rsidP="00235B44">
      <w:pPr>
        <w:pStyle w:val="BlockLine"/>
        <w:rPr>
          <w:rFonts w:ascii="Arial" w:hAnsi="Arial" w:cs="Arial"/>
          <w:szCs w:val="24"/>
        </w:rPr>
      </w:pPr>
      <w:bookmarkStart w:id="199" w:name="_1.B6.1_Productive_Use_Requirements"/>
      <w:bookmarkStart w:id="200" w:name="_1.B6.2.1_Exclusion_for_Conflict_of_"/>
      <w:bookmarkStart w:id="201" w:name="_1.B6.2.2.1__Analysis_of_Potential_F"/>
      <w:bookmarkStart w:id="202" w:name="_1.B6.2.2.2__Consider_Potential_Cont"/>
      <w:bookmarkStart w:id="203" w:name="_1.B6.2.2.3__Advice_Process"/>
      <w:bookmarkStart w:id="204" w:name="_1.B6.2.3_Disclosure_of_Financial_In_1"/>
      <w:bookmarkStart w:id="205" w:name="_1.B6.2.3_Disclosure_of_Financial_In"/>
      <w:bookmarkStart w:id="206" w:name="_1.B6.3_IT_Equipment_Maintenance_Pol"/>
      <w:bookmarkEnd w:id="199"/>
      <w:bookmarkEnd w:id="200"/>
      <w:bookmarkEnd w:id="201"/>
      <w:bookmarkEnd w:id="202"/>
      <w:bookmarkEnd w:id="203"/>
      <w:bookmarkEnd w:id="204"/>
      <w:bookmarkEnd w:id="205"/>
      <w:bookmarkEnd w:id="206"/>
    </w:p>
    <w:p w:rsidR="006A22AB" w:rsidRPr="00B05A21" w:rsidRDefault="006A22AB" w:rsidP="006A22AB">
      <w:pPr>
        <w:pStyle w:val="Heading3"/>
        <w:spacing w:after="120"/>
        <w:jc w:val="left"/>
        <w:rPr>
          <w:rFonts w:cs="Arial"/>
          <w:bCs/>
          <w:sz w:val="24"/>
          <w:szCs w:val="24"/>
        </w:rPr>
      </w:pPr>
      <w:bookmarkStart w:id="207" w:name="_Toc12885996"/>
      <w:r w:rsidRPr="00B05A21">
        <w:rPr>
          <w:rFonts w:cs="Arial"/>
          <w:bCs/>
          <w:sz w:val="24"/>
          <w:szCs w:val="24"/>
        </w:rPr>
        <w:t xml:space="preserve">2.B6.12 Cloud Computing </w:t>
      </w:r>
      <w:bookmarkEnd w:id="207"/>
    </w:p>
    <w:p w:rsidR="006A22AB" w:rsidRPr="00B05A21" w:rsidRDefault="006A22AB" w:rsidP="00E421EF">
      <w:pPr>
        <w:rPr>
          <w:rFonts w:ascii="Arial" w:hAnsi="Arial" w:cs="Arial"/>
        </w:rPr>
      </w:pPr>
      <w:r w:rsidRPr="00B05A21">
        <w:rPr>
          <w:rFonts w:ascii="Arial" w:hAnsi="Arial" w:cs="Arial"/>
        </w:rPr>
        <w:t xml:space="preserve">The State Administrative Manual (SAM) Section 4819.2 provides definitions for three distinct Cloud Computing services: </w:t>
      </w:r>
    </w:p>
    <w:p w:rsidR="006A22AB" w:rsidRPr="00B05A21" w:rsidRDefault="006A22AB" w:rsidP="00E421EF">
      <w:pPr>
        <w:numPr>
          <w:ilvl w:val="0"/>
          <w:numId w:val="34"/>
        </w:numPr>
        <w:rPr>
          <w:rFonts w:ascii="Arial" w:hAnsi="Arial" w:cs="Arial"/>
        </w:rPr>
      </w:pPr>
      <w:r w:rsidRPr="00B05A21">
        <w:rPr>
          <w:rFonts w:ascii="Arial" w:hAnsi="Arial" w:cs="Arial"/>
        </w:rPr>
        <w:t>Cloud Software as a Service (SaaS)</w:t>
      </w:r>
    </w:p>
    <w:p w:rsidR="006A22AB" w:rsidRPr="00B05A21" w:rsidRDefault="006A22AB" w:rsidP="00E421EF">
      <w:pPr>
        <w:numPr>
          <w:ilvl w:val="0"/>
          <w:numId w:val="34"/>
        </w:numPr>
        <w:rPr>
          <w:rFonts w:ascii="Arial" w:hAnsi="Arial" w:cs="Arial"/>
        </w:rPr>
      </w:pPr>
      <w:r w:rsidRPr="00B05A21">
        <w:rPr>
          <w:rFonts w:ascii="Arial" w:hAnsi="Arial" w:cs="Arial"/>
        </w:rPr>
        <w:t>Cloud Platform as a Service (PaaS)</w:t>
      </w:r>
    </w:p>
    <w:p w:rsidR="006A22AB" w:rsidRPr="00B05A21" w:rsidRDefault="006A22AB" w:rsidP="00E421EF">
      <w:pPr>
        <w:numPr>
          <w:ilvl w:val="0"/>
          <w:numId w:val="34"/>
        </w:numPr>
        <w:rPr>
          <w:rFonts w:ascii="Arial" w:hAnsi="Arial" w:cs="Arial"/>
        </w:rPr>
      </w:pPr>
      <w:r w:rsidRPr="00B05A21">
        <w:rPr>
          <w:rFonts w:ascii="Arial" w:hAnsi="Arial" w:cs="Arial"/>
        </w:rPr>
        <w:t>Cloud Infrastructure as a Service (IaaS)</w:t>
      </w:r>
    </w:p>
    <w:p w:rsidR="006A22AB" w:rsidRPr="00B05A21" w:rsidRDefault="006A22AB" w:rsidP="00235B44">
      <w:pPr>
        <w:rPr>
          <w:rFonts w:ascii="Arial" w:hAnsi="Arial" w:cs="Arial"/>
          <w:color w:val="000000"/>
        </w:rPr>
      </w:pPr>
      <w:r w:rsidRPr="00B05A21">
        <w:rPr>
          <w:rFonts w:ascii="Arial" w:hAnsi="Arial" w:cs="Arial"/>
        </w:rPr>
        <w:t>Requirements found in SAM 4983-4983.1must be followed when contracting for Cloud Computing services.</w:t>
      </w:r>
    </w:p>
    <w:p w:rsidR="00235B44" w:rsidRPr="00B05A21" w:rsidRDefault="00235B44" w:rsidP="00235B44">
      <w:pPr>
        <w:pStyle w:val="BlockLine"/>
        <w:tabs>
          <w:tab w:val="left" w:pos="2655"/>
        </w:tabs>
        <w:rPr>
          <w:rFonts w:ascii="Arial" w:hAnsi="Arial" w:cs="Arial"/>
          <w:szCs w:val="24"/>
        </w:rPr>
      </w:pPr>
      <w:r w:rsidRPr="00B05A21">
        <w:rPr>
          <w:rFonts w:ascii="Arial" w:hAnsi="Arial" w:cs="Arial"/>
          <w:szCs w:val="24"/>
        </w:rPr>
        <w:tab/>
      </w:r>
    </w:p>
    <w:p w:rsidR="00BC0688" w:rsidRPr="003551BF" w:rsidRDefault="004842C6" w:rsidP="00CE7553">
      <w:pPr>
        <w:pStyle w:val="Heading2"/>
        <w:spacing w:after="120"/>
        <w:jc w:val="left"/>
        <w:rPr>
          <w:rFonts w:cs="Arial"/>
          <w:bCs/>
          <w:szCs w:val="32"/>
        </w:rPr>
      </w:pPr>
      <w:r w:rsidRPr="00B05A21">
        <w:rPr>
          <w:rFonts w:cs="Arial"/>
          <w:bCs/>
          <w:sz w:val="24"/>
          <w:szCs w:val="24"/>
        </w:rPr>
        <w:br w:type="page"/>
      </w:r>
      <w:bookmarkStart w:id="208" w:name="_Toc12885997"/>
      <w:r w:rsidR="00BC0688" w:rsidRPr="003551BF">
        <w:rPr>
          <w:rFonts w:cs="Arial"/>
          <w:bCs/>
          <w:szCs w:val="32"/>
        </w:rPr>
        <w:lastRenderedPageBreak/>
        <w:t>Topic 7 – Desktop and Mobile Computing Purchases</w:t>
      </w:r>
      <w:bookmarkEnd w:id="208"/>
    </w:p>
    <w:p w:rsidR="00BC0688" w:rsidRPr="00B05A21" w:rsidRDefault="00BC0688" w:rsidP="00BC0688">
      <w:pPr>
        <w:pStyle w:val="BlockLine"/>
        <w:tabs>
          <w:tab w:val="left" w:pos="2655"/>
        </w:tabs>
        <w:rPr>
          <w:rFonts w:ascii="Arial" w:hAnsi="Arial" w:cs="Arial"/>
          <w:szCs w:val="24"/>
        </w:rPr>
      </w:pPr>
      <w:r w:rsidRPr="00B05A21">
        <w:rPr>
          <w:rFonts w:ascii="Arial" w:hAnsi="Arial" w:cs="Arial"/>
          <w:szCs w:val="24"/>
        </w:rPr>
        <w:tab/>
      </w:r>
    </w:p>
    <w:p w:rsidR="00CE7553" w:rsidRPr="00B05A21" w:rsidRDefault="00CE7553" w:rsidP="00CE7553">
      <w:pPr>
        <w:pStyle w:val="Heading3"/>
        <w:spacing w:after="120"/>
        <w:jc w:val="left"/>
        <w:rPr>
          <w:rFonts w:cs="Arial"/>
          <w:bCs/>
          <w:sz w:val="24"/>
          <w:szCs w:val="24"/>
        </w:rPr>
      </w:pPr>
      <w:bookmarkStart w:id="209" w:name="_Toc12885998"/>
      <w:r w:rsidRPr="00B05A21">
        <w:rPr>
          <w:rFonts w:cs="Arial"/>
          <w:bCs/>
          <w:sz w:val="24"/>
          <w:szCs w:val="24"/>
        </w:rPr>
        <w:t xml:space="preserve">2.B7.0   Requirements </w:t>
      </w:r>
      <w:bookmarkEnd w:id="209"/>
    </w:p>
    <w:p w:rsidR="00CE7553" w:rsidRPr="00B05A21" w:rsidRDefault="00CE7553" w:rsidP="00BC0688">
      <w:pPr>
        <w:pStyle w:val="BlockText0"/>
        <w:rPr>
          <w:rFonts w:ascii="Arial" w:hAnsi="Arial" w:cs="Arial"/>
          <w:szCs w:val="24"/>
        </w:rPr>
      </w:pPr>
      <w:r w:rsidRPr="00B05A21">
        <w:rPr>
          <w:rFonts w:ascii="Arial" w:hAnsi="Arial" w:cs="Arial"/>
          <w:szCs w:val="24"/>
        </w:rPr>
        <w:t>CDT delegates authority in lieu of requiring submittal of a Feasibility Study Report (FSR) to acquire desktop and mobile computer goods to departments that (see SAM section 4989-4989.3):</w:t>
      </w:r>
    </w:p>
    <w:p w:rsidR="00CE7553" w:rsidRPr="00B05A21" w:rsidRDefault="00CE7553" w:rsidP="00BC0688">
      <w:pPr>
        <w:pStyle w:val="BulletText1"/>
        <w:tabs>
          <w:tab w:val="clear" w:pos="173"/>
          <w:tab w:val="num" w:pos="374"/>
        </w:tabs>
        <w:ind w:left="374" w:hanging="374"/>
        <w:rPr>
          <w:rFonts w:ascii="Arial" w:hAnsi="Arial" w:cs="Arial"/>
          <w:szCs w:val="24"/>
        </w:rPr>
      </w:pPr>
      <w:r w:rsidRPr="00B05A21">
        <w:rPr>
          <w:rFonts w:ascii="Arial" w:hAnsi="Arial" w:cs="Arial"/>
          <w:szCs w:val="24"/>
        </w:rPr>
        <w:t>Have submitted acceptable Disaster Recovery Plans (DRP) or DRP certifications to CDT,</w:t>
      </w:r>
    </w:p>
    <w:p w:rsidR="00CE7553" w:rsidRPr="00B05A21" w:rsidRDefault="00CE7553" w:rsidP="00BC0688">
      <w:pPr>
        <w:pStyle w:val="BulletText1"/>
        <w:tabs>
          <w:tab w:val="clear" w:pos="173"/>
          <w:tab w:val="num" w:pos="374"/>
        </w:tabs>
        <w:ind w:left="374" w:hanging="374"/>
        <w:rPr>
          <w:rFonts w:ascii="Arial" w:hAnsi="Arial" w:cs="Arial"/>
          <w:szCs w:val="24"/>
        </w:rPr>
      </w:pPr>
      <w:r w:rsidRPr="00B05A21">
        <w:rPr>
          <w:rFonts w:ascii="Arial" w:hAnsi="Arial" w:cs="Arial"/>
          <w:szCs w:val="24"/>
        </w:rPr>
        <w:t>Maintain compliance with all applicable State IT security provisions as defined in SAM section 4800, and</w:t>
      </w:r>
    </w:p>
    <w:p w:rsidR="00CE7553" w:rsidRPr="00B05A21" w:rsidRDefault="00CE7553" w:rsidP="00BC0688">
      <w:pPr>
        <w:pStyle w:val="BulletText1"/>
        <w:tabs>
          <w:tab w:val="clear" w:pos="173"/>
          <w:tab w:val="num" w:pos="374"/>
        </w:tabs>
        <w:ind w:left="374" w:hanging="374"/>
        <w:rPr>
          <w:rFonts w:ascii="Arial" w:hAnsi="Arial" w:cs="Arial"/>
          <w:szCs w:val="24"/>
        </w:rPr>
      </w:pPr>
      <w:r w:rsidRPr="00B05A21">
        <w:rPr>
          <w:rFonts w:ascii="Arial" w:hAnsi="Arial" w:cs="Arial"/>
          <w:szCs w:val="24"/>
        </w:rPr>
        <w:t xml:space="preserve">Have appropriate plans for the use of desktop and mobile computing goods. </w:t>
      </w:r>
    </w:p>
    <w:p w:rsidR="00CE7553" w:rsidRPr="00B05A21" w:rsidRDefault="00CE7553" w:rsidP="00BC0688">
      <w:pPr>
        <w:pStyle w:val="BlockText0"/>
        <w:rPr>
          <w:rFonts w:ascii="Arial" w:hAnsi="Arial" w:cs="Arial"/>
          <w:szCs w:val="24"/>
        </w:rPr>
      </w:pPr>
    </w:p>
    <w:p w:rsidR="00CE7553" w:rsidRPr="00B05A21" w:rsidRDefault="00CE7553" w:rsidP="00BC0688">
      <w:pPr>
        <w:pStyle w:val="BlockText0"/>
        <w:rPr>
          <w:rFonts w:ascii="Arial" w:hAnsi="Arial" w:cs="Arial"/>
          <w:szCs w:val="24"/>
        </w:rPr>
      </w:pPr>
      <w:r w:rsidRPr="00B05A21">
        <w:rPr>
          <w:rFonts w:ascii="Arial" w:hAnsi="Arial" w:cs="Arial"/>
          <w:szCs w:val="24"/>
        </w:rPr>
        <w:t>Under the Desktop and Mobile Computing Policy (DMCP) departments may acquire desktop and mobile computing goods necessary to support programmatic functions and business needs may be acquired.</w:t>
      </w:r>
    </w:p>
    <w:p w:rsidR="00CE7553" w:rsidRPr="00B05A21" w:rsidRDefault="00CE7553" w:rsidP="00BC0688">
      <w:pPr>
        <w:pStyle w:val="BlockText0"/>
        <w:rPr>
          <w:rFonts w:ascii="Arial" w:hAnsi="Arial" w:cs="Arial"/>
          <w:szCs w:val="24"/>
        </w:rPr>
      </w:pPr>
    </w:p>
    <w:p w:rsidR="00CE7553" w:rsidRPr="00B05A21" w:rsidRDefault="00CE7553" w:rsidP="00BC0688">
      <w:pPr>
        <w:pStyle w:val="BlockText0"/>
        <w:rPr>
          <w:rFonts w:ascii="Arial" w:hAnsi="Arial" w:cs="Arial"/>
          <w:szCs w:val="24"/>
        </w:rPr>
      </w:pPr>
      <w:r w:rsidRPr="00B05A21">
        <w:rPr>
          <w:rFonts w:ascii="Arial" w:hAnsi="Arial" w:cs="Arial"/>
          <w:b/>
          <w:szCs w:val="24"/>
        </w:rPr>
        <w:t>Note</w:t>
      </w:r>
      <w:r w:rsidRPr="00B05A21">
        <w:rPr>
          <w:rFonts w:ascii="Arial" w:hAnsi="Arial" w:cs="Arial"/>
          <w:szCs w:val="24"/>
        </w:rPr>
        <w:t>:  This does not exclude departments from continuing to establish and maintain appropriate standards for the purchase of desktop and mobile computing goods.</w:t>
      </w:r>
    </w:p>
    <w:p w:rsidR="00BC0688" w:rsidRPr="00B05A21" w:rsidRDefault="00BC0688" w:rsidP="00BC0688">
      <w:pPr>
        <w:pStyle w:val="BlockLine"/>
        <w:tabs>
          <w:tab w:val="left" w:pos="2655"/>
        </w:tabs>
        <w:rPr>
          <w:rFonts w:ascii="Arial" w:hAnsi="Arial" w:cs="Arial"/>
          <w:szCs w:val="24"/>
        </w:rPr>
      </w:pPr>
      <w:r w:rsidRPr="00B05A21">
        <w:rPr>
          <w:rFonts w:ascii="Arial" w:hAnsi="Arial" w:cs="Arial"/>
          <w:szCs w:val="24"/>
        </w:rPr>
        <w:tab/>
      </w:r>
    </w:p>
    <w:p w:rsidR="001F5FD0" w:rsidRPr="00B05A21" w:rsidRDefault="001F5FD0" w:rsidP="0000665F">
      <w:pPr>
        <w:pStyle w:val="Heading3"/>
        <w:spacing w:after="120"/>
        <w:jc w:val="left"/>
        <w:rPr>
          <w:rFonts w:cs="Arial"/>
          <w:bCs/>
          <w:sz w:val="24"/>
          <w:szCs w:val="24"/>
        </w:rPr>
      </w:pPr>
      <w:bookmarkStart w:id="210" w:name="_Toc12885999"/>
      <w:r w:rsidRPr="00B05A21">
        <w:rPr>
          <w:rFonts w:cs="Arial"/>
          <w:bCs/>
          <w:sz w:val="24"/>
          <w:szCs w:val="24"/>
        </w:rPr>
        <w:t>2.B7.1   Allowed purchases</w:t>
      </w:r>
      <w:bookmarkEnd w:id="210"/>
    </w:p>
    <w:p w:rsidR="001F5FD0" w:rsidRPr="00B05A21" w:rsidRDefault="001F5FD0" w:rsidP="00BC0688">
      <w:pPr>
        <w:pStyle w:val="BlockText0"/>
        <w:rPr>
          <w:rFonts w:ascii="Arial" w:hAnsi="Arial" w:cs="Arial"/>
          <w:szCs w:val="24"/>
        </w:rPr>
      </w:pPr>
      <w:r w:rsidRPr="00B05A21">
        <w:rPr>
          <w:rFonts w:ascii="Arial" w:hAnsi="Arial" w:cs="Arial"/>
          <w:szCs w:val="24"/>
        </w:rPr>
        <w:t>The DMCP includes the acquisition and support of:</w:t>
      </w:r>
    </w:p>
    <w:p w:rsidR="001F5FD0" w:rsidRPr="00B05A21" w:rsidRDefault="001F5FD0" w:rsidP="00BC0688">
      <w:pPr>
        <w:pStyle w:val="BulletText1"/>
        <w:tabs>
          <w:tab w:val="clear" w:pos="173"/>
          <w:tab w:val="num" w:pos="374"/>
        </w:tabs>
        <w:ind w:left="374" w:hanging="374"/>
        <w:rPr>
          <w:rFonts w:ascii="Arial" w:hAnsi="Arial" w:cs="Arial"/>
          <w:szCs w:val="24"/>
        </w:rPr>
      </w:pPr>
      <w:r w:rsidRPr="00B05A21">
        <w:rPr>
          <w:rFonts w:ascii="Arial" w:hAnsi="Arial" w:cs="Arial"/>
          <w:szCs w:val="24"/>
        </w:rPr>
        <w:t>Personal computers</w:t>
      </w:r>
    </w:p>
    <w:p w:rsidR="001F5FD0" w:rsidRPr="00B05A21" w:rsidRDefault="001F5FD0" w:rsidP="00BC0688">
      <w:pPr>
        <w:pStyle w:val="BulletText1"/>
        <w:tabs>
          <w:tab w:val="clear" w:pos="173"/>
          <w:tab w:val="num" w:pos="374"/>
        </w:tabs>
        <w:ind w:left="374" w:hanging="374"/>
        <w:rPr>
          <w:rFonts w:ascii="Arial" w:hAnsi="Arial" w:cs="Arial"/>
          <w:szCs w:val="24"/>
        </w:rPr>
      </w:pPr>
      <w:r w:rsidRPr="00B05A21">
        <w:rPr>
          <w:rFonts w:ascii="Arial" w:hAnsi="Arial" w:cs="Arial"/>
          <w:szCs w:val="24"/>
        </w:rPr>
        <w:t>Laptop computers</w:t>
      </w:r>
    </w:p>
    <w:p w:rsidR="001F5FD0" w:rsidRPr="00B05A21" w:rsidRDefault="001F5FD0" w:rsidP="00BC0688">
      <w:pPr>
        <w:pStyle w:val="BulletText1"/>
        <w:tabs>
          <w:tab w:val="clear" w:pos="173"/>
          <w:tab w:val="num" w:pos="374"/>
        </w:tabs>
        <w:ind w:left="374" w:hanging="374"/>
        <w:rPr>
          <w:rFonts w:ascii="Arial" w:hAnsi="Arial" w:cs="Arial"/>
          <w:szCs w:val="24"/>
        </w:rPr>
      </w:pPr>
      <w:r w:rsidRPr="00B05A21">
        <w:rPr>
          <w:rFonts w:ascii="Arial" w:hAnsi="Arial" w:cs="Arial"/>
          <w:szCs w:val="24"/>
        </w:rPr>
        <w:t>Personal digital assistants</w:t>
      </w:r>
    </w:p>
    <w:p w:rsidR="001F5FD0" w:rsidRPr="00B05A21" w:rsidRDefault="001F5FD0" w:rsidP="00BC0688">
      <w:pPr>
        <w:pStyle w:val="BulletText1"/>
        <w:tabs>
          <w:tab w:val="clear" w:pos="173"/>
          <w:tab w:val="num" w:pos="374"/>
        </w:tabs>
        <w:ind w:left="374" w:hanging="374"/>
        <w:rPr>
          <w:rFonts w:ascii="Arial" w:hAnsi="Arial" w:cs="Arial"/>
          <w:szCs w:val="24"/>
        </w:rPr>
      </w:pPr>
      <w:r w:rsidRPr="00B05A21">
        <w:rPr>
          <w:rFonts w:ascii="Arial" w:hAnsi="Arial" w:cs="Arial"/>
          <w:szCs w:val="24"/>
        </w:rPr>
        <w:t>Peripheral equipment (e.g., printers)</w:t>
      </w:r>
    </w:p>
    <w:p w:rsidR="001F5FD0" w:rsidRPr="00B05A21" w:rsidRDefault="001F5FD0" w:rsidP="00BC0688">
      <w:pPr>
        <w:pStyle w:val="BulletText1"/>
        <w:tabs>
          <w:tab w:val="clear" w:pos="173"/>
          <w:tab w:val="num" w:pos="374"/>
        </w:tabs>
        <w:ind w:left="374" w:hanging="374"/>
        <w:rPr>
          <w:rFonts w:ascii="Arial" w:hAnsi="Arial" w:cs="Arial"/>
          <w:szCs w:val="24"/>
        </w:rPr>
      </w:pPr>
      <w:r w:rsidRPr="00B05A21">
        <w:rPr>
          <w:rFonts w:ascii="Arial" w:hAnsi="Arial" w:cs="Arial"/>
          <w:szCs w:val="24"/>
        </w:rPr>
        <w:t>Local Area Networks</w:t>
      </w:r>
    </w:p>
    <w:p w:rsidR="001F5FD0" w:rsidRPr="00B05A21" w:rsidRDefault="001F5FD0" w:rsidP="00BC0688">
      <w:pPr>
        <w:pStyle w:val="BulletText1"/>
        <w:tabs>
          <w:tab w:val="clear" w:pos="173"/>
          <w:tab w:val="num" w:pos="374"/>
        </w:tabs>
        <w:ind w:left="374" w:hanging="374"/>
        <w:rPr>
          <w:rFonts w:ascii="Arial" w:hAnsi="Arial" w:cs="Arial"/>
          <w:szCs w:val="24"/>
        </w:rPr>
      </w:pPr>
      <w:r w:rsidRPr="00B05A21">
        <w:rPr>
          <w:rFonts w:ascii="Arial" w:hAnsi="Arial" w:cs="Arial"/>
          <w:szCs w:val="24"/>
        </w:rPr>
        <w:t>Other equipment and software commonly required for most state employees to perform daily business transactions.</w:t>
      </w:r>
    </w:p>
    <w:p w:rsidR="001F5FD0" w:rsidRPr="00B05A21" w:rsidRDefault="001F5FD0" w:rsidP="00BC0688">
      <w:pPr>
        <w:pStyle w:val="BulletText1"/>
        <w:tabs>
          <w:tab w:val="clear" w:pos="173"/>
          <w:tab w:val="num" w:pos="374"/>
        </w:tabs>
        <w:ind w:left="374" w:hanging="374"/>
        <w:rPr>
          <w:rFonts w:ascii="Arial" w:hAnsi="Arial" w:cs="Arial"/>
          <w:szCs w:val="24"/>
        </w:rPr>
      </w:pPr>
      <w:r w:rsidRPr="00B05A21">
        <w:rPr>
          <w:rFonts w:ascii="Arial" w:hAnsi="Arial" w:cs="Arial"/>
          <w:szCs w:val="24"/>
        </w:rPr>
        <w:t>Software typically purchased and installed on a standard desktop or mobile computer such as:</w:t>
      </w:r>
    </w:p>
    <w:p w:rsidR="001F5FD0" w:rsidRPr="00B05A21" w:rsidRDefault="001F5FD0" w:rsidP="00BC0688">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Word processing</w:t>
      </w:r>
    </w:p>
    <w:p w:rsidR="001F5FD0" w:rsidRPr="00B05A21" w:rsidRDefault="001F5FD0" w:rsidP="00BC0688">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Spreadsheets</w:t>
      </w:r>
    </w:p>
    <w:p w:rsidR="001F5FD0" w:rsidRPr="00B05A21" w:rsidRDefault="001F5FD0" w:rsidP="00BC0688">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Desktop database</w:t>
      </w:r>
    </w:p>
    <w:p w:rsidR="001F5FD0" w:rsidRPr="00B05A21" w:rsidRDefault="001F5FD0" w:rsidP="00BC0688">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Other non-modifiable commercial-off-the-shelf (COTS)</w:t>
      </w:r>
    </w:p>
    <w:p w:rsidR="001F5FD0" w:rsidRPr="00B05A21" w:rsidRDefault="001F5FD0" w:rsidP="00BC0688">
      <w:pPr>
        <w:pStyle w:val="BlockText0"/>
        <w:rPr>
          <w:rFonts w:ascii="Arial" w:hAnsi="Arial" w:cs="Arial"/>
          <w:szCs w:val="24"/>
        </w:rPr>
      </w:pPr>
    </w:p>
    <w:p w:rsidR="001F5FD0" w:rsidRPr="00B05A21" w:rsidRDefault="001F5FD0" w:rsidP="00BC0688">
      <w:pPr>
        <w:rPr>
          <w:rFonts w:ascii="Arial" w:hAnsi="Arial" w:cs="Arial"/>
        </w:rPr>
      </w:pPr>
      <w:r w:rsidRPr="00B05A21">
        <w:rPr>
          <w:rFonts w:ascii="Arial" w:hAnsi="Arial" w:cs="Arial"/>
        </w:rPr>
        <w:t>See SAM section 4989.1 for additional desktop and mobile computing definitions.</w:t>
      </w:r>
    </w:p>
    <w:p w:rsidR="00BC0688" w:rsidRPr="00B05A21" w:rsidRDefault="00BC0688" w:rsidP="00BC0688">
      <w:pPr>
        <w:pStyle w:val="BlockLine"/>
        <w:tabs>
          <w:tab w:val="left" w:pos="2655"/>
        </w:tabs>
        <w:rPr>
          <w:rFonts w:ascii="Arial" w:hAnsi="Arial" w:cs="Arial"/>
          <w:szCs w:val="24"/>
        </w:rPr>
      </w:pPr>
      <w:r w:rsidRPr="00B05A21">
        <w:rPr>
          <w:rFonts w:ascii="Arial" w:hAnsi="Arial" w:cs="Arial"/>
          <w:szCs w:val="24"/>
        </w:rPr>
        <w:tab/>
      </w:r>
    </w:p>
    <w:p w:rsidR="0000665F" w:rsidRPr="00B05A21" w:rsidRDefault="0000665F" w:rsidP="0000665F">
      <w:pPr>
        <w:pStyle w:val="Heading3"/>
        <w:spacing w:after="120"/>
        <w:jc w:val="left"/>
        <w:rPr>
          <w:rFonts w:cs="Arial"/>
          <w:bCs/>
          <w:sz w:val="24"/>
          <w:szCs w:val="24"/>
        </w:rPr>
      </w:pPr>
      <w:bookmarkStart w:id="211" w:name="_Toc12886000"/>
      <w:r w:rsidRPr="00B05A21">
        <w:rPr>
          <w:rFonts w:cs="Arial"/>
          <w:bCs/>
          <w:sz w:val="24"/>
          <w:szCs w:val="24"/>
        </w:rPr>
        <w:t>2.B7.2   Excluded purchases</w:t>
      </w:r>
      <w:bookmarkEnd w:id="211"/>
    </w:p>
    <w:p w:rsidR="0000665F" w:rsidRPr="00B05A21" w:rsidRDefault="0000665F" w:rsidP="00BC0688">
      <w:pPr>
        <w:pStyle w:val="BlockText0"/>
        <w:rPr>
          <w:rFonts w:ascii="Arial" w:hAnsi="Arial" w:cs="Arial"/>
          <w:szCs w:val="24"/>
        </w:rPr>
      </w:pPr>
      <w:r w:rsidRPr="00B05A21">
        <w:rPr>
          <w:rFonts w:ascii="Arial" w:hAnsi="Arial" w:cs="Arial"/>
          <w:szCs w:val="24"/>
        </w:rPr>
        <w:t>In accordance with SAM section 4989.2 the following activities are excluded from the DMCP and must be justified in accordance with SAM sections 4819.3 through 4819.42:</w:t>
      </w:r>
    </w:p>
    <w:p w:rsidR="0000665F" w:rsidRPr="00B05A21" w:rsidRDefault="0000665F" w:rsidP="00BC0688">
      <w:pPr>
        <w:pStyle w:val="BulletText1"/>
        <w:tabs>
          <w:tab w:val="clear" w:pos="173"/>
          <w:tab w:val="num" w:pos="374"/>
        </w:tabs>
        <w:ind w:left="374" w:hanging="374"/>
        <w:rPr>
          <w:rFonts w:ascii="Arial" w:hAnsi="Arial" w:cs="Arial"/>
          <w:szCs w:val="24"/>
        </w:rPr>
      </w:pPr>
      <w:r w:rsidRPr="00B05A21">
        <w:rPr>
          <w:rFonts w:ascii="Arial" w:hAnsi="Arial" w:cs="Arial"/>
          <w:szCs w:val="24"/>
          <w:u w:val="single"/>
        </w:rPr>
        <w:t xml:space="preserve">IT Projects </w:t>
      </w:r>
      <w:r w:rsidRPr="00B05A21">
        <w:rPr>
          <w:rFonts w:ascii="Arial" w:hAnsi="Arial" w:cs="Arial"/>
          <w:szCs w:val="24"/>
        </w:rPr>
        <w:t>– as defined in SAM section 4819.2, beyond the acquisition, installation and operation of DMCP goods.</w:t>
      </w:r>
    </w:p>
    <w:p w:rsidR="0000665F" w:rsidRPr="00B05A21" w:rsidRDefault="0000665F" w:rsidP="00BC0688">
      <w:pPr>
        <w:pStyle w:val="BulletText1"/>
        <w:tabs>
          <w:tab w:val="clear" w:pos="173"/>
          <w:tab w:val="num" w:pos="374"/>
        </w:tabs>
        <w:ind w:left="374" w:hanging="374"/>
        <w:rPr>
          <w:rFonts w:ascii="Arial" w:hAnsi="Arial" w:cs="Arial"/>
          <w:szCs w:val="24"/>
        </w:rPr>
      </w:pPr>
      <w:r w:rsidRPr="00B05A21">
        <w:rPr>
          <w:rFonts w:ascii="Arial" w:hAnsi="Arial" w:cs="Arial"/>
          <w:szCs w:val="24"/>
          <w:u w:val="single"/>
        </w:rPr>
        <w:lastRenderedPageBreak/>
        <w:t>Budget Actions</w:t>
      </w:r>
      <w:r w:rsidRPr="00B05A21">
        <w:rPr>
          <w:rFonts w:ascii="Arial" w:hAnsi="Arial" w:cs="Arial"/>
          <w:szCs w:val="24"/>
        </w:rPr>
        <w:t xml:space="preserve"> – any acquisition, maintenance or support of desktop and mobile computing IT goods, which requires a Budget Change Proposal, a Budget Revision or other budget action.</w:t>
      </w:r>
    </w:p>
    <w:p w:rsidR="0000665F" w:rsidRPr="00B05A21" w:rsidRDefault="0000665F" w:rsidP="00BC0688">
      <w:pPr>
        <w:pStyle w:val="BulletText1"/>
        <w:tabs>
          <w:tab w:val="clear" w:pos="173"/>
          <w:tab w:val="num" w:pos="374"/>
        </w:tabs>
        <w:ind w:left="374" w:hanging="374"/>
        <w:rPr>
          <w:rFonts w:ascii="Arial" w:hAnsi="Arial" w:cs="Arial"/>
          <w:szCs w:val="24"/>
        </w:rPr>
      </w:pPr>
      <w:r w:rsidRPr="00B05A21">
        <w:rPr>
          <w:rFonts w:ascii="Arial" w:hAnsi="Arial" w:cs="Arial"/>
          <w:szCs w:val="24"/>
          <w:u w:val="single"/>
        </w:rPr>
        <w:t>Specialized or single-purpose systems</w:t>
      </w:r>
      <w:r w:rsidRPr="00B05A21">
        <w:rPr>
          <w:rFonts w:ascii="Arial" w:hAnsi="Arial" w:cs="Arial"/>
          <w:szCs w:val="24"/>
        </w:rPr>
        <w:t xml:space="preserve"> – such as computer-aided design systems, desktop publishing systems, programmer workbench systems or artificial intelligence systems. </w:t>
      </w:r>
    </w:p>
    <w:p w:rsidR="0000665F" w:rsidRPr="00B05A21" w:rsidRDefault="0000665F" w:rsidP="00BC0688">
      <w:pPr>
        <w:pStyle w:val="BulletText1"/>
        <w:tabs>
          <w:tab w:val="clear" w:pos="173"/>
          <w:tab w:val="num" w:pos="374"/>
        </w:tabs>
        <w:ind w:left="374" w:hanging="374"/>
        <w:rPr>
          <w:rFonts w:ascii="Arial" w:hAnsi="Arial" w:cs="Arial"/>
          <w:szCs w:val="24"/>
        </w:rPr>
      </w:pPr>
      <w:r w:rsidRPr="00B05A21">
        <w:rPr>
          <w:rFonts w:ascii="Arial" w:hAnsi="Arial" w:cs="Arial"/>
          <w:szCs w:val="24"/>
          <w:u w:val="single"/>
        </w:rPr>
        <w:t xml:space="preserve">Infrastructure or platform migration </w:t>
      </w:r>
      <w:r w:rsidRPr="00B05A21">
        <w:rPr>
          <w:rFonts w:ascii="Arial" w:hAnsi="Arial" w:cs="Arial"/>
          <w:szCs w:val="24"/>
        </w:rPr>
        <w:t>– acquisitions associated with or mandated by a change in a department’s standard technical architecture for servers, desktops and/or mobile computing platforms.  Migrating to a newer version within the existing standard’s product family is not considered an infrastructure or platform migration.</w:t>
      </w:r>
    </w:p>
    <w:p w:rsidR="0000665F" w:rsidRPr="00B05A21" w:rsidRDefault="0000665F" w:rsidP="00BC0688">
      <w:pPr>
        <w:pStyle w:val="BulletText1"/>
        <w:tabs>
          <w:tab w:val="clear" w:pos="173"/>
          <w:tab w:val="num" w:pos="374"/>
        </w:tabs>
        <w:ind w:left="374" w:hanging="374"/>
        <w:rPr>
          <w:rFonts w:ascii="Arial" w:hAnsi="Arial" w:cs="Arial"/>
          <w:szCs w:val="24"/>
        </w:rPr>
      </w:pPr>
      <w:r w:rsidRPr="00B05A21">
        <w:rPr>
          <w:rFonts w:ascii="Arial" w:hAnsi="Arial" w:cs="Arial"/>
          <w:szCs w:val="24"/>
          <w:u w:val="single"/>
        </w:rPr>
        <w:t>Wide Area Networks (WAN)</w:t>
      </w:r>
      <w:r w:rsidRPr="00B05A21">
        <w:rPr>
          <w:rFonts w:ascii="Arial" w:hAnsi="Arial" w:cs="Arial"/>
          <w:szCs w:val="24"/>
        </w:rPr>
        <w:t xml:space="preserve"> – acquisition, maintenance or support of desktop and mobile computing goods specifically to install or operate a WAN.</w:t>
      </w:r>
    </w:p>
    <w:p w:rsidR="00BC0688" w:rsidRPr="00B05A21" w:rsidRDefault="00BC0688" w:rsidP="00BC0688">
      <w:pPr>
        <w:pStyle w:val="BlockLine"/>
        <w:tabs>
          <w:tab w:val="left" w:pos="2655"/>
        </w:tabs>
        <w:rPr>
          <w:rFonts w:ascii="Arial" w:hAnsi="Arial" w:cs="Arial"/>
          <w:szCs w:val="24"/>
        </w:rPr>
      </w:pPr>
      <w:r w:rsidRPr="00B05A21">
        <w:rPr>
          <w:rFonts w:ascii="Arial" w:hAnsi="Arial" w:cs="Arial"/>
          <w:szCs w:val="24"/>
        </w:rPr>
        <w:tab/>
      </w:r>
    </w:p>
    <w:p w:rsidR="001A38EA" w:rsidRPr="00B05A21" w:rsidRDefault="001A38EA" w:rsidP="001A38EA">
      <w:pPr>
        <w:pStyle w:val="Heading3"/>
        <w:spacing w:after="120"/>
        <w:jc w:val="left"/>
        <w:rPr>
          <w:rFonts w:cs="Arial"/>
          <w:bCs/>
          <w:sz w:val="24"/>
          <w:szCs w:val="24"/>
        </w:rPr>
      </w:pPr>
      <w:bookmarkStart w:id="212" w:name="_Toc12886001"/>
      <w:r w:rsidRPr="00B05A21">
        <w:rPr>
          <w:rFonts w:cs="Arial"/>
          <w:bCs/>
          <w:sz w:val="24"/>
          <w:szCs w:val="24"/>
        </w:rPr>
        <w:t>2.B7.3   File documentation</w:t>
      </w:r>
      <w:bookmarkEnd w:id="212"/>
    </w:p>
    <w:p w:rsidR="001A38EA" w:rsidRPr="00B05A21" w:rsidRDefault="001A38EA" w:rsidP="00BC0688">
      <w:pPr>
        <w:pStyle w:val="BlockText0"/>
        <w:rPr>
          <w:rFonts w:ascii="Arial" w:hAnsi="Arial" w:cs="Arial"/>
          <w:szCs w:val="24"/>
        </w:rPr>
      </w:pPr>
      <w:r w:rsidRPr="00B05A21">
        <w:rPr>
          <w:rFonts w:ascii="Arial" w:hAnsi="Arial" w:cs="Arial"/>
          <w:szCs w:val="24"/>
        </w:rPr>
        <w:t>Purchases acquired under the DMCP for desktop and mobile computing equipment must include, within the procurement file, sufficient justification to support that the purchase was conducted in accordance with established hardware, software and security standards for desktop and mobile computing.</w:t>
      </w:r>
    </w:p>
    <w:p w:rsidR="001A38EA" w:rsidRPr="00B05A21" w:rsidRDefault="001A38EA" w:rsidP="00BC0688">
      <w:pPr>
        <w:pStyle w:val="BlockText0"/>
        <w:rPr>
          <w:rFonts w:ascii="Arial" w:hAnsi="Arial" w:cs="Arial"/>
          <w:szCs w:val="24"/>
        </w:rPr>
      </w:pPr>
    </w:p>
    <w:p w:rsidR="001A38EA" w:rsidRPr="00B05A21" w:rsidRDefault="001A38EA" w:rsidP="00BC0688">
      <w:pPr>
        <w:pStyle w:val="Heading4"/>
        <w:tabs>
          <w:tab w:val="left" w:pos="935"/>
        </w:tabs>
        <w:spacing w:after="0"/>
        <w:rPr>
          <w:rFonts w:cs="Arial"/>
          <w:b w:val="0"/>
          <w:sz w:val="24"/>
          <w:szCs w:val="24"/>
        </w:rPr>
      </w:pPr>
      <w:r w:rsidRPr="00B05A21">
        <w:rPr>
          <w:rFonts w:cs="Arial"/>
          <w:b w:val="0"/>
          <w:sz w:val="24"/>
          <w:szCs w:val="24"/>
        </w:rPr>
        <w:t>A statement of fact must be included for each purchase executed under the authority of the DMCP.</w:t>
      </w:r>
    </w:p>
    <w:p w:rsidR="00BC0688" w:rsidRPr="00B05A21" w:rsidRDefault="00BC0688" w:rsidP="00BC0688">
      <w:pPr>
        <w:pStyle w:val="BlockLine"/>
        <w:tabs>
          <w:tab w:val="left" w:pos="2655"/>
        </w:tabs>
        <w:rPr>
          <w:rFonts w:ascii="Arial" w:hAnsi="Arial" w:cs="Arial"/>
          <w:szCs w:val="24"/>
        </w:rPr>
      </w:pPr>
    </w:p>
    <w:p w:rsidR="00C96CAE" w:rsidRPr="003551BF" w:rsidRDefault="00737588" w:rsidP="00C8516C">
      <w:pPr>
        <w:pStyle w:val="Heading2"/>
        <w:spacing w:after="120"/>
        <w:jc w:val="left"/>
        <w:rPr>
          <w:rFonts w:cs="Arial"/>
          <w:bCs/>
          <w:szCs w:val="32"/>
        </w:rPr>
      </w:pPr>
      <w:bookmarkStart w:id="213" w:name="_Topic_7_–_Desktop_and_Mobile_Comput_2"/>
      <w:bookmarkStart w:id="214" w:name="_Topic_7_–_Desktop_and_Mobile_Comput_1"/>
      <w:bookmarkStart w:id="215" w:name="_Topic_7_–_Desktop_and_Mobile_Comput"/>
      <w:bookmarkStart w:id="216" w:name="_Topic_8_–_Emergency_Purchases_2"/>
      <w:bookmarkStart w:id="217" w:name="_Topic_8_–_Emergency_Purchases_1"/>
      <w:bookmarkStart w:id="218" w:name="_Topic_8_–_Emergency_Purchases"/>
      <w:bookmarkStart w:id="219" w:name="_Toc83450120"/>
      <w:bookmarkStart w:id="220" w:name="_Toc116951956"/>
      <w:bookmarkEnd w:id="213"/>
      <w:bookmarkEnd w:id="214"/>
      <w:bookmarkEnd w:id="215"/>
      <w:bookmarkEnd w:id="216"/>
      <w:bookmarkEnd w:id="217"/>
      <w:bookmarkEnd w:id="218"/>
      <w:r w:rsidRPr="00B05A21">
        <w:rPr>
          <w:rFonts w:cs="Arial"/>
          <w:b w:val="0"/>
          <w:sz w:val="24"/>
          <w:szCs w:val="24"/>
        </w:rPr>
        <w:br w:type="page"/>
      </w:r>
      <w:bookmarkStart w:id="221" w:name="_Toc12886002"/>
      <w:r w:rsidR="00C96CAE" w:rsidRPr="003551BF">
        <w:rPr>
          <w:rFonts w:cs="Arial"/>
          <w:bCs/>
          <w:szCs w:val="32"/>
        </w:rPr>
        <w:lastRenderedPageBreak/>
        <w:t>Topic 8 – Emergency Purchases</w:t>
      </w:r>
      <w:bookmarkEnd w:id="221"/>
    </w:p>
    <w:p w:rsidR="00C96CAE" w:rsidRPr="00B05A21" w:rsidRDefault="00C96CAE" w:rsidP="00C96CAE">
      <w:pPr>
        <w:pStyle w:val="BlockLine"/>
        <w:tabs>
          <w:tab w:val="left" w:pos="2655"/>
        </w:tabs>
        <w:rPr>
          <w:rFonts w:ascii="Arial" w:hAnsi="Arial" w:cs="Arial"/>
          <w:szCs w:val="24"/>
        </w:rPr>
      </w:pPr>
      <w:r w:rsidRPr="00B05A21">
        <w:rPr>
          <w:rFonts w:ascii="Arial" w:hAnsi="Arial" w:cs="Arial"/>
          <w:szCs w:val="24"/>
        </w:rPr>
        <w:tab/>
      </w:r>
    </w:p>
    <w:p w:rsidR="00C8516C" w:rsidRPr="00B05A21" w:rsidRDefault="00C8516C" w:rsidP="00C8516C">
      <w:pPr>
        <w:pStyle w:val="Heading3"/>
        <w:spacing w:after="120"/>
        <w:jc w:val="left"/>
        <w:rPr>
          <w:rFonts w:cs="Arial"/>
          <w:bCs/>
          <w:sz w:val="24"/>
          <w:szCs w:val="24"/>
        </w:rPr>
      </w:pPr>
      <w:bookmarkStart w:id="222" w:name="_Toc12886003"/>
      <w:r w:rsidRPr="00B05A21">
        <w:rPr>
          <w:rFonts w:cs="Arial"/>
          <w:bCs/>
          <w:sz w:val="24"/>
          <w:szCs w:val="24"/>
        </w:rPr>
        <w:t>2.B8.0   Definition</w:t>
      </w:r>
      <w:bookmarkEnd w:id="222"/>
    </w:p>
    <w:p w:rsidR="00C8516C" w:rsidRPr="00B05A21" w:rsidRDefault="00C8516C" w:rsidP="00C96CAE">
      <w:pPr>
        <w:rPr>
          <w:rFonts w:ascii="Arial" w:hAnsi="Arial" w:cs="Arial"/>
        </w:rPr>
      </w:pPr>
      <w:r w:rsidRPr="00B05A21">
        <w:rPr>
          <w:rFonts w:ascii="Arial" w:hAnsi="Arial" w:cs="Arial"/>
        </w:rPr>
        <w:t>An emergency as defined by PCC section 12102(a): “the goods and services are needed in cases of emergency where immediate acquisition is necessary for the protection of the public health, welfare, or safety.”</w:t>
      </w:r>
      <w:r w:rsidRPr="00B05A21">
        <w:rPr>
          <w:rFonts w:ascii="Arial" w:hAnsi="Arial" w:cs="Arial"/>
        </w:rPr>
        <w:br/>
      </w:r>
      <w:r w:rsidRPr="00B05A21">
        <w:rPr>
          <w:rFonts w:ascii="Arial" w:hAnsi="Arial" w:cs="Arial"/>
        </w:rPr>
        <w:br/>
        <w:t>Departments are not required to conduct competitive acquisition of IT goods and/or services when the determination has been made that IT goods and/or services are needed on an emergency basis, where immediate acquisition is necessary for the protection of the public health, welfare, or safety.</w:t>
      </w:r>
    </w:p>
    <w:p w:rsidR="00C8516C" w:rsidRPr="00B05A21" w:rsidRDefault="00C8516C" w:rsidP="00C96CAE">
      <w:pPr>
        <w:rPr>
          <w:rFonts w:ascii="Arial" w:hAnsi="Arial" w:cs="Arial"/>
        </w:rPr>
      </w:pPr>
    </w:p>
    <w:p w:rsidR="00C8516C" w:rsidRPr="00B05A21" w:rsidRDefault="00C8516C" w:rsidP="00C96CAE">
      <w:pPr>
        <w:rPr>
          <w:rFonts w:ascii="Arial" w:hAnsi="Arial" w:cs="Arial"/>
        </w:rPr>
      </w:pPr>
      <w:r w:rsidRPr="00B05A21">
        <w:rPr>
          <w:rFonts w:ascii="Arial" w:hAnsi="Arial" w:cs="Arial"/>
        </w:rPr>
        <w:t>An emergency is further defined and divided into the following classifications which ultimately effects how the purchase activity will be processed:</w:t>
      </w:r>
    </w:p>
    <w:p w:rsidR="00C8516C" w:rsidRPr="00B05A21" w:rsidRDefault="00C8516C" w:rsidP="0022159E">
      <w:pPr>
        <w:numPr>
          <w:ilvl w:val="0"/>
          <w:numId w:val="7"/>
        </w:numPr>
        <w:tabs>
          <w:tab w:val="clear" w:pos="374"/>
          <w:tab w:val="num" w:pos="703"/>
        </w:tabs>
        <w:ind w:left="703" w:hanging="374"/>
        <w:rPr>
          <w:rFonts w:ascii="Arial" w:hAnsi="Arial" w:cs="Arial"/>
        </w:rPr>
      </w:pPr>
      <w:r w:rsidRPr="00B05A21">
        <w:rPr>
          <w:rFonts w:ascii="Arial" w:hAnsi="Arial" w:cs="Arial"/>
        </w:rPr>
        <w:t>An emergency purchase in response to a natural disaster, i.e. fire, flood, earthquake.</w:t>
      </w:r>
    </w:p>
    <w:p w:rsidR="00C8516C" w:rsidRPr="00B05A21" w:rsidRDefault="00C8516C" w:rsidP="00CF7D13">
      <w:pPr>
        <w:pStyle w:val="Heading4"/>
        <w:numPr>
          <w:ilvl w:val="0"/>
          <w:numId w:val="13"/>
        </w:numPr>
        <w:rPr>
          <w:rFonts w:cs="Arial"/>
          <w:b w:val="0"/>
          <w:sz w:val="24"/>
          <w:szCs w:val="24"/>
        </w:rPr>
      </w:pPr>
      <w:r w:rsidRPr="00B05A21">
        <w:rPr>
          <w:rFonts w:cs="Arial"/>
          <w:b w:val="0"/>
          <w:sz w:val="24"/>
          <w:szCs w:val="24"/>
        </w:rPr>
        <w:t>An emergency purchase not in response to a natural disaster.</w:t>
      </w:r>
    </w:p>
    <w:p w:rsidR="00C96CAE" w:rsidRPr="00B05A21" w:rsidRDefault="00C96CAE" w:rsidP="00C96CAE">
      <w:pPr>
        <w:pStyle w:val="BlockLine"/>
        <w:tabs>
          <w:tab w:val="left" w:pos="2655"/>
        </w:tabs>
        <w:rPr>
          <w:rFonts w:ascii="Arial" w:hAnsi="Arial" w:cs="Arial"/>
          <w:szCs w:val="24"/>
        </w:rPr>
      </w:pPr>
      <w:r w:rsidRPr="00B05A21">
        <w:rPr>
          <w:rFonts w:ascii="Arial" w:hAnsi="Arial" w:cs="Arial"/>
          <w:szCs w:val="24"/>
        </w:rPr>
        <w:tab/>
      </w:r>
    </w:p>
    <w:p w:rsidR="004600BD" w:rsidRPr="00B05A21" w:rsidRDefault="004600BD" w:rsidP="004600BD">
      <w:pPr>
        <w:pStyle w:val="Heading3"/>
        <w:spacing w:after="120"/>
        <w:jc w:val="left"/>
        <w:rPr>
          <w:rFonts w:cs="Arial"/>
          <w:bCs/>
          <w:sz w:val="24"/>
          <w:szCs w:val="24"/>
        </w:rPr>
      </w:pPr>
      <w:bookmarkStart w:id="223" w:name="_Toc12886004"/>
      <w:r w:rsidRPr="00B05A21">
        <w:rPr>
          <w:rFonts w:cs="Arial"/>
          <w:bCs/>
          <w:sz w:val="24"/>
          <w:szCs w:val="24"/>
        </w:rPr>
        <w:t>2.B8.1   Required documentation</w:t>
      </w:r>
      <w:bookmarkEnd w:id="223"/>
    </w:p>
    <w:p w:rsidR="004600BD" w:rsidRPr="00B05A21" w:rsidRDefault="004600BD" w:rsidP="00C96CAE">
      <w:pPr>
        <w:pStyle w:val="BlockText0"/>
        <w:rPr>
          <w:rFonts w:ascii="Arial" w:hAnsi="Arial" w:cs="Arial"/>
          <w:szCs w:val="24"/>
        </w:rPr>
      </w:pPr>
      <w:r w:rsidRPr="00B05A21">
        <w:rPr>
          <w:rFonts w:ascii="Arial" w:hAnsi="Arial" w:cs="Arial"/>
          <w:szCs w:val="24"/>
        </w:rPr>
        <w:t>Regardless of the classification of the emergency, the procurement file must be documented and/or the following information provided to DGS/PD, as applicable:</w:t>
      </w:r>
    </w:p>
    <w:p w:rsidR="004600BD" w:rsidRPr="00B05A21" w:rsidRDefault="004600BD" w:rsidP="00C96CAE">
      <w:pPr>
        <w:pStyle w:val="BulletText1"/>
        <w:tabs>
          <w:tab w:val="clear" w:pos="173"/>
          <w:tab w:val="num" w:pos="374"/>
        </w:tabs>
        <w:ind w:left="374" w:hanging="374"/>
        <w:rPr>
          <w:rFonts w:ascii="Arial" w:hAnsi="Arial" w:cs="Arial"/>
          <w:szCs w:val="24"/>
        </w:rPr>
      </w:pPr>
      <w:r w:rsidRPr="00B05A21">
        <w:rPr>
          <w:rFonts w:ascii="Arial" w:hAnsi="Arial" w:cs="Arial"/>
          <w:szCs w:val="24"/>
        </w:rPr>
        <w:t>A description of the emergency.</w:t>
      </w:r>
    </w:p>
    <w:p w:rsidR="004600BD" w:rsidRPr="00B05A21" w:rsidRDefault="004600BD" w:rsidP="00C96CAE">
      <w:pPr>
        <w:pStyle w:val="BulletText1"/>
        <w:tabs>
          <w:tab w:val="clear" w:pos="173"/>
          <w:tab w:val="num" w:pos="374"/>
        </w:tabs>
        <w:ind w:left="374" w:hanging="374"/>
        <w:rPr>
          <w:rFonts w:ascii="Arial" w:hAnsi="Arial" w:cs="Arial"/>
          <w:szCs w:val="24"/>
        </w:rPr>
      </w:pPr>
      <w:r w:rsidRPr="00B05A21">
        <w:rPr>
          <w:rFonts w:ascii="Arial" w:hAnsi="Arial" w:cs="Arial"/>
          <w:szCs w:val="24"/>
        </w:rPr>
        <w:t>Explanation of how the situation falls within the parameters of an emergency justifying the emergency purchase.</w:t>
      </w:r>
    </w:p>
    <w:p w:rsidR="004600BD" w:rsidRPr="00B05A21" w:rsidRDefault="004600BD" w:rsidP="00C96CAE">
      <w:pPr>
        <w:pStyle w:val="BulletText1"/>
        <w:tabs>
          <w:tab w:val="clear" w:pos="173"/>
          <w:tab w:val="num" w:pos="374"/>
        </w:tabs>
        <w:ind w:left="374" w:hanging="374"/>
        <w:rPr>
          <w:rFonts w:ascii="Arial" w:hAnsi="Arial" w:cs="Arial"/>
          <w:szCs w:val="24"/>
        </w:rPr>
      </w:pPr>
      <w:r w:rsidRPr="00B05A21">
        <w:rPr>
          <w:rFonts w:ascii="Arial" w:hAnsi="Arial" w:cs="Arial"/>
          <w:szCs w:val="24"/>
        </w:rPr>
        <w:t>Explanation of the consequences of making the purchase through normal procurement processes.</w:t>
      </w:r>
    </w:p>
    <w:p w:rsidR="004600BD" w:rsidRPr="00B05A21" w:rsidRDefault="004600BD" w:rsidP="00C96CAE">
      <w:pPr>
        <w:pStyle w:val="BulletText1"/>
        <w:tabs>
          <w:tab w:val="clear" w:pos="173"/>
          <w:tab w:val="num" w:pos="374"/>
        </w:tabs>
        <w:ind w:left="374" w:hanging="374"/>
        <w:rPr>
          <w:rFonts w:ascii="Arial" w:hAnsi="Arial" w:cs="Arial"/>
          <w:szCs w:val="24"/>
        </w:rPr>
      </w:pPr>
      <w:r w:rsidRPr="00B05A21">
        <w:rPr>
          <w:rFonts w:ascii="Arial" w:hAnsi="Arial" w:cs="Arial"/>
          <w:szCs w:val="24"/>
        </w:rPr>
        <w:t>A description of the IT goods and/or services and price.</w:t>
      </w:r>
    </w:p>
    <w:p w:rsidR="004600BD" w:rsidRPr="00B05A21" w:rsidRDefault="004600BD" w:rsidP="00C96CAE">
      <w:pPr>
        <w:pStyle w:val="BulletText1"/>
        <w:tabs>
          <w:tab w:val="clear" w:pos="173"/>
          <w:tab w:val="num" w:pos="374"/>
        </w:tabs>
        <w:ind w:left="374" w:hanging="374"/>
        <w:rPr>
          <w:rFonts w:ascii="Arial" w:hAnsi="Arial" w:cs="Arial"/>
          <w:szCs w:val="24"/>
        </w:rPr>
      </w:pPr>
      <w:r w:rsidRPr="00B05A21">
        <w:rPr>
          <w:rFonts w:ascii="Arial" w:hAnsi="Arial" w:cs="Arial"/>
          <w:szCs w:val="24"/>
        </w:rPr>
        <w:t>The names and quotations of suppliers contacted.</w:t>
      </w:r>
    </w:p>
    <w:p w:rsidR="00C96CAE" w:rsidRPr="00B05A21" w:rsidRDefault="00C96CAE" w:rsidP="00C96CAE">
      <w:pPr>
        <w:pStyle w:val="BlockLine"/>
        <w:tabs>
          <w:tab w:val="left" w:pos="2655"/>
        </w:tabs>
        <w:rPr>
          <w:rFonts w:ascii="Arial" w:hAnsi="Arial" w:cs="Arial"/>
          <w:szCs w:val="24"/>
        </w:rPr>
      </w:pPr>
      <w:r w:rsidRPr="00B05A21">
        <w:rPr>
          <w:rFonts w:ascii="Arial" w:hAnsi="Arial" w:cs="Arial"/>
          <w:szCs w:val="24"/>
        </w:rPr>
        <w:tab/>
      </w:r>
    </w:p>
    <w:p w:rsidR="00E80E9A" w:rsidRPr="00B05A21" w:rsidRDefault="00E80E9A" w:rsidP="00E80E9A">
      <w:pPr>
        <w:pStyle w:val="Heading3"/>
        <w:spacing w:after="120"/>
        <w:jc w:val="left"/>
        <w:rPr>
          <w:rFonts w:cs="Arial"/>
          <w:bCs/>
          <w:sz w:val="24"/>
          <w:szCs w:val="24"/>
        </w:rPr>
      </w:pPr>
      <w:bookmarkStart w:id="224" w:name="_Toc12886005"/>
      <w:r w:rsidRPr="00B05A21">
        <w:rPr>
          <w:rFonts w:cs="Arial"/>
          <w:bCs/>
          <w:sz w:val="24"/>
          <w:szCs w:val="24"/>
        </w:rPr>
        <w:t>2.B8.2   Responding to a natural disaster</w:t>
      </w:r>
      <w:bookmarkEnd w:id="224"/>
    </w:p>
    <w:p w:rsidR="00E80E9A" w:rsidRPr="00B05A21" w:rsidRDefault="00E80E9A" w:rsidP="00C96CAE">
      <w:pPr>
        <w:pStyle w:val="BulletText1"/>
        <w:numPr>
          <w:ilvl w:val="0"/>
          <w:numId w:val="0"/>
        </w:numPr>
        <w:rPr>
          <w:rFonts w:ascii="Arial" w:hAnsi="Arial" w:cs="Arial"/>
          <w:szCs w:val="24"/>
        </w:rPr>
      </w:pPr>
      <w:r w:rsidRPr="00B05A21">
        <w:rPr>
          <w:rFonts w:ascii="Arial" w:hAnsi="Arial" w:cs="Arial"/>
          <w:szCs w:val="24"/>
        </w:rPr>
        <w:t>The following provides the process for executing an emergency purchase in response to a natural disaster when a response requires immediate action.  If the purchase activity:</w:t>
      </w:r>
    </w:p>
    <w:p w:rsidR="00E80E9A" w:rsidRPr="00B05A21" w:rsidRDefault="00E80E9A" w:rsidP="00C96CAE">
      <w:pPr>
        <w:pStyle w:val="BulletText1"/>
        <w:tabs>
          <w:tab w:val="clear" w:pos="173"/>
          <w:tab w:val="num" w:pos="374"/>
        </w:tabs>
        <w:ind w:left="374" w:hanging="374"/>
        <w:rPr>
          <w:rFonts w:ascii="Arial" w:hAnsi="Arial" w:cs="Arial"/>
          <w:szCs w:val="24"/>
        </w:rPr>
      </w:pPr>
      <w:r w:rsidRPr="00B05A21">
        <w:rPr>
          <w:rFonts w:ascii="Arial" w:hAnsi="Arial" w:cs="Arial"/>
          <w:szCs w:val="24"/>
        </w:rPr>
        <w:t>Is within a department’s authorized non-competitively bid (NCB) contract purchasing authority dollar threshold, proceed with the purchase:</w:t>
      </w:r>
    </w:p>
    <w:p w:rsidR="00E80E9A" w:rsidRPr="00B05A21" w:rsidRDefault="00E80E9A" w:rsidP="00C96CAE">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Document the circumstance of the emergency purchase.</w:t>
      </w:r>
    </w:p>
    <w:p w:rsidR="00E80E9A" w:rsidRPr="00B05A21" w:rsidRDefault="00E80E9A" w:rsidP="00C96CAE">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Issue the purchase document, identifying the department’s Purchasing Authority (PA) number in the PA number box on the purchase document.</w:t>
      </w:r>
    </w:p>
    <w:p w:rsidR="00E80E9A" w:rsidRPr="00B05A21" w:rsidRDefault="00E80E9A" w:rsidP="00C96CAE">
      <w:pPr>
        <w:pStyle w:val="BulletText1"/>
        <w:tabs>
          <w:tab w:val="clear" w:pos="173"/>
          <w:tab w:val="num" w:pos="374"/>
        </w:tabs>
        <w:ind w:left="374" w:hanging="374"/>
        <w:rPr>
          <w:rFonts w:ascii="Arial" w:hAnsi="Arial" w:cs="Arial"/>
          <w:szCs w:val="24"/>
        </w:rPr>
      </w:pPr>
      <w:r w:rsidRPr="00B05A21">
        <w:rPr>
          <w:rFonts w:ascii="Arial" w:hAnsi="Arial" w:cs="Arial"/>
          <w:szCs w:val="24"/>
        </w:rPr>
        <w:t>Exceeds a department’s authorized NCB contract purchasing authority threshold or if a department does not have delegated purchasing authority, proceed with the purchase:</w:t>
      </w:r>
    </w:p>
    <w:p w:rsidR="00E80E9A" w:rsidRPr="00B05A21" w:rsidRDefault="00E80E9A" w:rsidP="00C96CAE">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Document the circumstance of the emergency purchase.</w:t>
      </w:r>
    </w:p>
    <w:p w:rsidR="00E80E9A" w:rsidRPr="00B05A21" w:rsidRDefault="00E80E9A" w:rsidP="00C96CAE">
      <w:pPr>
        <w:pStyle w:val="BulletText2"/>
        <w:numPr>
          <w:ilvl w:val="0"/>
          <w:numId w:val="5"/>
        </w:numPr>
        <w:tabs>
          <w:tab w:val="num" w:pos="748"/>
        </w:tabs>
        <w:ind w:left="748"/>
        <w:rPr>
          <w:rFonts w:ascii="Arial" w:hAnsi="Arial" w:cs="Arial"/>
          <w:szCs w:val="24"/>
        </w:rPr>
      </w:pPr>
      <w:r w:rsidRPr="00B05A21">
        <w:rPr>
          <w:rFonts w:ascii="Arial" w:hAnsi="Arial" w:cs="Arial"/>
          <w:szCs w:val="24"/>
        </w:rPr>
        <w:lastRenderedPageBreak/>
        <w:t>Issue the purchase document, leaving the PA number box on the purchase document blank.</w:t>
      </w:r>
    </w:p>
    <w:p w:rsidR="00C96CAE" w:rsidRPr="00B05A21" w:rsidRDefault="00C96CAE" w:rsidP="00C96CAE">
      <w:pPr>
        <w:pStyle w:val="BlockLine"/>
        <w:tabs>
          <w:tab w:val="left" w:pos="2655"/>
        </w:tabs>
        <w:rPr>
          <w:rFonts w:ascii="Arial" w:hAnsi="Arial" w:cs="Arial"/>
          <w:szCs w:val="24"/>
        </w:rPr>
      </w:pPr>
      <w:r w:rsidRPr="00B05A21">
        <w:rPr>
          <w:rFonts w:ascii="Arial" w:hAnsi="Arial" w:cs="Arial"/>
          <w:szCs w:val="24"/>
        </w:rPr>
        <w:tab/>
      </w:r>
    </w:p>
    <w:p w:rsidR="009644EB" w:rsidRPr="00B05A21" w:rsidRDefault="009644EB" w:rsidP="009644EB">
      <w:pPr>
        <w:pStyle w:val="Heading3"/>
        <w:spacing w:after="120"/>
        <w:jc w:val="left"/>
        <w:rPr>
          <w:rFonts w:cs="Arial"/>
          <w:bCs/>
          <w:sz w:val="24"/>
          <w:szCs w:val="24"/>
        </w:rPr>
      </w:pPr>
      <w:bookmarkStart w:id="225" w:name="_Toc12886006"/>
      <w:r w:rsidRPr="00B05A21">
        <w:rPr>
          <w:rFonts w:cs="Arial"/>
          <w:bCs/>
          <w:sz w:val="24"/>
          <w:szCs w:val="24"/>
        </w:rPr>
        <w:t>2.B8.3   Emergency purchase not in response to a natural disaster</w:t>
      </w:r>
      <w:bookmarkEnd w:id="225"/>
    </w:p>
    <w:p w:rsidR="009644EB" w:rsidRPr="00B05A21" w:rsidRDefault="009644EB" w:rsidP="00C96CAE">
      <w:pPr>
        <w:rPr>
          <w:rFonts w:ascii="Arial" w:hAnsi="Arial" w:cs="Arial"/>
        </w:rPr>
      </w:pPr>
      <w:r w:rsidRPr="00B05A21">
        <w:rPr>
          <w:rFonts w:ascii="Arial" w:hAnsi="Arial" w:cs="Arial"/>
        </w:rPr>
        <w:t>The following provides the emergency purchase process in response to an emergency situation other than a natural disaster.  If the purchasing activity:</w:t>
      </w:r>
    </w:p>
    <w:p w:rsidR="009644EB" w:rsidRPr="00B05A21" w:rsidRDefault="009644EB" w:rsidP="00C96CAE">
      <w:pPr>
        <w:pStyle w:val="BulletText1"/>
        <w:tabs>
          <w:tab w:val="clear" w:pos="173"/>
          <w:tab w:val="num" w:pos="374"/>
        </w:tabs>
        <w:ind w:left="374" w:hanging="374"/>
        <w:rPr>
          <w:rFonts w:ascii="Arial" w:hAnsi="Arial" w:cs="Arial"/>
          <w:szCs w:val="24"/>
        </w:rPr>
      </w:pPr>
      <w:r w:rsidRPr="00B05A21">
        <w:rPr>
          <w:rFonts w:ascii="Arial" w:hAnsi="Arial" w:cs="Arial"/>
          <w:szCs w:val="24"/>
        </w:rPr>
        <w:t>Is within a department’s authorized NCB contract purchasing authority dollar threshold for IT goods and/or services, proceed with the purchase:</w:t>
      </w:r>
    </w:p>
    <w:p w:rsidR="009644EB" w:rsidRPr="00B05A21" w:rsidRDefault="009644EB" w:rsidP="00C96CAE">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Document the circumstance of the emergency purchase.</w:t>
      </w:r>
    </w:p>
    <w:p w:rsidR="009644EB" w:rsidRPr="00B05A21" w:rsidRDefault="009644EB" w:rsidP="00C96CAE">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 xml:space="preserve">Document names and quotations of suppliers contacted. </w:t>
      </w:r>
    </w:p>
    <w:p w:rsidR="009644EB" w:rsidRPr="00B05A21" w:rsidRDefault="009644EB" w:rsidP="00C96CAE">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Issue the purchase document, identifying the department’s PA number in the PA number box identified on purchase document.</w:t>
      </w:r>
    </w:p>
    <w:p w:rsidR="009644EB" w:rsidRPr="00B05A21" w:rsidRDefault="009644EB" w:rsidP="00C96CAE">
      <w:pPr>
        <w:pStyle w:val="BulletText1"/>
        <w:tabs>
          <w:tab w:val="clear" w:pos="173"/>
          <w:tab w:val="num" w:pos="374"/>
        </w:tabs>
        <w:ind w:left="374" w:hanging="374"/>
        <w:rPr>
          <w:rFonts w:ascii="Arial" w:hAnsi="Arial" w:cs="Arial"/>
          <w:szCs w:val="24"/>
        </w:rPr>
      </w:pPr>
      <w:r w:rsidRPr="00B05A21">
        <w:rPr>
          <w:rFonts w:ascii="Arial" w:hAnsi="Arial" w:cs="Arial"/>
          <w:szCs w:val="24"/>
        </w:rPr>
        <w:t>Exceeds a department’s authorized NCB contract purchasing authority threshold or if a department does not have delegated purchasing authority, proceed with the purchase:</w:t>
      </w:r>
    </w:p>
    <w:p w:rsidR="009644EB" w:rsidRPr="00B05A21" w:rsidRDefault="009644EB" w:rsidP="00C96CAE">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Contact DGS/PD immediately or within the next business day to provide the circumstance of the emergency at (916) 375-4381.</w:t>
      </w:r>
    </w:p>
    <w:p w:rsidR="009644EB" w:rsidRPr="00B05A21" w:rsidRDefault="009644EB" w:rsidP="00C96CAE">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DGS/PD contact will review the circumstance and if approved, assigns the transaction an Authorization to Exceed Monetary Limits (Form 42) number.</w:t>
      </w:r>
    </w:p>
    <w:p w:rsidR="009644EB" w:rsidRPr="00B05A21" w:rsidRDefault="009644EB" w:rsidP="00C96CAE">
      <w:pPr>
        <w:pStyle w:val="BulletText2"/>
        <w:numPr>
          <w:ilvl w:val="0"/>
          <w:numId w:val="5"/>
        </w:numPr>
        <w:tabs>
          <w:tab w:val="clear" w:pos="547"/>
          <w:tab w:val="num" w:pos="748"/>
        </w:tabs>
        <w:ind w:left="748"/>
        <w:rPr>
          <w:rFonts w:ascii="Arial" w:hAnsi="Arial" w:cs="Arial"/>
          <w:szCs w:val="24"/>
        </w:rPr>
      </w:pPr>
      <w:r w:rsidRPr="00B05A21">
        <w:rPr>
          <w:rFonts w:ascii="Arial" w:hAnsi="Arial" w:cs="Arial"/>
          <w:szCs w:val="24"/>
        </w:rPr>
        <w:t>Document the circumstance of the purchase.</w:t>
      </w:r>
    </w:p>
    <w:p w:rsidR="009644EB" w:rsidRPr="00B05A21" w:rsidRDefault="009644EB" w:rsidP="00C96CAE">
      <w:pPr>
        <w:pStyle w:val="BulletText2"/>
        <w:numPr>
          <w:ilvl w:val="0"/>
          <w:numId w:val="5"/>
        </w:numPr>
        <w:tabs>
          <w:tab w:val="num" w:pos="748"/>
        </w:tabs>
        <w:ind w:left="748"/>
        <w:rPr>
          <w:rFonts w:ascii="Arial" w:hAnsi="Arial" w:cs="Arial"/>
          <w:szCs w:val="24"/>
        </w:rPr>
      </w:pPr>
      <w:r w:rsidRPr="00B05A21">
        <w:rPr>
          <w:rFonts w:ascii="Arial" w:hAnsi="Arial" w:cs="Arial"/>
          <w:szCs w:val="24"/>
        </w:rPr>
        <w:t>Record the Form 42 number in the PA number box on the purchase document prior to issuing the purchase document.</w:t>
      </w:r>
    </w:p>
    <w:p w:rsidR="00C96CAE" w:rsidRPr="00B05A21" w:rsidRDefault="00C96CAE" w:rsidP="00C96CAE">
      <w:pPr>
        <w:pStyle w:val="BlockLine"/>
        <w:tabs>
          <w:tab w:val="left" w:pos="2655"/>
        </w:tabs>
        <w:rPr>
          <w:rFonts w:ascii="Arial" w:hAnsi="Arial" w:cs="Arial"/>
          <w:szCs w:val="24"/>
        </w:rPr>
      </w:pPr>
      <w:r w:rsidRPr="00B05A21">
        <w:rPr>
          <w:rFonts w:ascii="Arial" w:hAnsi="Arial" w:cs="Arial"/>
          <w:szCs w:val="24"/>
        </w:rPr>
        <w:tab/>
      </w:r>
    </w:p>
    <w:p w:rsidR="005078D4" w:rsidRPr="00B05A21" w:rsidRDefault="005078D4" w:rsidP="005078D4">
      <w:pPr>
        <w:pStyle w:val="Heading3"/>
        <w:spacing w:after="120"/>
        <w:jc w:val="left"/>
        <w:rPr>
          <w:rFonts w:cs="Arial"/>
          <w:bCs/>
          <w:sz w:val="24"/>
          <w:szCs w:val="24"/>
        </w:rPr>
      </w:pPr>
      <w:bookmarkStart w:id="226" w:name="_Toc12886007"/>
      <w:r w:rsidRPr="00B05A21">
        <w:rPr>
          <w:rFonts w:cs="Arial"/>
          <w:bCs/>
          <w:sz w:val="24"/>
          <w:szCs w:val="24"/>
        </w:rPr>
        <w:t>2.B8.4   Examples of IT emergency purchase</w:t>
      </w:r>
      <w:bookmarkEnd w:id="226"/>
    </w:p>
    <w:p w:rsidR="005078D4" w:rsidRPr="00B05A21" w:rsidRDefault="005078D4" w:rsidP="00C96CAE">
      <w:pPr>
        <w:pStyle w:val="BlockText0"/>
        <w:rPr>
          <w:rFonts w:ascii="Arial" w:hAnsi="Arial" w:cs="Arial"/>
          <w:szCs w:val="24"/>
          <w:u w:val="single"/>
        </w:rPr>
      </w:pPr>
      <w:r w:rsidRPr="00B05A21">
        <w:rPr>
          <w:rFonts w:ascii="Arial" w:hAnsi="Arial" w:cs="Arial"/>
          <w:szCs w:val="24"/>
        </w:rPr>
        <w:t>PCC section 12102(a)(2) allows for emergency purchases of IT goods and/or services where immediate acquisition is necessary for the protection of the public health, welfare, or safety.</w:t>
      </w:r>
    </w:p>
    <w:p w:rsidR="005078D4" w:rsidRPr="00B05A21" w:rsidRDefault="005078D4" w:rsidP="00C96CAE">
      <w:pPr>
        <w:pStyle w:val="BulletText1"/>
        <w:tabs>
          <w:tab w:val="clear" w:pos="173"/>
          <w:tab w:val="num" w:pos="374"/>
        </w:tabs>
        <w:ind w:left="374" w:hanging="374"/>
        <w:rPr>
          <w:rFonts w:ascii="Arial" w:hAnsi="Arial" w:cs="Arial"/>
          <w:szCs w:val="24"/>
        </w:rPr>
      </w:pPr>
      <w:r w:rsidRPr="00B05A21">
        <w:rPr>
          <w:rFonts w:ascii="Arial" w:hAnsi="Arial" w:cs="Arial"/>
          <w:szCs w:val="24"/>
          <w:u w:val="single"/>
        </w:rPr>
        <w:t>Example</w:t>
      </w:r>
      <w:r w:rsidRPr="00B05A21">
        <w:rPr>
          <w:rFonts w:ascii="Arial" w:hAnsi="Arial" w:cs="Arial"/>
          <w:szCs w:val="24"/>
        </w:rPr>
        <w:t>:  A server supporting a prison’s security system fails, and the prison has to resort to a backup server.  The server must be replaced immediately to ensure the safety of the population internal and external to the prison.</w:t>
      </w:r>
    </w:p>
    <w:p w:rsidR="005078D4" w:rsidRPr="00B05A21" w:rsidRDefault="005078D4" w:rsidP="00C96CAE">
      <w:pPr>
        <w:pStyle w:val="BulletText1"/>
        <w:tabs>
          <w:tab w:val="clear" w:pos="173"/>
          <w:tab w:val="num" w:pos="374"/>
        </w:tabs>
        <w:ind w:left="374" w:hanging="374"/>
        <w:rPr>
          <w:rFonts w:ascii="Arial" w:hAnsi="Arial" w:cs="Arial"/>
          <w:szCs w:val="24"/>
        </w:rPr>
      </w:pPr>
      <w:r w:rsidRPr="00B05A21">
        <w:rPr>
          <w:rFonts w:ascii="Arial" w:hAnsi="Arial" w:cs="Arial"/>
          <w:szCs w:val="24"/>
          <w:u w:val="single"/>
        </w:rPr>
        <w:t>Example of a non-emergency</w:t>
      </w:r>
      <w:r w:rsidRPr="00B05A21">
        <w:rPr>
          <w:rFonts w:ascii="Arial" w:hAnsi="Arial" w:cs="Arial"/>
          <w:szCs w:val="24"/>
        </w:rPr>
        <w:t>:  A supplier does not meet a delivery date to supply a department director with a laptop, so the department wants to execute an immediate purchase of a laptop from another supplier.  This is not an emergency purchase, as it does not pose an immediate threat to the public health, welfare or safety or an immediate threat to public property.</w:t>
      </w:r>
    </w:p>
    <w:p w:rsidR="005078D4" w:rsidRPr="00B05A21" w:rsidRDefault="005078D4" w:rsidP="00C96CAE">
      <w:pPr>
        <w:pStyle w:val="BlockText0"/>
        <w:rPr>
          <w:rFonts w:ascii="Arial" w:hAnsi="Arial" w:cs="Arial"/>
          <w:szCs w:val="24"/>
        </w:rPr>
      </w:pPr>
    </w:p>
    <w:p w:rsidR="005078D4" w:rsidRPr="00B05A21" w:rsidRDefault="005078D4" w:rsidP="00C96CAE">
      <w:pPr>
        <w:pStyle w:val="BulletText2"/>
        <w:numPr>
          <w:ilvl w:val="0"/>
          <w:numId w:val="0"/>
        </w:numPr>
        <w:rPr>
          <w:rFonts w:ascii="Arial" w:hAnsi="Arial" w:cs="Arial"/>
          <w:szCs w:val="24"/>
        </w:rPr>
      </w:pPr>
      <w:r w:rsidRPr="00B05A21">
        <w:rPr>
          <w:rFonts w:ascii="Arial" w:hAnsi="Arial" w:cs="Arial"/>
          <w:b/>
          <w:bCs/>
          <w:szCs w:val="24"/>
        </w:rPr>
        <w:t>Warning</w:t>
      </w:r>
      <w:r w:rsidRPr="00B05A21">
        <w:rPr>
          <w:rFonts w:ascii="Arial" w:hAnsi="Arial" w:cs="Arial"/>
          <w:szCs w:val="24"/>
        </w:rPr>
        <w:t>:  Poor planning is not an emergency.</w:t>
      </w:r>
    </w:p>
    <w:p w:rsidR="00C96CAE" w:rsidRPr="00B05A21" w:rsidRDefault="00C96CAE" w:rsidP="00C96CAE">
      <w:pPr>
        <w:pStyle w:val="BlockLine"/>
        <w:tabs>
          <w:tab w:val="left" w:pos="2655"/>
        </w:tabs>
        <w:rPr>
          <w:rFonts w:ascii="Arial" w:hAnsi="Arial" w:cs="Arial"/>
          <w:szCs w:val="24"/>
        </w:rPr>
      </w:pPr>
      <w:r w:rsidRPr="00B05A21">
        <w:rPr>
          <w:rFonts w:ascii="Arial" w:hAnsi="Arial" w:cs="Arial"/>
          <w:szCs w:val="24"/>
        </w:rPr>
        <w:tab/>
      </w:r>
    </w:p>
    <w:bookmarkEnd w:id="219"/>
    <w:bookmarkEnd w:id="220"/>
    <w:p w:rsidR="00581398" w:rsidRPr="003551BF" w:rsidRDefault="00AF0281" w:rsidP="005078D4">
      <w:pPr>
        <w:pStyle w:val="Heading1"/>
        <w:spacing w:after="120"/>
        <w:rPr>
          <w:rFonts w:cs="Arial"/>
          <w:szCs w:val="32"/>
        </w:rPr>
      </w:pPr>
      <w:r w:rsidRPr="00B05A21">
        <w:rPr>
          <w:rFonts w:cs="Arial"/>
          <w:sz w:val="24"/>
          <w:szCs w:val="24"/>
        </w:rPr>
        <w:br w:type="page"/>
      </w:r>
      <w:bookmarkStart w:id="227" w:name="_Section_C"/>
      <w:bookmarkStart w:id="228" w:name="_Toc243798817"/>
      <w:bookmarkStart w:id="229" w:name="_Toc12886008"/>
      <w:bookmarkStart w:id="230" w:name="_Toc83450121"/>
      <w:bookmarkStart w:id="231" w:name="_Toc116951965"/>
      <w:bookmarkEnd w:id="227"/>
      <w:r w:rsidR="00581398" w:rsidRPr="003551BF">
        <w:rPr>
          <w:rFonts w:cs="Arial"/>
          <w:szCs w:val="32"/>
        </w:rPr>
        <w:lastRenderedPageBreak/>
        <w:t>Section C</w:t>
      </w:r>
      <w:bookmarkEnd w:id="228"/>
      <w:bookmarkEnd w:id="229"/>
    </w:p>
    <w:p w:rsidR="00581398" w:rsidRDefault="00581398" w:rsidP="005078D4">
      <w:pPr>
        <w:pStyle w:val="Heading1"/>
        <w:spacing w:after="120"/>
        <w:rPr>
          <w:rFonts w:cs="Arial"/>
          <w:szCs w:val="32"/>
        </w:rPr>
      </w:pPr>
      <w:bookmarkStart w:id="232" w:name="_Toc243798818"/>
      <w:bookmarkStart w:id="233" w:name="_Toc250015572"/>
      <w:bookmarkStart w:id="234" w:name="_Toc250016338"/>
      <w:bookmarkStart w:id="235" w:name="_Toc12886009"/>
      <w:r w:rsidRPr="003551BF">
        <w:rPr>
          <w:rFonts w:cs="Arial"/>
          <w:szCs w:val="32"/>
        </w:rPr>
        <w:t>Pre-Procurement Reviews and Approvals</w:t>
      </w:r>
      <w:bookmarkEnd w:id="232"/>
      <w:bookmarkEnd w:id="233"/>
      <w:bookmarkEnd w:id="234"/>
      <w:bookmarkEnd w:id="235"/>
    </w:p>
    <w:p w:rsidR="00B0002F" w:rsidRPr="00B0002F" w:rsidRDefault="00B0002F" w:rsidP="00B0002F">
      <w:pPr>
        <w:pStyle w:val="Heading4"/>
      </w:pPr>
    </w:p>
    <w:p w:rsidR="00581398" w:rsidRPr="00B05A21" w:rsidRDefault="00581398" w:rsidP="005078D4">
      <w:pPr>
        <w:pStyle w:val="Heading3"/>
        <w:spacing w:after="120"/>
        <w:jc w:val="left"/>
        <w:rPr>
          <w:rFonts w:cs="Arial"/>
          <w:bCs/>
          <w:color w:val="000000"/>
          <w:sz w:val="24"/>
          <w:szCs w:val="24"/>
        </w:rPr>
      </w:pPr>
      <w:bookmarkStart w:id="236" w:name="_Toc243798819"/>
      <w:bookmarkStart w:id="237" w:name="_Toc12886010"/>
      <w:r w:rsidRPr="00B05A21">
        <w:rPr>
          <w:rFonts w:cs="Arial"/>
          <w:bCs/>
          <w:color w:val="000000"/>
          <w:sz w:val="24"/>
          <w:szCs w:val="24"/>
        </w:rPr>
        <w:t>Overview</w:t>
      </w:r>
      <w:bookmarkEnd w:id="236"/>
      <w:bookmarkEnd w:id="237"/>
    </w:p>
    <w:p w:rsidR="00581398" w:rsidRPr="00B05A21" w:rsidRDefault="00581398" w:rsidP="00581398">
      <w:pPr>
        <w:pStyle w:val="BlockLine"/>
        <w:tabs>
          <w:tab w:val="left" w:pos="4862"/>
        </w:tabs>
        <w:rPr>
          <w:rFonts w:ascii="Arial" w:hAnsi="Arial" w:cs="Arial"/>
          <w:szCs w:val="24"/>
        </w:rPr>
      </w:pPr>
    </w:p>
    <w:p w:rsidR="005078D4" w:rsidRPr="00B05A21" w:rsidRDefault="005078D4" w:rsidP="005078D4">
      <w:pPr>
        <w:pStyle w:val="Heading3"/>
        <w:tabs>
          <w:tab w:val="left" w:pos="1122"/>
        </w:tabs>
        <w:spacing w:after="120"/>
        <w:jc w:val="left"/>
        <w:rPr>
          <w:rFonts w:cs="Arial"/>
          <w:bCs/>
          <w:sz w:val="24"/>
          <w:szCs w:val="24"/>
        </w:rPr>
      </w:pPr>
      <w:bookmarkStart w:id="238" w:name="_Toc243798820"/>
      <w:bookmarkStart w:id="239" w:name="_Toc12886011"/>
      <w:r w:rsidRPr="00B05A21">
        <w:rPr>
          <w:rFonts w:cs="Arial"/>
          <w:bCs/>
          <w:sz w:val="24"/>
          <w:szCs w:val="24"/>
        </w:rPr>
        <w:t>Introduction</w:t>
      </w:r>
      <w:bookmarkEnd w:id="238"/>
      <w:bookmarkEnd w:id="239"/>
    </w:p>
    <w:p w:rsidR="005078D4" w:rsidRPr="00B05A21" w:rsidRDefault="005078D4" w:rsidP="00740F1E">
      <w:pPr>
        <w:pStyle w:val="Heading5"/>
        <w:tabs>
          <w:tab w:val="left" w:pos="4862"/>
        </w:tabs>
        <w:rPr>
          <w:rFonts w:ascii="Arial" w:hAnsi="Arial" w:cs="Arial"/>
          <w:bCs/>
          <w:sz w:val="24"/>
          <w:szCs w:val="24"/>
        </w:rPr>
      </w:pPr>
    </w:p>
    <w:p w:rsidR="005078D4" w:rsidRPr="00B05A21" w:rsidRDefault="005078D4" w:rsidP="00581398">
      <w:pPr>
        <w:pStyle w:val="BlockText0"/>
        <w:rPr>
          <w:rFonts w:ascii="Arial" w:hAnsi="Arial" w:cs="Arial"/>
          <w:szCs w:val="24"/>
        </w:rPr>
      </w:pPr>
      <w:r w:rsidRPr="00B05A21">
        <w:rPr>
          <w:rFonts w:ascii="Arial" w:hAnsi="Arial" w:cs="Arial"/>
          <w:szCs w:val="24"/>
        </w:rPr>
        <w:t>As mentioned earlier in this chapter, there are certain classes of purchases that may require review and approval before a department can proceed with a purchasing activity.  This section describes those requirements and processes.</w:t>
      </w:r>
    </w:p>
    <w:p w:rsidR="005078D4" w:rsidRPr="00B05A21" w:rsidRDefault="005078D4" w:rsidP="00581398">
      <w:pPr>
        <w:pStyle w:val="BlockText0"/>
        <w:rPr>
          <w:rFonts w:ascii="Arial" w:hAnsi="Arial" w:cs="Arial"/>
          <w:szCs w:val="24"/>
        </w:rPr>
      </w:pPr>
    </w:p>
    <w:p w:rsidR="005078D4" w:rsidRPr="00B05A21" w:rsidRDefault="005078D4" w:rsidP="00740F1E">
      <w:pPr>
        <w:rPr>
          <w:rFonts w:ascii="Arial" w:hAnsi="Arial" w:cs="Arial"/>
        </w:rPr>
      </w:pPr>
      <w:r w:rsidRPr="00B05A21">
        <w:rPr>
          <w:rFonts w:ascii="Arial" w:hAnsi="Arial" w:cs="Arial"/>
        </w:rPr>
        <w:t>At this point, the buyer has determined the class of a purchase request before initiating a procurement activity.  Now, the buyer needs to analyze the request to validate any pre-approval requirements.</w:t>
      </w:r>
    </w:p>
    <w:p w:rsidR="00581398" w:rsidRPr="00B05A21" w:rsidRDefault="00581398" w:rsidP="00581398">
      <w:pPr>
        <w:pStyle w:val="BlockLine"/>
        <w:rPr>
          <w:rFonts w:ascii="Arial" w:hAnsi="Arial" w:cs="Arial"/>
          <w:szCs w:val="24"/>
        </w:rPr>
      </w:pPr>
    </w:p>
    <w:p w:rsidR="005078D4" w:rsidRPr="00B05A21" w:rsidRDefault="005078D4" w:rsidP="005078D4">
      <w:pPr>
        <w:pStyle w:val="Heading3"/>
        <w:spacing w:after="120"/>
        <w:jc w:val="left"/>
        <w:rPr>
          <w:rFonts w:cs="Arial"/>
          <w:bCs/>
          <w:sz w:val="24"/>
          <w:szCs w:val="24"/>
        </w:rPr>
      </w:pPr>
      <w:bookmarkStart w:id="240" w:name="_Toc243798821"/>
      <w:bookmarkStart w:id="241" w:name="_Toc12886012"/>
      <w:r w:rsidRPr="00B05A21">
        <w:rPr>
          <w:rFonts w:cs="Arial"/>
          <w:bCs/>
          <w:sz w:val="24"/>
          <w:szCs w:val="24"/>
        </w:rPr>
        <w:t>Contents</w:t>
      </w:r>
      <w:bookmarkEnd w:id="240"/>
      <w:bookmarkEnd w:id="241"/>
    </w:p>
    <w:p w:rsidR="005078D4" w:rsidRPr="00B05A21" w:rsidRDefault="005078D4" w:rsidP="00740F1E">
      <w:pPr>
        <w:pStyle w:val="TOCStem"/>
        <w:rPr>
          <w:rFonts w:ascii="Arial" w:hAnsi="Arial" w:cs="Arial"/>
          <w:szCs w:val="24"/>
        </w:rPr>
      </w:pPr>
      <w:r w:rsidRPr="00B05A21">
        <w:rPr>
          <w:rFonts w:ascii="Arial" w:hAnsi="Arial" w:cs="Arial"/>
          <w:szCs w:val="24"/>
        </w:rPr>
        <w:t>This section contains the following topics:</w:t>
      </w:r>
    </w:p>
    <w:p w:rsidR="00581398" w:rsidRPr="00B05A21" w:rsidRDefault="00581398" w:rsidP="00581398">
      <w:pPr>
        <w:rPr>
          <w:rFonts w:ascii="Arial" w:hAnsi="Arial" w:cs="Arial"/>
        </w:rPr>
      </w:pPr>
    </w:p>
    <w:p w:rsidR="005078D4" w:rsidRPr="00B05A21" w:rsidRDefault="005078D4" w:rsidP="005078D4">
      <w:pPr>
        <w:pStyle w:val="TableText"/>
        <w:rPr>
          <w:rFonts w:ascii="Arial" w:hAnsi="Arial" w:cs="Arial"/>
          <w:szCs w:val="24"/>
        </w:rPr>
      </w:pPr>
      <w:r w:rsidRPr="00B05A21">
        <w:rPr>
          <w:rFonts w:ascii="Arial" w:hAnsi="Arial" w:cs="Arial"/>
          <w:szCs w:val="24"/>
        </w:rPr>
        <w:t>Topic 1 – Surplus Property Program, See Page 40</w:t>
      </w:r>
    </w:p>
    <w:p w:rsidR="005078D4" w:rsidRPr="00B05A21" w:rsidRDefault="005078D4" w:rsidP="005078D4">
      <w:pPr>
        <w:pStyle w:val="TableText"/>
        <w:ind w:left="933" w:hanging="933"/>
        <w:rPr>
          <w:rFonts w:ascii="Arial" w:hAnsi="Arial" w:cs="Arial"/>
          <w:szCs w:val="24"/>
        </w:rPr>
      </w:pPr>
      <w:r w:rsidRPr="00B05A21">
        <w:rPr>
          <w:rFonts w:ascii="Arial" w:hAnsi="Arial" w:cs="Arial"/>
          <w:szCs w:val="24"/>
        </w:rPr>
        <w:t>Topic 2 – Community-based Rehabilitation Program (CRP), See Page 42</w:t>
      </w:r>
    </w:p>
    <w:p w:rsidR="005078D4" w:rsidRPr="00B05A21" w:rsidRDefault="005078D4" w:rsidP="005078D4">
      <w:pPr>
        <w:pStyle w:val="TableText"/>
        <w:rPr>
          <w:rFonts w:ascii="Arial" w:hAnsi="Arial" w:cs="Arial"/>
          <w:szCs w:val="24"/>
        </w:rPr>
      </w:pPr>
      <w:r w:rsidRPr="00B05A21">
        <w:rPr>
          <w:rFonts w:ascii="Arial" w:hAnsi="Arial" w:cs="Arial"/>
          <w:szCs w:val="24"/>
        </w:rPr>
        <w:t>Topic 3 – Information Technology, See Page 43</w:t>
      </w:r>
    </w:p>
    <w:p w:rsidR="005078D4" w:rsidRPr="00B05A21" w:rsidRDefault="005078D4" w:rsidP="005078D4">
      <w:pPr>
        <w:pStyle w:val="TableText"/>
        <w:ind w:left="933" w:hanging="933"/>
        <w:rPr>
          <w:rFonts w:ascii="Arial" w:hAnsi="Arial" w:cs="Arial"/>
          <w:szCs w:val="24"/>
        </w:rPr>
      </w:pPr>
      <w:r w:rsidRPr="00B05A21">
        <w:rPr>
          <w:rFonts w:ascii="Arial" w:hAnsi="Arial" w:cs="Arial"/>
          <w:szCs w:val="24"/>
        </w:rPr>
        <w:t>Topic 4 – Information Technology Procurement Plan, See Page 47</w:t>
      </w:r>
    </w:p>
    <w:p w:rsidR="005078D4" w:rsidRPr="00B05A21" w:rsidRDefault="005078D4" w:rsidP="005078D4">
      <w:pPr>
        <w:pStyle w:val="TableText"/>
        <w:ind w:left="933" w:hanging="933"/>
        <w:rPr>
          <w:rFonts w:ascii="Arial" w:hAnsi="Arial" w:cs="Arial"/>
          <w:szCs w:val="24"/>
          <w:highlight w:val="yellow"/>
        </w:rPr>
      </w:pPr>
      <w:r w:rsidRPr="00B05A21">
        <w:rPr>
          <w:rFonts w:ascii="Arial" w:hAnsi="Arial" w:cs="Arial"/>
          <w:szCs w:val="24"/>
        </w:rPr>
        <w:t>Topic 5 – Negotiation Process Guidelines and Procedures, See Page 49</w:t>
      </w:r>
    </w:p>
    <w:p w:rsidR="005078D4" w:rsidRPr="00B05A21" w:rsidRDefault="005078D4" w:rsidP="005078D4">
      <w:pPr>
        <w:pStyle w:val="TableText"/>
        <w:ind w:left="933" w:hanging="933"/>
        <w:rPr>
          <w:rFonts w:ascii="Arial" w:hAnsi="Arial" w:cs="Arial"/>
          <w:szCs w:val="24"/>
        </w:rPr>
      </w:pPr>
      <w:r w:rsidRPr="00B05A21">
        <w:rPr>
          <w:rFonts w:ascii="Arial" w:hAnsi="Arial" w:cs="Arial"/>
          <w:szCs w:val="24"/>
        </w:rPr>
        <w:t>Topic 6 – Certification of Compliance with State Policies (IT and Telecommunications), See Page 57</w:t>
      </w:r>
    </w:p>
    <w:p w:rsidR="005078D4" w:rsidRPr="00B05A21" w:rsidRDefault="005078D4" w:rsidP="005078D4">
      <w:pPr>
        <w:pStyle w:val="TableText"/>
        <w:ind w:left="933" w:hanging="933"/>
        <w:rPr>
          <w:rFonts w:ascii="Arial" w:hAnsi="Arial" w:cs="Arial"/>
          <w:szCs w:val="24"/>
        </w:rPr>
      </w:pPr>
      <w:r w:rsidRPr="00B05A21">
        <w:rPr>
          <w:rFonts w:ascii="Arial" w:hAnsi="Arial" w:cs="Arial"/>
          <w:szCs w:val="24"/>
        </w:rPr>
        <w:t>Topic 7 – Additional Pre-Procurement Reviews and Approvals, See Page 58</w:t>
      </w:r>
    </w:p>
    <w:p w:rsidR="005078D4" w:rsidRPr="00B05A21" w:rsidRDefault="005078D4" w:rsidP="005078D4">
      <w:pPr>
        <w:pStyle w:val="TableText"/>
        <w:rPr>
          <w:rFonts w:ascii="Arial" w:hAnsi="Arial" w:cs="Arial"/>
          <w:szCs w:val="24"/>
        </w:rPr>
      </w:pPr>
      <w:r w:rsidRPr="00B05A21">
        <w:rPr>
          <w:rFonts w:ascii="Arial" w:hAnsi="Arial" w:cs="Arial"/>
          <w:szCs w:val="24"/>
        </w:rPr>
        <w:t>Topic 8 – Purchase Requisition, See Page 59</w:t>
      </w:r>
    </w:p>
    <w:p w:rsidR="00BC05B5" w:rsidRPr="00B05A21" w:rsidRDefault="00BC05B5" w:rsidP="00F05AF5">
      <w:pPr>
        <w:tabs>
          <w:tab w:val="left" w:leader="dot" w:pos="6732"/>
        </w:tabs>
        <w:rPr>
          <w:rFonts w:ascii="Arial" w:hAnsi="Arial" w:cs="Arial"/>
        </w:rPr>
      </w:pPr>
      <w:bookmarkStart w:id="242" w:name="_Pre-Procurement_Reviews_and_Approva"/>
      <w:bookmarkEnd w:id="230"/>
      <w:bookmarkEnd w:id="231"/>
      <w:bookmarkEnd w:id="242"/>
    </w:p>
    <w:p w:rsidR="00581398" w:rsidRPr="003551BF" w:rsidRDefault="00A46CBF" w:rsidP="004A4A07">
      <w:pPr>
        <w:pStyle w:val="Heading2"/>
        <w:spacing w:after="120"/>
        <w:jc w:val="left"/>
        <w:rPr>
          <w:rFonts w:cs="Arial"/>
          <w:bCs/>
          <w:szCs w:val="32"/>
        </w:rPr>
      </w:pPr>
      <w:bookmarkStart w:id="243" w:name="_Topic_1_–_Office_of_Fleet_Administr"/>
      <w:bookmarkEnd w:id="243"/>
      <w:r w:rsidRPr="00B05A21">
        <w:rPr>
          <w:rFonts w:cs="Arial"/>
          <w:bCs/>
          <w:sz w:val="24"/>
          <w:szCs w:val="24"/>
        </w:rPr>
        <w:br w:type="page"/>
      </w:r>
      <w:bookmarkStart w:id="244" w:name="_Topic_2_–_Surplus_Property_Program"/>
      <w:bookmarkStart w:id="245" w:name="_Topic_1_–_Surplus_Property_Program"/>
      <w:bookmarkStart w:id="246" w:name="_Toc12886013"/>
      <w:bookmarkStart w:id="247" w:name="_Toc83450125"/>
      <w:bookmarkStart w:id="248" w:name="_Toc116951976"/>
      <w:bookmarkEnd w:id="244"/>
      <w:bookmarkEnd w:id="245"/>
      <w:r w:rsidR="00581398" w:rsidRPr="003551BF">
        <w:rPr>
          <w:rFonts w:cs="Arial"/>
          <w:bCs/>
          <w:szCs w:val="32"/>
        </w:rPr>
        <w:lastRenderedPageBreak/>
        <w:t>Topic 1 – Surplus Property Program</w:t>
      </w:r>
      <w:bookmarkEnd w:id="246"/>
    </w:p>
    <w:p w:rsidR="00581398" w:rsidRPr="00B05A21" w:rsidRDefault="00581398" w:rsidP="00581398">
      <w:pPr>
        <w:pStyle w:val="BlockLine"/>
        <w:tabs>
          <w:tab w:val="left" w:pos="2655"/>
        </w:tabs>
        <w:rPr>
          <w:rFonts w:ascii="Arial" w:hAnsi="Arial" w:cs="Arial"/>
          <w:szCs w:val="24"/>
        </w:rPr>
      </w:pPr>
      <w:r w:rsidRPr="00B05A21">
        <w:rPr>
          <w:rFonts w:ascii="Arial" w:hAnsi="Arial" w:cs="Arial"/>
          <w:szCs w:val="24"/>
        </w:rPr>
        <w:tab/>
      </w:r>
    </w:p>
    <w:p w:rsidR="004A4A07" w:rsidRPr="00B05A21" w:rsidRDefault="004A4A07" w:rsidP="004A4A07">
      <w:pPr>
        <w:pStyle w:val="Heading3"/>
        <w:spacing w:after="120"/>
        <w:jc w:val="left"/>
        <w:rPr>
          <w:rFonts w:cs="Arial"/>
          <w:bCs/>
          <w:sz w:val="24"/>
          <w:szCs w:val="24"/>
        </w:rPr>
      </w:pPr>
      <w:bookmarkStart w:id="249" w:name="_Toc12886014"/>
      <w:r w:rsidRPr="00B05A21">
        <w:rPr>
          <w:rFonts w:cs="Arial"/>
          <w:bCs/>
          <w:sz w:val="24"/>
          <w:szCs w:val="24"/>
        </w:rPr>
        <w:t>2.C1.0   Transfer and disposal requirements for IT equipment</w:t>
      </w:r>
      <w:bookmarkEnd w:id="249"/>
    </w:p>
    <w:p w:rsidR="004A4A07" w:rsidRPr="00B05A21" w:rsidRDefault="004A4A07" w:rsidP="00581398">
      <w:pPr>
        <w:pStyle w:val="content"/>
        <w:spacing w:before="0" w:beforeAutospacing="0" w:after="0" w:afterAutospacing="0"/>
        <w:rPr>
          <w:sz w:val="24"/>
          <w:szCs w:val="24"/>
        </w:rPr>
      </w:pPr>
      <w:r w:rsidRPr="00B05A21">
        <w:rPr>
          <w:sz w:val="24"/>
          <w:szCs w:val="24"/>
        </w:rPr>
        <w:t>Following are rules for transfer and disposal of IT equipment (SAM section 5901, 5902 and 5903):</w:t>
      </w:r>
    </w:p>
    <w:p w:rsidR="004A4A07" w:rsidRPr="00B05A21" w:rsidRDefault="004A4A07" w:rsidP="00581398">
      <w:pPr>
        <w:pStyle w:val="content"/>
        <w:numPr>
          <w:ilvl w:val="0"/>
          <w:numId w:val="4"/>
        </w:numPr>
        <w:tabs>
          <w:tab w:val="clear" w:pos="720"/>
          <w:tab w:val="num" w:pos="312"/>
        </w:tabs>
        <w:spacing w:before="0" w:beforeAutospacing="0" w:after="0" w:afterAutospacing="0"/>
        <w:ind w:left="312" w:hanging="312"/>
        <w:rPr>
          <w:sz w:val="24"/>
          <w:szCs w:val="24"/>
        </w:rPr>
      </w:pPr>
      <w:r w:rsidRPr="00B05A21">
        <w:rPr>
          <w:sz w:val="24"/>
          <w:szCs w:val="24"/>
        </w:rPr>
        <w:t>Salvage value of State-owned IT equipment (SAM section 5901) and purchase option credits for leased IT equipment are a source of value to the State.  Each department must ensure that such value is received to the extent that doing so is in the best interest of the State.</w:t>
      </w:r>
    </w:p>
    <w:p w:rsidR="004A4A07" w:rsidRPr="00B05A21" w:rsidRDefault="004A4A07" w:rsidP="00581398">
      <w:pPr>
        <w:pStyle w:val="content"/>
        <w:numPr>
          <w:ilvl w:val="0"/>
          <w:numId w:val="4"/>
        </w:numPr>
        <w:tabs>
          <w:tab w:val="clear" w:pos="720"/>
          <w:tab w:val="num" w:pos="312"/>
        </w:tabs>
        <w:spacing w:before="0" w:beforeAutospacing="0" w:after="0" w:afterAutospacing="0"/>
        <w:ind w:left="312" w:hanging="312"/>
        <w:rPr>
          <w:sz w:val="24"/>
          <w:szCs w:val="24"/>
        </w:rPr>
      </w:pPr>
      <w:r w:rsidRPr="00B05A21">
        <w:rPr>
          <w:sz w:val="24"/>
          <w:szCs w:val="24"/>
        </w:rPr>
        <w:t>The disposition of surplus IT equipment must be in accordance with the most economical and practical manner for the State as a whole.</w:t>
      </w:r>
    </w:p>
    <w:p w:rsidR="004A4A07" w:rsidRPr="00B05A21" w:rsidRDefault="004A4A07" w:rsidP="00581398">
      <w:pPr>
        <w:pStyle w:val="content"/>
        <w:numPr>
          <w:ilvl w:val="0"/>
          <w:numId w:val="4"/>
        </w:numPr>
        <w:tabs>
          <w:tab w:val="clear" w:pos="720"/>
          <w:tab w:val="num" w:pos="312"/>
        </w:tabs>
        <w:spacing w:before="0" w:beforeAutospacing="0" w:after="0" w:afterAutospacing="0"/>
        <w:ind w:left="312" w:hanging="312"/>
        <w:rPr>
          <w:sz w:val="24"/>
          <w:szCs w:val="24"/>
        </w:rPr>
      </w:pPr>
      <w:r w:rsidRPr="00B05A21">
        <w:rPr>
          <w:sz w:val="24"/>
          <w:szCs w:val="24"/>
        </w:rPr>
        <w:t>GC sections 14674-14675 authorizes the Director of DGS to approve the competitive sale, exchange, or interagency transfer of personal property owned by the State if such action is in the best interest of the State.  Each department must receive approval from the DGS Property Reutilization Unit, prior to disposing of surplus IT equipment.</w:t>
      </w:r>
    </w:p>
    <w:p w:rsidR="004A4A07" w:rsidRPr="00B05A21" w:rsidRDefault="004A4A07" w:rsidP="00581398">
      <w:pPr>
        <w:pStyle w:val="content"/>
        <w:numPr>
          <w:ilvl w:val="0"/>
          <w:numId w:val="4"/>
        </w:numPr>
        <w:tabs>
          <w:tab w:val="clear" w:pos="720"/>
          <w:tab w:val="num" w:pos="312"/>
        </w:tabs>
        <w:spacing w:before="0" w:beforeAutospacing="0" w:after="0" w:afterAutospacing="0"/>
        <w:ind w:left="312" w:hanging="312"/>
        <w:rPr>
          <w:sz w:val="24"/>
          <w:szCs w:val="24"/>
        </w:rPr>
      </w:pPr>
      <w:r w:rsidRPr="00B05A21">
        <w:rPr>
          <w:sz w:val="24"/>
          <w:szCs w:val="24"/>
        </w:rPr>
        <w:t>Each department is responsible for ensuring that any residual value in surplus IT equipment is realized.  Each department must explore the reutilization of surplus IT equipment prior to requesting approval for disposal or attempting to use the equipment as a credit toward the purchase or lease of new equipment. </w:t>
      </w:r>
    </w:p>
    <w:p w:rsidR="004A4A07" w:rsidRPr="00B05A21" w:rsidRDefault="004A4A07" w:rsidP="00581398">
      <w:pPr>
        <w:pStyle w:val="content"/>
        <w:numPr>
          <w:ilvl w:val="0"/>
          <w:numId w:val="4"/>
        </w:numPr>
        <w:tabs>
          <w:tab w:val="clear" w:pos="720"/>
          <w:tab w:val="num" w:pos="312"/>
        </w:tabs>
        <w:spacing w:before="0" w:beforeAutospacing="0" w:after="0" w:afterAutospacing="0"/>
        <w:ind w:left="312" w:hanging="312"/>
        <w:rPr>
          <w:sz w:val="24"/>
          <w:szCs w:val="24"/>
        </w:rPr>
      </w:pPr>
      <w:r w:rsidRPr="00B05A21">
        <w:rPr>
          <w:sz w:val="24"/>
          <w:szCs w:val="24"/>
        </w:rPr>
        <w:t>The department must submit a completed Property Survey Report (Standard Form</w:t>
      </w:r>
      <w:r w:rsidRPr="00B05A21">
        <w:rPr>
          <w:color w:val="FF0000"/>
          <w:sz w:val="24"/>
          <w:szCs w:val="24"/>
        </w:rPr>
        <w:t xml:space="preserve"> </w:t>
      </w:r>
      <w:r w:rsidRPr="00B05A21">
        <w:rPr>
          <w:color w:val="auto"/>
          <w:sz w:val="24"/>
          <w:szCs w:val="24"/>
        </w:rPr>
        <w:t>[STD.] 152</w:t>
      </w:r>
      <w:r w:rsidRPr="00B05A21">
        <w:rPr>
          <w:sz w:val="24"/>
          <w:szCs w:val="24"/>
        </w:rPr>
        <w:t>) to the DGS Property Reutilization Unit at least 30 days prior to the disposal of surplus IT equipment.  At the same time, the department must send an informational copy of the completed Property Survey Report to CDT.</w:t>
      </w:r>
    </w:p>
    <w:p w:rsidR="004A4A07" w:rsidRPr="00B05A21" w:rsidRDefault="004A4A07" w:rsidP="00581398">
      <w:pPr>
        <w:pStyle w:val="content"/>
        <w:spacing w:before="0" w:beforeAutospacing="0" w:after="0" w:afterAutospacing="0"/>
        <w:rPr>
          <w:sz w:val="24"/>
          <w:szCs w:val="24"/>
        </w:rPr>
      </w:pPr>
    </w:p>
    <w:p w:rsidR="004A4A07" w:rsidRPr="00B05A21" w:rsidRDefault="004A4A07" w:rsidP="00581398">
      <w:pPr>
        <w:rPr>
          <w:rFonts w:ascii="Arial" w:hAnsi="Arial" w:cs="Arial"/>
        </w:rPr>
      </w:pPr>
      <w:r w:rsidRPr="00B05A21">
        <w:rPr>
          <w:rFonts w:ascii="Arial" w:hAnsi="Arial" w:cs="Arial"/>
        </w:rPr>
        <w:t>Each department must comply with the State property accounting requirements described in SAM section 8633 and 8640-8642 when disposing of surplus IT equipment.</w:t>
      </w:r>
    </w:p>
    <w:p w:rsidR="00581398" w:rsidRPr="00B05A21" w:rsidRDefault="00581398" w:rsidP="00581398">
      <w:pPr>
        <w:pStyle w:val="BlockLine"/>
        <w:tabs>
          <w:tab w:val="left" w:pos="2655"/>
        </w:tabs>
        <w:rPr>
          <w:rFonts w:ascii="Arial" w:hAnsi="Arial" w:cs="Arial"/>
          <w:szCs w:val="24"/>
        </w:rPr>
      </w:pPr>
      <w:r w:rsidRPr="00B05A21">
        <w:rPr>
          <w:rFonts w:ascii="Arial" w:hAnsi="Arial" w:cs="Arial"/>
          <w:szCs w:val="24"/>
        </w:rPr>
        <w:tab/>
      </w:r>
    </w:p>
    <w:p w:rsidR="00542821" w:rsidRPr="00B05A21" w:rsidRDefault="00542821" w:rsidP="00542821">
      <w:pPr>
        <w:pStyle w:val="Heading3"/>
        <w:spacing w:after="120"/>
        <w:jc w:val="left"/>
        <w:rPr>
          <w:rFonts w:cs="Arial"/>
          <w:bCs/>
          <w:sz w:val="24"/>
          <w:szCs w:val="24"/>
        </w:rPr>
      </w:pPr>
      <w:bookmarkStart w:id="250" w:name="_Toc12886015"/>
      <w:r w:rsidRPr="00B05A21">
        <w:rPr>
          <w:rFonts w:cs="Arial"/>
          <w:bCs/>
          <w:sz w:val="24"/>
          <w:szCs w:val="24"/>
        </w:rPr>
        <w:t>2.C1.1   Transfer and disposal requirements for IT supplies</w:t>
      </w:r>
      <w:bookmarkEnd w:id="250"/>
    </w:p>
    <w:p w:rsidR="00542821" w:rsidRPr="00B05A21" w:rsidRDefault="00542821" w:rsidP="00581398">
      <w:pPr>
        <w:rPr>
          <w:rFonts w:ascii="Arial" w:hAnsi="Arial" w:cs="Arial"/>
        </w:rPr>
      </w:pPr>
      <w:r w:rsidRPr="00B05A21">
        <w:rPr>
          <w:rFonts w:ascii="Arial" w:hAnsi="Arial" w:cs="Arial"/>
        </w:rPr>
        <w:t>The disposition of surplus IT supplies must be in accordance with the most economical and practical manner for the State as a whole.  Each department is responsible for ensuring that any residual value in surplus IT supplies is realized.  Each department must comply with the State property accounting requirements described in SAM sections 8633 and 8640-8642 when disposing of surplus IT supplies.  The department must prepare and maintain a Property Survey Report (STD. 152) when disposing of surplus IT supplies.</w:t>
      </w:r>
    </w:p>
    <w:p w:rsidR="00542821" w:rsidRPr="00B05A21" w:rsidRDefault="00542821" w:rsidP="00581398">
      <w:pPr>
        <w:rPr>
          <w:rFonts w:ascii="Arial" w:hAnsi="Arial" w:cs="Arial"/>
        </w:rPr>
      </w:pPr>
      <w:r w:rsidRPr="00B05A21">
        <w:rPr>
          <w:rFonts w:ascii="Arial" w:hAnsi="Arial" w:cs="Arial"/>
        </w:rPr>
        <w:t> </w:t>
      </w:r>
    </w:p>
    <w:p w:rsidR="00542821" w:rsidRPr="00B05A21" w:rsidRDefault="00542821" w:rsidP="00581398">
      <w:pPr>
        <w:rPr>
          <w:rFonts w:ascii="Arial" w:hAnsi="Arial" w:cs="Arial"/>
        </w:rPr>
      </w:pPr>
      <w:r w:rsidRPr="00B05A21">
        <w:rPr>
          <w:rFonts w:ascii="Arial" w:hAnsi="Arial" w:cs="Arial"/>
        </w:rPr>
        <w:t>A diligent effort must be made to secure at least three competitive bids for the supplies.  If three bids cannot be obtained, a list or organizations or individuals solicited must be prepared and signed by an authorized representative of the department.  The list and the bids received must be attached to the Property Survey Report.</w:t>
      </w:r>
    </w:p>
    <w:p w:rsidR="00542821" w:rsidRPr="00B05A21" w:rsidRDefault="00542821" w:rsidP="00581398">
      <w:pPr>
        <w:rPr>
          <w:rFonts w:ascii="Arial" w:hAnsi="Arial" w:cs="Arial"/>
        </w:rPr>
      </w:pPr>
      <w:r w:rsidRPr="00B05A21">
        <w:rPr>
          <w:rFonts w:ascii="Arial" w:hAnsi="Arial" w:cs="Arial"/>
        </w:rPr>
        <w:t> </w:t>
      </w:r>
    </w:p>
    <w:p w:rsidR="00542821" w:rsidRPr="00B05A21" w:rsidRDefault="00542821" w:rsidP="00581398">
      <w:pPr>
        <w:rPr>
          <w:rFonts w:ascii="Arial" w:hAnsi="Arial" w:cs="Arial"/>
        </w:rPr>
      </w:pPr>
      <w:r w:rsidRPr="00B05A21">
        <w:rPr>
          <w:rFonts w:ascii="Arial" w:hAnsi="Arial" w:cs="Arial"/>
        </w:rPr>
        <w:t>IT paper goods, e.g., computer printouts, punch cards, and pre-numbered forms, must be disposed of in accordance with SAM sections 1930.1 and 1693.</w:t>
      </w:r>
    </w:p>
    <w:p w:rsidR="00542821" w:rsidRPr="00B05A21" w:rsidRDefault="00542821" w:rsidP="00581398">
      <w:pPr>
        <w:rPr>
          <w:rFonts w:ascii="Arial" w:hAnsi="Arial" w:cs="Arial"/>
          <w:color w:val="0000FF"/>
        </w:rPr>
      </w:pPr>
      <w:r w:rsidRPr="00B05A21">
        <w:rPr>
          <w:rFonts w:ascii="Arial" w:hAnsi="Arial" w:cs="Arial"/>
          <w:color w:val="0000FF"/>
        </w:rPr>
        <w:t> </w:t>
      </w:r>
    </w:p>
    <w:p w:rsidR="00542821" w:rsidRPr="00B05A21" w:rsidRDefault="00542821" w:rsidP="00581398">
      <w:pPr>
        <w:rPr>
          <w:rFonts w:ascii="Arial" w:hAnsi="Arial" w:cs="Arial"/>
        </w:rPr>
      </w:pPr>
      <w:r w:rsidRPr="00B05A21">
        <w:rPr>
          <w:rFonts w:ascii="Arial" w:hAnsi="Arial" w:cs="Arial"/>
        </w:rPr>
        <w:lastRenderedPageBreak/>
        <w:t>Magnetic media for data processing devices, e.g., magnetic tapes and disk packs, must be disposed of in accordance with the procedures of this section.  If sale is not possible, the magnetic media may be disposed of through any organization that will retrieve them without charge to the State.</w:t>
      </w:r>
    </w:p>
    <w:p w:rsidR="00542821" w:rsidRPr="00B05A21" w:rsidRDefault="00542821" w:rsidP="00581398">
      <w:pPr>
        <w:rPr>
          <w:rFonts w:ascii="Arial" w:hAnsi="Arial" w:cs="Arial"/>
        </w:rPr>
      </w:pPr>
      <w:r w:rsidRPr="00B05A21">
        <w:rPr>
          <w:rFonts w:ascii="Arial" w:hAnsi="Arial" w:cs="Arial"/>
        </w:rPr>
        <w:t> </w:t>
      </w:r>
    </w:p>
    <w:p w:rsidR="00542821" w:rsidRPr="00B05A21" w:rsidRDefault="00542821" w:rsidP="00581398">
      <w:pPr>
        <w:rPr>
          <w:rFonts w:ascii="Arial" w:hAnsi="Arial" w:cs="Arial"/>
        </w:rPr>
      </w:pPr>
      <w:r w:rsidRPr="00B05A21">
        <w:rPr>
          <w:rFonts w:ascii="Arial" w:hAnsi="Arial" w:cs="Arial"/>
        </w:rPr>
        <w:t>The handling and disposal of IT supplies containing information classified as confidential or sensitive as defined in SAM section 5320.5 must be conducted according to the policies stated in SAM section 1693 and the procedures established by the department program having ownership responsibility for such information (SAM section 5320.2).  See SAM section 5300 et seq. for detailed information on Information Security.</w:t>
      </w:r>
    </w:p>
    <w:p w:rsidR="00581398" w:rsidRPr="00B05A21" w:rsidRDefault="00581398" w:rsidP="00581398">
      <w:pPr>
        <w:pStyle w:val="BlockLine"/>
        <w:tabs>
          <w:tab w:val="left" w:pos="2655"/>
        </w:tabs>
        <w:rPr>
          <w:rFonts w:ascii="Arial" w:hAnsi="Arial" w:cs="Arial"/>
          <w:szCs w:val="24"/>
        </w:rPr>
      </w:pPr>
      <w:r w:rsidRPr="00B05A21">
        <w:rPr>
          <w:rFonts w:ascii="Arial" w:hAnsi="Arial" w:cs="Arial"/>
          <w:szCs w:val="24"/>
        </w:rPr>
        <w:tab/>
      </w:r>
    </w:p>
    <w:p w:rsidR="00C964B0" w:rsidRPr="00B05A21" w:rsidRDefault="00C964B0" w:rsidP="00C964B0">
      <w:pPr>
        <w:pStyle w:val="Heading3"/>
        <w:spacing w:after="120"/>
        <w:jc w:val="left"/>
        <w:rPr>
          <w:rFonts w:cs="Arial"/>
          <w:bCs/>
          <w:sz w:val="24"/>
          <w:szCs w:val="24"/>
        </w:rPr>
      </w:pPr>
      <w:bookmarkStart w:id="251" w:name="_Toc12886016"/>
      <w:r w:rsidRPr="00B05A21">
        <w:rPr>
          <w:rFonts w:cs="Arial"/>
          <w:bCs/>
          <w:sz w:val="24"/>
          <w:szCs w:val="24"/>
        </w:rPr>
        <w:t>2.C1.2   How to contact SPR</w:t>
      </w:r>
      <w:bookmarkEnd w:id="251"/>
    </w:p>
    <w:p w:rsidR="00C964B0" w:rsidRPr="00B05A21" w:rsidRDefault="00C964B0" w:rsidP="004536FD">
      <w:pPr>
        <w:pStyle w:val="Default"/>
      </w:pPr>
      <w:r w:rsidRPr="00B05A21">
        <w:t>Contact the DGS SPR program at their facility in Sacramento:</w:t>
      </w:r>
    </w:p>
    <w:p w:rsidR="00C964B0" w:rsidRPr="00B05A21" w:rsidRDefault="00C964B0" w:rsidP="004536FD">
      <w:pPr>
        <w:pStyle w:val="Default"/>
      </w:pPr>
    </w:p>
    <w:p w:rsidR="00C964B0" w:rsidRPr="00B05A21" w:rsidRDefault="00C964B0" w:rsidP="00030EDC">
      <w:pPr>
        <w:pStyle w:val="BlockText0"/>
        <w:ind w:left="72"/>
        <w:rPr>
          <w:rFonts w:ascii="Arial" w:eastAsia="Calibri" w:hAnsi="Arial" w:cs="Arial"/>
          <w:color w:val="000000"/>
          <w:szCs w:val="24"/>
        </w:rPr>
      </w:pPr>
      <w:r w:rsidRPr="00B05A21">
        <w:rPr>
          <w:rFonts w:ascii="Arial" w:eastAsia="Calibri" w:hAnsi="Arial" w:cs="Arial"/>
          <w:color w:val="000000"/>
          <w:szCs w:val="24"/>
        </w:rPr>
        <w:t>Call:</w:t>
      </w:r>
      <w:r w:rsidR="00030EDC">
        <w:rPr>
          <w:rFonts w:ascii="Arial" w:eastAsia="Calibri" w:hAnsi="Arial" w:cs="Arial"/>
          <w:color w:val="000000"/>
          <w:szCs w:val="24"/>
        </w:rPr>
        <w:tab/>
      </w:r>
      <w:r w:rsidRPr="00B05A21">
        <w:rPr>
          <w:rFonts w:ascii="Arial" w:eastAsia="Calibri" w:hAnsi="Arial" w:cs="Arial"/>
          <w:color w:val="000000"/>
          <w:szCs w:val="24"/>
        </w:rPr>
        <w:t>(916) 928-5800</w:t>
      </w:r>
    </w:p>
    <w:p w:rsidR="00C964B0" w:rsidRPr="00B05A21" w:rsidRDefault="00C964B0" w:rsidP="004536FD">
      <w:pPr>
        <w:pStyle w:val="BlockText0"/>
        <w:ind w:left="72"/>
        <w:rPr>
          <w:rFonts w:ascii="Arial" w:eastAsia="Calibri" w:hAnsi="Arial" w:cs="Arial"/>
          <w:color w:val="000000"/>
          <w:szCs w:val="24"/>
        </w:rPr>
      </w:pPr>
      <w:r w:rsidRPr="00B05A21">
        <w:rPr>
          <w:rFonts w:ascii="Arial" w:eastAsia="Calibri" w:hAnsi="Arial" w:cs="Arial"/>
          <w:color w:val="000000"/>
          <w:szCs w:val="24"/>
        </w:rPr>
        <w:t xml:space="preserve">Email:  </w:t>
      </w:r>
      <w:hyperlink r:id="rId30" w:history="1">
        <w:r w:rsidRPr="00B05A21">
          <w:rPr>
            <w:rStyle w:val="Hyperlink"/>
            <w:rFonts w:ascii="Arial" w:eastAsia="Calibri" w:hAnsi="Arial" w:cs="Arial"/>
            <w:szCs w:val="24"/>
          </w:rPr>
          <w:t>contactspr@dgs.ca.gov</w:t>
        </w:r>
      </w:hyperlink>
    </w:p>
    <w:p w:rsidR="00030EDC" w:rsidRDefault="00C964B0" w:rsidP="00030EDC">
      <w:pPr>
        <w:pStyle w:val="BlockText0"/>
        <w:ind w:left="72"/>
        <w:rPr>
          <w:rFonts w:ascii="Arial" w:eastAsia="Calibri" w:hAnsi="Arial" w:cs="Arial"/>
          <w:color w:val="000000"/>
          <w:szCs w:val="24"/>
        </w:rPr>
      </w:pPr>
      <w:r w:rsidRPr="00B05A21">
        <w:rPr>
          <w:rFonts w:ascii="Arial" w:eastAsia="Calibri" w:hAnsi="Arial" w:cs="Arial"/>
          <w:color w:val="000000"/>
          <w:szCs w:val="24"/>
        </w:rPr>
        <w:t>Visit:</w:t>
      </w:r>
      <w:r w:rsidR="00030EDC">
        <w:rPr>
          <w:rFonts w:ascii="Arial" w:eastAsia="Calibri" w:hAnsi="Arial" w:cs="Arial"/>
          <w:color w:val="000000"/>
          <w:szCs w:val="24"/>
        </w:rPr>
        <w:tab/>
      </w:r>
      <w:r w:rsidRPr="00B05A21">
        <w:rPr>
          <w:rFonts w:ascii="Arial" w:eastAsia="Calibri" w:hAnsi="Arial" w:cs="Arial"/>
          <w:color w:val="000000"/>
          <w:szCs w:val="24"/>
        </w:rPr>
        <w:t>National Drive Warehouse</w:t>
      </w:r>
    </w:p>
    <w:p w:rsidR="00C964B0" w:rsidRPr="00B05A21" w:rsidRDefault="00C964B0" w:rsidP="00030EDC">
      <w:pPr>
        <w:pStyle w:val="BlockText0"/>
        <w:ind w:left="72" w:firstLine="792"/>
        <w:rPr>
          <w:rFonts w:ascii="Arial" w:eastAsia="Calibri" w:hAnsi="Arial" w:cs="Arial"/>
          <w:color w:val="000000"/>
          <w:szCs w:val="24"/>
        </w:rPr>
      </w:pPr>
      <w:r w:rsidRPr="00B05A21">
        <w:rPr>
          <w:rFonts w:ascii="Arial" w:eastAsia="Calibri" w:hAnsi="Arial" w:cs="Arial"/>
          <w:color w:val="000000"/>
          <w:szCs w:val="24"/>
        </w:rPr>
        <w:t>1700 National Drive</w:t>
      </w:r>
    </w:p>
    <w:p w:rsidR="00C964B0" w:rsidRPr="00B05A21" w:rsidRDefault="00C964B0" w:rsidP="00030EDC">
      <w:pPr>
        <w:pStyle w:val="BlockText0"/>
        <w:ind w:left="72" w:firstLine="792"/>
        <w:rPr>
          <w:rFonts w:ascii="Arial" w:eastAsia="Calibri" w:hAnsi="Arial" w:cs="Arial"/>
          <w:color w:val="000000"/>
          <w:szCs w:val="24"/>
        </w:rPr>
      </w:pPr>
      <w:r w:rsidRPr="00B05A21">
        <w:rPr>
          <w:rFonts w:ascii="Arial" w:eastAsia="Calibri" w:hAnsi="Arial" w:cs="Arial"/>
          <w:color w:val="000000"/>
          <w:szCs w:val="24"/>
        </w:rPr>
        <w:t>Sacramento, CA 95834</w:t>
      </w:r>
    </w:p>
    <w:p w:rsidR="00030EDC" w:rsidRDefault="00030EDC" w:rsidP="00030EDC">
      <w:pPr>
        <w:pStyle w:val="BlockText0"/>
        <w:ind w:left="72"/>
        <w:rPr>
          <w:rFonts w:ascii="Arial" w:eastAsia="Calibri" w:hAnsi="Arial" w:cs="Arial"/>
          <w:color w:val="000000"/>
          <w:szCs w:val="24"/>
        </w:rPr>
      </w:pPr>
      <w:r>
        <w:rPr>
          <w:rFonts w:ascii="Arial" w:eastAsia="Calibri" w:hAnsi="Arial" w:cs="Arial"/>
          <w:color w:val="000000"/>
          <w:szCs w:val="24"/>
        </w:rPr>
        <w:t xml:space="preserve">Online: </w:t>
      </w:r>
      <w:r w:rsidR="00C964B0" w:rsidRPr="00B05A21">
        <w:rPr>
          <w:rFonts w:ascii="Arial" w:eastAsia="Calibri" w:hAnsi="Arial" w:cs="Arial"/>
          <w:color w:val="000000"/>
          <w:szCs w:val="24"/>
        </w:rPr>
        <w:t>A real time listing of current property is available at the National</w:t>
      </w:r>
    </w:p>
    <w:p w:rsidR="00C964B0" w:rsidRPr="00B05A21" w:rsidRDefault="00C964B0" w:rsidP="00030EDC">
      <w:pPr>
        <w:pStyle w:val="BlockText0"/>
        <w:ind w:left="72" w:firstLine="792"/>
        <w:rPr>
          <w:rFonts w:ascii="Arial" w:hAnsi="Arial" w:cs="Arial"/>
          <w:szCs w:val="24"/>
        </w:rPr>
      </w:pPr>
      <w:r w:rsidRPr="00B05A21">
        <w:rPr>
          <w:rFonts w:ascii="Arial" w:hAnsi="Arial" w:cs="Arial"/>
          <w:szCs w:val="24"/>
        </w:rPr>
        <w:t xml:space="preserve">Drive Warehouse </w:t>
      </w:r>
      <w:hyperlink r:id="rId31" w:history="1">
        <w:r w:rsidRPr="00B05A21">
          <w:rPr>
            <w:rStyle w:val="Hyperlink"/>
            <w:rFonts w:ascii="Arial" w:hAnsi="Arial" w:cs="Arial"/>
            <w:szCs w:val="24"/>
          </w:rPr>
          <w:t>website</w:t>
        </w:r>
      </w:hyperlink>
      <w:r w:rsidRPr="00B05A21">
        <w:rPr>
          <w:rFonts w:ascii="Arial" w:hAnsi="Arial" w:cs="Arial"/>
          <w:szCs w:val="24"/>
        </w:rPr>
        <w:t>.</w:t>
      </w:r>
    </w:p>
    <w:p w:rsidR="00581398" w:rsidRPr="00B05A21" w:rsidRDefault="00581398" w:rsidP="00581398">
      <w:pPr>
        <w:pStyle w:val="BlockLine"/>
        <w:tabs>
          <w:tab w:val="left" w:pos="2655"/>
        </w:tabs>
        <w:rPr>
          <w:rFonts w:ascii="Arial" w:hAnsi="Arial" w:cs="Arial"/>
          <w:szCs w:val="24"/>
        </w:rPr>
      </w:pPr>
      <w:r w:rsidRPr="00B05A21">
        <w:rPr>
          <w:rFonts w:ascii="Arial" w:hAnsi="Arial" w:cs="Arial"/>
          <w:szCs w:val="24"/>
        </w:rPr>
        <w:tab/>
      </w:r>
    </w:p>
    <w:p w:rsidR="00C964B0" w:rsidRPr="00B05A21" w:rsidRDefault="00C964B0" w:rsidP="00C964B0">
      <w:pPr>
        <w:pStyle w:val="Heading3"/>
        <w:spacing w:after="120"/>
        <w:jc w:val="left"/>
        <w:rPr>
          <w:rFonts w:cs="Arial"/>
          <w:bCs/>
          <w:sz w:val="24"/>
          <w:szCs w:val="24"/>
        </w:rPr>
      </w:pPr>
      <w:bookmarkStart w:id="252" w:name="_Toc12886017"/>
      <w:r w:rsidRPr="00B05A21">
        <w:rPr>
          <w:rFonts w:cs="Arial"/>
          <w:bCs/>
          <w:sz w:val="24"/>
          <w:szCs w:val="24"/>
        </w:rPr>
        <w:t>2.C1.3   Electronic surplus property system</w:t>
      </w:r>
      <w:bookmarkEnd w:id="252"/>
    </w:p>
    <w:p w:rsidR="00C964B0" w:rsidRPr="00B05A21" w:rsidRDefault="00C964B0" w:rsidP="00581398">
      <w:pPr>
        <w:pStyle w:val="BlockText0"/>
        <w:rPr>
          <w:rFonts w:ascii="Arial" w:hAnsi="Arial" w:cs="Arial"/>
          <w:szCs w:val="24"/>
        </w:rPr>
      </w:pPr>
      <w:r w:rsidRPr="00B05A21">
        <w:rPr>
          <w:rFonts w:ascii="Arial" w:hAnsi="Arial" w:cs="Arial"/>
          <w:szCs w:val="24"/>
        </w:rPr>
        <w:t>DGS has implemented an automated business management system to allow online web-based submission and approval of the following documentation:</w:t>
      </w:r>
    </w:p>
    <w:p w:rsidR="00C964B0" w:rsidRPr="00B05A21" w:rsidRDefault="00C964B0" w:rsidP="00581398">
      <w:pPr>
        <w:pStyle w:val="content"/>
        <w:numPr>
          <w:ilvl w:val="0"/>
          <w:numId w:val="4"/>
        </w:numPr>
        <w:tabs>
          <w:tab w:val="clear" w:pos="720"/>
          <w:tab w:val="num" w:pos="312"/>
        </w:tabs>
        <w:spacing w:before="0" w:beforeAutospacing="0" w:after="0" w:afterAutospacing="0"/>
        <w:ind w:left="312" w:hanging="312"/>
        <w:rPr>
          <w:sz w:val="24"/>
          <w:szCs w:val="24"/>
        </w:rPr>
      </w:pPr>
      <w:r w:rsidRPr="00B05A21">
        <w:rPr>
          <w:sz w:val="24"/>
          <w:szCs w:val="24"/>
        </w:rPr>
        <w:t xml:space="preserve">Property Survey Reports (STD.152), </w:t>
      </w:r>
    </w:p>
    <w:p w:rsidR="00C964B0" w:rsidRPr="00B05A21" w:rsidRDefault="00C964B0" w:rsidP="00581398">
      <w:pPr>
        <w:pStyle w:val="content"/>
        <w:numPr>
          <w:ilvl w:val="0"/>
          <w:numId w:val="4"/>
        </w:numPr>
        <w:tabs>
          <w:tab w:val="clear" w:pos="720"/>
          <w:tab w:val="num" w:pos="312"/>
        </w:tabs>
        <w:spacing w:before="0" w:beforeAutospacing="0" w:after="0" w:afterAutospacing="0"/>
        <w:ind w:left="312" w:hanging="312"/>
        <w:rPr>
          <w:sz w:val="24"/>
          <w:szCs w:val="24"/>
        </w:rPr>
      </w:pPr>
      <w:r w:rsidRPr="00B05A21">
        <w:rPr>
          <w:sz w:val="24"/>
          <w:szCs w:val="24"/>
        </w:rPr>
        <w:t>Transfer of Location of Equipment Reports (STD.158) and</w:t>
      </w:r>
    </w:p>
    <w:p w:rsidR="00C964B0" w:rsidRPr="00B05A21" w:rsidRDefault="00C964B0" w:rsidP="00581398">
      <w:pPr>
        <w:pStyle w:val="content"/>
        <w:numPr>
          <w:ilvl w:val="0"/>
          <w:numId w:val="4"/>
        </w:numPr>
        <w:tabs>
          <w:tab w:val="clear" w:pos="720"/>
          <w:tab w:val="num" w:pos="312"/>
        </w:tabs>
        <w:spacing w:before="0" w:beforeAutospacing="0" w:after="0" w:afterAutospacing="0"/>
        <w:ind w:left="312" w:hanging="312"/>
        <w:rPr>
          <w:sz w:val="24"/>
          <w:szCs w:val="24"/>
        </w:rPr>
      </w:pPr>
      <w:r w:rsidRPr="00B05A21">
        <w:rPr>
          <w:sz w:val="24"/>
          <w:szCs w:val="24"/>
        </w:rPr>
        <w:t>A real time listing of current property that is available at the National Drive warehouse.</w:t>
      </w:r>
    </w:p>
    <w:p w:rsidR="00C964B0" w:rsidRPr="00B05A21" w:rsidRDefault="00C964B0" w:rsidP="00581398">
      <w:pPr>
        <w:pStyle w:val="BulletText1"/>
        <w:numPr>
          <w:ilvl w:val="0"/>
          <w:numId w:val="0"/>
        </w:numPr>
        <w:ind w:left="173" w:hanging="173"/>
        <w:rPr>
          <w:rFonts w:ascii="Arial" w:hAnsi="Arial" w:cs="Arial"/>
          <w:szCs w:val="24"/>
        </w:rPr>
      </w:pPr>
    </w:p>
    <w:p w:rsidR="00C964B0" w:rsidRPr="00B05A21" w:rsidRDefault="00C964B0" w:rsidP="00581398">
      <w:pPr>
        <w:rPr>
          <w:rFonts w:ascii="Arial" w:hAnsi="Arial" w:cs="Arial"/>
        </w:rPr>
      </w:pPr>
      <w:r w:rsidRPr="00B05A21">
        <w:rPr>
          <w:rFonts w:ascii="Arial" w:hAnsi="Arial" w:cs="Arial"/>
        </w:rPr>
        <w:t xml:space="preserve">Click here to access the </w:t>
      </w:r>
      <w:hyperlink r:id="rId32" w:history="1">
        <w:r w:rsidRPr="00B05A21">
          <w:rPr>
            <w:rStyle w:val="Hyperlink"/>
            <w:rFonts w:ascii="Arial" w:hAnsi="Arial" w:cs="Arial"/>
          </w:rPr>
          <w:t>Surplus Property Program web page</w:t>
        </w:r>
      </w:hyperlink>
      <w:r w:rsidRPr="00B05A21">
        <w:rPr>
          <w:rFonts w:ascii="Arial" w:hAnsi="Arial" w:cs="Arial"/>
        </w:rPr>
        <w:t>.</w:t>
      </w:r>
    </w:p>
    <w:p w:rsidR="00581398" w:rsidRPr="00B05A21" w:rsidRDefault="00581398" w:rsidP="00581398">
      <w:pPr>
        <w:pStyle w:val="BlockLine"/>
        <w:tabs>
          <w:tab w:val="left" w:pos="2655"/>
        </w:tabs>
        <w:rPr>
          <w:rFonts w:ascii="Arial" w:hAnsi="Arial" w:cs="Arial"/>
          <w:szCs w:val="24"/>
        </w:rPr>
      </w:pPr>
      <w:r w:rsidRPr="00B05A21">
        <w:rPr>
          <w:rFonts w:ascii="Arial" w:hAnsi="Arial" w:cs="Arial"/>
          <w:szCs w:val="24"/>
        </w:rPr>
        <w:tab/>
      </w:r>
    </w:p>
    <w:p w:rsidR="006729B5" w:rsidRPr="003551BF" w:rsidRDefault="006729B5" w:rsidP="007B0AA9">
      <w:pPr>
        <w:pStyle w:val="Heading2"/>
        <w:spacing w:after="120"/>
        <w:jc w:val="left"/>
        <w:rPr>
          <w:rFonts w:cs="Arial"/>
          <w:bCs/>
          <w:szCs w:val="32"/>
        </w:rPr>
      </w:pPr>
      <w:bookmarkStart w:id="253" w:name="_1.C1.1_Transfer_and_Disposal_Requir"/>
      <w:bookmarkStart w:id="254" w:name="_1.C1.2_Transfer_and_Disposal_Requir"/>
      <w:bookmarkStart w:id="255" w:name="_Topic_2_–_Community-based_Rehabilit_2"/>
      <w:bookmarkStart w:id="256" w:name="_Topic_2_–_Community-based_Rehabilit_1"/>
      <w:bookmarkStart w:id="257" w:name="_Topic_5_–_Community-based_Rehabilit"/>
      <w:bookmarkStart w:id="258" w:name="_Topic_2_–_Community-based_Rehabilit"/>
      <w:bookmarkStart w:id="259" w:name="_Toc533170214"/>
      <w:bookmarkStart w:id="260" w:name="_Toc12886018"/>
      <w:bookmarkStart w:id="261" w:name="_Toc83450128"/>
      <w:bookmarkStart w:id="262" w:name="_Toc116951995"/>
      <w:bookmarkEnd w:id="247"/>
      <w:bookmarkEnd w:id="248"/>
      <w:bookmarkEnd w:id="253"/>
      <w:bookmarkEnd w:id="254"/>
      <w:bookmarkEnd w:id="255"/>
      <w:bookmarkEnd w:id="256"/>
      <w:bookmarkEnd w:id="257"/>
      <w:bookmarkEnd w:id="258"/>
      <w:r w:rsidRPr="003551BF">
        <w:rPr>
          <w:rFonts w:cs="Arial"/>
          <w:bCs/>
          <w:szCs w:val="32"/>
        </w:rPr>
        <w:t>Topic 2 – Acquisitions Related to Reasonable Accommodations</w:t>
      </w:r>
      <w:bookmarkEnd w:id="259"/>
      <w:bookmarkEnd w:id="260"/>
    </w:p>
    <w:p w:rsidR="006729B5" w:rsidRPr="00B05A21" w:rsidRDefault="006729B5" w:rsidP="006729B5">
      <w:pPr>
        <w:pStyle w:val="BlockLine"/>
        <w:tabs>
          <w:tab w:val="left" w:pos="2655"/>
        </w:tabs>
        <w:rPr>
          <w:rFonts w:ascii="Arial" w:hAnsi="Arial" w:cs="Arial"/>
          <w:szCs w:val="24"/>
        </w:rPr>
      </w:pPr>
      <w:r w:rsidRPr="00B05A21">
        <w:rPr>
          <w:rFonts w:ascii="Arial" w:hAnsi="Arial" w:cs="Arial"/>
          <w:szCs w:val="24"/>
        </w:rPr>
        <w:tab/>
      </w:r>
    </w:p>
    <w:p w:rsidR="007B0AA9" w:rsidRPr="00B05A21" w:rsidRDefault="007B0AA9" w:rsidP="007B0AA9">
      <w:pPr>
        <w:pStyle w:val="Heading3"/>
        <w:spacing w:after="120"/>
        <w:jc w:val="left"/>
        <w:rPr>
          <w:rFonts w:cs="Arial"/>
          <w:bCs/>
          <w:sz w:val="24"/>
          <w:szCs w:val="24"/>
        </w:rPr>
      </w:pPr>
      <w:bookmarkStart w:id="263" w:name="_Toc533170215"/>
      <w:bookmarkStart w:id="264" w:name="_Toc12886019"/>
      <w:r w:rsidRPr="00B05A21">
        <w:rPr>
          <w:rFonts w:cs="Arial"/>
          <w:bCs/>
          <w:sz w:val="24"/>
          <w:szCs w:val="24"/>
        </w:rPr>
        <w:t>2.C2.0   Background</w:t>
      </w:r>
      <w:bookmarkEnd w:id="263"/>
      <w:bookmarkEnd w:id="264"/>
    </w:p>
    <w:p w:rsidR="007B0AA9" w:rsidRPr="00B05A21" w:rsidRDefault="007B0AA9" w:rsidP="003E4107">
      <w:pPr>
        <w:autoSpaceDE w:val="0"/>
        <w:autoSpaceDN w:val="0"/>
        <w:adjustRightInd w:val="0"/>
        <w:rPr>
          <w:rFonts w:ascii="Arial" w:hAnsi="Arial" w:cs="Arial"/>
        </w:rPr>
      </w:pPr>
      <w:r w:rsidRPr="00B05A21">
        <w:rPr>
          <w:rFonts w:ascii="Arial" w:hAnsi="Arial" w:cs="Arial"/>
        </w:rPr>
        <w:t xml:space="preserve">It is the policy of the state that qualified individuals with a disability shall be employed in public service on the same terms and conditions as the nondisabled, consistent with applicable state or federal law. Further, it is the policy of this state that a department, agency, or commission shall make reasonable accommodation to the known physical or mental limitations of an otherwise qualified applicant or employee who is an individual with a disability, unless the hiring authority can demonstrate that the accommodation </w:t>
      </w:r>
      <w:r w:rsidRPr="00B05A21">
        <w:rPr>
          <w:rFonts w:ascii="Arial" w:hAnsi="Arial" w:cs="Arial"/>
        </w:rPr>
        <w:lastRenderedPageBreak/>
        <w:t>would impose an undue hardship on the operation of its program. A department shall not deny any employment opportunity to a qualified applicant or employee who is an individual with a disability if the basis for the denial is the need to make reasonable accommodation to the physical or mental limitations of the applicant or employee.</w:t>
      </w:r>
    </w:p>
    <w:p w:rsidR="007B0AA9" w:rsidRPr="00B05A21" w:rsidRDefault="007B0AA9" w:rsidP="003E4107">
      <w:pPr>
        <w:autoSpaceDE w:val="0"/>
        <w:autoSpaceDN w:val="0"/>
        <w:adjustRightInd w:val="0"/>
        <w:rPr>
          <w:rFonts w:ascii="Arial" w:hAnsi="Arial" w:cs="Arial"/>
        </w:rPr>
      </w:pPr>
      <w:r w:rsidRPr="00B05A21">
        <w:rPr>
          <w:rFonts w:ascii="Arial" w:hAnsi="Arial" w:cs="Arial"/>
        </w:rPr>
        <w:t xml:space="preserve"> </w:t>
      </w:r>
    </w:p>
    <w:p w:rsidR="007B0AA9" w:rsidRPr="00B05A21" w:rsidRDefault="007B0AA9" w:rsidP="003E4107">
      <w:pPr>
        <w:autoSpaceDE w:val="0"/>
        <w:autoSpaceDN w:val="0"/>
        <w:adjustRightInd w:val="0"/>
        <w:rPr>
          <w:rFonts w:ascii="Arial" w:hAnsi="Arial" w:cs="Arial"/>
          <w:color w:val="000000"/>
        </w:rPr>
      </w:pPr>
      <w:r w:rsidRPr="00B05A21">
        <w:rPr>
          <w:rFonts w:ascii="Arial" w:hAnsi="Arial" w:cs="Arial"/>
        </w:rPr>
        <w:t>Public Contract Code (PCC) 10298.1 requires DGS to provide a report on the DGS website regarding the purchases of services, goods, information technology, and telecommunications related to reasonable accommodations for state employees. DGS is also required to review procurement policy/procedures and make recommendations on improving the process for acquisitions related to reasonable accommodations. This topic implements PCC 10298.1 and provides special procedures specific to acquisitions related to reasonable accommodations.</w:t>
      </w:r>
    </w:p>
    <w:p w:rsidR="006729B5" w:rsidRPr="00B05A21" w:rsidRDefault="006729B5" w:rsidP="006729B5">
      <w:pPr>
        <w:pStyle w:val="BlockLine"/>
        <w:tabs>
          <w:tab w:val="left" w:pos="2655"/>
        </w:tabs>
        <w:rPr>
          <w:rFonts w:ascii="Arial" w:hAnsi="Arial" w:cs="Arial"/>
          <w:szCs w:val="24"/>
        </w:rPr>
      </w:pPr>
      <w:r w:rsidRPr="00B05A21">
        <w:rPr>
          <w:rFonts w:ascii="Arial" w:hAnsi="Arial" w:cs="Arial"/>
          <w:szCs w:val="24"/>
        </w:rPr>
        <w:tab/>
      </w:r>
    </w:p>
    <w:p w:rsidR="007B0AA9" w:rsidRPr="00B05A21" w:rsidRDefault="007B0AA9" w:rsidP="007B0AA9">
      <w:pPr>
        <w:pStyle w:val="Heading3"/>
        <w:spacing w:after="120"/>
        <w:jc w:val="left"/>
        <w:rPr>
          <w:rFonts w:cs="Arial"/>
          <w:bCs/>
          <w:sz w:val="24"/>
          <w:szCs w:val="24"/>
        </w:rPr>
      </w:pPr>
      <w:bookmarkStart w:id="265" w:name="_Toc533170216"/>
      <w:bookmarkStart w:id="266" w:name="_Toc12886020"/>
      <w:r w:rsidRPr="00B05A21">
        <w:rPr>
          <w:rFonts w:cs="Arial"/>
          <w:bCs/>
          <w:sz w:val="24"/>
          <w:szCs w:val="24"/>
        </w:rPr>
        <w:t>2.C2.1   Tracking and Reporting RA Acquisitions in FI$Cal</w:t>
      </w:r>
      <w:bookmarkEnd w:id="265"/>
      <w:bookmarkEnd w:id="266"/>
    </w:p>
    <w:p w:rsidR="007B0AA9" w:rsidRPr="00B05A21" w:rsidRDefault="007B0AA9" w:rsidP="003E4107">
      <w:pPr>
        <w:pStyle w:val="Default"/>
        <w:rPr>
          <w:rFonts w:eastAsia="Times New Roman"/>
          <w:color w:val="auto"/>
        </w:rPr>
      </w:pPr>
      <w:r w:rsidRPr="00B05A21">
        <w:rPr>
          <w:rFonts w:eastAsia="Times New Roman"/>
          <w:color w:val="auto"/>
        </w:rPr>
        <w:t xml:space="preserve">State agencies shall track acquisitions related to reasonable accommodations. These acquisitions shall be recorded, reported, and identified in the State Contracting and Procurement Registration System (SCPRS) located in the state’s FI$Cal. DGS will use this data to produce the report required by PCC 10298.1. </w:t>
      </w:r>
    </w:p>
    <w:p w:rsidR="007B0AA9" w:rsidRPr="00B05A21" w:rsidRDefault="007B0AA9" w:rsidP="003E4107">
      <w:pPr>
        <w:pStyle w:val="Default"/>
        <w:rPr>
          <w:rFonts w:eastAsia="Times New Roman"/>
          <w:color w:val="auto"/>
        </w:rPr>
      </w:pPr>
      <w:r w:rsidRPr="00B05A21">
        <w:rPr>
          <w:rFonts w:eastAsia="Times New Roman"/>
          <w:color w:val="auto"/>
        </w:rPr>
        <w:t>Acquisitions conducted by state agencies shall be recorded and reported by the state agency as follows:</w:t>
      </w:r>
    </w:p>
    <w:p w:rsidR="007B0AA9" w:rsidRPr="00B05A21" w:rsidRDefault="007B0AA9" w:rsidP="003E4107">
      <w:pPr>
        <w:pStyle w:val="Default"/>
        <w:rPr>
          <w:rFonts w:eastAsia="Times New Roman"/>
          <w:color w:val="auto"/>
        </w:rPr>
      </w:pPr>
    </w:p>
    <w:p w:rsidR="007B0AA9" w:rsidRPr="00B05A21" w:rsidRDefault="007B0AA9" w:rsidP="006729B5">
      <w:pPr>
        <w:pStyle w:val="Default"/>
        <w:numPr>
          <w:ilvl w:val="0"/>
          <w:numId w:val="36"/>
        </w:numPr>
        <w:rPr>
          <w:rFonts w:eastAsia="Times New Roman"/>
          <w:color w:val="auto"/>
        </w:rPr>
      </w:pPr>
      <w:r w:rsidRPr="00B05A21">
        <w:rPr>
          <w:rFonts w:eastAsia="Times New Roman"/>
          <w:color w:val="auto"/>
        </w:rPr>
        <w:t xml:space="preserve">For state agencies transacting in FI$Cal, this shall be accomplished by selecting the Acquisition Sub-Type “Reasonable Accommodation (State Employee)” in FI$Cal at the beginning of the acquisition process. Contracts executed using the Std 213 Standard Agreement form which are generated and approved outside of FI$Cal shall not be reported separately to SCPRS since the transaction has already been recorded in SCPRS while transacting in FI$Cal. </w:t>
      </w:r>
    </w:p>
    <w:p w:rsidR="007B0AA9" w:rsidRPr="00B05A21" w:rsidRDefault="007B0AA9" w:rsidP="006729B5">
      <w:pPr>
        <w:pStyle w:val="Default"/>
        <w:numPr>
          <w:ilvl w:val="0"/>
          <w:numId w:val="36"/>
        </w:numPr>
        <w:rPr>
          <w:rFonts w:eastAsia="Times New Roman"/>
          <w:color w:val="auto"/>
        </w:rPr>
      </w:pPr>
      <w:r w:rsidRPr="00B05A21">
        <w:rPr>
          <w:rFonts w:eastAsia="Times New Roman"/>
          <w:color w:val="auto"/>
        </w:rPr>
        <w:t xml:space="preserve">For state agencies not transacting in FI$Cal, this shall be accomplished by selecting the Acquisition Sub-Type “Reasonable Accommodation (State Employee)” when reporting the purchase in SCPRS-FI$Cal. </w:t>
      </w:r>
    </w:p>
    <w:p w:rsidR="007B0AA9" w:rsidRPr="00B05A21" w:rsidRDefault="007B0AA9" w:rsidP="003E4107">
      <w:pPr>
        <w:pStyle w:val="Default"/>
        <w:rPr>
          <w:rFonts w:eastAsia="Times New Roman"/>
          <w:color w:val="auto"/>
        </w:rPr>
      </w:pPr>
    </w:p>
    <w:p w:rsidR="007B0AA9" w:rsidRPr="00B05A21" w:rsidRDefault="007B0AA9" w:rsidP="003E4107">
      <w:pPr>
        <w:rPr>
          <w:rFonts w:ascii="Arial" w:hAnsi="Arial" w:cs="Arial"/>
        </w:rPr>
      </w:pPr>
      <w:r w:rsidRPr="00B05A21">
        <w:rPr>
          <w:rFonts w:ascii="Arial" w:hAnsi="Arial" w:cs="Arial"/>
        </w:rPr>
        <w:t>Acquisitions that exceed state agency’s purchasing authority and that are conducted by DGS/PD One Time Acquisitions Unit (OTA) will be recorded and reported by OTA. OTA shall select the Acquisitions Sub-Type ““Reasonable Accommodation (State Employee)” when transacting in FI$Cal. OTA may execute contracts using the Std 213 Standard Agreement form which are generated and approved outside of FI$Cal. When this occurs, the Std 213 Standard Agreement shall not be reported separately to SCPRS since the transaction has already been recorded in SCPRS by the OTA.</w:t>
      </w:r>
    </w:p>
    <w:p w:rsidR="006729B5" w:rsidRPr="00B05A21" w:rsidRDefault="006729B5" w:rsidP="006729B5">
      <w:pPr>
        <w:pStyle w:val="BlockLine"/>
        <w:tabs>
          <w:tab w:val="left" w:pos="2655"/>
        </w:tabs>
        <w:rPr>
          <w:rFonts w:ascii="Arial" w:hAnsi="Arial" w:cs="Arial"/>
          <w:szCs w:val="24"/>
        </w:rPr>
      </w:pPr>
      <w:r w:rsidRPr="00B05A21">
        <w:rPr>
          <w:rFonts w:ascii="Arial" w:hAnsi="Arial" w:cs="Arial"/>
          <w:szCs w:val="24"/>
        </w:rPr>
        <w:tab/>
      </w:r>
    </w:p>
    <w:p w:rsidR="00B86187" w:rsidRPr="00B05A21" w:rsidRDefault="00B86187" w:rsidP="00B86187">
      <w:pPr>
        <w:pStyle w:val="Heading3"/>
        <w:spacing w:after="120"/>
        <w:jc w:val="left"/>
        <w:rPr>
          <w:rFonts w:cs="Arial"/>
          <w:bCs/>
          <w:sz w:val="24"/>
          <w:szCs w:val="24"/>
        </w:rPr>
      </w:pPr>
      <w:bookmarkStart w:id="267" w:name="_Toc533170217"/>
      <w:bookmarkStart w:id="268" w:name="_Toc12886021"/>
      <w:r w:rsidRPr="00B05A21">
        <w:rPr>
          <w:rFonts w:cs="Arial"/>
          <w:bCs/>
          <w:sz w:val="24"/>
          <w:szCs w:val="24"/>
        </w:rPr>
        <w:t>2.C2.2   Expedite RA Acquisitions</w:t>
      </w:r>
      <w:bookmarkEnd w:id="267"/>
      <w:bookmarkEnd w:id="268"/>
    </w:p>
    <w:p w:rsidR="00B86187" w:rsidRPr="00B05A21" w:rsidRDefault="00B86187" w:rsidP="003E4107">
      <w:pPr>
        <w:pStyle w:val="Default"/>
        <w:rPr>
          <w:rFonts w:eastAsia="Times New Roman"/>
          <w:color w:val="auto"/>
        </w:rPr>
      </w:pPr>
      <w:r w:rsidRPr="00B05A21">
        <w:rPr>
          <w:rFonts w:eastAsia="Times New Roman"/>
          <w:color w:val="auto"/>
        </w:rPr>
        <w:t xml:space="preserve">When conducting an acquisition to fulfill a reasonable accommodation request, buyers must expedite the purchase, regardless of the acquisition type or method used to make the purchase. A purchase made in response to a request for reasonable accommodation does not preclude adherence to state procurement laws, regulations, executive orders, and policies. </w:t>
      </w:r>
    </w:p>
    <w:p w:rsidR="00B86187" w:rsidRPr="00B05A21" w:rsidRDefault="00B86187" w:rsidP="003E4107">
      <w:pPr>
        <w:pStyle w:val="Default"/>
        <w:rPr>
          <w:rFonts w:eastAsia="Times New Roman"/>
          <w:color w:val="auto"/>
        </w:rPr>
      </w:pPr>
    </w:p>
    <w:p w:rsidR="00B86187" w:rsidRPr="00B05A21" w:rsidRDefault="00B86187" w:rsidP="00E93A63">
      <w:pPr>
        <w:pStyle w:val="TableParagraph"/>
        <w:ind w:right="182"/>
        <w:rPr>
          <w:rFonts w:eastAsia="Times New Roman"/>
          <w:sz w:val="24"/>
          <w:szCs w:val="24"/>
        </w:rPr>
      </w:pPr>
      <w:r w:rsidRPr="00B05A21">
        <w:rPr>
          <w:rFonts w:eastAsia="Times New Roman"/>
          <w:sz w:val="24"/>
          <w:szCs w:val="24"/>
        </w:rPr>
        <w:lastRenderedPageBreak/>
        <w:t>State agency buyers must initiate the procurement process within seven business days of receipt of the purchase request.</w:t>
      </w:r>
    </w:p>
    <w:p w:rsidR="00B86187" w:rsidRPr="00B05A21" w:rsidRDefault="00B86187" w:rsidP="00E93A63">
      <w:pPr>
        <w:pStyle w:val="TableParagraph"/>
        <w:ind w:left="202" w:right="182"/>
        <w:rPr>
          <w:rFonts w:eastAsia="Times New Roman"/>
          <w:sz w:val="24"/>
          <w:szCs w:val="24"/>
        </w:rPr>
      </w:pPr>
    </w:p>
    <w:p w:rsidR="00B86187" w:rsidRPr="00B05A21" w:rsidRDefault="00B86187" w:rsidP="00E93A63">
      <w:pPr>
        <w:pStyle w:val="Default"/>
        <w:rPr>
          <w:rFonts w:eastAsia="Times New Roman"/>
          <w:color w:val="auto"/>
        </w:rPr>
      </w:pPr>
      <w:r w:rsidRPr="00B05A21">
        <w:rPr>
          <w:rFonts w:eastAsia="Times New Roman"/>
          <w:color w:val="auto"/>
        </w:rPr>
        <w:t>State agency internal procurement policy and procedure manuals must identify the expedite process for RA acquisitions including the expectation and required steps to initiate the procurement process within seven business days of receipt of the purchase request.</w:t>
      </w:r>
    </w:p>
    <w:p w:rsidR="006729B5" w:rsidRPr="00B05A21" w:rsidRDefault="006729B5" w:rsidP="006729B5">
      <w:pPr>
        <w:pStyle w:val="BlockLine"/>
        <w:tabs>
          <w:tab w:val="left" w:pos="2655"/>
        </w:tabs>
        <w:rPr>
          <w:rFonts w:ascii="Arial" w:hAnsi="Arial" w:cs="Arial"/>
          <w:szCs w:val="24"/>
        </w:rPr>
      </w:pPr>
      <w:r w:rsidRPr="00B05A21">
        <w:rPr>
          <w:rFonts w:ascii="Arial" w:hAnsi="Arial" w:cs="Arial"/>
          <w:szCs w:val="24"/>
        </w:rPr>
        <w:tab/>
      </w:r>
    </w:p>
    <w:p w:rsidR="00A63F97" w:rsidRPr="00B05A21" w:rsidRDefault="00A63F97" w:rsidP="00A63F97">
      <w:pPr>
        <w:pStyle w:val="Heading3"/>
        <w:spacing w:after="120"/>
        <w:jc w:val="left"/>
        <w:rPr>
          <w:rFonts w:cs="Arial"/>
          <w:bCs/>
          <w:sz w:val="24"/>
          <w:szCs w:val="24"/>
        </w:rPr>
      </w:pPr>
      <w:bookmarkStart w:id="269" w:name="_Toc533170218"/>
      <w:bookmarkStart w:id="270" w:name="_Toc12886022"/>
      <w:r w:rsidRPr="00B05A21">
        <w:rPr>
          <w:rFonts w:cs="Arial"/>
          <w:bCs/>
          <w:sz w:val="24"/>
          <w:szCs w:val="24"/>
        </w:rPr>
        <w:t>2.C2.3   Designate an RA Procurement Coordinator</w:t>
      </w:r>
      <w:bookmarkEnd w:id="269"/>
      <w:bookmarkEnd w:id="270"/>
    </w:p>
    <w:p w:rsidR="00A63F97" w:rsidRPr="00B05A21" w:rsidRDefault="00A63F97" w:rsidP="003E4107">
      <w:pPr>
        <w:pStyle w:val="Default"/>
      </w:pPr>
      <w:r w:rsidRPr="00B05A21">
        <w:t xml:space="preserve">Each state agency shall designate one individual as the RA Procurement Coordinator for the state agency. State agencies with a procurement function that includes decentralized purchasing, may designate sub-RA Procurement Coordinators at each location or for a particular region. Internal policy and procedures must specify the designated individuals. </w:t>
      </w:r>
    </w:p>
    <w:p w:rsidR="00A63F97" w:rsidRPr="00B05A21" w:rsidRDefault="00A63F97" w:rsidP="003E4107">
      <w:pPr>
        <w:rPr>
          <w:rFonts w:ascii="Arial" w:hAnsi="Arial" w:cs="Arial"/>
        </w:rPr>
      </w:pPr>
    </w:p>
    <w:p w:rsidR="00A63F97" w:rsidRPr="00B05A21" w:rsidRDefault="00A63F97" w:rsidP="00A63F97">
      <w:pPr>
        <w:pStyle w:val="TableParagraph"/>
        <w:spacing w:before="70" w:after="120"/>
        <w:ind w:right="202"/>
        <w:rPr>
          <w:b/>
          <w:sz w:val="24"/>
          <w:szCs w:val="24"/>
        </w:rPr>
      </w:pPr>
      <w:r w:rsidRPr="00B05A21">
        <w:rPr>
          <w:b/>
          <w:sz w:val="24"/>
          <w:szCs w:val="24"/>
        </w:rPr>
        <w:t>Your roles and responsibilities include, but not limited to:</w:t>
      </w:r>
    </w:p>
    <w:p w:rsidR="00A63F97" w:rsidRPr="00B05A21" w:rsidRDefault="00A63F97" w:rsidP="006729B5">
      <w:pPr>
        <w:pStyle w:val="TableParagraph"/>
        <w:numPr>
          <w:ilvl w:val="0"/>
          <w:numId w:val="37"/>
        </w:numPr>
        <w:tabs>
          <w:tab w:val="left" w:pos="327"/>
        </w:tabs>
        <w:spacing w:before="70"/>
        <w:ind w:right="131"/>
        <w:rPr>
          <w:sz w:val="24"/>
          <w:szCs w:val="24"/>
        </w:rPr>
      </w:pPr>
      <w:r w:rsidRPr="00B05A21">
        <w:rPr>
          <w:sz w:val="24"/>
          <w:szCs w:val="24"/>
        </w:rPr>
        <w:t>Receives RA acquisition requests from the state</w:t>
      </w:r>
      <w:r w:rsidRPr="00B05A21">
        <w:rPr>
          <w:spacing w:val="-14"/>
          <w:sz w:val="24"/>
          <w:szCs w:val="24"/>
        </w:rPr>
        <w:t xml:space="preserve"> </w:t>
      </w:r>
      <w:r w:rsidRPr="00B05A21">
        <w:rPr>
          <w:sz w:val="24"/>
          <w:szCs w:val="24"/>
        </w:rPr>
        <w:t>agency’s designated RA</w:t>
      </w:r>
      <w:r w:rsidRPr="00B05A21">
        <w:rPr>
          <w:spacing w:val="-15"/>
          <w:sz w:val="24"/>
          <w:szCs w:val="24"/>
        </w:rPr>
        <w:t xml:space="preserve"> </w:t>
      </w:r>
      <w:r w:rsidRPr="00B05A21">
        <w:rPr>
          <w:sz w:val="24"/>
          <w:szCs w:val="24"/>
        </w:rPr>
        <w:t>Coordinator(s).</w:t>
      </w:r>
    </w:p>
    <w:p w:rsidR="00A63F97" w:rsidRPr="00B05A21" w:rsidRDefault="00A63F97" w:rsidP="006729B5">
      <w:pPr>
        <w:pStyle w:val="TableParagraph"/>
        <w:numPr>
          <w:ilvl w:val="0"/>
          <w:numId w:val="37"/>
        </w:numPr>
        <w:tabs>
          <w:tab w:val="left" w:pos="327"/>
        </w:tabs>
        <w:ind w:right="582"/>
        <w:rPr>
          <w:sz w:val="24"/>
          <w:szCs w:val="24"/>
        </w:rPr>
      </w:pPr>
      <w:r w:rsidRPr="00B05A21">
        <w:rPr>
          <w:sz w:val="24"/>
          <w:szCs w:val="24"/>
        </w:rPr>
        <w:t>Ensures RA acquisitions are expedited.</w:t>
      </w:r>
    </w:p>
    <w:p w:rsidR="00A63F97" w:rsidRPr="00B05A21" w:rsidRDefault="00A63F97" w:rsidP="006729B5">
      <w:pPr>
        <w:pStyle w:val="TableParagraph"/>
        <w:numPr>
          <w:ilvl w:val="0"/>
          <w:numId w:val="37"/>
        </w:numPr>
        <w:tabs>
          <w:tab w:val="left" w:pos="327"/>
        </w:tabs>
        <w:ind w:right="217"/>
        <w:jc w:val="both"/>
        <w:rPr>
          <w:sz w:val="24"/>
          <w:szCs w:val="24"/>
        </w:rPr>
      </w:pPr>
      <w:r w:rsidRPr="00B05A21">
        <w:rPr>
          <w:sz w:val="24"/>
          <w:szCs w:val="24"/>
        </w:rPr>
        <w:t>Tracks RA acquisitions in order to ensure that the acquisition is expedited and that the goods or services are delivered</w:t>
      </w:r>
      <w:r w:rsidRPr="00B05A21">
        <w:rPr>
          <w:spacing w:val="-15"/>
          <w:sz w:val="24"/>
          <w:szCs w:val="24"/>
        </w:rPr>
        <w:t xml:space="preserve"> </w:t>
      </w:r>
      <w:r w:rsidRPr="00B05A21">
        <w:rPr>
          <w:sz w:val="24"/>
          <w:szCs w:val="24"/>
        </w:rPr>
        <w:t>timely.</w:t>
      </w:r>
    </w:p>
    <w:p w:rsidR="00A63F97" w:rsidRPr="00B05A21" w:rsidRDefault="00A63F97" w:rsidP="006729B5">
      <w:pPr>
        <w:pStyle w:val="TableParagraph"/>
        <w:numPr>
          <w:ilvl w:val="0"/>
          <w:numId w:val="37"/>
        </w:numPr>
        <w:tabs>
          <w:tab w:val="left" w:pos="327"/>
        </w:tabs>
        <w:ind w:right="124"/>
        <w:rPr>
          <w:sz w:val="24"/>
          <w:szCs w:val="24"/>
        </w:rPr>
      </w:pPr>
      <w:r w:rsidRPr="00B05A21">
        <w:rPr>
          <w:sz w:val="24"/>
          <w:szCs w:val="24"/>
        </w:rPr>
        <w:t>Evaluates and recommends internal procurement procedures in order to expedite</w:t>
      </w:r>
      <w:r w:rsidRPr="00B05A21">
        <w:rPr>
          <w:spacing w:val="-17"/>
          <w:sz w:val="24"/>
          <w:szCs w:val="24"/>
        </w:rPr>
        <w:t xml:space="preserve"> </w:t>
      </w:r>
      <w:r w:rsidRPr="00B05A21">
        <w:rPr>
          <w:sz w:val="24"/>
          <w:szCs w:val="24"/>
        </w:rPr>
        <w:t>acquisitions.</w:t>
      </w:r>
    </w:p>
    <w:p w:rsidR="00A63F97" w:rsidRPr="00B05A21" w:rsidRDefault="00A63F97" w:rsidP="006729B5">
      <w:pPr>
        <w:pStyle w:val="TableParagraph"/>
        <w:numPr>
          <w:ilvl w:val="0"/>
          <w:numId w:val="37"/>
        </w:numPr>
        <w:tabs>
          <w:tab w:val="left" w:pos="327"/>
        </w:tabs>
        <w:ind w:right="89"/>
        <w:rPr>
          <w:sz w:val="24"/>
          <w:szCs w:val="24"/>
        </w:rPr>
      </w:pPr>
      <w:r w:rsidRPr="00B05A21">
        <w:rPr>
          <w:sz w:val="24"/>
          <w:szCs w:val="24"/>
        </w:rPr>
        <w:t>Participate in training as required by DGS.</w:t>
      </w:r>
    </w:p>
    <w:p w:rsidR="00A63F97" w:rsidRPr="00B05A21" w:rsidRDefault="00A63F97" w:rsidP="006729B5">
      <w:pPr>
        <w:pStyle w:val="TableParagraph"/>
        <w:numPr>
          <w:ilvl w:val="0"/>
          <w:numId w:val="37"/>
        </w:numPr>
        <w:tabs>
          <w:tab w:val="left" w:pos="327"/>
        </w:tabs>
        <w:ind w:right="114"/>
        <w:rPr>
          <w:sz w:val="24"/>
          <w:szCs w:val="24"/>
        </w:rPr>
      </w:pPr>
      <w:r w:rsidRPr="00B05A21">
        <w:rPr>
          <w:sz w:val="24"/>
          <w:szCs w:val="24"/>
        </w:rPr>
        <w:t>Ensures that RA acquisitions are accurately reported in</w:t>
      </w:r>
      <w:r w:rsidRPr="00B05A21">
        <w:rPr>
          <w:spacing w:val="-16"/>
          <w:sz w:val="24"/>
          <w:szCs w:val="24"/>
        </w:rPr>
        <w:t xml:space="preserve"> </w:t>
      </w:r>
      <w:r w:rsidRPr="00B05A21">
        <w:rPr>
          <w:sz w:val="24"/>
          <w:szCs w:val="24"/>
        </w:rPr>
        <w:t>FI$Cal.</w:t>
      </w:r>
    </w:p>
    <w:p w:rsidR="00A63F97" w:rsidRPr="00B05A21" w:rsidRDefault="00A63F97" w:rsidP="00A63F97">
      <w:pPr>
        <w:pStyle w:val="TableParagraph"/>
        <w:spacing w:before="209" w:after="120"/>
        <w:rPr>
          <w:b/>
          <w:sz w:val="24"/>
          <w:szCs w:val="24"/>
        </w:rPr>
      </w:pPr>
      <w:r w:rsidRPr="00B05A21">
        <w:rPr>
          <w:b/>
          <w:sz w:val="24"/>
          <w:szCs w:val="24"/>
        </w:rPr>
        <w:t>Who Can Be Designated</w:t>
      </w:r>
    </w:p>
    <w:p w:rsidR="00A63F97" w:rsidRPr="00B05A21" w:rsidRDefault="00A63F97" w:rsidP="003E4107">
      <w:pPr>
        <w:pStyle w:val="TableParagraph"/>
        <w:spacing w:before="70"/>
        <w:ind w:left="67" w:right="393"/>
        <w:jc w:val="both"/>
        <w:rPr>
          <w:sz w:val="24"/>
          <w:szCs w:val="24"/>
        </w:rPr>
      </w:pPr>
      <w:r w:rsidRPr="00B05A21">
        <w:rPr>
          <w:sz w:val="24"/>
          <w:szCs w:val="24"/>
        </w:rPr>
        <w:t>A trained buyer that works in the procurement office under the chain of command of the Purchasing Authority Contact (PAC).</w:t>
      </w:r>
    </w:p>
    <w:p w:rsidR="00A63F97" w:rsidRPr="00B05A21" w:rsidRDefault="00A63F97" w:rsidP="003E4107">
      <w:pPr>
        <w:pStyle w:val="TableParagraph"/>
        <w:spacing w:before="11"/>
        <w:rPr>
          <w:sz w:val="24"/>
          <w:szCs w:val="24"/>
        </w:rPr>
      </w:pPr>
    </w:p>
    <w:p w:rsidR="00A63F97" w:rsidRPr="00B05A21" w:rsidRDefault="00A63F97" w:rsidP="003E4107">
      <w:pPr>
        <w:pStyle w:val="TableParagraph"/>
        <w:ind w:left="67"/>
        <w:rPr>
          <w:sz w:val="24"/>
          <w:szCs w:val="24"/>
        </w:rPr>
      </w:pPr>
      <w:r w:rsidRPr="00B05A21">
        <w:rPr>
          <w:sz w:val="24"/>
          <w:szCs w:val="24"/>
        </w:rPr>
        <w:t>The PAC can be designated.</w:t>
      </w:r>
    </w:p>
    <w:p w:rsidR="00A63F97" w:rsidRPr="00B05A21" w:rsidRDefault="00A63F97" w:rsidP="003E4107">
      <w:pPr>
        <w:pStyle w:val="TableParagraph"/>
        <w:spacing w:before="11"/>
        <w:rPr>
          <w:sz w:val="24"/>
          <w:szCs w:val="24"/>
        </w:rPr>
      </w:pPr>
    </w:p>
    <w:p w:rsidR="00A63F97" w:rsidRPr="00B05A21" w:rsidRDefault="00A63F97" w:rsidP="003E4107">
      <w:pPr>
        <w:pStyle w:val="TableParagraph"/>
        <w:ind w:left="67" w:right="190"/>
        <w:rPr>
          <w:sz w:val="24"/>
          <w:szCs w:val="24"/>
        </w:rPr>
      </w:pPr>
      <w:r w:rsidRPr="00B05A21">
        <w:rPr>
          <w:sz w:val="24"/>
          <w:szCs w:val="24"/>
        </w:rPr>
        <w:t>Sub-RA Procurement Coordinators must be a trained buyer that works in a decentralized procurement office.</w:t>
      </w:r>
    </w:p>
    <w:p w:rsidR="006729B5" w:rsidRPr="00B05A21" w:rsidRDefault="006729B5" w:rsidP="006729B5">
      <w:pPr>
        <w:pStyle w:val="BlockLine"/>
        <w:tabs>
          <w:tab w:val="left" w:pos="2655"/>
        </w:tabs>
        <w:rPr>
          <w:rFonts w:ascii="Arial" w:hAnsi="Arial" w:cs="Arial"/>
          <w:szCs w:val="24"/>
        </w:rPr>
      </w:pPr>
      <w:r w:rsidRPr="00B05A21">
        <w:rPr>
          <w:rFonts w:ascii="Arial" w:hAnsi="Arial" w:cs="Arial"/>
          <w:szCs w:val="24"/>
        </w:rPr>
        <w:tab/>
      </w:r>
    </w:p>
    <w:p w:rsidR="007E0035" w:rsidRPr="00B05A21" w:rsidRDefault="007E0035" w:rsidP="007E0035">
      <w:pPr>
        <w:pStyle w:val="Heading3"/>
        <w:spacing w:after="120"/>
        <w:jc w:val="left"/>
        <w:rPr>
          <w:rFonts w:cs="Arial"/>
          <w:bCs/>
          <w:sz w:val="24"/>
          <w:szCs w:val="24"/>
        </w:rPr>
      </w:pPr>
      <w:bookmarkStart w:id="271" w:name="_Toc533170219"/>
      <w:bookmarkStart w:id="272" w:name="_Toc12886023"/>
      <w:r w:rsidRPr="00B05A21">
        <w:rPr>
          <w:rFonts w:cs="Arial"/>
          <w:bCs/>
          <w:sz w:val="24"/>
          <w:szCs w:val="24"/>
        </w:rPr>
        <w:t>2.C2.4   Training Related to RA Acquisitions</w:t>
      </w:r>
      <w:bookmarkEnd w:id="271"/>
      <w:bookmarkEnd w:id="272"/>
    </w:p>
    <w:p w:rsidR="007E0035" w:rsidRPr="00B05A21" w:rsidRDefault="007E0035" w:rsidP="003E4107">
      <w:pPr>
        <w:pStyle w:val="Default"/>
      </w:pPr>
      <w:r w:rsidRPr="00B05A21">
        <w:t>State agencies shall ensure that RA procurement coordinators are trained procurement professionals. RA procurement coordinators are required to attend and receive a certificate of completion for the Acquisitions Related to Reasonable Accommodations course offered by the DGS PD’s California Procurement and Contracting Academy (Cal-PCA).</w:t>
      </w:r>
    </w:p>
    <w:p w:rsidR="006729B5" w:rsidRPr="00B05A21" w:rsidRDefault="006729B5" w:rsidP="006729B5">
      <w:pPr>
        <w:pStyle w:val="BlockLine"/>
        <w:tabs>
          <w:tab w:val="left" w:pos="2655"/>
        </w:tabs>
        <w:rPr>
          <w:rFonts w:ascii="Arial" w:hAnsi="Arial" w:cs="Arial"/>
          <w:szCs w:val="24"/>
        </w:rPr>
      </w:pPr>
      <w:r w:rsidRPr="00B05A21">
        <w:rPr>
          <w:rFonts w:ascii="Arial" w:hAnsi="Arial" w:cs="Arial"/>
          <w:szCs w:val="24"/>
        </w:rPr>
        <w:tab/>
      </w:r>
    </w:p>
    <w:p w:rsidR="009C2C05" w:rsidRPr="00B05A21" w:rsidRDefault="009C2C05" w:rsidP="009C2C05">
      <w:pPr>
        <w:pStyle w:val="Heading3"/>
        <w:spacing w:after="120"/>
        <w:jc w:val="left"/>
        <w:rPr>
          <w:rFonts w:cs="Arial"/>
          <w:bCs/>
          <w:sz w:val="24"/>
          <w:szCs w:val="24"/>
        </w:rPr>
      </w:pPr>
      <w:bookmarkStart w:id="273" w:name="_Toc533170220"/>
      <w:bookmarkStart w:id="274" w:name="_Toc12886024"/>
      <w:r w:rsidRPr="00B05A21">
        <w:rPr>
          <w:rFonts w:cs="Arial"/>
          <w:bCs/>
          <w:sz w:val="24"/>
          <w:szCs w:val="24"/>
        </w:rPr>
        <w:t>2.C2.5   Internal Procurement Procedures Specific to RA Acquisitions</w:t>
      </w:r>
      <w:bookmarkEnd w:id="273"/>
      <w:bookmarkEnd w:id="274"/>
    </w:p>
    <w:p w:rsidR="009C2C05" w:rsidRPr="00B05A21" w:rsidRDefault="009C2C05" w:rsidP="003E4107">
      <w:pPr>
        <w:pStyle w:val="Default"/>
      </w:pPr>
      <w:r w:rsidRPr="00B05A21">
        <w:lastRenderedPageBreak/>
        <w:t>State agencies shall maintain internal procurement procedures that align with SCM policy and procedures for acquisitions related to reasonable accommodations.  Internal procedures shall be unique to each state agency’s internal business process and organizational structure to include detailed steps/action items, timeframes, individuals (working titles) responsible for steps/action items, and process flow charts.</w:t>
      </w:r>
    </w:p>
    <w:p w:rsidR="009C2C05" w:rsidRPr="00B05A21" w:rsidRDefault="009C2C05" w:rsidP="003E4107">
      <w:pPr>
        <w:pStyle w:val="Default"/>
      </w:pPr>
    </w:p>
    <w:p w:rsidR="009C2C05" w:rsidRPr="00B05A21" w:rsidRDefault="009C2C05" w:rsidP="003E4107">
      <w:pPr>
        <w:pStyle w:val="Default"/>
      </w:pPr>
      <w:r w:rsidRPr="00B05A21">
        <w:t>State agencies shall ensure that their procurement professionals and other state staff involved in the procurement process are knowledgeable of these internal procurement procedures.</w:t>
      </w:r>
    </w:p>
    <w:p w:rsidR="006729B5" w:rsidRPr="00B05A21" w:rsidRDefault="006729B5" w:rsidP="006729B5">
      <w:pPr>
        <w:pStyle w:val="BlockLine"/>
        <w:tabs>
          <w:tab w:val="left" w:pos="2655"/>
        </w:tabs>
        <w:rPr>
          <w:rFonts w:ascii="Arial" w:hAnsi="Arial" w:cs="Arial"/>
          <w:szCs w:val="24"/>
        </w:rPr>
      </w:pPr>
      <w:r w:rsidRPr="00B05A21">
        <w:rPr>
          <w:rFonts w:ascii="Arial" w:hAnsi="Arial" w:cs="Arial"/>
          <w:szCs w:val="24"/>
        </w:rPr>
        <w:tab/>
      </w:r>
    </w:p>
    <w:p w:rsidR="00674F4A" w:rsidRPr="00B05A21" w:rsidRDefault="00674F4A" w:rsidP="00674F4A">
      <w:pPr>
        <w:pStyle w:val="Heading3"/>
        <w:spacing w:after="120"/>
        <w:jc w:val="left"/>
        <w:rPr>
          <w:rFonts w:cs="Arial"/>
          <w:bCs/>
          <w:sz w:val="24"/>
          <w:szCs w:val="24"/>
        </w:rPr>
      </w:pPr>
      <w:bookmarkStart w:id="275" w:name="_Toc533170221"/>
      <w:bookmarkStart w:id="276" w:name="_Toc12886025"/>
      <w:r w:rsidRPr="00B05A21">
        <w:rPr>
          <w:rFonts w:cs="Arial"/>
          <w:bCs/>
          <w:sz w:val="24"/>
          <w:szCs w:val="24"/>
        </w:rPr>
        <w:t>2.C2.6   Surplus Property Verification Exempt for RA Acquisitions</w:t>
      </w:r>
      <w:bookmarkEnd w:id="275"/>
      <w:bookmarkEnd w:id="276"/>
    </w:p>
    <w:p w:rsidR="00674F4A" w:rsidRPr="00B05A21" w:rsidRDefault="00674F4A" w:rsidP="003E4107">
      <w:pPr>
        <w:pStyle w:val="Default"/>
      </w:pPr>
      <w:r w:rsidRPr="00B05A21">
        <w:t>State agencies purchasing property for employees related to an approved</w:t>
      </w:r>
    </w:p>
    <w:p w:rsidR="00674F4A" w:rsidRPr="00B05A21" w:rsidRDefault="00674F4A" w:rsidP="003E4107">
      <w:pPr>
        <w:pStyle w:val="Default"/>
      </w:pPr>
    </w:p>
    <w:p w:rsidR="00674F4A" w:rsidRPr="00B05A21" w:rsidRDefault="00674F4A" w:rsidP="003E4107">
      <w:pPr>
        <w:pStyle w:val="Default"/>
      </w:pPr>
      <w:r w:rsidRPr="00B05A21">
        <w:t>State agencies purchasing property for employees related to an approved Reasonable Accommodation (RA) are not required to contact the DGS Surplus Property &amp; Reutilization (SPR) program to determine if surplus personal property is available.</w:t>
      </w:r>
    </w:p>
    <w:p w:rsidR="00674F4A" w:rsidRPr="00B05A21" w:rsidRDefault="00674F4A" w:rsidP="003E4107">
      <w:pPr>
        <w:pStyle w:val="Default"/>
      </w:pPr>
    </w:p>
    <w:p w:rsidR="00674F4A" w:rsidRPr="00B05A21" w:rsidRDefault="00674F4A" w:rsidP="003E4107">
      <w:pPr>
        <w:pStyle w:val="Default"/>
      </w:pPr>
      <w:r w:rsidRPr="00B05A21">
        <w:t>Personal property includes all types and categories of property (i.e. furniture), except land or other real property, and records of the state government.</w:t>
      </w:r>
    </w:p>
    <w:p w:rsidR="00674F4A" w:rsidRPr="00B05A21" w:rsidRDefault="00674F4A" w:rsidP="003E4107">
      <w:pPr>
        <w:pStyle w:val="Default"/>
      </w:pPr>
    </w:p>
    <w:p w:rsidR="00674F4A" w:rsidRPr="00B05A21" w:rsidRDefault="00674F4A" w:rsidP="003E4107">
      <w:pPr>
        <w:pStyle w:val="Default"/>
      </w:pPr>
      <w:r w:rsidRPr="00B05A21">
        <w:t>Procurement files must note the use of this exemption.</w:t>
      </w:r>
    </w:p>
    <w:p w:rsidR="006729B5" w:rsidRPr="00B05A21" w:rsidRDefault="006729B5" w:rsidP="006729B5">
      <w:pPr>
        <w:pStyle w:val="BlockLine"/>
        <w:tabs>
          <w:tab w:val="left" w:pos="2655"/>
        </w:tabs>
        <w:rPr>
          <w:rFonts w:ascii="Arial" w:hAnsi="Arial" w:cs="Arial"/>
          <w:szCs w:val="24"/>
        </w:rPr>
      </w:pPr>
      <w:r w:rsidRPr="00B05A21">
        <w:rPr>
          <w:rFonts w:ascii="Arial" w:hAnsi="Arial" w:cs="Arial"/>
          <w:szCs w:val="24"/>
        </w:rPr>
        <w:tab/>
      </w:r>
    </w:p>
    <w:p w:rsidR="00674F4A" w:rsidRPr="00B05A21" w:rsidRDefault="00674F4A" w:rsidP="00674F4A">
      <w:pPr>
        <w:pStyle w:val="Heading3"/>
        <w:spacing w:after="120"/>
        <w:jc w:val="left"/>
        <w:rPr>
          <w:rFonts w:cs="Arial"/>
          <w:bCs/>
          <w:sz w:val="24"/>
          <w:szCs w:val="24"/>
        </w:rPr>
      </w:pPr>
      <w:bookmarkStart w:id="277" w:name="_Toc533170222"/>
      <w:bookmarkStart w:id="278" w:name="_Toc12886026"/>
      <w:r w:rsidRPr="00B05A21">
        <w:rPr>
          <w:rFonts w:cs="Arial"/>
          <w:bCs/>
          <w:sz w:val="24"/>
          <w:szCs w:val="24"/>
        </w:rPr>
        <w:t>2.C2.7   CalPIA Waiver Exemption for RA Acquisitions</w:t>
      </w:r>
      <w:bookmarkEnd w:id="277"/>
      <w:bookmarkEnd w:id="278"/>
    </w:p>
    <w:p w:rsidR="00674F4A" w:rsidRPr="00B05A21" w:rsidRDefault="00674F4A" w:rsidP="003E4107">
      <w:pPr>
        <w:pStyle w:val="Default"/>
      </w:pPr>
      <w:r w:rsidRPr="00B05A21">
        <w:t>State agencies must first evaluate CALPIA products (i.e. chairs, tables). If CALPIA does not offer products that meet the individualized needs (such as features or functionality of necessary equipment) of the applicant or employee with a disability necessary to fulfill an approved* reasonable accommodation (RA) request, the state agency may proceed with the purchase without a CALPIA exemption/waiver. The state agency must document the procurement file in sufficient detail to explain why CALPIA products did not meet the needs specified in the RA request.</w:t>
      </w:r>
    </w:p>
    <w:p w:rsidR="00674F4A" w:rsidRPr="00B05A21" w:rsidRDefault="00674F4A" w:rsidP="003E4107">
      <w:pPr>
        <w:pStyle w:val="Default"/>
      </w:pPr>
    </w:p>
    <w:p w:rsidR="00674F4A" w:rsidRPr="00B05A21" w:rsidRDefault="00674F4A" w:rsidP="003E4107">
      <w:pPr>
        <w:pStyle w:val="Default"/>
      </w:pPr>
      <w:r w:rsidRPr="00B05A21">
        <w:t>*“Approved” means that the state agency followed their internal RA process and received the appropriate approvals prior to proceeding with the purchase.</w:t>
      </w:r>
    </w:p>
    <w:p w:rsidR="00674F4A" w:rsidRPr="00B05A21" w:rsidRDefault="00674F4A" w:rsidP="003E4107">
      <w:pPr>
        <w:pStyle w:val="Default"/>
      </w:pPr>
    </w:p>
    <w:p w:rsidR="00674F4A" w:rsidRPr="00B05A21" w:rsidRDefault="00674F4A" w:rsidP="003E4107">
      <w:pPr>
        <w:pStyle w:val="Default"/>
      </w:pPr>
      <w:r w:rsidRPr="00B05A21">
        <w:t>Reminder: Medical and/or confidential information regarding the RA request must not be retained in the procurement file. See section 2.C2.11 Procurement File Documentation for RA Acquisitions.</w:t>
      </w:r>
    </w:p>
    <w:p w:rsidR="006729B5" w:rsidRPr="00B05A21" w:rsidRDefault="006729B5" w:rsidP="006729B5">
      <w:pPr>
        <w:pStyle w:val="BlockLine"/>
        <w:tabs>
          <w:tab w:val="left" w:pos="2655"/>
        </w:tabs>
        <w:rPr>
          <w:rFonts w:ascii="Arial" w:hAnsi="Arial" w:cs="Arial"/>
          <w:szCs w:val="24"/>
        </w:rPr>
      </w:pPr>
      <w:r w:rsidRPr="00B05A21">
        <w:rPr>
          <w:rFonts w:ascii="Arial" w:hAnsi="Arial" w:cs="Arial"/>
          <w:szCs w:val="24"/>
        </w:rPr>
        <w:tab/>
      </w:r>
    </w:p>
    <w:p w:rsidR="00081AA8" w:rsidRPr="00B05A21" w:rsidRDefault="00081AA8" w:rsidP="00081AA8">
      <w:pPr>
        <w:pStyle w:val="Heading3"/>
        <w:spacing w:after="120"/>
        <w:jc w:val="left"/>
        <w:rPr>
          <w:rFonts w:cs="Arial"/>
          <w:bCs/>
          <w:sz w:val="24"/>
          <w:szCs w:val="24"/>
        </w:rPr>
      </w:pPr>
      <w:bookmarkStart w:id="279" w:name="_Toc533170223"/>
      <w:bookmarkStart w:id="280" w:name="_Toc12886027"/>
      <w:r w:rsidRPr="00B05A21">
        <w:rPr>
          <w:rFonts w:cs="Arial"/>
          <w:bCs/>
          <w:sz w:val="24"/>
          <w:szCs w:val="24"/>
        </w:rPr>
        <w:t xml:space="preserve">2.C2.8 </w:t>
      </w:r>
      <w:r w:rsidRPr="00B05A21">
        <w:rPr>
          <w:rFonts w:cs="Arial"/>
          <w:sz w:val="24"/>
          <w:szCs w:val="24"/>
        </w:rPr>
        <w:t>California Assistive Services, Devices, and Technology Supplier Directory (Cal-ATSD)</w:t>
      </w:r>
      <w:bookmarkEnd w:id="279"/>
      <w:bookmarkEnd w:id="280"/>
    </w:p>
    <w:p w:rsidR="00081AA8" w:rsidRPr="00B05A21" w:rsidRDefault="00081AA8" w:rsidP="00077F10">
      <w:pPr>
        <w:pStyle w:val="Default"/>
      </w:pPr>
      <w:r w:rsidRPr="00B05A21">
        <w:t xml:space="preserve">The Department of Rehabilitation (DOR) maintains the California Assistive Technology, Services, and Devices Supplier Directory (Cal-ATSD). Cal- ATSD is a valuable resource of suppliers with expertise for addressing employee reasonable accommodation needs. The Cal-ATSD is a centralized directory that provides state and local agencies with a </w:t>
      </w:r>
      <w:r w:rsidRPr="00B05A21">
        <w:lastRenderedPageBreak/>
        <w:t>resource to quickly identify suppliers who provide assistive services, devices, and technology.</w:t>
      </w:r>
    </w:p>
    <w:p w:rsidR="00081AA8" w:rsidRPr="00B05A21" w:rsidRDefault="00081AA8" w:rsidP="00077F10">
      <w:pPr>
        <w:pStyle w:val="Default"/>
      </w:pPr>
    </w:p>
    <w:p w:rsidR="00081AA8" w:rsidRPr="00B05A21" w:rsidRDefault="00081AA8" w:rsidP="00077F10">
      <w:pPr>
        <w:pStyle w:val="Default"/>
      </w:pPr>
      <w:r w:rsidRPr="00B05A21">
        <w:t>This resource supports the timely and effective delivery of reasonable accommodation goods and services such as assistive/adaptive services, devices, and technology to state employees with disabilities, consumers served by the California Department of Rehabilitation as well as other individuals served by state and local agencies. DOR is collecting necessary information such as manufacturer certifications and other pertinent data from suppliers listed on Cal-ATSD to assist buyers with identifying the types of products and services offered by suppliers.</w:t>
      </w:r>
    </w:p>
    <w:p w:rsidR="00081AA8" w:rsidRPr="00B05A21" w:rsidRDefault="00081AA8" w:rsidP="00077F10">
      <w:pPr>
        <w:pStyle w:val="Default"/>
      </w:pPr>
    </w:p>
    <w:p w:rsidR="00081AA8" w:rsidRPr="00B05A21" w:rsidRDefault="00081AA8" w:rsidP="00077F10">
      <w:pPr>
        <w:pStyle w:val="Default"/>
      </w:pPr>
      <w:r w:rsidRPr="00B05A21">
        <w:t>This supplier directory is not a Leveraged Procurement Agreement (LPA) as defined in the SCM; however, it is a centralized resource of suppliers that DOR has created and is making available to state and local agencies to assist with expediting procurements.</w:t>
      </w:r>
    </w:p>
    <w:p w:rsidR="00081AA8" w:rsidRPr="00B05A21" w:rsidRDefault="00081AA8" w:rsidP="00077F10">
      <w:pPr>
        <w:pStyle w:val="Default"/>
      </w:pPr>
    </w:p>
    <w:p w:rsidR="00081AA8" w:rsidRPr="00B05A21" w:rsidRDefault="00081AA8" w:rsidP="00077F10">
      <w:pPr>
        <w:pStyle w:val="Default"/>
      </w:pPr>
      <w:r w:rsidRPr="00B05A21">
        <w:t>State agencies can conduct acquisitions with suppliers on the Cal-ATSD after determining that a mandatory source such as CalPIA or mandatory LPAs do not offer goods or services required to meet the unique needs of an employee with a reasonable accommodation.</w:t>
      </w:r>
    </w:p>
    <w:p w:rsidR="00081AA8" w:rsidRPr="00B05A21" w:rsidRDefault="00081AA8" w:rsidP="00077F10">
      <w:pPr>
        <w:pStyle w:val="Default"/>
      </w:pPr>
    </w:p>
    <w:p w:rsidR="00081AA8" w:rsidRPr="00B05A21" w:rsidRDefault="00081AA8" w:rsidP="00077F10">
      <w:pPr>
        <w:pStyle w:val="Default"/>
      </w:pPr>
      <w:r w:rsidRPr="00B05A21">
        <w:t>Use of this supplier directory is encouraged as a resource of suppliers with expertise in the assistive/adaptive services, devices and technology.</w:t>
      </w:r>
    </w:p>
    <w:p w:rsidR="00081AA8" w:rsidRPr="00B05A21" w:rsidRDefault="00081AA8" w:rsidP="00077F10">
      <w:pPr>
        <w:pStyle w:val="Default"/>
      </w:pPr>
    </w:p>
    <w:p w:rsidR="00081AA8" w:rsidRPr="00B05A21" w:rsidRDefault="00081AA8" w:rsidP="00077F10">
      <w:pPr>
        <w:pStyle w:val="Default"/>
      </w:pPr>
      <w:r w:rsidRPr="00B05A21">
        <w:t>State agencies shall conduct acquisitions in accordance with State Contracting Manual (SCM) procedures and may use available acquisition methods identified in the SCM such as the Fair and Reasonable Acquisition Method for purchases under $10,000 when conducting acquisitions and executing contracts with suppliers on this directory.</w:t>
      </w:r>
    </w:p>
    <w:p w:rsidR="006729B5" w:rsidRPr="00B05A21" w:rsidRDefault="006729B5" w:rsidP="006729B5">
      <w:pPr>
        <w:pStyle w:val="BlockLine"/>
        <w:tabs>
          <w:tab w:val="left" w:pos="2655"/>
        </w:tabs>
        <w:rPr>
          <w:rFonts w:ascii="Arial" w:hAnsi="Arial" w:cs="Arial"/>
          <w:szCs w:val="24"/>
        </w:rPr>
      </w:pPr>
      <w:r w:rsidRPr="00B05A21">
        <w:rPr>
          <w:rFonts w:ascii="Arial" w:hAnsi="Arial" w:cs="Arial"/>
          <w:szCs w:val="24"/>
        </w:rPr>
        <w:tab/>
      </w:r>
    </w:p>
    <w:p w:rsidR="00567012" w:rsidRPr="00B05A21" w:rsidRDefault="00567012" w:rsidP="00567012">
      <w:pPr>
        <w:pStyle w:val="Heading3"/>
        <w:spacing w:after="120"/>
        <w:jc w:val="left"/>
        <w:rPr>
          <w:rFonts w:cs="Arial"/>
          <w:bCs/>
          <w:sz w:val="24"/>
          <w:szCs w:val="24"/>
        </w:rPr>
      </w:pPr>
      <w:bookmarkStart w:id="281" w:name="_Toc533170224"/>
      <w:bookmarkStart w:id="282" w:name="_Toc12886028"/>
      <w:r w:rsidRPr="00B05A21">
        <w:rPr>
          <w:rFonts w:cs="Arial"/>
          <w:bCs/>
          <w:sz w:val="24"/>
          <w:szCs w:val="24"/>
        </w:rPr>
        <w:t>2.C2.9   Leveraged Procurement Agreements</w:t>
      </w:r>
      <w:bookmarkEnd w:id="281"/>
      <w:bookmarkEnd w:id="282"/>
    </w:p>
    <w:p w:rsidR="00567012" w:rsidRPr="00B05A21" w:rsidRDefault="00567012" w:rsidP="003E4107">
      <w:pPr>
        <w:pStyle w:val="Default"/>
      </w:pPr>
      <w:r w:rsidRPr="00B05A21">
        <w:t>DGS/PD is committed to continuously improving the acquisitions process in order to expedite delivery of goods and services to employees with reasonable accommodations. Therefore, DGS will periodically review RA acquisition data entered into FI$Cal to identify opportunities to create Leveraged Procurement Agreements specific to goods and services regularly purchased on behalf of RA needs.</w:t>
      </w:r>
    </w:p>
    <w:p w:rsidR="006729B5" w:rsidRPr="00B05A21" w:rsidRDefault="006729B5" w:rsidP="006729B5">
      <w:pPr>
        <w:pStyle w:val="BlockLine"/>
        <w:tabs>
          <w:tab w:val="left" w:pos="2655"/>
        </w:tabs>
        <w:rPr>
          <w:rFonts w:ascii="Arial" w:hAnsi="Arial" w:cs="Arial"/>
          <w:szCs w:val="24"/>
        </w:rPr>
      </w:pPr>
      <w:r w:rsidRPr="00B05A21">
        <w:rPr>
          <w:rFonts w:ascii="Arial" w:hAnsi="Arial" w:cs="Arial"/>
          <w:szCs w:val="24"/>
        </w:rPr>
        <w:tab/>
      </w:r>
    </w:p>
    <w:p w:rsidR="004D7C1C" w:rsidRPr="00B05A21" w:rsidRDefault="004D7C1C" w:rsidP="004D7C1C">
      <w:pPr>
        <w:pStyle w:val="Heading3"/>
        <w:spacing w:after="120"/>
        <w:jc w:val="left"/>
        <w:rPr>
          <w:rFonts w:cs="Arial"/>
          <w:bCs/>
          <w:sz w:val="24"/>
          <w:szCs w:val="24"/>
        </w:rPr>
      </w:pPr>
      <w:bookmarkStart w:id="283" w:name="_Toc533170225"/>
      <w:bookmarkStart w:id="284" w:name="_Toc12886029"/>
      <w:r w:rsidRPr="00B05A21">
        <w:rPr>
          <w:rFonts w:cs="Arial"/>
          <w:bCs/>
          <w:sz w:val="24"/>
          <w:szCs w:val="24"/>
        </w:rPr>
        <w:t xml:space="preserve">2.C2.10  </w:t>
      </w:r>
      <w:r w:rsidRPr="00B05A21">
        <w:rPr>
          <w:rFonts w:cs="Arial"/>
          <w:sz w:val="24"/>
          <w:szCs w:val="24"/>
        </w:rPr>
        <w:t>Compliance with RA Procurement Policy &amp; Procedures</w:t>
      </w:r>
      <w:bookmarkEnd w:id="283"/>
      <w:bookmarkEnd w:id="284"/>
    </w:p>
    <w:p w:rsidR="004D7C1C" w:rsidRPr="00B05A21" w:rsidRDefault="004D7C1C" w:rsidP="003E4107">
      <w:pPr>
        <w:pStyle w:val="Default"/>
      </w:pPr>
      <w:r w:rsidRPr="00B05A21">
        <w:t>DGS/PD Purchasing Authority Unit (PAU) and the DGS Office of Audit Services (OAS) will monitor compliance. State agencies conducting acquisitions under the purchasing authority granted by the DGS are required to establish policy.</w:t>
      </w:r>
    </w:p>
    <w:p w:rsidR="004D7C1C" w:rsidRPr="00B05A21" w:rsidRDefault="004D7C1C" w:rsidP="003E4107">
      <w:pPr>
        <w:pStyle w:val="Default"/>
      </w:pPr>
    </w:p>
    <w:p w:rsidR="004D7C1C" w:rsidRPr="00B05A21" w:rsidRDefault="004D7C1C" w:rsidP="004D7C1C">
      <w:pPr>
        <w:pStyle w:val="Heading3"/>
        <w:spacing w:after="120"/>
        <w:jc w:val="left"/>
        <w:rPr>
          <w:rFonts w:cs="Arial"/>
          <w:bCs/>
          <w:sz w:val="24"/>
          <w:szCs w:val="24"/>
        </w:rPr>
      </w:pPr>
      <w:bookmarkStart w:id="285" w:name="_Toc533170226"/>
      <w:bookmarkStart w:id="286" w:name="_Toc12886030"/>
      <w:r w:rsidRPr="00B05A21">
        <w:rPr>
          <w:rFonts w:cs="Arial"/>
          <w:bCs/>
          <w:sz w:val="24"/>
          <w:szCs w:val="24"/>
        </w:rPr>
        <w:t xml:space="preserve">2.C2.11  </w:t>
      </w:r>
      <w:r w:rsidRPr="00B05A21">
        <w:rPr>
          <w:rFonts w:cs="Arial"/>
          <w:sz w:val="24"/>
          <w:szCs w:val="24"/>
        </w:rPr>
        <w:t>Procurement File Documentation for RA Acquisitions</w:t>
      </w:r>
      <w:bookmarkEnd w:id="285"/>
      <w:bookmarkEnd w:id="286"/>
    </w:p>
    <w:p w:rsidR="004D7C1C" w:rsidRPr="00B05A21" w:rsidRDefault="004D7C1C" w:rsidP="003E4107">
      <w:pPr>
        <w:pStyle w:val="TableParagraph"/>
        <w:rPr>
          <w:sz w:val="24"/>
          <w:szCs w:val="24"/>
        </w:rPr>
      </w:pPr>
      <w:r w:rsidRPr="00B05A21">
        <w:rPr>
          <w:sz w:val="24"/>
          <w:szCs w:val="24"/>
        </w:rPr>
        <w:t>State agencies shall document the procurement file with required procurement/contract related information. Medical and/or confidential information must not be contained in the procurement file.</w:t>
      </w:r>
    </w:p>
    <w:p w:rsidR="004D7C1C" w:rsidRPr="00B05A21" w:rsidRDefault="004D7C1C" w:rsidP="003E4107">
      <w:pPr>
        <w:pStyle w:val="TableParagraph"/>
        <w:rPr>
          <w:sz w:val="24"/>
          <w:szCs w:val="24"/>
        </w:rPr>
      </w:pPr>
    </w:p>
    <w:p w:rsidR="004D7C1C" w:rsidRPr="00B05A21" w:rsidRDefault="004D7C1C" w:rsidP="003E4107">
      <w:pPr>
        <w:pStyle w:val="TableParagraph"/>
        <w:rPr>
          <w:sz w:val="24"/>
          <w:szCs w:val="24"/>
        </w:rPr>
      </w:pPr>
      <w:r w:rsidRPr="00B05A21">
        <w:rPr>
          <w:sz w:val="24"/>
          <w:szCs w:val="24"/>
        </w:rPr>
        <w:lastRenderedPageBreak/>
        <w:t>Federal and State law require that certain information in connection with the reasonable accommodation process must be kept confidential. This includes the fact that an accommodation has been requested or approved and information about functional limitations. It also means that any employee of a state department who obtains or receives such information is strictly bound by these confidentiality requirements. State agencies should ensure to the extent possible that these requirements are met during the RA process, including the procurement/acquisition process, so that any RA related information that is disclosed will be no more than is necessary to process the request.</w:t>
      </w:r>
    </w:p>
    <w:p w:rsidR="006729B5" w:rsidRPr="00B05A21" w:rsidRDefault="006729B5" w:rsidP="006729B5">
      <w:pPr>
        <w:pStyle w:val="BlockLine"/>
        <w:tabs>
          <w:tab w:val="left" w:pos="2655"/>
        </w:tabs>
        <w:rPr>
          <w:rFonts w:ascii="Arial" w:hAnsi="Arial" w:cs="Arial"/>
          <w:szCs w:val="24"/>
        </w:rPr>
      </w:pPr>
    </w:p>
    <w:p w:rsidR="00FD57A8" w:rsidRPr="003551BF" w:rsidRDefault="004536FD" w:rsidP="004D7C1C">
      <w:pPr>
        <w:pStyle w:val="Heading2"/>
        <w:spacing w:after="120"/>
        <w:jc w:val="left"/>
        <w:rPr>
          <w:rFonts w:cs="Arial"/>
          <w:bCs/>
          <w:szCs w:val="32"/>
        </w:rPr>
      </w:pPr>
      <w:r w:rsidRPr="00B05A21">
        <w:rPr>
          <w:rFonts w:cs="Arial"/>
          <w:sz w:val="24"/>
          <w:szCs w:val="24"/>
        </w:rPr>
        <w:br w:type="page"/>
      </w:r>
      <w:bookmarkStart w:id="287" w:name="_Toc12886031"/>
      <w:r w:rsidR="00FD57A8" w:rsidRPr="003551BF">
        <w:rPr>
          <w:rFonts w:cs="Arial"/>
          <w:bCs/>
          <w:szCs w:val="32"/>
        </w:rPr>
        <w:lastRenderedPageBreak/>
        <w:t xml:space="preserve">Topic </w:t>
      </w:r>
      <w:r w:rsidR="006729B5" w:rsidRPr="003551BF">
        <w:rPr>
          <w:rFonts w:cs="Arial"/>
          <w:bCs/>
          <w:szCs w:val="32"/>
        </w:rPr>
        <w:t>3</w:t>
      </w:r>
      <w:r w:rsidR="00FD57A8" w:rsidRPr="003551BF">
        <w:rPr>
          <w:rFonts w:cs="Arial"/>
          <w:bCs/>
          <w:szCs w:val="32"/>
        </w:rPr>
        <w:t xml:space="preserve"> – Community-based Rehabilitation Program (CRP)</w:t>
      </w:r>
      <w:bookmarkEnd w:id="287"/>
    </w:p>
    <w:p w:rsidR="00FD57A8" w:rsidRPr="00B05A21" w:rsidRDefault="00FD57A8" w:rsidP="00FD57A8">
      <w:pPr>
        <w:pStyle w:val="BlockLine"/>
        <w:tabs>
          <w:tab w:val="left" w:pos="2655"/>
        </w:tabs>
        <w:rPr>
          <w:rFonts w:ascii="Arial" w:hAnsi="Arial" w:cs="Arial"/>
          <w:szCs w:val="24"/>
        </w:rPr>
      </w:pPr>
      <w:r w:rsidRPr="00B05A21">
        <w:rPr>
          <w:rFonts w:ascii="Arial" w:hAnsi="Arial" w:cs="Arial"/>
          <w:szCs w:val="24"/>
        </w:rPr>
        <w:tab/>
      </w:r>
    </w:p>
    <w:p w:rsidR="004D7C1C" w:rsidRPr="00B05A21" w:rsidRDefault="004D7C1C" w:rsidP="004D7C1C">
      <w:pPr>
        <w:pStyle w:val="Heading3"/>
        <w:spacing w:after="120"/>
        <w:jc w:val="left"/>
        <w:rPr>
          <w:rFonts w:cs="Arial"/>
          <w:bCs/>
          <w:sz w:val="24"/>
          <w:szCs w:val="24"/>
        </w:rPr>
      </w:pPr>
      <w:bookmarkStart w:id="288" w:name="_Toc12886032"/>
      <w:r w:rsidRPr="00B05A21">
        <w:rPr>
          <w:rFonts w:cs="Arial"/>
          <w:bCs/>
          <w:sz w:val="24"/>
          <w:szCs w:val="24"/>
        </w:rPr>
        <w:t>2.C3.0   Purchases from community-based rehabilitation programs</w:t>
      </w:r>
      <w:bookmarkEnd w:id="288"/>
    </w:p>
    <w:p w:rsidR="004D7C1C" w:rsidRPr="00B05A21" w:rsidRDefault="004D7C1C" w:rsidP="00FD57A8">
      <w:pPr>
        <w:pStyle w:val="BlockText0"/>
        <w:rPr>
          <w:rFonts w:ascii="Arial" w:hAnsi="Arial" w:cs="Arial"/>
          <w:szCs w:val="24"/>
        </w:rPr>
      </w:pPr>
      <w:r w:rsidRPr="00B05A21">
        <w:rPr>
          <w:rFonts w:ascii="Arial" w:hAnsi="Arial" w:cs="Arial"/>
          <w:szCs w:val="24"/>
        </w:rPr>
        <w:t>Purchasing products and services from rehabilitative or sheltered workshops pursuant to Welfare and Institutions Code (WIC) section 19403 is encouraged.  In accordance with WIC section 19404, purchases using these programs are exempt from advertising requirements, conducting a competitive bid and dollar threshold limits.  These transactions are also exempt from the non-competitively bid (NCB) contract requirements.</w:t>
      </w:r>
    </w:p>
    <w:p w:rsidR="004D7C1C" w:rsidRPr="00B05A21" w:rsidRDefault="004D7C1C" w:rsidP="00FD57A8">
      <w:pPr>
        <w:pStyle w:val="BlockText0"/>
        <w:rPr>
          <w:rFonts w:ascii="Arial" w:hAnsi="Arial" w:cs="Arial"/>
          <w:szCs w:val="24"/>
        </w:rPr>
      </w:pPr>
    </w:p>
    <w:p w:rsidR="004D7C1C" w:rsidRPr="00B05A21" w:rsidRDefault="004D7C1C" w:rsidP="00FD57A8">
      <w:pPr>
        <w:rPr>
          <w:rFonts w:ascii="Arial" w:hAnsi="Arial" w:cs="Arial"/>
        </w:rPr>
      </w:pPr>
      <w:r w:rsidRPr="00B05A21">
        <w:rPr>
          <w:rFonts w:ascii="Arial" w:hAnsi="Arial" w:cs="Arial"/>
          <w:b/>
          <w:bCs/>
        </w:rPr>
        <w:t>Note</w:t>
      </w:r>
      <w:r w:rsidRPr="00B05A21">
        <w:rPr>
          <w:rFonts w:ascii="Arial" w:hAnsi="Arial" w:cs="Arial"/>
        </w:rPr>
        <w:t>:  The procurement file must be documented to support that the price offered by a community rehabilitation program is fair and reasonable.</w:t>
      </w:r>
    </w:p>
    <w:p w:rsidR="00FD57A8" w:rsidRPr="00B05A21" w:rsidRDefault="00FD57A8" w:rsidP="00FD57A8">
      <w:pPr>
        <w:pStyle w:val="BlockLine"/>
        <w:tabs>
          <w:tab w:val="left" w:pos="2655"/>
        </w:tabs>
        <w:rPr>
          <w:rFonts w:ascii="Arial" w:hAnsi="Arial" w:cs="Arial"/>
          <w:szCs w:val="24"/>
        </w:rPr>
      </w:pPr>
      <w:r w:rsidRPr="00B05A21">
        <w:rPr>
          <w:rFonts w:ascii="Arial" w:hAnsi="Arial" w:cs="Arial"/>
          <w:szCs w:val="24"/>
        </w:rPr>
        <w:tab/>
      </w:r>
    </w:p>
    <w:bookmarkEnd w:id="261"/>
    <w:bookmarkEnd w:id="262"/>
    <w:p w:rsidR="00FD57A8" w:rsidRPr="003551BF" w:rsidRDefault="007374B6" w:rsidP="00635941">
      <w:pPr>
        <w:pStyle w:val="Heading2"/>
        <w:spacing w:after="120"/>
        <w:jc w:val="left"/>
        <w:rPr>
          <w:rFonts w:cs="Arial"/>
          <w:bCs/>
          <w:szCs w:val="32"/>
        </w:rPr>
      </w:pPr>
      <w:r w:rsidRPr="00B05A21">
        <w:rPr>
          <w:rFonts w:cs="Arial"/>
          <w:sz w:val="24"/>
          <w:szCs w:val="24"/>
        </w:rPr>
        <w:br w:type="page"/>
      </w:r>
      <w:bookmarkStart w:id="289" w:name="_Topic_3_–_Information_Technology_an_1"/>
      <w:bookmarkStart w:id="290" w:name="_Topic_3_–_Information_Technology_an"/>
      <w:bookmarkStart w:id="291" w:name="_Topic_6_–_Information_Technology_an"/>
      <w:bookmarkStart w:id="292" w:name="_Toc12886033"/>
      <w:bookmarkStart w:id="293" w:name="_Toc83450129"/>
      <w:bookmarkStart w:id="294" w:name="_Toc116951998"/>
      <w:bookmarkEnd w:id="289"/>
      <w:bookmarkEnd w:id="290"/>
      <w:bookmarkEnd w:id="291"/>
      <w:r w:rsidR="00FD57A8" w:rsidRPr="003551BF">
        <w:rPr>
          <w:rFonts w:cs="Arial"/>
          <w:bCs/>
          <w:szCs w:val="32"/>
        </w:rPr>
        <w:lastRenderedPageBreak/>
        <w:t xml:space="preserve">Topic </w:t>
      </w:r>
      <w:r w:rsidR="006729B5" w:rsidRPr="003551BF">
        <w:rPr>
          <w:rFonts w:cs="Arial"/>
          <w:bCs/>
          <w:szCs w:val="32"/>
        </w:rPr>
        <w:t>4</w:t>
      </w:r>
      <w:r w:rsidR="00FD57A8" w:rsidRPr="003551BF">
        <w:rPr>
          <w:rFonts w:cs="Arial"/>
          <w:bCs/>
          <w:szCs w:val="32"/>
        </w:rPr>
        <w:t xml:space="preserve"> – Information Technology</w:t>
      </w:r>
      <w:bookmarkEnd w:id="292"/>
    </w:p>
    <w:p w:rsidR="00FD57A8" w:rsidRPr="00B05A21" w:rsidRDefault="00FD57A8" w:rsidP="00FD57A8">
      <w:pPr>
        <w:pStyle w:val="BlockLine"/>
        <w:tabs>
          <w:tab w:val="left" w:pos="2655"/>
        </w:tabs>
        <w:rPr>
          <w:rFonts w:ascii="Arial" w:hAnsi="Arial" w:cs="Arial"/>
          <w:szCs w:val="24"/>
        </w:rPr>
      </w:pPr>
      <w:r w:rsidRPr="00B05A21">
        <w:rPr>
          <w:rFonts w:ascii="Arial" w:hAnsi="Arial" w:cs="Arial"/>
          <w:szCs w:val="24"/>
        </w:rPr>
        <w:tab/>
      </w:r>
    </w:p>
    <w:p w:rsidR="00635941" w:rsidRPr="00B05A21" w:rsidRDefault="00635941" w:rsidP="00635941">
      <w:pPr>
        <w:pStyle w:val="Heading3"/>
        <w:spacing w:after="120"/>
        <w:jc w:val="left"/>
        <w:rPr>
          <w:rFonts w:cs="Arial"/>
          <w:bCs/>
          <w:sz w:val="24"/>
          <w:szCs w:val="24"/>
        </w:rPr>
      </w:pPr>
      <w:bookmarkStart w:id="295" w:name="_Toc12886034"/>
      <w:r w:rsidRPr="00B05A21">
        <w:rPr>
          <w:rFonts w:cs="Arial"/>
          <w:bCs/>
          <w:sz w:val="24"/>
          <w:szCs w:val="24"/>
        </w:rPr>
        <w:t>2.C4.0   CDT approval of IT activities</w:t>
      </w:r>
      <w:bookmarkEnd w:id="295"/>
    </w:p>
    <w:p w:rsidR="00635941" w:rsidRPr="00B05A21" w:rsidRDefault="00635941" w:rsidP="00FD57A8">
      <w:pPr>
        <w:pStyle w:val="content"/>
        <w:rPr>
          <w:sz w:val="24"/>
          <w:szCs w:val="24"/>
        </w:rPr>
      </w:pPr>
      <w:r w:rsidRPr="00B05A21">
        <w:rPr>
          <w:sz w:val="24"/>
          <w:szCs w:val="24"/>
        </w:rPr>
        <w:t>GC section 11545 establishes CDT</w:t>
      </w:r>
      <w:r w:rsidRPr="00B05A21">
        <w:rPr>
          <w:color w:val="auto"/>
          <w:sz w:val="24"/>
          <w:szCs w:val="24"/>
        </w:rPr>
        <w:t xml:space="preserve"> </w:t>
      </w:r>
      <w:r w:rsidRPr="00B05A21">
        <w:rPr>
          <w:sz w:val="24"/>
          <w:szCs w:val="24"/>
        </w:rPr>
        <w:t>and gives CDT general authority over the strategic management and direction of the State’s information technology resources.  SAM sections 4800-5180   constitutes these powers and defines the procedures for obtaining CDT</w:t>
      </w:r>
      <w:r w:rsidRPr="00B05A21">
        <w:rPr>
          <w:bCs/>
          <w:sz w:val="24"/>
          <w:szCs w:val="24"/>
        </w:rPr>
        <w:t>’s</w:t>
      </w:r>
      <w:r w:rsidRPr="00B05A21">
        <w:rPr>
          <w:sz w:val="24"/>
          <w:szCs w:val="24"/>
        </w:rPr>
        <w:t xml:space="preserve"> approval of proposed information technology expenditures.</w:t>
      </w:r>
    </w:p>
    <w:p w:rsidR="00635941" w:rsidRPr="00B05A21" w:rsidRDefault="00635941" w:rsidP="00FD57A8">
      <w:pPr>
        <w:pStyle w:val="BlockText0"/>
        <w:rPr>
          <w:rFonts w:ascii="Arial" w:hAnsi="Arial" w:cs="Arial"/>
          <w:szCs w:val="24"/>
        </w:rPr>
      </w:pPr>
      <w:r w:rsidRPr="00B05A21">
        <w:rPr>
          <w:rFonts w:ascii="Arial" w:hAnsi="Arial" w:cs="Arial"/>
          <w:szCs w:val="24"/>
        </w:rPr>
        <w:t xml:space="preserve">All departments must obtain the required approvals from CDT </w:t>
      </w:r>
      <w:r w:rsidRPr="00B05A21">
        <w:rPr>
          <w:rFonts w:ascii="Arial" w:hAnsi="Arial" w:cs="Arial"/>
          <w:szCs w:val="24"/>
          <w:u w:val="single"/>
        </w:rPr>
        <w:t>BEFORE</w:t>
      </w:r>
      <w:r w:rsidRPr="00B05A21">
        <w:rPr>
          <w:rFonts w:ascii="Arial" w:hAnsi="Arial" w:cs="Arial"/>
          <w:szCs w:val="24"/>
        </w:rPr>
        <w:t xml:space="preserve"> initiating any IT procurement activity or encumbering any funds.</w:t>
      </w:r>
    </w:p>
    <w:p w:rsidR="00635941" w:rsidRPr="00B05A21" w:rsidRDefault="00635941" w:rsidP="00FD57A8">
      <w:pPr>
        <w:pStyle w:val="BlockText0"/>
        <w:rPr>
          <w:rFonts w:ascii="Arial" w:hAnsi="Arial" w:cs="Arial"/>
          <w:szCs w:val="24"/>
        </w:rPr>
      </w:pPr>
    </w:p>
    <w:p w:rsidR="00635941" w:rsidRPr="00B05A21" w:rsidRDefault="00635941" w:rsidP="00FD57A8">
      <w:pPr>
        <w:pStyle w:val="BlockText0"/>
        <w:rPr>
          <w:rFonts w:ascii="Arial" w:hAnsi="Arial" w:cs="Arial"/>
          <w:szCs w:val="24"/>
        </w:rPr>
      </w:pPr>
      <w:r w:rsidRPr="00B05A21">
        <w:rPr>
          <w:rFonts w:ascii="Arial" w:hAnsi="Arial" w:cs="Arial"/>
          <w:szCs w:val="24"/>
        </w:rPr>
        <w:t xml:space="preserve">Click here to access </w:t>
      </w:r>
      <w:hyperlink r:id="rId33" w:history="1">
        <w:r w:rsidRPr="00B05A21">
          <w:rPr>
            <w:rStyle w:val="Hyperlink"/>
            <w:rFonts w:ascii="Arial" w:hAnsi="Arial" w:cs="Arial"/>
            <w:szCs w:val="24"/>
          </w:rPr>
          <w:t>SAM</w:t>
        </w:r>
      </w:hyperlink>
      <w:r w:rsidRPr="00B05A21">
        <w:rPr>
          <w:rFonts w:ascii="Arial" w:hAnsi="Arial" w:cs="Arial"/>
          <w:szCs w:val="24"/>
        </w:rPr>
        <w:t>.  See specifically SAM sections 4500 et seq.-telecommunications, 4800 et seq. – information technology, 4989 - Desktop and Mobile Equipment Computing Policy, 5200 – IT procurement (Note:  5200 was incorporated into this manual) and 6700 – 6780 IT expenditures.</w:t>
      </w:r>
    </w:p>
    <w:p w:rsidR="00635941" w:rsidRPr="00B05A21" w:rsidRDefault="00635941" w:rsidP="00FD57A8">
      <w:pPr>
        <w:pStyle w:val="BlockText0"/>
        <w:rPr>
          <w:rFonts w:ascii="Arial" w:hAnsi="Arial" w:cs="Arial"/>
          <w:szCs w:val="24"/>
        </w:rPr>
      </w:pPr>
      <w:r w:rsidRPr="00B05A21">
        <w:rPr>
          <w:rFonts w:ascii="Arial" w:hAnsi="Arial" w:cs="Arial"/>
          <w:szCs w:val="24"/>
        </w:rPr>
        <w:t xml:space="preserve">Click here to access the </w:t>
      </w:r>
      <w:hyperlink r:id="rId34" w:history="1">
        <w:r w:rsidRPr="00B05A21">
          <w:rPr>
            <w:rStyle w:val="Hyperlink"/>
            <w:rFonts w:ascii="Arial" w:hAnsi="Arial" w:cs="Arial"/>
            <w:szCs w:val="24"/>
          </w:rPr>
          <w:t>SIMM</w:t>
        </w:r>
      </w:hyperlink>
      <w:r w:rsidRPr="00B05A21">
        <w:rPr>
          <w:rFonts w:ascii="Arial" w:hAnsi="Arial" w:cs="Arial"/>
          <w:szCs w:val="24"/>
        </w:rPr>
        <w:t xml:space="preserve"> for additional information.</w:t>
      </w:r>
      <w:r w:rsidRPr="00B05A21">
        <w:rPr>
          <w:rFonts w:ascii="Arial" w:hAnsi="Arial" w:cs="Arial"/>
          <w:szCs w:val="24"/>
          <w:lang w:val="en"/>
        </w:rPr>
        <w:t xml:space="preserve"> Information.</w:t>
      </w:r>
    </w:p>
    <w:p w:rsidR="00FD57A8" w:rsidRPr="00B05A21" w:rsidRDefault="00FD57A8" w:rsidP="00FD57A8">
      <w:pPr>
        <w:pStyle w:val="BlockLine"/>
        <w:tabs>
          <w:tab w:val="left" w:pos="2655"/>
        </w:tabs>
        <w:rPr>
          <w:rFonts w:ascii="Arial" w:hAnsi="Arial" w:cs="Arial"/>
          <w:szCs w:val="24"/>
        </w:rPr>
      </w:pPr>
      <w:r w:rsidRPr="00B05A21">
        <w:rPr>
          <w:rFonts w:ascii="Arial" w:hAnsi="Arial" w:cs="Arial"/>
          <w:szCs w:val="24"/>
        </w:rPr>
        <w:tab/>
      </w:r>
    </w:p>
    <w:p w:rsidR="00853B6A" w:rsidRPr="00B05A21" w:rsidRDefault="00853B6A" w:rsidP="00853B6A">
      <w:pPr>
        <w:pStyle w:val="Heading3"/>
        <w:spacing w:after="120"/>
        <w:jc w:val="left"/>
        <w:rPr>
          <w:rFonts w:cs="Arial"/>
          <w:bCs/>
          <w:sz w:val="24"/>
          <w:szCs w:val="24"/>
        </w:rPr>
      </w:pPr>
      <w:bookmarkStart w:id="296" w:name="_Toc12886035"/>
      <w:r w:rsidRPr="00B05A21">
        <w:rPr>
          <w:rFonts w:cs="Arial"/>
          <w:bCs/>
          <w:sz w:val="24"/>
          <w:szCs w:val="24"/>
        </w:rPr>
        <w:t>2.C4.1   Project approval</w:t>
      </w:r>
      <w:bookmarkEnd w:id="296"/>
    </w:p>
    <w:p w:rsidR="00853B6A" w:rsidRPr="00B05A21" w:rsidRDefault="00853B6A" w:rsidP="00FD57A8">
      <w:pPr>
        <w:pStyle w:val="BlockText0"/>
        <w:rPr>
          <w:rFonts w:ascii="Arial" w:hAnsi="Arial" w:cs="Arial"/>
          <w:b/>
          <w:bCs/>
          <w:szCs w:val="24"/>
        </w:rPr>
      </w:pPr>
      <w:r w:rsidRPr="00B05A21">
        <w:rPr>
          <w:rFonts w:ascii="Arial" w:hAnsi="Arial" w:cs="Arial"/>
          <w:szCs w:val="24"/>
        </w:rPr>
        <w:t>The mechanisms to obtain approval for IT projects that provide the necessary authorization to acquire IT goods and/or services from CDT are listed below:</w:t>
      </w:r>
    </w:p>
    <w:p w:rsidR="00853B6A" w:rsidRPr="00B05A21" w:rsidRDefault="00853B6A" w:rsidP="00FD57A8">
      <w:pPr>
        <w:pStyle w:val="content"/>
        <w:numPr>
          <w:ilvl w:val="0"/>
          <w:numId w:val="4"/>
        </w:numPr>
        <w:tabs>
          <w:tab w:val="clear" w:pos="720"/>
          <w:tab w:val="num" w:pos="312"/>
        </w:tabs>
        <w:spacing w:before="0" w:beforeAutospacing="0" w:after="0" w:afterAutospacing="0"/>
        <w:ind w:left="312" w:hanging="312"/>
        <w:rPr>
          <w:sz w:val="24"/>
          <w:szCs w:val="24"/>
        </w:rPr>
      </w:pPr>
      <w:r w:rsidRPr="00B05A21">
        <w:rPr>
          <w:sz w:val="24"/>
          <w:szCs w:val="24"/>
        </w:rPr>
        <w:t>Feasibility Study Reports (FSR):  An FSR documents the results of a feasibility study conducted to address a business problem or opportunity, and identifies measurable business objectives and functional business requirements. The FSR is used to present the business case for investing in an information technology project. Once approved, the FSR establishes an agreement between the department and CDT as to how the project is to proceed. The FSR identifies the proposed solution’s logical and technical design requirements. It also establishes the requirements used to define the procurement documents that successful proposals from suppliers must meet.</w:t>
      </w:r>
    </w:p>
    <w:p w:rsidR="00853B6A" w:rsidRPr="00B05A21" w:rsidRDefault="00853B6A" w:rsidP="00FD57A8">
      <w:pPr>
        <w:pStyle w:val="content"/>
        <w:numPr>
          <w:ilvl w:val="0"/>
          <w:numId w:val="4"/>
        </w:numPr>
        <w:tabs>
          <w:tab w:val="clear" w:pos="720"/>
          <w:tab w:val="num" w:pos="312"/>
        </w:tabs>
        <w:spacing w:before="0" w:beforeAutospacing="0" w:after="0" w:afterAutospacing="0"/>
        <w:ind w:left="312" w:hanging="312"/>
        <w:rPr>
          <w:sz w:val="24"/>
          <w:szCs w:val="24"/>
        </w:rPr>
      </w:pPr>
      <w:r w:rsidRPr="00B05A21">
        <w:rPr>
          <w:bCs/>
          <w:sz w:val="24"/>
          <w:szCs w:val="24"/>
        </w:rPr>
        <w:t>FSR for a Business-Based Procurement</w:t>
      </w:r>
      <w:r w:rsidRPr="00B05A21">
        <w:rPr>
          <w:sz w:val="24"/>
          <w:szCs w:val="24"/>
        </w:rPr>
        <w:t xml:space="preserve">:  </w:t>
      </w:r>
      <w:r w:rsidRPr="00B05A21">
        <w:rPr>
          <w:bCs/>
          <w:sz w:val="24"/>
          <w:szCs w:val="24"/>
        </w:rPr>
        <w:t>An FSR for a business-based procurement differs from a typical FSR in that it does not include a proposed solution.</w:t>
      </w:r>
      <w:r w:rsidRPr="00B05A21">
        <w:rPr>
          <w:sz w:val="24"/>
          <w:szCs w:val="24"/>
        </w:rPr>
        <w:t xml:space="preserve"> Suppliers will propose the solution during the procurement process (i.e. no specific technical solution is required by the department). </w:t>
      </w:r>
      <w:r w:rsidRPr="00B05A21">
        <w:rPr>
          <w:bCs/>
          <w:sz w:val="24"/>
          <w:szCs w:val="24"/>
        </w:rPr>
        <w:t>For those proposals that initially recommend a business-based procurement and the proposed technical solution is not determined in the FSR, the department must submit a</w:t>
      </w:r>
      <w:r w:rsidRPr="00B05A21">
        <w:rPr>
          <w:bCs/>
          <w:color w:val="auto"/>
          <w:sz w:val="24"/>
          <w:szCs w:val="24"/>
        </w:rPr>
        <w:t xml:space="preserve"> Special Project Report to</w:t>
      </w:r>
      <w:r w:rsidRPr="00B05A21">
        <w:rPr>
          <w:color w:val="auto"/>
          <w:sz w:val="24"/>
          <w:szCs w:val="24"/>
        </w:rPr>
        <w:t xml:space="preserve"> CDT</w:t>
      </w:r>
      <w:r w:rsidRPr="00B05A21">
        <w:rPr>
          <w:bCs/>
          <w:color w:val="auto"/>
          <w:sz w:val="24"/>
          <w:szCs w:val="24"/>
        </w:rPr>
        <w:t xml:space="preserve"> for review and approval prior to contract award</w:t>
      </w:r>
      <w:r w:rsidRPr="00B05A21">
        <w:rPr>
          <w:sz w:val="24"/>
          <w:szCs w:val="24"/>
        </w:rPr>
        <w:t>.</w:t>
      </w:r>
    </w:p>
    <w:p w:rsidR="00853B6A" w:rsidRPr="00B05A21" w:rsidRDefault="00853B6A" w:rsidP="00FD57A8">
      <w:pPr>
        <w:pStyle w:val="content"/>
        <w:numPr>
          <w:ilvl w:val="0"/>
          <w:numId w:val="4"/>
        </w:numPr>
        <w:tabs>
          <w:tab w:val="clear" w:pos="720"/>
          <w:tab w:val="num" w:pos="312"/>
        </w:tabs>
        <w:spacing w:before="0" w:beforeAutospacing="0" w:after="0" w:afterAutospacing="0"/>
        <w:ind w:left="312" w:hanging="312"/>
        <w:rPr>
          <w:sz w:val="24"/>
          <w:szCs w:val="24"/>
        </w:rPr>
      </w:pPr>
      <w:r w:rsidRPr="00B05A21">
        <w:rPr>
          <w:bCs/>
          <w:sz w:val="24"/>
          <w:szCs w:val="24"/>
        </w:rPr>
        <w:t xml:space="preserve">Special Project Report (SPR):  </w:t>
      </w:r>
      <w:r w:rsidRPr="00B05A21">
        <w:rPr>
          <w:sz w:val="24"/>
          <w:szCs w:val="24"/>
        </w:rPr>
        <w:t>An SPR is a detailed project change proposal. An SPR is required any time a project changes in costs, benefits or schedule by ten percent or more (or other amount as determined by CDT), or if a significant change occurs in the project's scope or methodology. Approval of an SPR constitutes a new approval agreement between the department and CDT.</w:t>
      </w:r>
    </w:p>
    <w:p w:rsidR="00853B6A" w:rsidRPr="00B05A21" w:rsidRDefault="00853B6A" w:rsidP="00FD57A8">
      <w:pPr>
        <w:pStyle w:val="content"/>
        <w:numPr>
          <w:ilvl w:val="0"/>
          <w:numId w:val="4"/>
        </w:numPr>
        <w:tabs>
          <w:tab w:val="clear" w:pos="720"/>
          <w:tab w:val="num" w:pos="312"/>
        </w:tabs>
        <w:spacing w:before="0" w:beforeAutospacing="0" w:after="0" w:afterAutospacing="0"/>
        <w:ind w:left="312" w:hanging="312"/>
        <w:rPr>
          <w:sz w:val="24"/>
          <w:szCs w:val="24"/>
        </w:rPr>
      </w:pPr>
      <w:r w:rsidRPr="00B05A21">
        <w:rPr>
          <w:sz w:val="24"/>
          <w:szCs w:val="24"/>
        </w:rPr>
        <w:t>Compliance with the DMCP (see Section B of this chapter)</w:t>
      </w:r>
    </w:p>
    <w:p w:rsidR="00853B6A" w:rsidRPr="00B05A21" w:rsidRDefault="00853B6A" w:rsidP="00FD57A8">
      <w:pPr>
        <w:pStyle w:val="content"/>
        <w:numPr>
          <w:ilvl w:val="0"/>
          <w:numId w:val="4"/>
        </w:numPr>
        <w:tabs>
          <w:tab w:val="clear" w:pos="720"/>
          <w:tab w:val="num" w:pos="312"/>
        </w:tabs>
        <w:spacing w:before="0" w:beforeAutospacing="0" w:after="0" w:afterAutospacing="0"/>
        <w:ind w:left="312" w:hanging="312"/>
        <w:rPr>
          <w:sz w:val="24"/>
          <w:szCs w:val="24"/>
        </w:rPr>
      </w:pPr>
      <w:r w:rsidRPr="00B05A21">
        <w:rPr>
          <w:bCs/>
          <w:sz w:val="24"/>
          <w:szCs w:val="24"/>
        </w:rPr>
        <w:t>Post Implementation Evaluation Report (PIER)</w:t>
      </w:r>
      <w:r w:rsidRPr="00B05A21">
        <w:rPr>
          <w:sz w:val="24"/>
          <w:szCs w:val="24"/>
        </w:rPr>
        <w:t xml:space="preserve"> — A PIER is developed after the project has been completed and in production a sufficient period of time to assess its functionality and productivity (typically one year or one business cycle). </w:t>
      </w:r>
      <w:r w:rsidRPr="00B05A21">
        <w:rPr>
          <w:bCs/>
          <w:sz w:val="24"/>
          <w:szCs w:val="24"/>
        </w:rPr>
        <w:t>Objectives</w:t>
      </w:r>
      <w:r w:rsidRPr="00B05A21">
        <w:rPr>
          <w:sz w:val="24"/>
          <w:szCs w:val="24"/>
        </w:rPr>
        <w:t xml:space="preserve">, </w:t>
      </w:r>
      <w:r w:rsidRPr="00B05A21">
        <w:rPr>
          <w:sz w:val="24"/>
          <w:szCs w:val="24"/>
        </w:rPr>
        <w:lastRenderedPageBreak/>
        <w:t xml:space="preserve">costs and benefits are compared against the estimates presented in the last approved project document (FSR or SPR). A PIER is the final reporting requirement for a project. Once the PIER is approved, the project is officially complete and the system is considered a production system (application). </w:t>
      </w:r>
    </w:p>
    <w:p w:rsidR="00853B6A" w:rsidRPr="00B05A21" w:rsidRDefault="00853B6A" w:rsidP="00FD57A8">
      <w:pPr>
        <w:pStyle w:val="content"/>
        <w:numPr>
          <w:ilvl w:val="0"/>
          <w:numId w:val="4"/>
        </w:numPr>
        <w:tabs>
          <w:tab w:val="clear" w:pos="720"/>
          <w:tab w:val="num" w:pos="312"/>
        </w:tabs>
        <w:spacing w:before="0" w:beforeAutospacing="0" w:after="0" w:afterAutospacing="0"/>
        <w:ind w:left="312" w:hanging="312"/>
        <w:rPr>
          <w:sz w:val="24"/>
          <w:szCs w:val="24"/>
        </w:rPr>
      </w:pPr>
      <w:r w:rsidRPr="00B05A21">
        <w:rPr>
          <w:sz w:val="24"/>
          <w:szCs w:val="24"/>
        </w:rPr>
        <w:t xml:space="preserve">Identifying that a project or acquisition is excluded under SAM section 4819.32. </w:t>
      </w:r>
    </w:p>
    <w:p w:rsidR="00853B6A" w:rsidRPr="00B05A21" w:rsidRDefault="00853B6A" w:rsidP="00FD57A8">
      <w:pPr>
        <w:pStyle w:val="BulletText1"/>
        <w:numPr>
          <w:ilvl w:val="0"/>
          <w:numId w:val="0"/>
        </w:numPr>
        <w:rPr>
          <w:rFonts w:ascii="Arial" w:hAnsi="Arial" w:cs="Arial"/>
          <w:szCs w:val="24"/>
        </w:rPr>
      </w:pPr>
    </w:p>
    <w:p w:rsidR="00853B6A" w:rsidRPr="00B05A21" w:rsidRDefault="00853B6A" w:rsidP="00FD57A8">
      <w:pPr>
        <w:rPr>
          <w:rFonts w:ascii="Arial" w:hAnsi="Arial" w:cs="Arial"/>
        </w:rPr>
      </w:pPr>
      <w:r w:rsidRPr="00B05A21">
        <w:rPr>
          <w:rFonts w:ascii="Arial" w:hAnsi="Arial" w:cs="Arial"/>
          <w:b/>
          <w:bCs/>
        </w:rPr>
        <w:t>Note</w:t>
      </w:r>
      <w:r w:rsidRPr="00B05A21">
        <w:rPr>
          <w:rFonts w:ascii="Arial" w:hAnsi="Arial" w:cs="Arial"/>
        </w:rPr>
        <w:t>:   There are other conditions to justify the acquisition of IT goods and/or services, and departments are advised to review SAM section 4819.32 to ensure procurement compliance</w:t>
      </w:r>
    </w:p>
    <w:p w:rsidR="00FD57A8" w:rsidRPr="00B05A21" w:rsidRDefault="00FD57A8" w:rsidP="00FD57A8">
      <w:pPr>
        <w:pStyle w:val="BlockLine"/>
        <w:tabs>
          <w:tab w:val="left" w:pos="2655"/>
        </w:tabs>
        <w:rPr>
          <w:rFonts w:ascii="Arial" w:hAnsi="Arial" w:cs="Arial"/>
          <w:szCs w:val="24"/>
        </w:rPr>
      </w:pPr>
      <w:r w:rsidRPr="00B05A21">
        <w:rPr>
          <w:rFonts w:ascii="Arial" w:hAnsi="Arial" w:cs="Arial"/>
          <w:szCs w:val="24"/>
        </w:rPr>
        <w:tab/>
      </w:r>
    </w:p>
    <w:p w:rsidR="00EE2DEB" w:rsidRPr="00B05A21" w:rsidRDefault="00EE2DEB" w:rsidP="00EE2DEB">
      <w:pPr>
        <w:pStyle w:val="Heading3"/>
        <w:spacing w:after="120"/>
        <w:jc w:val="left"/>
        <w:rPr>
          <w:rFonts w:cs="Arial"/>
          <w:bCs/>
          <w:sz w:val="24"/>
          <w:szCs w:val="24"/>
        </w:rPr>
      </w:pPr>
      <w:bookmarkStart w:id="297" w:name="_Toc12886036"/>
      <w:r w:rsidRPr="00B05A21">
        <w:rPr>
          <w:rFonts w:cs="Arial"/>
          <w:bCs/>
          <w:sz w:val="24"/>
          <w:szCs w:val="24"/>
        </w:rPr>
        <w:t>2.C4.2   CDT review of procurement documents</w:t>
      </w:r>
      <w:bookmarkEnd w:id="297"/>
    </w:p>
    <w:p w:rsidR="00EE2DEB" w:rsidRPr="00B05A21" w:rsidRDefault="00EE2DEB" w:rsidP="0047033E">
      <w:pPr>
        <w:rPr>
          <w:rFonts w:ascii="Arial" w:hAnsi="Arial" w:cs="Arial"/>
        </w:rPr>
      </w:pPr>
      <w:r w:rsidRPr="00B05A21">
        <w:rPr>
          <w:rFonts w:ascii="Arial" w:hAnsi="Arial" w:cs="Arial"/>
        </w:rPr>
        <w:t>CDT may decide to review specifications in procurement documents before they are advertised to ensure that the specifications are consistent with the functional specifications and system design in the FSRs or SPRs for the projects.  CDT’s decision to review the procurement documents will be based on whether it believes projects require special oversight during the procurement process.  Procurement documents that CDT determines are subject to its oversight under this section may not be released until CDT has approved their release.  CDT will inform departments of its intention to review the procurement documents for a project in its approval letters for FSRs and SPRs.</w:t>
      </w:r>
    </w:p>
    <w:p w:rsidR="000D2487" w:rsidRPr="00B05A21" w:rsidRDefault="000D2487" w:rsidP="00FD57A8">
      <w:pPr>
        <w:pStyle w:val="BlockLine"/>
        <w:tabs>
          <w:tab w:val="left" w:pos="2655"/>
        </w:tabs>
        <w:rPr>
          <w:rFonts w:ascii="Arial" w:hAnsi="Arial" w:cs="Arial"/>
          <w:szCs w:val="24"/>
        </w:rPr>
      </w:pPr>
    </w:p>
    <w:p w:rsidR="00EE2DEB" w:rsidRPr="00B05A21" w:rsidRDefault="00EE2DEB" w:rsidP="00EE2DEB">
      <w:pPr>
        <w:pStyle w:val="Heading3"/>
        <w:spacing w:after="120"/>
        <w:jc w:val="left"/>
        <w:rPr>
          <w:rFonts w:cs="Arial"/>
          <w:bCs/>
          <w:sz w:val="24"/>
          <w:szCs w:val="24"/>
        </w:rPr>
      </w:pPr>
      <w:bookmarkStart w:id="298" w:name="_Toc12886037"/>
      <w:r w:rsidRPr="00B05A21">
        <w:rPr>
          <w:rFonts w:cs="Arial"/>
          <w:bCs/>
          <w:sz w:val="24"/>
          <w:szCs w:val="24"/>
        </w:rPr>
        <w:t xml:space="preserve">2.C4.3   CDT’s technology letters </w:t>
      </w:r>
      <w:bookmarkEnd w:id="298"/>
    </w:p>
    <w:p w:rsidR="00EE2DEB" w:rsidRPr="00B05A21" w:rsidRDefault="00EE2DEB" w:rsidP="003C37B4">
      <w:pPr>
        <w:rPr>
          <w:rFonts w:ascii="Arial" w:hAnsi="Arial" w:cs="Arial"/>
        </w:rPr>
      </w:pPr>
      <w:r w:rsidRPr="00B05A21">
        <w:rPr>
          <w:rFonts w:ascii="Arial" w:hAnsi="Arial" w:cs="Arial"/>
          <w:lang w:val="en"/>
        </w:rPr>
        <w:t xml:space="preserve">Technology Letters (TL) are issued by </w:t>
      </w:r>
      <w:r w:rsidRPr="00B05A21">
        <w:rPr>
          <w:rFonts w:ascii="Arial" w:hAnsi="Arial" w:cs="Arial"/>
        </w:rPr>
        <w:t>CDT</w:t>
      </w:r>
      <w:r w:rsidRPr="00B05A21">
        <w:rPr>
          <w:rFonts w:ascii="Arial" w:hAnsi="Arial" w:cs="Arial"/>
          <w:lang w:val="en"/>
        </w:rPr>
        <w:t xml:space="preserve"> to disseminate new or changes to existing IT policies, standards, and procedures.  Departments should review </w:t>
      </w:r>
      <w:r w:rsidRPr="00B05A21">
        <w:rPr>
          <w:rFonts w:ascii="Arial" w:hAnsi="Arial" w:cs="Arial"/>
        </w:rPr>
        <w:t>CDT</w:t>
      </w:r>
      <w:r w:rsidRPr="00B05A21">
        <w:rPr>
          <w:rFonts w:ascii="Arial" w:hAnsi="Arial" w:cs="Arial"/>
          <w:lang w:val="en"/>
        </w:rPr>
        <w:t xml:space="preserve">’s website frequently to stay current on </w:t>
      </w:r>
      <w:hyperlink r:id="rId35" w:history="1">
        <w:r w:rsidRPr="00B05A21">
          <w:rPr>
            <w:rStyle w:val="Hyperlink"/>
            <w:rFonts w:ascii="Arial" w:hAnsi="Arial" w:cs="Arial"/>
            <w:lang w:val="en"/>
          </w:rPr>
          <w:t>TL</w:t>
        </w:r>
      </w:hyperlink>
      <w:r w:rsidRPr="00B05A21">
        <w:rPr>
          <w:rFonts w:ascii="Arial" w:hAnsi="Arial" w:cs="Arial"/>
          <w:lang w:val="en"/>
        </w:rPr>
        <w:t xml:space="preserve"> notifications.  If a department has questions about any of the TLs, contact the person noted in the TL or your </w:t>
      </w:r>
      <w:hyperlink r:id="rId36" w:history="1">
        <w:r w:rsidRPr="00B05A21">
          <w:rPr>
            <w:rStyle w:val="Hyperlink"/>
            <w:rFonts w:ascii="Arial" w:hAnsi="Arial" w:cs="Arial"/>
            <w:lang w:val="en"/>
          </w:rPr>
          <w:t>Department of Technology Manager</w:t>
        </w:r>
      </w:hyperlink>
      <w:r w:rsidRPr="00B05A21">
        <w:rPr>
          <w:rFonts w:ascii="Arial" w:hAnsi="Arial" w:cs="Arial"/>
          <w:lang w:val="en"/>
        </w:rPr>
        <w:t>.</w:t>
      </w:r>
    </w:p>
    <w:p w:rsidR="00FD57A8" w:rsidRPr="00B05A21" w:rsidRDefault="00FD57A8" w:rsidP="00FD57A8">
      <w:pPr>
        <w:pStyle w:val="BlockLine"/>
        <w:tabs>
          <w:tab w:val="left" w:pos="2655"/>
        </w:tabs>
        <w:rPr>
          <w:rFonts w:ascii="Arial" w:hAnsi="Arial" w:cs="Arial"/>
          <w:szCs w:val="24"/>
        </w:rPr>
      </w:pPr>
    </w:p>
    <w:p w:rsidR="00655FF5" w:rsidRPr="00B05A21" w:rsidRDefault="00655FF5" w:rsidP="00655FF5">
      <w:pPr>
        <w:pStyle w:val="Heading3"/>
        <w:spacing w:after="120"/>
        <w:jc w:val="left"/>
        <w:rPr>
          <w:rFonts w:cs="Arial"/>
          <w:bCs/>
          <w:sz w:val="24"/>
          <w:szCs w:val="24"/>
        </w:rPr>
      </w:pPr>
      <w:bookmarkStart w:id="299" w:name="_Toc12886038"/>
      <w:r w:rsidRPr="00B05A21">
        <w:rPr>
          <w:rFonts w:cs="Arial"/>
          <w:bCs/>
          <w:sz w:val="24"/>
          <w:szCs w:val="24"/>
        </w:rPr>
        <w:t>2.C4.4   CDT’s telecommunication approvals</w:t>
      </w:r>
      <w:bookmarkEnd w:id="299"/>
    </w:p>
    <w:p w:rsidR="00655FF5" w:rsidRPr="00B05A21" w:rsidRDefault="00655FF5" w:rsidP="00AA0638">
      <w:pPr>
        <w:pStyle w:val="BlockText0"/>
        <w:rPr>
          <w:rFonts w:ascii="Arial" w:hAnsi="Arial" w:cs="Arial"/>
          <w:b/>
          <w:bCs/>
          <w:szCs w:val="24"/>
        </w:rPr>
      </w:pPr>
      <w:r w:rsidRPr="00B05A21">
        <w:rPr>
          <w:rFonts w:ascii="Arial" w:hAnsi="Arial" w:cs="Arial"/>
          <w:szCs w:val="24"/>
        </w:rPr>
        <w:t>The purchase of public safety radio and related electronic equipment requires CDT</w:t>
      </w:r>
      <w:r w:rsidRPr="00B05A21">
        <w:rPr>
          <w:rFonts w:ascii="Arial" w:hAnsi="Arial" w:cs="Arial"/>
          <w:bCs/>
          <w:szCs w:val="24"/>
        </w:rPr>
        <w:t>’s</w:t>
      </w:r>
      <w:r w:rsidRPr="00B05A21">
        <w:rPr>
          <w:rFonts w:ascii="Arial" w:hAnsi="Arial" w:cs="Arial"/>
          <w:szCs w:val="24"/>
        </w:rPr>
        <w:t xml:space="preserve"> technical review and approval prior to initiating a procurement activity.  Radio and microwave equipment and services are not delegated.</w:t>
      </w:r>
    </w:p>
    <w:p w:rsidR="00655FF5" w:rsidRPr="00B05A21" w:rsidRDefault="00655FF5" w:rsidP="00AA0638">
      <w:pPr>
        <w:pStyle w:val="BlockText0"/>
        <w:rPr>
          <w:rFonts w:ascii="Arial" w:hAnsi="Arial" w:cs="Arial"/>
          <w:szCs w:val="24"/>
        </w:rPr>
      </w:pPr>
    </w:p>
    <w:p w:rsidR="00655FF5" w:rsidRPr="00B05A21" w:rsidRDefault="00655FF5" w:rsidP="00AA0638">
      <w:pPr>
        <w:pStyle w:val="BlockText0"/>
        <w:rPr>
          <w:rFonts w:ascii="Arial" w:hAnsi="Arial" w:cs="Arial"/>
          <w:szCs w:val="24"/>
        </w:rPr>
      </w:pPr>
      <w:r w:rsidRPr="00B05A21">
        <w:rPr>
          <w:rFonts w:ascii="Arial" w:hAnsi="Arial" w:cs="Arial"/>
          <w:szCs w:val="24"/>
        </w:rPr>
        <w:t>Additionally, the use of the state consolidated network for voice and data services is mandatory unless a waiver is granted by CDT.</w:t>
      </w:r>
    </w:p>
    <w:p w:rsidR="00FD57A8" w:rsidRPr="00B05A21" w:rsidRDefault="00FD57A8" w:rsidP="00FD57A8">
      <w:pPr>
        <w:pStyle w:val="BlockLine"/>
        <w:tabs>
          <w:tab w:val="left" w:pos="2655"/>
        </w:tabs>
        <w:rPr>
          <w:rFonts w:ascii="Arial" w:hAnsi="Arial" w:cs="Arial"/>
          <w:szCs w:val="24"/>
        </w:rPr>
      </w:pPr>
      <w:r w:rsidRPr="00B05A21">
        <w:rPr>
          <w:rFonts w:ascii="Arial" w:hAnsi="Arial" w:cs="Arial"/>
          <w:szCs w:val="24"/>
        </w:rPr>
        <w:tab/>
      </w:r>
    </w:p>
    <w:p w:rsidR="007C102F" w:rsidRPr="00B05A21" w:rsidRDefault="007C102F" w:rsidP="003714FA">
      <w:pPr>
        <w:pStyle w:val="Heading3"/>
        <w:spacing w:after="120"/>
        <w:jc w:val="left"/>
        <w:rPr>
          <w:rFonts w:cs="Arial"/>
          <w:bCs/>
          <w:sz w:val="24"/>
          <w:szCs w:val="24"/>
        </w:rPr>
      </w:pPr>
      <w:bookmarkStart w:id="300" w:name="_Toc12886039"/>
      <w:r w:rsidRPr="00B05A21">
        <w:rPr>
          <w:rFonts w:cs="Arial"/>
          <w:bCs/>
          <w:sz w:val="24"/>
          <w:szCs w:val="24"/>
        </w:rPr>
        <w:t>2.C4.5   Offic</w:t>
      </w:r>
      <w:r w:rsidR="009D6368">
        <w:rPr>
          <w:rFonts w:cs="Arial"/>
          <w:bCs/>
          <w:sz w:val="24"/>
          <w:szCs w:val="24"/>
        </w:rPr>
        <w:t>e of Technology Services</w:t>
      </w:r>
      <w:r w:rsidRPr="00B05A21">
        <w:rPr>
          <w:rFonts w:cs="Arial"/>
          <w:bCs/>
          <w:sz w:val="24"/>
          <w:szCs w:val="24"/>
        </w:rPr>
        <w:t>, Statewide Telecommunicati</w:t>
      </w:r>
      <w:r w:rsidR="009D6368">
        <w:rPr>
          <w:rFonts w:cs="Arial"/>
          <w:bCs/>
          <w:sz w:val="24"/>
          <w:szCs w:val="24"/>
        </w:rPr>
        <w:t xml:space="preserve">ons and Network Division </w:t>
      </w:r>
      <w:r w:rsidRPr="00B05A21">
        <w:rPr>
          <w:rFonts w:cs="Arial"/>
          <w:bCs/>
          <w:sz w:val="24"/>
          <w:szCs w:val="24"/>
        </w:rPr>
        <w:t>contracts</w:t>
      </w:r>
      <w:bookmarkEnd w:id="300"/>
    </w:p>
    <w:p w:rsidR="007C102F" w:rsidRPr="00B05A21" w:rsidRDefault="007C102F" w:rsidP="00AA0638">
      <w:pPr>
        <w:pStyle w:val="BlockText0"/>
        <w:rPr>
          <w:rFonts w:ascii="Arial" w:hAnsi="Arial" w:cs="Arial"/>
          <w:b/>
          <w:bCs/>
          <w:szCs w:val="24"/>
        </w:rPr>
      </w:pPr>
      <w:r w:rsidRPr="00B05A21">
        <w:rPr>
          <w:rFonts w:ascii="Arial" w:hAnsi="Arial" w:cs="Arial"/>
          <w:szCs w:val="24"/>
        </w:rPr>
        <w:t xml:space="preserve">Departments are required to use contracts issued by </w:t>
      </w:r>
      <w:r w:rsidR="009D6368">
        <w:rPr>
          <w:rFonts w:ascii="Arial" w:hAnsi="Arial" w:cs="Arial"/>
          <w:szCs w:val="24"/>
        </w:rPr>
        <w:t>the Office of Technology Services (</w:t>
      </w:r>
      <w:r w:rsidRPr="00B05A21">
        <w:rPr>
          <w:rFonts w:ascii="Arial" w:hAnsi="Arial" w:cs="Arial"/>
          <w:szCs w:val="24"/>
        </w:rPr>
        <w:t>OTECH</w:t>
      </w:r>
      <w:r w:rsidR="009D6368">
        <w:rPr>
          <w:rFonts w:ascii="Arial" w:hAnsi="Arial" w:cs="Arial"/>
          <w:szCs w:val="24"/>
        </w:rPr>
        <w:t>), Statewide Telecommunications and Network Division (</w:t>
      </w:r>
      <w:r w:rsidRPr="00B05A21">
        <w:rPr>
          <w:rFonts w:ascii="Arial" w:hAnsi="Arial" w:cs="Arial"/>
          <w:szCs w:val="24"/>
        </w:rPr>
        <w:t>STND</w:t>
      </w:r>
      <w:r w:rsidR="009D6368">
        <w:rPr>
          <w:rFonts w:ascii="Arial" w:hAnsi="Arial" w:cs="Arial"/>
          <w:szCs w:val="24"/>
        </w:rPr>
        <w:t>)</w:t>
      </w:r>
      <w:r w:rsidRPr="00B05A21">
        <w:rPr>
          <w:rFonts w:ascii="Arial" w:hAnsi="Arial" w:cs="Arial"/>
          <w:szCs w:val="24"/>
        </w:rPr>
        <w:t xml:space="preserve"> or mandatory-use strategically sourced LPAs issued by DGS/PD to obtain voice and data services.  In particular, departments must use OTECH/STND contracts that offer voice, data, video and internet services.</w:t>
      </w:r>
    </w:p>
    <w:p w:rsidR="00AA0638" w:rsidRPr="00B05A21" w:rsidRDefault="00AA0638" w:rsidP="00AA0638">
      <w:pPr>
        <w:pStyle w:val="BlockLine"/>
        <w:tabs>
          <w:tab w:val="left" w:pos="2655"/>
        </w:tabs>
        <w:rPr>
          <w:rFonts w:ascii="Arial" w:hAnsi="Arial" w:cs="Arial"/>
          <w:szCs w:val="24"/>
        </w:rPr>
      </w:pPr>
      <w:r w:rsidRPr="00B05A21">
        <w:rPr>
          <w:rFonts w:ascii="Arial" w:hAnsi="Arial" w:cs="Arial"/>
          <w:szCs w:val="24"/>
        </w:rPr>
        <w:lastRenderedPageBreak/>
        <w:tab/>
      </w:r>
    </w:p>
    <w:p w:rsidR="003714FA" w:rsidRPr="00B05A21" w:rsidRDefault="003714FA" w:rsidP="003714FA">
      <w:pPr>
        <w:pStyle w:val="Heading3"/>
        <w:spacing w:after="120"/>
        <w:jc w:val="left"/>
        <w:rPr>
          <w:rFonts w:cs="Arial"/>
          <w:bCs/>
          <w:sz w:val="24"/>
          <w:szCs w:val="24"/>
        </w:rPr>
      </w:pPr>
      <w:bookmarkStart w:id="301" w:name="_Toc12886040"/>
      <w:r w:rsidRPr="00B05A21">
        <w:rPr>
          <w:rFonts w:cs="Arial"/>
          <w:bCs/>
          <w:sz w:val="24"/>
          <w:szCs w:val="24"/>
        </w:rPr>
        <w:t>2.C4.6   Personal communications device (PCD)</w:t>
      </w:r>
      <w:bookmarkEnd w:id="301"/>
    </w:p>
    <w:p w:rsidR="003714FA" w:rsidRPr="00B05A21" w:rsidRDefault="003714FA" w:rsidP="00AA0638">
      <w:pPr>
        <w:pStyle w:val="BlockText0"/>
        <w:rPr>
          <w:rFonts w:ascii="Arial" w:hAnsi="Arial" w:cs="Arial"/>
          <w:szCs w:val="24"/>
        </w:rPr>
      </w:pPr>
      <w:r w:rsidRPr="00B05A21">
        <w:rPr>
          <w:rFonts w:ascii="Arial" w:hAnsi="Arial" w:cs="Arial"/>
          <w:szCs w:val="24"/>
        </w:rPr>
        <w:t>The use of LPA contracts issued by DGS to obtain PCDs and associated service plans should be considered first.  PCDs include but are not limited to:</w:t>
      </w:r>
    </w:p>
    <w:p w:rsidR="003714FA" w:rsidRPr="00B05A21" w:rsidRDefault="003714FA" w:rsidP="00AA0638">
      <w:pPr>
        <w:pStyle w:val="content"/>
        <w:numPr>
          <w:ilvl w:val="0"/>
          <w:numId w:val="4"/>
        </w:numPr>
        <w:tabs>
          <w:tab w:val="clear" w:pos="720"/>
          <w:tab w:val="num" w:pos="312"/>
        </w:tabs>
        <w:spacing w:before="0" w:beforeAutospacing="0" w:after="0" w:afterAutospacing="0"/>
        <w:ind w:left="312" w:hanging="312"/>
        <w:rPr>
          <w:sz w:val="24"/>
          <w:szCs w:val="24"/>
        </w:rPr>
      </w:pPr>
      <w:r w:rsidRPr="00B05A21">
        <w:rPr>
          <w:sz w:val="24"/>
          <w:szCs w:val="24"/>
        </w:rPr>
        <w:t>Cellular phones</w:t>
      </w:r>
    </w:p>
    <w:p w:rsidR="003714FA" w:rsidRPr="00B05A21" w:rsidRDefault="003714FA" w:rsidP="00AA0638">
      <w:pPr>
        <w:pStyle w:val="content"/>
        <w:numPr>
          <w:ilvl w:val="0"/>
          <w:numId w:val="4"/>
        </w:numPr>
        <w:tabs>
          <w:tab w:val="clear" w:pos="720"/>
          <w:tab w:val="num" w:pos="312"/>
        </w:tabs>
        <w:spacing w:before="0" w:beforeAutospacing="0" w:after="0" w:afterAutospacing="0"/>
        <w:ind w:left="312" w:hanging="312"/>
        <w:rPr>
          <w:sz w:val="24"/>
          <w:szCs w:val="24"/>
        </w:rPr>
      </w:pPr>
      <w:r w:rsidRPr="00B05A21">
        <w:rPr>
          <w:sz w:val="24"/>
          <w:szCs w:val="24"/>
        </w:rPr>
        <w:t>Pagers</w:t>
      </w:r>
    </w:p>
    <w:p w:rsidR="003714FA" w:rsidRPr="00B05A21" w:rsidRDefault="003714FA" w:rsidP="00AA0638">
      <w:pPr>
        <w:pStyle w:val="content"/>
        <w:numPr>
          <w:ilvl w:val="0"/>
          <w:numId w:val="4"/>
        </w:numPr>
        <w:tabs>
          <w:tab w:val="clear" w:pos="720"/>
          <w:tab w:val="num" w:pos="312"/>
        </w:tabs>
        <w:spacing w:before="0" w:beforeAutospacing="0" w:after="0" w:afterAutospacing="0"/>
        <w:ind w:left="312" w:hanging="312"/>
        <w:rPr>
          <w:sz w:val="24"/>
          <w:szCs w:val="24"/>
        </w:rPr>
      </w:pPr>
      <w:r w:rsidRPr="00B05A21">
        <w:rPr>
          <w:sz w:val="24"/>
          <w:szCs w:val="24"/>
        </w:rPr>
        <w:t>Personal Digital Assistants (PDA)</w:t>
      </w:r>
    </w:p>
    <w:p w:rsidR="003714FA" w:rsidRPr="00B05A21" w:rsidRDefault="003714FA" w:rsidP="00AA0638">
      <w:pPr>
        <w:pStyle w:val="BlockText0"/>
        <w:rPr>
          <w:rFonts w:ascii="Arial" w:hAnsi="Arial" w:cs="Arial"/>
          <w:szCs w:val="24"/>
        </w:rPr>
      </w:pPr>
      <w:r w:rsidRPr="00B05A21">
        <w:rPr>
          <w:rFonts w:ascii="Arial" w:hAnsi="Arial" w:cs="Arial"/>
          <w:szCs w:val="24"/>
        </w:rPr>
        <w:t>Related items or configurations that permit remote communication and/or messaging.</w:t>
      </w:r>
    </w:p>
    <w:p w:rsidR="00AA0638" w:rsidRPr="00B05A21" w:rsidRDefault="00AA0638" w:rsidP="00AA0638">
      <w:pPr>
        <w:pStyle w:val="BlockLine"/>
        <w:tabs>
          <w:tab w:val="left" w:pos="2655"/>
        </w:tabs>
        <w:rPr>
          <w:rFonts w:ascii="Arial" w:hAnsi="Arial" w:cs="Arial"/>
          <w:szCs w:val="24"/>
        </w:rPr>
      </w:pPr>
      <w:r w:rsidRPr="00B05A21">
        <w:rPr>
          <w:rFonts w:ascii="Arial" w:hAnsi="Arial" w:cs="Arial"/>
          <w:szCs w:val="24"/>
        </w:rPr>
        <w:tab/>
      </w:r>
    </w:p>
    <w:p w:rsidR="00C33EAC" w:rsidRPr="00B05A21" w:rsidRDefault="00C33EAC" w:rsidP="00C33EAC">
      <w:pPr>
        <w:pStyle w:val="Heading3"/>
        <w:spacing w:after="120"/>
        <w:jc w:val="left"/>
        <w:rPr>
          <w:rFonts w:cs="Arial"/>
          <w:bCs/>
          <w:sz w:val="24"/>
          <w:szCs w:val="24"/>
        </w:rPr>
      </w:pPr>
      <w:bookmarkStart w:id="302" w:name="_Toc12886041"/>
      <w:r w:rsidRPr="00B05A21">
        <w:rPr>
          <w:rFonts w:cs="Arial"/>
          <w:bCs/>
          <w:sz w:val="24"/>
          <w:szCs w:val="24"/>
        </w:rPr>
        <w:t>2.C4.7   Desktop and mobile equipment</w:t>
      </w:r>
      <w:bookmarkEnd w:id="302"/>
    </w:p>
    <w:p w:rsidR="00C33EAC" w:rsidRPr="00B05A21" w:rsidRDefault="00C33EAC" w:rsidP="00AA0638">
      <w:pPr>
        <w:pStyle w:val="Heading4"/>
        <w:tabs>
          <w:tab w:val="left" w:pos="935"/>
        </w:tabs>
        <w:spacing w:after="0"/>
        <w:rPr>
          <w:rFonts w:cs="Arial"/>
          <w:b w:val="0"/>
          <w:sz w:val="24"/>
          <w:szCs w:val="24"/>
        </w:rPr>
      </w:pPr>
      <w:r w:rsidRPr="00B05A21">
        <w:rPr>
          <w:rFonts w:cs="Arial"/>
          <w:b w:val="0"/>
          <w:sz w:val="24"/>
          <w:szCs w:val="24"/>
        </w:rPr>
        <w:t>Refer to Section B of this chapter for information on desktop and mobile equipment purchases.</w:t>
      </w:r>
    </w:p>
    <w:p w:rsidR="00C33EAC" w:rsidRPr="00B05A21" w:rsidRDefault="00C33EAC" w:rsidP="0047033E">
      <w:pPr>
        <w:pStyle w:val="BlockText0"/>
        <w:rPr>
          <w:rFonts w:ascii="Arial" w:hAnsi="Arial" w:cs="Arial"/>
          <w:szCs w:val="24"/>
        </w:rPr>
      </w:pPr>
    </w:p>
    <w:p w:rsidR="00AA0638" w:rsidRPr="00B05A21" w:rsidRDefault="00AA0638" w:rsidP="00AA0638">
      <w:pPr>
        <w:pStyle w:val="BlockLine"/>
        <w:tabs>
          <w:tab w:val="left" w:pos="2655"/>
        </w:tabs>
        <w:rPr>
          <w:rFonts w:ascii="Arial" w:hAnsi="Arial" w:cs="Arial"/>
          <w:szCs w:val="24"/>
        </w:rPr>
      </w:pPr>
    </w:p>
    <w:p w:rsidR="00AA0638" w:rsidRPr="003551BF" w:rsidRDefault="00737588" w:rsidP="00C33EAC">
      <w:pPr>
        <w:pStyle w:val="Heading2"/>
        <w:spacing w:after="120"/>
        <w:jc w:val="left"/>
        <w:rPr>
          <w:rFonts w:cs="Arial"/>
          <w:bCs/>
          <w:szCs w:val="32"/>
        </w:rPr>
      </w:pPr>
      <w:bookmarkStart w:id="303" w:name="_1.C3.0___DOF_Approval_of_IT_Activit"/>
      <w:bookmarkEnd w:id="293"/>
      <w:bookmarkEnd w:id="294"/>
      <w:bookmarkEnd w:id="303"/>
      <w:r w:rsidRPr="00B05A21">
        <w:rPr>
          <w:rFonts w:cs="Arial"/>
          <w:color w:val="0000FF"/>
          <w:sz w:val="24"/>
          <w:szCs w:val="24"/>
        </w:rPr>
        <w:br w:type="page"/>
      </w:r>
      <w:bookmarkStart w:id="304" w:name="_1.C3.2__Information_Technology_Proc"/>
      <w:bookmarkStart w:id="305" w:name="_Toc12886042"/>
      <w:bookmarkEnd w:id="304"/>
      <w:r w:rsidR="00AA0638" w:rsidRPr="003551BF">
        <w:rPr>
          <w:rFonts w:cs="Arial"/>
          <w:bCs/>
          <w:szCs w:val="32"/>
        </w:rPr>
        <w:lastRenderedPageBreak/>
        <w:t xml:space="preserve">Topic </w:t>
      </w:r>
      <w:r w:rsidR="006729B5" w:rsidRPr="003551BF">
        <w:rPr>
          <w:rFonts w:cs="Arial"/>
          <w:bCs/>
          <w:szCs w:val="32"/>
        </w:rPr>
        <w:t>5</w:t>
      </w:r>
      <w:r w:rsidR="00AA0638" w:rsidRPr="003551BF">
        <w:rPr>
          <w:rFonts w:cs="Arial"/>
          <w:bCs/>
          <w:szCs w:val="32"/>
        </w:rPr>
        <w:t xml:space="preserve"> – </w:t>
      </w:r>
      <w:r w:rsidR="00A43A39" w:rsidRPr="003551BF">
        <w:rPr>
          <w:rFonts w:cs="Arial"/>
          <w:bCs/>
          <w:szCs w:val="32"/>
        </w:rPr>
        <w:t xml:space="preserve">FSR Requirements for </w:t>
      </w:r>
      <w:r w:rsidR="00AA0638" w:rsidRPr="003551BF">
        <w:rPr>
          <w:rFonts w:cs="Arial"/>
          <w:bCs/>
          <w:szCs w:val="32"/>
        </w:rPr>
        <w:t>Information Technology Procurement Plan</w:t>
      </w:r>
      <w:r w:rsidR="00A43A39" w:rsidRPr="003551BF">
        <w:rPr>
          <w:rFonts w:cs="Arial"/>
          <w:bCs/>
          <w:szCs w:val="32"/>
        </w:rPr>
        <w:t xml:space="preserve"> (ITPP)</w:t>
      </w:r>
      <w:bookmarkEnd w:id="305"/>
    </w:p>
    <w:p w:rsidR="00AA0638" w:rsidRPr="00B05A21" w:rsidRDefault="00AA0638" w:rsidP="00AA0638">
      <w:pPr>
        <w:pStyle w:val="BlockLine"/>
        <w:tabs>
          <w:tab w:val="left" w:pos="2655"/>
        </w:tabs>
        <w:rPr>
          <w:rFonts w:ascii="Arial" w:hAnsi="Arial" w:cs="Arial"/>
          <w:szCs w:val="24"/>
        </w:rPr>
      </w:pPr>
      <w:r w:rsidRPr="00B05A21">
        <w:rPr>
          <w:rFonts w:ascii="Arial" w:hAnsi="Arial" w:cs="Arial"/>
          <w:szCs w:val="24"/>
        </w:rPr>
        <w:tab/>
      </w:r>
    </w:p>
    <w:p w:rsidR="00C33EAC" w:rsidRPr="00B05A21" w:rsidRDefault="00C33EAC" w:rsidP="00C33EAC">
      <w:pPr>
        <w:pStyle w:val="Heading3"/>
        <w:spacing w:after="120"/>
        <w:jc w:val="left"/>
        <w:rPr>
          <w:rFonts w:cs="Arial"/>
          <w:bCs/>
          <w:sz w:val="24"/>
          <w:szCs w:val="24"/>
        </w:rPr>
      </w:pPr>
      <w:bookmarkStart w:id="306" w:name="_Toc12886043"/>
      <w:r w:rsidRPr="00B05A21">
        <w:rPr>
          <w:rFonts w:cs="Arial"/>
          <w:bCs/>
          <w:sz w:val="24"/>
          <w:szCs w:val="24"/>
        </w:rPr>
        <w:t>2.C5.0   Purpose of the FSR/ITPP</w:t>
      </w:r>
      <w:bookmarkEnd w:id="306"/>
    </w:p>
    <w:p w:rsidR="00C33EAC" w:rsidRPr="00B05A21" w:rsidRDefault="00C33EAC" w:rsidP="002233C2">
      <w:pPr>
        <w:pStyle w:val="content"/>
        <w:spacing w:before="0" w:beforeAutospacing="0" w:after="0" w:afterAutospacing="0"/>
        <w:rPr>
          <w:sz w:val="24"/>
          <w:szCs w:val="24"/>
        </w:rPr>
      </w:pPr>
      <w:r w:rsidRPr="00B05A21">
        <w:rPr>
          <w:sz w:val="24"/>
          <w:szCs w:val="24"/>
        </w:rPr>
        <w:t>The FSR/ITPP is the document used to provide information to assess a project’s readiness for procurement.  The FSR/ITPP Sections 1-5 describe the overall strategy necessary to accomplish and manage an IT procurement by formally documenting the proposed approach and how the procurement satisfies State requirements.</w:t>
      </w:r>
    </w:p>
    <w:p w:rsidR="00AA0638" w:rsidRPr="00B05A21" w:rsidRDefault="00AA0638" w:rsidP="00AA0638">
      <w:pPr>
        <w:pStyle w:val="BlockLine"/>
        <w:tabs>
          <w:tab w:val="left" w:pos="2655"/>
        </w:tabs>
        <w:rPr>
          <w:rFonts w:ascii="Arial" w:hAnsi="Arial" w:cs="Arial"/>
          <w:szCs w:val="24"/>
        </w:rPr>
      </w:pPr>
      <w:r w:rsidRPr="00B05A21">
        <w:rPr>
          <w:rFonts w:ascii="Arial" w:hAnsi="Arial" w:cs="Arial"/>
          <w:szCs w:val="24"/>
        </w:rPr>
        <w:tab/>
      </w:r>
    </w:p>
    <w:p w:rsidR="008816CB" w:rsidRPr="00B05A21" w:rsidRDefault="008816CB" w:rsidP="008816CB">
      <w:pPr>
        <w:pStyle w:val="Heading3"/>
        <w:spacing w:after="120"/>
        <w:jc w:val="left"/>
        <w:rPr>
          <w:rFonts w:cs="Arial"/>
          <w:bCs/>
          <w:sz w:val="24"/>
          <w:szCs w:val="24"/>
        </w:rPr>
      </w:pPr>
      <w:bookmarkStart w:id="307" w:name="_Toc12886044"/>
      <w:r w:rsidRPr="00B05A21">
        <w:rPr>
          <w:rFonts w:cs="Arial"/>
          <w:bCs/>
          <w:sz w:val="24"/>
          <w:szCs w:val="24"/>
        </w:rPr>
        <w:t>2.C5.1   Department interface with PD</w:t>
      </w:r>
      <w:bookmarkEnd w:id="307"/>
    </w:p>
    <w:p w:rsidR="008816CB" w:rsidRPr="00B05A21" w:rsidRDefault="008816CB" w:rsidP="00EC3C5A">
      <w:pPr>
        <w:pStyle w:val="BlockText"/>
        <w:rPr>
          <w:rFonts w:ascii="Arial" w:hAnsi="Arial" w:cs="Arial"/>
        </w:rPr>
      </w:pPr>
      <w:r w:rsidRPr="00B05A21">
        <w:rPr>
          <w:rFonts w:ascii="Arial" w:hAnsi="Arial" w:cs="Arial"/>
        </w:rPr>
        <w:t>Departments are advised to involve DGS/PD early in the acquisition process regarding IT procurement strategy. DGS/PD should be consulted when an FSR/ITPP is being created that requires DGS/PD review and approval.</w:t>
      </w:r>
    </w:p>
    <w:p w:rsidR="00AA0638" w:rsidRPr="00B05A21" w:rsidRDefault="00AA0638" w:rsidP="00AA0638">
      <w:pPr>
        <w:pStyle w:val="BlockLine"/>
        <w:tabs>
          <w:tab w:val="left" w:pos="2655"/>
        </w:tabs>
        <w:rPr>
          <w:rFonts w:ascii="Arial" w:hAnsi="Arial" w:cs="Arial"/>
          <w:szCs w:val="24"/>
        </w:rPr>
      </w:pPr>
      <w:r w:rsidRPr="00B05A21">
        <w:rPr>
          <w:rFonts w:ascii="Arial" w:hAnsi="Arial" w:cs="Arial"/>
          <w:szCs w:val="24"/>
        </w:rPr>
        <w:tab/>
      </w:r>
    </w:p>
    <w:p w:rsidR="00D26F42" w:rsidRPr="00B05A21" w:rsidRDefault="00D26F42" w:rsidP="00D26F42">
      <w:pPr>
        <w:pStyle w:val="Heading3"/>
        <w:spacing w:after="120"/>
        <w:jc w:val="left"/>
        <w:rPr>
          <w:rFonts w:cs="Arial"/>
          <w:bCs/>
          <w:sz w:val="24"/>
          <w:szCs w:val="24"/>
        </w:rPr>
      </w:pPr>
      <w:bookmarkStart w:id="308" w:name="_Toc219176481"/>
      <w:bookmarkStart w:id="309" w:name="_Toc245622973"/>
      <w:bookmarkStart w:id="310" w:name="_Toc12886045"/>
      <w:r w:rsidRPr="00B05A21">
        <w:rPr>
          <w:rFonts w:cs="Arial"/>
          <w:bCs/>
          <w:sz w:val="24"/>
          <w:szCs w:val="24"/>
        </w:rPr>
        <w:t>2.C</w:t>
      </w:r>
      <w:bookmarkEnd w:id="308"/>
      <w:bookmarkEnd w:id="309"/>
      <w:r w:rsidRPr="00B05A21">
        <w:rPr>
          <w:rFonts w:cs="Arial"/>
          <w:bCs/>
          <w:sz w:val="24"/>
          <w:szCs w:val="24"/>
        </w:rPr>
        <w:t>5.2</w:t>
      </w:r>
      <w:r w:rsidRPr="00B05A21">
        <w:rPr>
          <w:rFonts w:cs="Arial"/>
          <w:b w:val="0"/>
          <w:bCs/>
          <w:sz w:val="24"/>
          <w:szCs w:val="24"/>
        </w:rPr>
        <w:t xml:space="preserve">   </w:t>
      </w:r>
      <w:r w:rsidRPr="00B05A21">
        <w:rPr>
          <w:rFonts w:cs="Arial"/>
          <w:bCs/>
          <w:sz w:val="24"/>
          <w:szCs w:val="24"/>
        </w:rPr>
        <w:t>Requirements to submit to DGS/PD</w:t>
      </w:r>
      <w:r w:rsidRPr="00B05A21">
        <w:rPr>
          <w:rFonts w:cs="Arial"/>
          <w:b w:val="0"/>
          <w:bCs/>
          <w:sz w:val="24"/>
          <w:szCs w:val="24"/>
        </w:rPr>
        <w:t xml:space="preserve"> </w:t>
      </w:r>
      <w:bookmarkEnd w:id="310"/>
    </w:p>
    <w:p w:rsidR="00D26F42" w:rsidRPr="00B05A21" w:rsidRDefault="00D26F42" w:rsidP="00A43A39">
      <w:pPr>
        <w:pStyle w:val="BlockText"/>
        <w:rPr>
          <w:rFonts w:ascii="Arial" w:hAnsi="Arial" w:cs="Arial"/>
        </w:rPr>
      </w:pPr>
      <w:r w:rsidRPr="00B05A21">
        <w:rPr>
          <w:rFonts w:ascii="Arial" w:hAnsi="Arial" w:cs="Arial"/>
        </w:rPr>
        <w:t xml:space="preserve">For DGS/PD to evaluate and approve a proposed IT procurement strategy, departments may be required to submit a copy of the FSR/ITPP Sections 1-5, to DGS/PD. </w:t>
      </w:r>
    </w:p>
    <w:p w:rsidR="00D26F42" w:rsidRPr="00B05A21" w:rsidRDefault="00D26F42" w:rsidP="00A43A39">
      <w:pPr>
        <w:pStyle w:val="BlockText"/>
        <w:rPr>
          <w:rFonts w:ascii="Arial" w:hAnsi="Arial" w:cs="Arial"/>
        </w:rPr>
      </w:pPr>
    </w:p>
    <w:p w:rsidR="00D26F42" w:rsidRPr="00B05A21" w:rsidRDefault="00D26F42" w:rsidP="00A43A39">
      <w:pPr>
        <w:pStyle w:val="BlockText"/>
        <w:rPr>
          <w:rFonts w:ascii="Arial" w:hAnsi="Arial" w:cs="Arial"/>
        </w:rPr>
      </w:pPr>
      <w:r w:rsidRPr="00B05A21">
        <w:rPr>
          <w:rFonts w:ascii="Arial" w:hAnsi="Arial" w:cs="Arial"/>
        </w:rPr>
        <w:t xml:space="preserve">A copy of the FSR/ITPP Sections 1-5 is not required to be submitted to DGS/PD for review and approval if the estimated dollar value of an IT procurement is within the department’s purchasing authority dollar threshold for the applicable category (e.g. competitive, non-competitive, LPA), except as noted below in the last two bullets. </w:t>
      </w:r>
    </w:p>
    <w:p w:rsidR="00D26F42" w:rsidRPr="00B05A21" w:rsidRDefault="00D26F42" w:rsidP="00A43A39">
      <w:pPr>
        <w:pStyle w:val="BlockText"/>
        <w:rPr>
          <w:rFonts w:ascii="Arial" w:hAnsi="Arial" w:cs="Arial"/>
        </w:rPr>
      </w:pPr>
    </w:p>
    <w:p w:rsidR="00D26F42" w:rsidRPr="00B05A21" w:rsidRDefault="00D26F42" w:rsidP="00A43A39">
      <w:pPr>
        <w:pStyle w:val="BlockText"/>
        <w:rPr>
          <w:rFonts w:ascii="Arial" w:hAnsi="Arial" w:cs="Arial"/>
        </w:rPr>
      </w:pPr>
      <w:r w:rsidRPr="00B05A21">
        <w:rPr>
          <w:rFonts w:ascii="Arial" w:hAnsi="Arial" w:cs="Arial"/>
        </w:rPr>
        <w:t xml:space="preserve">After approval of the FSR/ITPP by CDT and the Department of Finance. departments are required to submit a copy of the FSR/ITPP Sections 1-5 in the following instances: </w:t>
      </w:r>
    </w:p>
    <w:p w:rsidR="00D26F42" w:rsidRPr="00B05A21" w:rsidRDefault="00D26F42" w:rsidP="00A43A39">
      <w:pPr>
        <w:pStyle w:val="BlockText"/>
        <w:rPr>
          <w:rFonts w:ascii="Arial" w:hAnsi="Arial" w:cs="Arial"/>
        </w:rPr>
      </w:pPr>
    </w:p>
    <w:p w:rsidR="00D26F42" w:rsidRPr="00B05A21" w:rsidRDefault="00D26F42" w:rsidP="00A43A39">
      <w:pPr>
        <w:pStyle w:val="BlockText"/>
        <w:numPr>
          <w:ilvl w:val="0"/>
          <w:numId w:val="11"/>
        </w:numPr>
        <w:rPr>
          <w:rFonts w:ascii="Arial" w:hAnsi="Arial" w:cs="Arial"/>
        </w:rPr>
      </w:pPr>
      <w:r w:rsidRPr="00B05A21">
        <w:rPr>
          <w:rFonts w:ascii="Arial" w:hAnsi="Arial" w:cs="Arial"/>
        </w:rPr>
        <w:t>When the estimated dollar value of an IT procurement exceeds the department’s purchasing authority dollar threshold for the applicable category (e.g. competitive, non-competitive, LPA) and the estimated dollar value of the IT procurement is greater than $1,000,000.00.  This includes all LPA procurements for IT goods and services.  For Leveraged Procurement Agreement Exemption Requests (LPAER), a copy of the FSR/ITPP Sections 1-5 approval must be received before the department submits the LPAER to DGS/PD.</w:t>
      </w:r>
    </w:p>
    <w:p w:rsidR="00D26F42" w:rsidRPr="00B05A21" w:rsidRDefault="00D26F42" w:rsidP="00A43A39">
      <w:pPr>
        <w:pStyle w:val="BlockText"/>
        <w:numPr>
          <w:ilvl w:val="0"/>
          <w:numId w:val="11"/>
        </w:numPr>
        <w:rPr>
          <w:rFonts w:ascii="Arial" w:hAnsi="Arial" w:cs="Arial"/>
        </w:rPr>
      </w:pPr>
      <w:r w:rsidRPr="00B05A21">
        <w:rPr>
          <w:rFonts w:ascii="Arial" w:hAnsi="Arial" w:cs="Arial"/>
        </w:rPr>
        <w:t xml:space="preserve">For departments with delegated purchasing authority above $1,000,000.00, a copy of the FSR/ITPP Sections 1-5 is only required to be submitted to DGS/PD when it exceeds the department’s purchasing authority dollar threshold for the applicable category (e.g. competitive, non-competitive, LPA). </w:t>
      </w:r>
    </w:p>
    <w:p w:rsidR="00D26F42" w:rsidRPr="00B05A21" w:rsidRDefault="00D26F42" w:rsidP="00A43A39">
      <w:pPr>
        <w:pStyle w:val="BlockText"/>
        <w:numPr>
          <w:ilvl w:val="0"/>
          <w:numId w:val="11"/>
        </w:numPr>
        <w:rPr>
          <w:rFonts w:ascii="Arial" w:hAnsi="Arial" w:cs="Arial"/>
        </w:rPr>
      </w:pPr>
      <w:r w:rsidRPr="00B05A21">
        <w:rPr>
          <w:rFonts w:ascii="Arial" w:hAnsi="Arial" w:cs="Arial"/>
        </w:rPr>
        <w:t>When the department does not have applicable purchasing authority and the IT procurement exceeds $1,000,000.00.</w:t>
      </w:r>
    </w:p>
    <w:p w:rsidR="00D26F42" w:rsidRPr="00B05A21" w:rsidRDefault="00D26F42" w:rsidP="00A43A39">
      <w:pPr>
        <w:pStyle w:val="BlockText"/>
        <w:numPr>
          <w:ilvl w:val="0"/>
          <w:numId w:val="11"/>
        </w:numPr>
        <w:rPr>
          <w:rFonts w:ascii="Arial" w:hAnsi="Arial" w:cs="Arial"/>
        </w:rPr>
      </w:pPr>
      <w:r w:rsidRPr="00B05A21">
        <w:rPr>
          <w:rFonts w:ascii="Arial" w:hAnsi="Arial" w:cs="Arial"/>
        </w:rPr>
        <w:t>All IT procurements that CDT has assessed the Risk/Criticality as “high,” regardless of the dollar value.</w:t>
      </w:r>
    </w:p>
    <w:p w:rsidR="00D26F42" w:rsidRPr="00B05A21" w:rsidRDefault="00D26F42" w:rsidP="00EC3C5A">
      <w:pPr>
        <w:pStyle w:val="BlockText"/>
        <w:numPr>
          <w:ilvl w:val="0"/>
          <w:numId w:val="11"/>
        </w:numPr>
        <w:rPr>
          <w:rFonts w:ascii="Arial" w:hAnsi="Arial" w:cs="Arial"/>
        </w:rPr>
      </w:pPr>
      <w:r w:rsidRPr="00B05A21">
        <w:rPr>
          <w:rFonts w:ascii="Arial" w:hAnsi="Arial" w:cs="Arial"/>
        </w:rPr>
        <w:lastRenderedPageBreak/>
        <w:t>All competitive IT procurements that will use an RFP, regardless of the dollar value. Per PCC 12104(c), all RFPs for IT goods and services must be reviewed by DGS prior to release to the public.</w:t>
      </w:r>
    </w:p>
    <w:p w:rsidR="0047033E" w:rsidRPr="00B05A21" w:rsidRDefault="0047033E" w:rsidP="0047033E">
      <w:pPr>
        <w:pStyle w:val="BlockLine"/>
        <w:rPr>
          <w:rFonts w:ascii="Arial" w:hAnsi="Arial" w:cs="Arial"/>
          <w:szCs w:val="24"/>
        </w:rPr>
      </w:pPr>
    </w:p>
    <w:p w:rsidR="00C6249B" w:rsidRPr="00B05A21" w:rsidRDefault="00C6249B" w:rsidP="00C6249B">
      <w:pPr>
        <w:pStyle w:val="Heading3"/>
        <w:spacing w:after="120"/>
        <w:jc w:val="left"/>
        <w:rPr>
          <w:rFonts w:cs="Arial"/>
          <w:bCs/>
          <w:sz w:val="24"/>
          <w:szCs w:val="24"/>
        </w:rPr>
      </w:pPr>
      <w:bookmarkStart w:id="311" w:name="_Toc12886046"/>
      <w:r w:rsidRPr="00B05A21">
        <w:rPr>
          <w:rFonts w:cs="Arial"/>
          <w:bCs/>
          <w:sz w:val="24"/>
          <w:szCs w:val="24"/>
        </w:rPr>
        <w:t xml:space="preserve">2.C5.3  Requests for DGS/PD to conduct an IT procurement </w:t>
      </w:r>
      <w:bookmarkEnd w:id="311"/>
    </w:p>
    <w:p w:rsidR="00C6249B" w:rsidRPr="00B05A21" w:rsidRDefault="00C6249B" w:rsidP="004B5BDC">
      <w:pPr>
        <w:pStyle w:val="content"/>
        <w:spacing w:before="0" w:beforeAutospacing="0" w:after="0" w:afterAutospacing="0"/>
        <w:rPr>
          <w:sz w:val="24"/>
          <w:szCs w:val="24"/>
        </w:rPr>
      </w:pPr>
      <w:r w:rsidRPr="00B05A21">
        <w:rPr>
          <w:sz w:val="24"/>
          <w:szCs w:val="24"/>
        </w:rPr>
        <w:t>DGS/PD conducts IT procurements for departments that do not have the applicable purchasing authority or when the IT procurement exceeds the department’s purchasing authority dollar threshold for the applicable category (e.g. competitive, LPA, NCB).  When the estimated dollar value of the IT procurement exceeds $1,000,000.00, the department must provide a copy of the FSR/ITPP Sections 1-5 to DGS/PD for evaluation and approval before the department submits a requisition to DGS/PD to conduct the procurement.</w:t>
      </w:r>
    </w:p>
    <w:p w:rsidR="0047033E" w:rsidRPr="00B05A21" w:rsidRDefault="0047033E" w:rsidP="0047033E">
      <w:pPr>
        <w:pStyle w:val="BlockLine"/>
        <w:tabs>
          <w:tab w:val="left" w:pos="2655"/>
        </w:tabs>
        <w:rPr>
          <w:rFonts w:ascii="Arial" w:hAnsi="Arial" w:cs="Arial"/>
          <w:szCs w:val="24"/>
        </w:rPr>
      </w:pPr>
      <w:r w:rsidRPr="00B05A21">
        <w:rPr>
          <w:rFonts w:ascii="Arial" w:hAnsi="Arial" w:cs="Arial"/>
          <w:szCs w:val="24"/>
        </w:rPr>
        <w:tab/>
      </w:r>
    </w:p>
    <w:p w:rsidR="006F7213" w:rsidRPr="00B05A21" w:rsidRDefault="006F7213" w:rsidP="006F7213">
      <w:pPr>
        <w:pStyle w:val="Heading3"/>
        <w:spacing w:after="120"/>
        <w:jc w:val="left"/>
        <w:rPr>
          <w:rFonts w:cs="Arial"/>
          <w:bCs/>
          <w:sz w:val="24"/>
          <w:szCs w:val="24"/>
        </w:rPr>
      </w:pPr>
      <w:bookmarkStart w:id="312" w:name="_Toc12886047"/>
      <w:r w:rsidRPr="00B05A21">
        <w:rPr>
          <w:rFonts w:cs="Arial"/>
          <w:bCs/>
          <w:sz w:val="24"/>
          <w:szCs w:val="24"/>
        </w:rPr>
        <w:t xml:space="preserve">2.C5.4   FSR/ITPP Approval is required </w:t>
      </w:r>
      <w:bookmarkEnd w:id="312"/>
    </w:p>
    <w:p w:rsidR="006F7213" w:rsidRPr="00B05A21" w:rsidRDefault="006F7213" w:rsidP="004B5BDC">
      <w:pPr>
        <w:pStyle w:val="BlockText"/>
        <w:rPr>
          <w:rFonts w:ascii="Arial" w:hAnsi="Arial" w:cs="Arial"/>
        </w:rPr>
      </w:pPr>
      <w:r w:rsidRPr="00B05A21">
        <w:rPr>
          <w:rFonts w:ascii="Arial" w:hAnsi="Arial" w:cs="Arial"/>
        </w:rPr>
        <w:t>The FSR/ITPP Sections 1-5 must be approved by DGS/PD prior to the creation of any IT procurement documents (solicitation, Request for Offer, etc.).  An IT acquisition cannot commence until the department receives the approval from DGS/PD.  Approval is conveyed via a letter to the department.</w:t>
      </w:r>
    </w:p>
    <w:p w:rsidR="0047033E" w:rsidRPr="00B05A21" w:rsidRDefault="0047033E" w:rsidP="0047033E">
      <w:pPr>
        <w:pStyle w:val="BlockLine"/>
        <w:tabs>
          <w:tab w:val="left" w:pos="2655"/>
        </w:tabs>
        <w:rPr>
          <w:rFonts w:ascii="Arial" w:hAnsi="Arial" w:cs="Arial"/>
          <w:szCs w:val="24"/>
        </w:rPr>
      </w:pPr>
      <w:r w:rsidRPr="00B05A21">
        <w:rPr>
          <w:rFonts w:ascii="Arial" w:hAnsi="Arial" w:cs="Arial"/>
          <w:szCs w:val="24"/>
        </w:rPr>
        <w:tab/>
      </w:r>
    </w:p>
    <w:p w:rsidR="00E33792" w:rsidRPr="00B05A21" w:rsidRDefault="00E33792" w:rsidP="00E33792">
      <w:pPr>
        <w:pStyle w:val="Heading3"/>
        <w:spacing w:after="120"/>
        <w:jc w:val="left"/>
        <w:rPr>
          <w:rFonts w:cs="Arial"/>
          <w:bCs/>
          <w:sz w:val="24"/>
          <w:szCs w:val="24"/>
        </w:rPr>
      </w:pPr>
      <w:bookmarkStart w:id="313" w:name="_Toc12886048"/>
      <w:r w:rsidRPr="00B05A21">
        <w:rPr>
          <w:rFonts w:cs="Arial"/>
          <w:bCs/>
          <w:sz w:val="24"/>
          <w:szCs w:val="24"/>
        </w:rPr>
        <w:t xml:space="preserve">2.C5.5   Where and how to submit </w:t>
      </w:r>
      <w:bookmarkEnd w:id="313"/>
    </w:p>
    <w:p w:rsidR="00E33792" w:rsidRPr="00B05A21" w:rsidRDefault="00E33792" w:rsidP="00A43A39">
      <w:pPr>
        <w:pStyle w:val="BlockText"/>
        <w:rPr>
          <w:rFonts w:ascii="Arial" w:hAnsi="Arial" w:cs="Arial"/>
        </w:rPr>
      </w:pPr>
      <w:r w:rsidRPr="00B05A21">
        <w:rPr>
          <w:rFonts w:ascii="Arial" w:hAnsi="Arial" w:cs="Arial"/>
        </w:rPr>
        <w:t xml:space="preserve">A copy of the FSR/ITPP Sections 1-5 must be submitted electronically to the following email address:  </w:t>
      </w:r>
      <w:hyperlink r:id="rId37" w:history="1">
        <w:r w:rsidR="004E5E35" w:rsidRPr="00BF6912">
          <w:rPr>
            <w:rStyle w:val="Hyperlink"/>
            <w:rFonts w:ascii="Arial" w:hAnsi="Arial" w:cs="Arial"/>
          </w:rPr>
          <w:t>TABFSRs@dgs.ca.gov</w:t>
        </w:r>
      </w:hyperlink>
      <w:r w:rsidRPr="00B05A21">
        <w:rPr>
          <w:rFonts w:ascii="Arial" w:hAnsi="Arial" w:cs="Arial"/>
        </w:rPr>
        <w:t>.</w:t>
      </w:r>
    </w:p>
    <w:p w:rsidR="00E33792" w:rsidRPr="00B05A21" w:rsidRDefault="00E33792" w:rsidP="00A43A39">
      <w:pPr>
        <w:pStyle w:val="BlockText"/>
        <w:rPr>
          <w:rFonts w:ascii="Arial" w:hAnsi="Arial" w:cs="Arial"/>
        </w:rPr>
      </w:pPr>
    </w:p>
    <w:p w:rsidR="00E33792" w:rsidRPr="00B05A21" w:rsidRDefault="00E33792" w:rsidP="00114565">
      <w:pPr>
        <w:pStyle w:val="BlockText"/>
        <w:rPr>
          <w:rFonts w:ascii="Arial" w:hAnsi="Arial" w:cs="Arial"/>
        </w:rPr>
      </w:pPr>
      <w:r w:rsidRPr="00B05A21">
        <w:rPr>
          <w:rFonts w:ascii="Arial" w:hAnsi="Arial" w:cs="Arial"/>
        </w:rPr>
        <w:t xml:space="preserve">It must be accompanied by a cover letter and associated documentation that authorizes the IT procurement (e.g., </w:t>
      </w:r>
      <w:r w:rsidRPr="00B05A21">
        <w:rPr>
          <w:rFonts w:ascii="Arial" w:hAnsi="Arial" w:cs="Arial"/>
          <w:bCs/>
        </w:rPr>
        <w:t xml:space="preserve">CDT’s </w:t>
      </w:r>
      <w:r w:rsidRPr="00B05A21">
        <w:rPr>
          <w:rFonts w:ascii="Arial" w:hAnsi="Arial" w:cs="Arial"/>
        </w:rPr>
        <w:t>approval letter, FSR, SPR).  Authorizing documentation must be submitted to DGS/PD regardless of whether the project is reportable to CDT.</w:t>
      </w:r>
    </w:p>
    <w:p w:rsidR="0047033E" w:rsidRPr="00B05A21" w:rsidRDefault="0047033E" w:rsidP="0047033E">
      <w:pPr>
        <w:pStyle w:val="BlockLine"/>
        <w:tabs>
          <w:tab w:val="left" w:pos="2655"/>
        </w:tabs>
        <w:rPr>
          <w:rFonts w:ascii="Arial" w:hAnsi="Arial" w:cs="Arial"/>
          <w:szCs w:val="24"/>
        </w:rPr>
      </w:pPr>
      <w:r w:rsidRPr="00B05A21">
        <w:rPr>
          <w:rFonts w:ascii="Arial" w:hAnsi="Arial" w:cs="Arial"/>
          <w:szCs w:val="24"/>
        </w:rPr>
        <w:tab/>
      </w:r>
    </w:p>
    <w:p w:rsidR="002A07E4" w:rsidRPr="00B05A21" w:rsidRDefault="002A07E4" w:rsidP="002A07E4">
      <w:pPr>
        <w:pStyle w:val="Heading3"/>
        <w:spacing w:after="120"/>
        <w:jc w:val="left"/>
        <w:rPr>
          <w:rFonts w:cs="Arial"/>
          <w:bCs/>
          <w:sz w:val="24"/>
          <w:szCs w:val="24"/>
        </w:rPr>
      </w:pPr>
      <w:bookmarkStart w:id="314" w:name="_Toc12886049"/>
      <w:r w:rsidRPr="00B05A21">
        <w:rPr>
          <w:rFonts w:cs="Arial"/>
          <w:bCs/>
          <w:sz w:val="24"/>
          <w:szCs w:val="24"/>
        </w:rPr>
        <w:t xml:space="preserve">2.C5.6   Cover letter </w:t>
      </w:r>
      <w:bookmarkEnd w:id="314"/>
    </w:p>
    <w:p w:rsidR="002A07E4" w:rsidRPr="00B05A21" w:rsidRDefault="002A07E4" w:rsidP="0047033E">
      <w:pPr>
        <w:pStyle w:val="BlockText"/>
        <w:rPr>
          <w:rFonts w:ascii="Arial" w:hAnsi="Arial" w:cs="Arial"/>
        </w:rPr>
      </w:pPr>
      <w:r w:rsidRPr="00B05A21">
        <w:rPr>
          <w:rFonts w:ascii="Arial" w:hAnsi="Arial" w:cs="Arial"/>
        </w:rPr>
        <w:t>The FSR/ITPP Sections 1-5</w:t>
      </w:r>
      <w:r w:rsidRPr="00B05A21" w:rsidDel="00B968FB">
        <w:rPr>
          <w:rFonts w:ascii="Arial" w:hAnsi="Arial" w:cs="Arial"/>
        </w:rPr>
        <w:t xml:space="preserve"> </w:t>
      </w:r>
      <w:r w:rsidRPr="00B05A21">
        <w:rPr>
          <w:rFonts w:ascii="Arial" w:hAnsi="Arial" w:cs="Arial"/>
        </w:rPr>
        <w:t>cover letter is to identify all accompanying documentation.  The cover should also include a statement regarding the anticipated sensitivity of solicitation requirements.  Sensitivity pertains to:</w:t>
      </w:r>
    </w:p>
    <w:p w:rsidR="002A07E4" w:rsidRPr="00B05A21" w:rsidRDefault="002A07E4" w:rsidP="0047033E">
      <w:pPr>
        <w:pStyle w:val="content"/>
        <w:numPr>
          <w:ilvl w:val="0"/>
          <w:numId w:val="4"/>
        </w:numPr>
        <w:tabs>
          <w:tab w:val="clear" w:pos="720"/>
          <w:tab w:val="num" w:pos="312"/>
        </w:tabs>
        <w:spacing w:before="0" w:beforeAutospacing="0" w:after="0" w:afterAutospacing="0"/>
        <w:ind w:left="312" w:hanging="312"/>
        <w:rPr>
          <w:color w:val="auto"/>
          <w:sz w:val="24"/>
          <w:szCs w:val="24"/>
        </w:rPr>
      </w:pPr>
      <w:r w:rsidRPr="00B05A21">
        <w:rPr>
          <w:color w:val="auto"/>
          <w:sz w:val="24"/>
          <w:szCs w:val="24"/>
        </w:rPr>
        <w:t xml:space="preserve">Items that if disclosed might impact security or </w:t>
      </w:r>
    </w:p>
    <w:p w:rsidR="002A07E4" w:rsidRPr="00B05A21" w:rsidRDefault="002A07E4" w:rsidP="0047033E">
      <w:pPr>
        <w:pStyle w:val="content"/>
        <w:numPr>
          <w:ilvl w:val="0"/>
          <w:numId w:val="4"/>
        </w:numPr>
        <w:tabs>
          <w:tab w:val="num" w:pos="312"/>
        </w:tabs>
        <w:spacing w:before="0" w:beforeAutospacing="0" w:after="0" w:afterAutospacing="0"/>
        <w:ind w:left="312" w:hanging="312"/>
        <w:rPr>
          <w:color w:val="auto"/>
          <w:sz w:val="24"/>
          <w:szCs w:val="24"/>
        </w:rPr>
      </w:pPr>
      <w:r w:rsidRPr="00B05A21">
        <w:rPr>
          <w:sz w:val="24"/>
          <w:szCs w:val="24"/>
        </w:rPr>
        <w:t>Items characterized as having a confidential nature</w:t>
      </w:r>
    </w:p>
    <w:p w:rsidR="0047033E" w:rsidRPr="00B05A21" w:rsidRDefault="0047033E" w:rsidP="0047033E">
      <w:pPr>
        <w:pStyle w:val="BlockLine"/>
        <w:tabs>
          <w:tab w:val="left" w:pos="2655"/>
        </w:tabs>
        <w:rPr>
          <w:rFonts w:ascii="Arial" w:hAnsi="Arial" w:cs="Arial"/>
          <w:szCs w:val="24"/>
        </w:rPr>
      </w:pPr>
      <w:r w:rsidRPr="00B05A21">
        <w:rPr>
          <w:rFonts w:ascii="Arial" w:hAnsi="Arial" w:cs="Arial"/>
          <w:szCs w:val="24"/>
        </w:rPr>
        <w:tab/>
      </w:r>
    </w:p>
    <w:p w:rsidR="0039707C" w:rsidRPr="00B05A21" w:rsidRDefault="0039707C" w:rsidP="0039707C">
      <w:pPr>
        <w:pStyle w:val="Heading3"/>
        <w:spacing w:after="120"/>
        <w:jc w:val="left"/>
        <w:rPr>
          <w:rFonts w:cs="Arial"/>
          <w:bCs/>
          <w:sz w:val="24"/>
          <w:szCs w:val="24"/>
        </w:rPr>
      </w:pPr>
      <w:bookmarkStart w:id="315" w:name="_Toc12886050"/>
      <w:r w:rsidRPr="00B05A21">
        <w:rPr>
          <w:rFonts w:cs="Arial"/>
          <w:bCs/>
          <w:sz w:val="24"/>
          <w:szCs w:val="24"/>
        </w:rPr>
        <w:t xml:space="preserve">2.C5.7   FSR/ITPP Preparation Instructions </w:t>
      </w:r>
      <w:bookmarkEnd w:id="315"/>
    </w:p>
    <w:p w:rsidR="0039707C" w:rsidRPr="00B05A21" w:rsidRDefault="0039707C" w:rsidP="00EC3C5A">
      <w:pPr>
        <w:pStyle w:val="BlockText"/>
        <w:rPr>
          <w:rFonts w:ascii="Arial" w:hAnsi="Arial" w:cs="Arial"/>
        </w:rPr>
      </w:pPr>
      <w:r w:rsidRPr="00B05A21">
        <w:rPr>
          <w:rFonts w:ascii="Arial" w:hAnsi="Arial" w:cs="Arial"/>
        </w:rPr>
        <w:t xml:space="preserve">The FSR/ITPP instructions are located in the State Information Management Manual - </w:t>
      </w:r>
      <w:hyperlink r:id="rId38" w:history="1">
        <w:r w:rsidRPr="00B05A21">
          <w:rPr>
            <w:rStyle w:val="Hyperlink"/>
            <w:rFonts w:ascii="Arial" w:hAnsi="Arial" w:cs="Arial"/>
          </w:rPr>
          <w:t>SIMM</w:t>
        </w:r>
      </w:hyperlink>
      <w:r w:rsidRPr="00B05A21">
        <w:rPr>
          <w:rFonts w:ascii="Arial" w:hAnsi="Arial" w:cs="Arial"/>
        </w:rPr>
        <w:t xml:space="preserve">. </w:t>
      </w:r>
    </w:p>
    <w:p w:rsidR="0039707C" w:rsidRPr="00B05A21" w:rsidRDefault="0039707C" w:rsidP="00EC3C5A">
      <w:pPr>
        <w:pStyle w:val="BlockText"/>
        <w:rPr>
          <w:rFonts w:ascii="Arial" w:hAnsi="Arial" w:cs="Arial"/>
        </w:rPr>
      </w:pPr>
    </w:p>
    <w:p w:rsidR="0047033E" w:rsidRPr="00B05A21" w:rsidRDefault="0047033E" w:rsidP="0047033E">
      <w:pPr>
        <w:pStyle w:val="BlockLine"/>
        <w:tabs>
          <w:tab w:val="left" w:pos="2655"/>
        </w:tabs>
        <w:rPr>
          <w:rFonts w:ascii="Arial" w:hAnsi="Arial" w:cs="Arial"/>
          <w:szCs w:val="24"/>
        </w:rPr>
      </w:pPr>
      <w:bookmarkStart w:id="316" w:name="_GoBack"/>
      <w:bookmarkEnd w:id="316"/>
      <w:r w:rsidRPr="00B05A21">
        <w:rPr>
          <w:rFonts w:ascii="Arial" w:hAnsi="Arial" w:cs="Arial"/>
          <w:szCs w:val="24"/>
        </w:rPr>
        <w:tab/>
      </w:r>
    </w:p>
    <w:p w:rsidR="00662C46" w:rsidRPr="003551BF" w:rsidRDefault="00D161AA" w:rsidP="00431936">
      <w:pPr>
        <w:pStyle w:val="Heading2"/>
        <w:spacing w:after="120"/>
        <w:jc w:val="left"/>
        <w:rPr>
          <w:rFonts w:cs="Arial"/>
          <w:bCs/>
          <w:szCs w:val="32"/>
        </w:rPr>
      </w:pPr>
      <w:bookmarkStart w:id="317" w:name="_1.C3.3__Information_Technology_Proc"/>
      <w:bookmarkStart w:id="318" w:name="_1.C3.4_DGS/TD_Contracts"/>
      <w:bookmarkStart w:id="319" w:name="_1.C3.5_Personal_Communications_Devi"/>
      <w:bookmarkStart w:id="320" w:name="_1.C3.5_Desktop_and_Mobile_Equipment"/>
      <w:bookmarkStart w:id="321" w:name="_Topic_4_-_Information_Technology_Pr"/>
      <w:bookmarkEnd w:id="317"/>
      <w:bookmarkEnd w:id="318"/>
      <w:bookmarkEnd w:id="319"/>
      <w:bookmarkEnd w:id="320"/>
      <w:bookmarkEnd w:id="321"/>
      <w:r w:rsidRPr="00B05A21">
        <w:rPr>
          <w:rFonts w:cs="Arial"/>
          <w:sz w:val="24"/>
          <w:szCs w:val="24"/>
        </w:rPr>
        <w:br w:type="page"/>
      </w:r>
      <w:bookmarkStart w:id="322" w:name="_Toc12886051"/>
      <w:r w:rsidR="00662C46" w:rsidRPr="003551BF">
        <w:rPr>
          <w:rFonts w:cs="Arial"/>
          <w:bCs/>
          <w:szCs w:val="32"/>
        </w:rPr>
        <w:lastRenderedPageBreak/>
        <w:t xml:space="preserve">Topic </w:t>
      </w:r>
      <w:r w:rsidR="006729B5" w:rsidRPr="003551BF">
        <w:rPr>
          <w:rFonts w:cs="Arial"/>
          <w:bCs/>
          <w:szCs w:val="32"/>
        </w:rPr>
        <w:t>6</w:t>
      </w:r>
      <w:r w:rsidR="00662C46" w:rsidRPr="003551BF">
        <w:rPr>
          <w:rFonts w:cs="Arial"/>
          <w:bCs/>
          <w:szCs w:val="32"/>
        </w:rPr>
        <w:t xml:space="preserve"> – Negotiation Process Guidelines and Procedure</w:t>
      </w:r>
      <w:r w:rsidR="00E82276" w:rsidRPr="003551BF">
        <w:rPr>
          <w:rFonts w:cs="Arial"/>
          <w:bCs/>
          <w:szCs w:val="32"/>
        </w:rPr>
        <w:t>s Under Public Contract Code 6611</w:t>
      </w:r>
      <w:bookmarkEnd w:id="322"/>
    </w:p>
    <w:p w:rsidR="00E82276" w:rsidRPr="00B05A21" w:rsidRDefault="00E82276" w:rsidP="00E82276">
      <w:pPr>
        <w:pStyle w:val="BlockLine"/>
        <w:tabs>
          <w:tab w:val="left" w:pos="2655"/>
        </w:tabs>
        <w:rPr>
          <w:rFonts w:ascii="Arial" w:hAnsi="Arial" w:cs="Arial"/>
          <w:szCs w:val="24"/>
        </w:rPr>
      </w:pPr>
      <w:r w:rsidRPr="00B05A21">
        <w:rPr>
          <w:rFonts w:ascii="Arial" w:hAnsi="Arial" w:cs="Arial"/>
          <w:szCs w:val="24"/>
        </w:rPr>
        <w:tab/>
      </w:r>
    </w:p>
    <w:p w:rsidR="00431936" w:rsidRPr="00B05A21" w:rsidRDefault="00431936" w:rsidP="00431936">
      <w:pPr>
        <w:pStyle w:val="Heading3"/>
        <w:spacing w:after="120"/>
        <w:jc w:val="left"/>
        <w:rPr>
          <w:rFonts w:cs="Arial"/>
          <w:sz w:val="24"/>
          <w:szCs w:val="24"/>
        </w:rPr>
      </w:pPr>
      <w:bookmarkStart w:id="323" w:name="_Toc12886052"/>
      <w:r w:rsidRPr="00B05A21">
        <w:rPr>
          <w:rFonts w:cs="Arial"/>
          <w:sz w:val="24"/>
          <w:szCs w:val="24"/>
        </w:rPr>
        <w:t xml:space="preserve">2.C6.0   </w:t>
      </w:r>
      <w:r w:rsidRPr="00B05A21">
        <w:rPr>
          <w:rFonts w:cs="Arial"/>
          <w:bCs/>
          <w:sz w:val="24"/>
          <w:szCs w:val="24"/>
        </w:rPr>
        <w:t xml:space="preserve">Authority over negotiations </w:t>
      </w:r>
      <w:bookmarkEnd w:id="323"/>
    </w:p>
    <w:p w:rsidR="00431936" w:rsidRPr="00B05A21" w:rsidRDefault="00431936" w:rsidP="00F56644">
      <w:pPr>
        <w:rPr>
          <w:rFonts w:ascii="Arial" w:hAnsi="Arial" w:cs="Arial"/>
        </w:rPr>
      </w:pPr>
      <w:r w:rsidRPr="00B05A21">
        <w:rPr>
          <w:rFonts w:ascii="Arial" w:hAnsi="Arial" w:cs="Arial"/>
        </w:rPr>
        <w:t xml:space="preserve">Public Contract Code Section 6611 (PCC 6611) sections (a) and (b) set forth the conditions under which DGS may use negotiations for new and existing contracts and/or procurements.  PCC 6611(e) also allows CDT to use the negotiation procedures and guidelines developed by DGS for procuring information technology and telecommunications goods and services on behalf of state departments. DGS has provided a </w:t>
      </w:r>
      <w:r w:rsidRPr="008431A9">
        <w:rPr>
          <w:rFonts w:ascii="Arial" w:hAnsi="Arial" w:cs="Arial"/>
        </w:rPr>
        <w:t>Negotiation Process Guide</w:t>
      </w:r>
      <w:r w:rsidRPr="00B05A21">
        <w:rPr>
          <w:rFonts w:ascii="Arial" w:hAnsi="Arial" w:cs="Arial"/>
          <w:i/>
        </w:rPr>
        <w:t xml:space="preserve"> </w:t>
      </w:r>
      <w:r w:rsidRPr="00B05A21">
        <w:rPr>
          <w:rFonts w:ascii="Arial" w:hAnsi="Arial" w:cs="Arial"/>
        </w:rPr>
        <w:t>for IT goods &amp; services</w:t>
      </w:r>
      <w:r w:rsidRPr="00B05A21">
        <w:rPr>
          <w:rFonts w:ascii="Arial" w:hAnsi="Arial" w:cs="Arial"/>
          <w:i/>
        </w:rPr>
        <w:t xml:space="preserve"> </w:t>
      </w:r>
      <w:r w:rsidRPr="00B05A21">
        <w:rPr>
          <w:rFonts w:ascii="Arial" w:hAnsi="Arial" w:cs="Arial"/>
        </w:rPr>
        <w:t xml:space="preserve">under PCC 6611. </w:t>
      </w:r>
      <w:r w:rsidRPr="00B05A21">
        <w:rPr>
          <w:rFonts w:ascii="Arial" w:hAnsi="Arial" w:cs="Arial"/>
          <w:bCs/>
        </w:rPr>
        <w:t>For procedures and guidelines related to non-IT services, see SCM Volume 1; for non-IT goods, see SCM Volume 2.</w:t>
      </w:r>
    </w:p>
    <w:p w:rsidR="00431936" w:rsidRPr="00B05A21" w:rsidRDefault="00431936" w:rsidP="00F56644">
      <w:pPr>
        <w:rPr>
          <w:rFonts w:ascii="Arial" w:hAnsi="Arial" w:cs="Arial"/>
        </w:rPr>
      </w:pPr>
    </w:p>
    <w:p w:rsidR="00431936" w:rsidRPr="00B05A21" w:rsidRDefault="00431936" w:rsidP="00F56644">
      <w:pPr>
        <w:rPr>
          <w:rFonts w:ascii="Arial" w:hAnsi="Arial" w:cs="Arial"/>
        </w:rPr>
      </w:pPr>
      <w:r w:rsidRPr="00B05A21">
        <w:rPr>
          <w:rFonts w:ascii="Arial" w:hAnsi="Arial" w:cs="Arial"/>
        </w:rPr>
        <w:t>When an appropriate basis exists, DGS or the CDT may authorize negotiations in any of the following circumstances:</w:t>
      </w:r>
    </w:p>
    <w:p w:rsidR="00431936" w:rsidRPr="00B05A21" w:rsidRDefault="00431936" w:rsidP="00CF7D13">
      <w:pPr>
        <w:numPr>
          <w:ilvl w:val="0"/>
          <w:numId w:val="24"/>
        </w:numPr>
        <w:rPr>
          <w:rFonts w:ascii="Arial" w:hAnsi="Arial" w:cs="Arial"/>
        </w:rPr>
      </w:pPr>
      <w:r w:rsidRPr="00B05A21">
        <w:rPr>
          <w:rFonts w:ascii="Arial" w:hAnsi="Arial" w:cs="Arial"/>
        </w:rPr>
        <w:t>At the outset of a procurement,</w:t>
      </w:r>
    </w:p>
    <w:p w:rsidR="00431936" w:rsidRPr="00B05A21" w:rsidRDefault="00431936" w:rsidP="00CF7D13">
      <w:pPr>
        <w:numPr>
          <w:ilvl w:val="0"/>
          <w:numId w:val="24"/>
        </w:numPr>
        <w:rPr>
          <w:rFonts w:ascii="Arial" w:hAnsi="Arial" w:cs="Arial"/>
        </w:rPr>
      </w:pPr>
      <w:r w:rsidRPr="00B05A21">
        <w:rPr>
          <w:rFonts w:ascii="Arial" w:hAnsi="Arial" w:cs="Arial"/>
        </w:rPr>
        <w:t xml:space="preserve">During a competitive procurement, or </w:t>
      </w:r>
    </w:p>
    <w:p w:rsidR="00431936" w:rsidRPr="00B05A21" w:rsidRDefault="00431936" w:rsidP="00CF7D13">
      <w:pPr>
        <w:numPr>
          <w:ilvl w:val="0"/>
          <w:numId w:val="24"/>
        </w:numPr>
        <w:rPr>
          <w:rFonts w:ascii="Arial" w:hAnsi="Arial" w:cs="Arial"/>
        </w:rPr>
      </w:pPr>
      <w:r w:rsidRPr="00B05A21">
        <w:rPr>
          <w:rFonts w:ascii="Arial" w:hAnsi="Arial" w:cs="Arial"/>
        </w:rPr>
        <w:t xml:space="preserve">When no responsive bids are received </w:t>
      </w:r>
    </w:p>
    <w:p w:rsidR="00431936" w:rsidRPr="00B05A21" w:rsidRDefault="00431936" w:rsidP="00F56644">
      <w:pPr>
        <w:rPr>
          <w:rFonts w:ascii="Arial" w:hAnsi="Arial" w:cs="Arial"/>
        </w:rPr>
      </w:pPr>
    </w:p>
    <w:p w:rsidR="00431936" w:rsidRPr="00B05A21" w:rsidRDefault="00431936" w:rsidP="00F56644">
      <w:pPr>
        <w:rPr>
          <w:rFonts w:ascii="Arial" w:hAnsi="Arial" w:cs="Arial"/>
        </w:rPr>
      </w:pPr>
      <w:r w:rsidRPr="00B05A21">
        <w:rPr>
          <w:rFonts w:ascii="Arial" w:hAnsi="Arial" w:cs="Arial"/>
        </w:rPr>
        <w:t>PCC Section 6611(b) authorizes a negotiation process to amend existing contracts when it is in the best interest of the state.</w:t>
      </w:r>
    </w:p>
    <w:p w:rsidR="00431936" w:rsidRPr="00B05A21" w:rsidRDefault="00431936" w:rsidP="00F56644">
      <w:pPr>
        <w:rPr>
          <w:rFonts w:ascii="Arial" w:hAnsi="Arial" w:cs="Arial"/>
        </w:rPr>
      </w:pPr>
    </w:p>
    <w:p w:rsidR="00431936" w:rsidRPr="00B05A21" w:rsidRDefault="00431936" w:rsidP="00F56644">
      <w:pPr>
        <w:rPr>
          <w:rFonts w:ascii="Arial" w:hAnsi="Arial" w:cs="Arial"/>
        </w:rPr>
      </w:pPr>
      <w:r w:rsidRPr="00B05A21">
        <w:rPr>
          <w:rFonts w:ascii="Arial" w:hAnsi="Arial" w:cs="Arial"/>
        </w:rPr>
        <w:t xml:space="preserve">In all circumstances, approval of the Director of DGS or the Director of CDT or their designee is required in advance, and negotiations must be conducted by DGS or the CDT (for technology projects).  The actual negotiations will be conducted in partnership with the procuring agency. </w:t>
      </w:r>
    </w:p>
    <w:p w:rsidR="00431936" w:rsidRPr="00B05A21" w:rsidRDefault="00431936" w:rsidP="00F56644">
      <w:pPr>
        <w:rPr>
          <w:rFonts w:ascii="Arial" w:hAnsi="Arial" w:cs="Arial"/>
        </w:rPr>
      </w:pPr>
    </w:p>
    <w:p w:rsidR="00431936" w:rsidRPr="00B05A21" w:rsidRDefault="00431936" w:rsidP="00F56644">
      <w:pPr>
        <w:pStyle w:val="BlockText0"/>
        <w:rPr>
          <w:rFonts w:ascii="Arial" w:hAnsi="Arial" w:cs="Arial"/>
          <w:szCs w:val="24"/>
        </w:rPr>
      </w:pPr>
      <w:r w:rsidRPr="00B05A21">
        <w:rPr>
          <w:rFonts w:ascii="Arial" w:hAnsi="Arial" w:cs="Arial"/>
          <w:szCs w:val="24"/>
        </w:rPr>
        <w:t>DGS recommends that during the acquisition planning phase, agencies and departments plan accordingly and consider whether a negotiation process is appropriate for a given procurement.  Departments should contact DGS for assistance in determining applicability of PCC Section 6611(a) and developing the framework for the negotiation process.</w:t>
      </w:r>
    </w:p>
    <w:p w:rsidR="00662C46" w:rsidRPr="00B05A21" w:rsidRDefault="00662C46" w:rsidP="00662C46">
      <w:pPr>
        <w:pStyle w:val="BlockLine"/>
        <w:rPr>
          <w:rFonts w:ascii="Arial" w:hAnsi="Arial" w:cs="Arial"/>
          <w:szCs w:val="24"/>
        </w:rPr>
      </w:pPr>
    </w:p>
    <w:p w:rsidR="00511F3C" w:rsidRPr="00B05A21" w:rsidRDefault="00511F3C" w:rsidP="004A34DF">
      <w:pPr>
        <w:pStyle w:val="Heading3"/>
        <w:spacing w:after="120"/>
        <w:jc w:val="left"/>
        <w:rPr>
          <w:rFonts w:cs="Arial"/>
          <w:sz w:val="24"/>
          <w:szCs w:val="24"/>
        </w:rPr>
      </w:pPr>
      <w:bookmarkStart w:id="324" w:name="_Toc12886053"/>
      <w:r w:rsidRPr="00B05A21">
        <w:rPr>
          <w:rFonts w:cs="Arial"/>
          <w:sz w:val="24"/>
          <w:szCs w:val="24"/>
        </w:rPr>
        <w:t xml:space="preserve">2.C6.1   How to make a request to DGS </w:t>
      </w:r>
      <w:bookmarkEnd w:id="324"/>
    </w:p>
    <w:p w:rsidR="00511F3C" w:rsidRPr="00B05A21" w:rsidRDefault="00511F3C" w:rsidP="0087508C">
      <w:pPr>
        <w:rPr>
          <w:rFonts w:ascii="Arial" w:hAnsi="Arial" w:cs="Arial"/>
        </w:rPr>
      </w:pPr>
      <w:r w:rsidRPr="00B05A21">
        <w:rPr>
          <w:rFonts w:ascii="Arial" w:hAnsi="Arial" w:cs="Arial"/>
        </w:rPr>
        <w:t xml:space="preserve">In order to implement negotiations pursuant to PCC Section 6611(a), using this </w:t>
      </w:r>
      <w:hyperlink r:id="rId39" w:history="1">
        <w:r w:rsidRPr="00B05A21">
          <w:rPr>
            <w:rStyle w:val="Hyperlink"/>
            <w:rFonts w:ascii="Arial" w:hAnsi="Arial" w:cs="Arial"/>
          </w:rPr>
          <w:t>template</w:t>
        </w:r>
      </w:hyperlink>
      <w:r w:rsidRPr="00B05A21">
        <w:rPr>
          <w:rFonts w:ascii="Arial" w:hAnsi="Arial" w:cs="Arial"/>
        </w:rPr>
        <w:t xml:space="preserve">, state Agencies and Departments shall submit a written request to DGS containing the following information: </w:t>
      </w:r>
    </w:p>
    <w:p w:rsidR="00511F3C" w:rsidRPr="00B05A21" w:rsidRDefault="00511F3C" w:rsidP="00CF7D13">
      <w:pPr>
        <w:numPr>
          <w:ilvl w:val="0"/>
          <w:numId w:val="19"/>
        </w:numPr>
        <w:rPr>
          <w:rFonts w:ascii="Arial" w:hAnsi="Arial" w:cs="Arial"/>
        </w:rPr>
      </w:pPr>
      <w:r w:rsidRPr="00B05A21">
        <w:rPr>
          <w:rFonts w:ascii="Arial" w:hAnsi="Arial" w:cs="Arial"/>
        </w:rPr>
        <w:t>Description of the procurement including estimated cost and term of the contract</w:t>
      </w:r>
    </w:p>
    <w:p w:rsidR="00511F3C" w:rsidRPr="00B05A21" w:rsidRDefault="00511F3C" w:rsidP="00CF7D13">
      <w:pPr>
        <w:numPr>
          <w:ilvl w:val="0"/>
          <w:numId w:val="19"/>
        </w:numPr>
        <w:rPr>
          <w:rFonts w:ascii="Arial" w:hAnsi="Arial" w:cs="Arial"/>
        </w:rPr>
      </w:pPr>
      <w:r w:rsidRPr="00B05A21">
        <w:rPr>
          <w:rFonts w:ascii="Arial" w:hAnsi="Arial" w:cs="Arial"/>
        </w:rPr>
        <w:t xml:space="preserve">How the procurement meets the state’s needs </w:t>
      </w:r>
    </w:p>
    <w:p w:rsidR="00511F3C" w:rsidRPr="00B05A21" w:rsidRDefault="00511F3C" w:rsidP="00CF7D13">
      <w:pPr>
        <w:numPr>
          <w:ilvl w:val="0"/>
          <w:numId w:val="19"/>
        </w:numPr>
        <w:rPr>
          <w:rFonts w:ascii="Arial" w:hAnsi="Arial" w:cs="Arial"/>
        </w:rPr>
      </w:pPr>
      <w:r w:rsidRPr="00B05A21">
        <w:rPr>
          <w:rFonts w:ascii="Arial" w:hAnsi="Arial" w:cs="Arial"/>
        </w:rPr>
        <w:t xml:space="preserve">Explanation of how the procurement meets one or more of the four conditions listed below under the topic </w:t>
      </w:r>
      <w:r w:rsidRPr="00B05A21">
        <w:rPr>
          <w:rFonts w:ascii="Arial" w:hAnsi="Arial" w:cs="Arial"/>
          <w:i/>
        </w:rPr>
        <w:t>Bases for Negotiations</w:t>
      </w:r>
      <w:r w:rsidRPr="00B05A21">
        <w:rPr>
          <w:rFonts w:ascii="Arial" w:hAnsi="Arial" w:cs="Arial"/>
        </w:rPr>
        <w:t>.</w:t>
      </w:r>
    </w:p>
    <w:p w:rsidR="00511F3C" w:rsidRPr="00B05A21" w:rsidRDefault="00511F3C" w:rsidP="0087508C">
      <w:pPr>
        <w:ind w:left="60"/>
        <w:rPr>
          <w:rFonts w:ascii="Arial" w:hAnsi="Arial" w:cs="Arial"/>
        </w:rPr>
      </w:pPr>
    </w:p>
    <w:p w:rsidR="00511F3C" w:rsidRPr="00B05A21" w:rsidRDefault="00511F3C" w:rsidP="00600704">
      <w:pPr>
        <w:rPr>
          <w:rFonts w:ascii="Arial" w:hAnsi="Arial" w:cs="Arial"/>
        </w:rPr>
      </w:pPr>
      <w:r w:rsidRPr="00B05A21">
        <w:rPr>
          <w:rFonts w:ascii="Arial" w:hAnsi="Arial" w:cs="Arial"/>
        </w:rPr>
        <w:t xml:space="preserve">The request shall be signed by the State Agency Secretary, Department Director, or the Procurement and Contracting Officer and sent to the Deputy Director Procurement Division, DGS. DGS will respond to the requesting department in writing, with a </w:t>
      </w:r>
      <w:r w:rsidRPr="00B05A21">
        <w:rPr>
          <w:rFonts w:ascii="Arial" w:hAnsi="Arial" w:cs="Arial"/>
        </w:rPr>
        <w:lastRenderedPageBreak/>
        <w:t xml:space="preserve">determination regarding the request to use a negotiation process.  If approved, DGS will stipulate any conditions on the use of a negotiation process. </w:t>
      </w:r>
      <w:r w:rsidRPr="00B05A21">
        <w:rPr>
          <w:rFonts w:ascii="Arial" w:hAnsi="Arial" w:cs="Arial"/>
          <w:bCs/>
        </w:rPr>
        <w:t>The CDT may engage in negotiations as specified in PCC 6611(e) without making this request.</w:t>
      </w:r>
    </w:p>
    <w:p w:rsidR="0070619F" w:rsidRPr="00B05A21" w:rsidRDefault="0070619F" w:rsidP="0070619F">
      <w:pPr>
        <w:pStyle w:val="BlockLine"/>
        <w:rPr>
          <w:rFonts w:ascii="Arial" w:hAnsi="Arial" w:cs="Arial"/>
          <w:szCs w:val="24"/>
        </w:rPr>
      </w:pPr>
    </w:p>
    <w:p w:rsidR="004A34DF" w:rsidRPr="00B05A21" w:rsidRDefault="004A34DF" w:rsidP="004A34DF">
      <w:pPr>
        <w:pStyle w:val="Heading3"/>
        <w:spacing w:after="120"/>
        <w:jc w:val="left"/>
        <w:rPr>
          <w:rFonts w:cs="Arial"/>
          <w:sz w:val="24"/>
          <w:szCs w:val="24"/>
        </w:rPr>
      </w:pPr>
      <w:bookmarkStart w:id="325" w:name="_Toc12886054"/>
      <w:r w:rsidRPr="00B05A21">
        <w:rPr>
          <w:rFonts w:cs="Arial"/>
          <w:sz w:val="24"/>
          <w:szCs w:val="24"/>
        </w:rPr>
        <w:t xml:space="preserve">2.C6.2   Bases for negotiations PCC section 6611(a) </w:t>
      </w:r>
      <w:bookmarkEnd w:id="325"/>
    </w:p>
    <w:p w:rsidR="004A34DF" w:rsidRPr="00B05A21" w:rsidRDefault="004A34DF" w:rsidP="00351B61">
      <w:pPr>
        <w:rPr>
          <w:rFonts w:ascii="Arial" w:hAnsi="Arial" w:cs="Arial"/>
        </w:rPr>
      </w:pPr>
      <w:r w:rsidRPr="00B05A21">
        <w:rPr>
          <w:rFonts w:ascii="Arial" w:hAnsi="Arial" w:cs="Arial"/>
        </w:rPr>
        <w:t>DGS and the CDT may initiate negotiations if one or more of the following conditions exist:</w:t>
      </w:r>
    </w:p>
    <w:p w:rsidR="004A34DF" w:rsidRPr="00B05A21" w:rsidRDefault="004A34DF" w:rsidP="00351B61">
      <w:pPr>
        <w:rPr>
          <w:rFonts w:ascii="Arial" w:hAnsi="Arial" w:cs="Arial"/>
        </w:rPr>
      </w:pPr>
    </w:p>
    <w:p w:rsidR="004A34DF" w:rsidRPr="00B05A21" w:rsidRDefault="004A34DF" w:rsidP="004E5E35">
      <w:pPr>
        <w:numPr>
          <w:ilvl w:val="0"/>
          <w:numId w:val="38"/>
        </w:numPr>
        <w:rPr>
          <w:rFonts w:ascii="Arial" w:hAnsi="Arial" w:cs="Arial"/>
        </w:rPr>
      </w:pPr>
      <w:r w:rsidRPr="00B05A21">
        <w:rPr>
          <w:rFonts w:ascii="Arial" w:hAnsi="Arial" w:cs="Arial"/>
        </w:rPr>
        <w:t>The business need or purpose of a procurement or contract can be further defined as a result of a negotiation process (PCC 6611(a)(1)</w:t>
      </w:r>
      <w:r w:rsidR="00A864AB" w:rsidRPr="00B05A21">
        <w:rPr>
          <w:rFonts w:ascii="Arial" w:hAnsi="Arial" w:cs="Arial"/>
        </w:rPr>
        <w:t>); In</w:t>
      </w:r>
      <w:r w:rsidRPr="00B05A21">
        <w:rPr>
          <w:rFonts w:ascii="Arial" w:hAnsi="Arial" w:cs="Arial"/>
        </w:rPr>
        <w:t xml:space="preserve"> general, this may occur when a business solution common in the commercial marketplace needs to be tailored to fit the unique needs of the State.</w:t>
      </w:r>
    </w:p>
    <w:p w:rsidR="004A34DF" w:rsidRPr="00B05A21" w:rsidRDefault="004A34DF" w:rsidP="00351B61">
      <w:pPr>
        <w:autoSpaceDE w:val="0"/>
        <w:autoSpaceDN w:val="0"/>
        <w:adjustRightInd w:val="0"/>
        <w:rPr>
          <w:rFonts w:ascii="Arial" w:hAnsi="Arial" w:cs="Arial"/>
        </w:rPr>
      </w:pPr>
    </w:p>
    <w:p w:rsidR="004A34DF" w:rsidRPr="00B05A21" w:rsidRDefault="004A34DF" w:rsidP="00351B61">
      <w:pPr>
        <w:autoSpaceDE w:val="0"/>
        <w:autoSpaceDN w:val="0"/>
        <w:adjustRightInd w:val="0"/>
        <w:ind w:left="342"/>
        <w:rPr>
          <w:rFonts w:ascii="Arial" w:hAnsi="Arial" w:cs="Arial"/>
        </w:rPr>
      </w:pPr>
      <w:r w:rsidRPr="00B05A21">
        <w:rPr>
          <w:rFonts w:ascii="Arial" w:hAnsi="Arial" w:cs="Arial"/>
          <w:b/>
        </w:rPr>
        <w:t>Example:</w:t>
      </w:r>
      <w:r w:rsidRPr="00B05A21">
        <w:rPr>
          <w:rFonts w:ascii="Arial" w:hAnsi="Arial" w:cs="Arial"/>
        </w:rPr>
        <w:t xml:space="preserve"> Use of temporary and contract labor to meet volatile staffing demands is commonplace in the private sector.  However, due to restrictions on use of personal services contracts for civil service functions, the state often is unable to use these services “as is.”  The state could negotiate with temporary labor contractors to purchase only the services that conform with California law under Government Code (GC) Section</w:t>
      </w:r>
      <w:r w:rsidRPr="00B05A21">
        <w:rPr>
          <w:rFonts w:ascii="Arial" w:hAnsi="Arial" w:cs="Arial"/>
          <w:color w:val="000000"/>
        </w:rPr>
        <w:t xml:space="preserve"> </w:t>
      </w:r>
      <w:r w:rsidRPr="00B05A21">
        <w:rPr>
          <w:rFonts w:ascii="Arial" w:hAnsi="Arial" w:cs="Arial"/>
        </w:rPr>
        <w:t xml:space="preserve">19130. </w:t>
      </w:r>
    </w:p>
    <w:p w:rsidR="004A34DF" w:rsidRPr="00B05A21" w:rsidRDefault="004A34DF" w:rsidP="00351B61">
      <w:pPr>
        <w:autoSpaceDE w:val="0"/>
        <w:autoSpaceDN w:val="0"/>
        <w:adjustRightInd w:val="0"/>
        <w:rPr>
          <w:rFonts w:ascii="Arial" w:hAnsi="Arial" w:cs="Arial"/>
        </w:rPr>
      </w:pPr>
    </w:p>
    <w:p w:rsidR="004A34DF" w:rsidRPr="00B05A21" w:rsidRDefault="004A34DF" w:rsidP="004E5E35">
      <w:pPr>
        <w:numPr>
          <w:ilvl w:val="0"/>
          <w:numId w:val="38"/>
        </w:numPr>
        <w:rPr>
          <w:rFonts w:ascii="Arial" w:hAnsi="Arial" w:cs="Arial"/>
        </w:rPr>
      </w:pPr>
      <w:r w:rsidRPr="00B05A21">
        <w:rPr>
          <w:rFonts w:ascii="Arial" w:hAnsi="Arial" w:cs="Arial"/>
        </w:rPr>
        <w:t>The business need or purpose of a procurement or contract is known, but a negotiation process may identify different types of solutions to fulfill the business need or purpose (PCC 6611(a)(2)); In general this condition can exist with emerging technology where fully developed solutions do not yet exist and require negotiations to ensure the solution meets the state’s needs.</w:t>
      </w:r>
    </w:p>
    <w:p w:rsidR="004A34DF" w:rsidRPr="00B05A21" w:rsidRDefault="004A34DF" w:rsidP="00351B61">
      <w:pPr>
        <w:autoSpaceDE w:val="0"/>
        <w:autoSpaceDN w:val="0"/>
        <w:adjustRightInd w:val="0"/>
        <w:rPr>
          <w:rFonts w:ascii="Arial" w:hAnsi="Arial" w:cs="Arial"/>
        </w:rPr>
      </w:pPr>
    </w:p>
    <w:p w:rsidR="004A34DF" w:rsidRPr="00B05A21" w:rsidRDefault="004A34DF" w:rsidP="00351B61">
      <w:pPr>
        <w:autoSpaceDE w:val="0"/>
        <w:autoSpaceDN w:val="0"/>
        <w:adjustRightInd w:val="0"/>
        <w:ind w:left="342"/>
        <w:rPr>
          <w:rFonts w:ascii="Arial" w:hAnsi="Arial" w:cs="Arial"/>
        </w:rPr>
      </w:pPr>
      <w:r w:rsidRPr="00B05A21">
        <w:rPr>
          <w:rFonts w:ascii="Arial" w:hAnsi="Arial" w:cs="Arial"/>
          <w:b/>
        </w:rPr>
        <w:t>Example:</w:t>
      </w:r>
      <w:r w:rsidRPr="00B05A21">
        <w:rPr>
          <w:rFonts w:ascii="Arial" w:hAnsi="Arial" w:cs="Arial"/>
        </w:rPr>
        <w:t xml:space="preserve"> </w:t>
      </w:r>
      <w:bookmarkStart w:id="326" w:name="OLE_LINK1"/>
      <w:r w:rsidRPr="00B05A21">
        <w:rPr>
          <w:rFonts w:ascii="Arial" w:hAnsi="Arial" w:cs="Arial"/>
        </w:rPr>
        <w:t>The state identifies a need to block unauthorized mobile phone communications at correctional facilities.  While emergent frequency management technology exists, no complete solutions have been delivered to the market.  Through a negotiation process, the state would be able to identify potential solutions prospective contractors may be willing to offer.</w:t>
      </w:r>
      <w:bookmarkEnd w:id="326"/>
    </w:p>
    <w:p w:rsidR="004A34DF" w:rsidRPr="00B05A21" w:rsidRDefault="004A34DF" w:rsidP="00351B61">
      <w:pPr>
        <w:autoSpaceDE w:val="0"/>
        <w:autoSpaceDN w:val="0"/>
        <w:adjustRightInd w:val="0"/>
        <w:rPr>
          <w:rFonts w:ascii="Arial" w:hAnsi="Arial" w:cs="Arial"/>
        </w:rPr>
      </w:pPr>
    </w:p>
    <w:p w:rsidR="004A34DF" w:rsidRPr="00B05A21" w:rsidRDefault="004A34DF" w:rsidP="004E5E35">
      <w:pPr>
        <w:numPr>
          <w:ilvl w:val="0"/>
          <w:numId w:val="38"/>
        </w:numPr>
        <w:rPr>
          <w:rFonts w:ascii="Arial" w:hAnsi="Arial" w:cs="Arial"/>
        </w:rPr>
      </w:pPr>
      <w:r w:rsidRPr="00B05A21">
        <w:rPr>
          <w:rFonts w:ascii="Arial" w:hAnsi="Arial" w:cs="Arial"/>
        </w:rPr>
        <w:t>The complexity of the purpose or need suggests a bidder’s costs to prepare and develop a solicitation response are extremely high (PCC 6611(a)(3)); This condition can exist when the state is acquiring solutions of an extremely large scale and/or scope which requires bidders to perform significant analysis, design, and/or development in order to bid.  It can also occur when past attempts to secure bids have resulted in no compliant bids.</w:t>
      </w:r>
    </w:p>
    <w:p w:rsidR="004A34DF" w:rsidRPr="00B05A21" w:rsidRDefault="004A34DF" w:rsidP="00351B61">
      <w:pPr>
        <w:autoSpaceDE w:val="0"/>
        <w:autoSpaceDN w:val="0"/>
        <w:adjustRightInd w:val="0"/>
        <w:rPr>
          <w:rFonts w:ascii="Arial" w:hAnsi="Arial" w:cs="Arial"/>
        </w:rPr>
      </w:pPr>
    </w:p>
    <w:p w:rsidR="004A34DF" w:rsidRDefault="004A34DF" w:rsidP="0070619F">
      <w:pPr>
        <w:autoSpaceDE w:val="0"/>
        <w:autoSpaceDN w:val="0"/>
        <w:adjustRightInd w:val="0"/>
        <w:ind w:left="342"/>
        <w:rPr>
          <w:rFonts w:ascii="Arial" w:hAnsi="Arial" w:cs="Arial"/>
        </w:rPr>
      </w:pPr>
      <w:r w:rsidRPr="00B05A21">
        <w:rPr>
          <w:rFonts w:ascii="Arial" w:hAnsi="Arial" w:cs="Arial"/>
          <w:b/>
        </w:rPr>
        <w:t>Example:</w:t>
      </w:r>
      <w:r w:rsidRPr="00B05A21">
        <w:rPr>
          <w:rFonts w:ascii="Arial" w:hAnsi="Arial" w:cs="Arial"/>
        </w:rPr>
        <w:t xml:space="preserve"> Acquisition of any complex system of significant scale and scope.  A negotiations process that provided for regular discussion of the state’s needs, refinement of requirements, the creation and evaluation of pilot systems, and bargaining to trade-off costs and benefits could reduce the costs for bidders to submit acceptable bids.</w:t>
      </w:r>
    </w:p>
    <w:p w:rsidR="004A7FB7" w:rsidRPr="00B05A21" w:rsidRDefault="004A7FB7" w:rsidP="0070619F">
      <w:pPr>
        <w:autoSpaceDE w:val="0"/>
        <w:autoSpaceDN w:val="0"/>
        <w:adjustRightInd w:val="0"/>
        <w:ind w:left="342"/>
        <w:rPr>
          <w:rFonts w:ascii="Arial" w:hAnsi="Arial" w:cs="Arial"/>
        </w:rPr>
      </w:pPr>
    </w:p>
    <w:p w:rsidR="004A34DF" w:rsidRPr="00B05A21" w:rsidRDefault="004A34DF" w:rsidP="004E5E35">
      <w:pPr>
        <w:numPr>
          <w:ilvl w:val="0"/>
          <w:numId w:val="38"/>
        </w:numPr>
        <w:rPr>
          <w:rFonts w:ascii="Arial" w:hAnsi="Arial" w:cs="Arial"/>
        </w:rPr>
      </w:pPr>
      <w:r w:rsidRPr="00B05A21">
        <w:rPr>
          <w:rFonts w:ascii="Arial" w:hAnsi="Arial" w:cs="Arial"/>
        </w:rPr>
        <w:t xml:space="preserve">The business need or purpose of a procurement or contract is known, but negotiation is necessary to ensure the department is receiving the best value or the </w:t>
      </w:r>
      <w:r w:rsidRPr="00B05A21">
        <w:rPr>
          <w:rFonts w:ascii="Arial" w:hAnsi="Arial" w:cs="Arial"/>
        </w:rPr>
        <w:lastRenderedPageBreak/>
        <w:t>most cost-effective goods, services, information technology, and telecommunications (PCC 6611(a)(4)); This condition most commonly exists when bid prices exceed the state’s target price compared to historical costs or established through market research.</w:t>
      </w:r>
    </w:p>
    <w:p w:rsidR="004A34DF" w:rsidRPr="00B05A21" w:rsidRDefault="004A34DF" w:rsidP="006B43E5">
      <w:pPr>
        <w:ind w:left="342" w:hanging="360"/>
        <w:rPr>
          <w:rFonts w:ascii="Arial" w:hAnsi="Arial" w:cs="Arial"/>
        </w:rPr>
      </w:pPr>
    </w:p>
    <w:p w:rsidR="004A34DF" w:rsidRPr="00B05A21" w:rsidRDefault="004A34DF" w:rsidP="0070619F">
      <w:pPr>
        <w:pStyle w:val="BlockText"/>
        <w:ind w:left="342"/>
        <w:rPr>
          <w:rFonts w:ascii="Arial" w:hAnsi="Arial" w:cs="Arial"/>
        </w:rPr>
      </w:pPr>
      <w:r w:rsidRPr="00B05A21">
        <w:rPr>
          <w:rFonts w:ascii="Arial" w:hAnsi="Arial" w:cs="Arial"/>
          <w:b/>
        </w:rPr>
        <w:t>Example:</w:t>
      </w:r>
      <w:r w:rsidRPr="00B05A21">
        <w:rPr>
          <w:rFonts w:ascii="Arial" w:hAnsi="Arial" w:cs="Arial"/>
        </w:rPr>
        <w:t xml:space="preserve">  The state has conducted a bid for computer equipment, however bidder prices were higher than expected compared to the state’s prior contract.  A negotiation process is used to obtain pricing more in line with the estimate.</w:t>
      </w:r>
    </w:p>
    <w:p w:rsidR="00351B61" w:rsidRPr="00B05A21" w:rsidRDefault="00351B61" w:rsidP="0070619F">
      <w:pPr>
        <w:pStyle w:val="BlockLine"/>
        <w:pBdr>
          <w:top w:val="single" w:sz="6" w:space="11" w:color="auto"/>
        </w:pBdr>
        <w:rPr>
          <w:rFonts w:ascii="Arial" w:hAnsi="Arial" w:cs="Arial"/>
          <w:szCs w:val="24"/>
        </w:rPr>
      </w:pPr>
    </w:p>
    <w:p w:rsidR="00DE2B7D" w:rsidRPr="00B05A21" w:rsidRDefault="00DE2B7D" w:rsidP="00DE2B7D">
      <w:pPr>
        <w:pStyle w:val="Heading3"/>
        <w:spacing w:after="120" w:line="276" w:lineRule="auto"/>
        <w:jc w:val="left"/>
        <w:rPr>
          <w:rFonts w:cs="Arial"/>
          <w:sz w:val="24"/>
          <w:szCs w:val="24"/>
        </w:rPr>
      </w:pPr>
      <w:bookmarkStart w:id="327" w:name="_Toc12886055"/>
      <w:r w:rsidRPr="00B05A21">
        <w:rPr>
          <w:rFonts w:cs="Arial"/>
          <w:sz w:val="24"/>
          <w:szCs w:val="24"/>
        </w:rPr>
        <w:t xml:space="preserve">2.C6.3  </w:t>
      </w:r>
      <w:r w:rsidRPr="00B05A21">
        <w:rPr>
          <w:rFonts w:cs="Arial"/>
          <w:bCs/>
          <w:sz w:val="24"/>
          <w:szCs w:val="24"/>
        </w:rPr>
        <w:t>Basis for negotiations (PCC section 6611(b))</w:t>
      </w:r>
      <w:bookmarkEnd w:id="327"/>
      <w:r w:rsidR="004E5E35" w:rsidRPr="00B05A21">
        <w:rPr>
          <w:rFonts w:cs="Arial"/>
          <w:sz w:val="24"/>
          <w:szCs w:val="24"/>
        </w:rPr>
        <w:t xml:space="preserve"> </w:t>
      </w:r>
    </w:p>
    <w:p w:rsidR="00DE2B7D" w:rsidRPr="00B05A21" w:rsidRDefault="00DE2B7D" w:rsidP="000B76EC">
      <w:pPr>
        <w:pStyle w:val="HTMLPreformatted"/>
        <w:spacing w:line="276" w:lineRule="auto"/>
        <w:rPr>
          <w:rFonts w:ascii="Arial" w:hAnsi="Arial" w:cs="Arial"/>
          <w:sz w:val="24"/>
          <w:szCs w:val="24"/>
        </w:rPr>
      </w:pPr>
      <w:r w:rsidRPr="00B05A21">
        <w:rPr>
          <w:rFonts w:ascii="Arial" w:hAnsi="Arial" w:cs="Arial"/>
          <w:sz w:val="24"/>
          <w:szCs w:val="24"/>
        </w:rPr>
        <w:t xml:space="preserve">When a critical business need develops and it is in the best interests of the state, DGS may negotiate amendments to the terms and conditions, including scope of work, of existing contracts for goods, services, information technology, and telecommunications, whether or not the original </w:t>
      </w:r>
      <w:r w:rsidRPr="00B05A21">
        <w:rPr>
          <w:rStyle w:val="Strong"/>
          <w:rFonts w:ascii="Arial" w:hAnsi="Arial" w:cs="Arial"/>
          <w:b w:val="0"/>
          <w:sz w:val="24"/>
          <w:szCs w:val="24"/>
        </w:rPr>
        <w:t>contract</w:t>
      </w:r>
      <w:r w:rsidRPr="00B05A21">
        <w:rPr>
          <w:rFonts w:ascii="Arial" w:hAnsi="Arial" w:cs="Arial"/>
          <w:sz w:val="24"/>
          <w:szCs w:val="24"/>
        </w:rPr>
        <w:t xml:space="preserve"> was the result of competition, on behalf of DGS or another state agency. Use the template in Section 2.C5.1 to request this negotiation.</w:t>
      </w:r>
    </w:p>
    <w:p w:rsidR="00DE2B7D" w:rsidRPr="00B05A21" w:rsidRDefault="00DE2B7D" w:rsidP="000B76EC">
      <w:pPr>
        <w:pStyle w:val="HTMLPreformatted"/>
        <w:spacing w:line="276" w:lineRule="auto"/>
        <w:rPr>
          <w:rFonts w:ascii="Arial" w:hAnsi="Arial" w:cs="Arial"/>
          <w:b/>
          <w:sz w:val="24"/>
          <w:szCs w:val="24"/>
        </w:rPr>
      </w:pPr>
    </w:p>
    <w:p w:rsidR="00DE2B7D" w:rsidRPr="00B05A21" w:rsidRDefault="00DE2B7D" w:rsidP="0070619F">
      <w:pPr>
        <w:pStyle w:val="HTMLPreformatted"/>
        <w:spacing w:line="276" w:lineRule="auto"/>
        <w:rPr>
          <w:rFonts w:ascii="Arial" w:hAnsi="Arial" w:cs="Arial"/>
          <w:sz w:val="24"/>
          <w:szCs w:val="24"/>
        </w:rPr>
      </w:pPr>
      <w:r w:rsidRPr="00B05A21">
        <w:rPr>
          <w:rFonts w:ascii="Arial" w:hAnsi="Arial" w:cs="Arial"/>
          <w:b/>
          <w:sz w:val="24"/>
          <w:szCs w:val="24"/>
        </w:rPr>
        <w:t xml:space="preserve">Note: </w:t>
      </w:r>
      <w:r w:rsidRPr="00B05A21">
        <w:rPr>
          <w:rFonts w:ascii="Arial" w:hAnsi="Arial" w:cs="Arial"/>
          <w:sz w:val="24"/>
          <w:szCs w:val="24"/>
        </w:rPr>
        <w:t xml:space="preserve">This Section is not intended to circumvent the NCB amendment process in Chapter 5. </w:t>
      </w:r>
    </w:p>
    <w:p w:rsidR="000B76EC" w:rsidRPr="00B05A21" w:rsidRDefault="000B76EC" w:rsidP="0087508C">
      <w:pPr>
        <w:pStyle w:val="BlockLine"/>
        <w:ind w:left="1440"/>
        <w:rPr>
          <w:rFonts w:ascii="Arial" w:hAnsi="Arial" w:cs="Arial"/>
          <w:szCs w:val="24"/>
        </w:rPr>
      </w:pPr>
    </w:p>
    <w:p w:rsidR="004B099A" w:rsidRPr="00B05A21" w:rsidRDefault="004B099A" w:rsidP="00D7107B">
      <w:pPr>
        <w:pStyle w:val="Heading3"/>
        <w:spacing w:after="120" w:line="276" w:lineRule="auto"/>
        <w:jc w:val="left"/>
        <w:rPr>
          <w:rFonts w:cs="Arial"/>
          <w:bCs/>
          <w:sz w:val="24"/>
          <w:szCs w:val="24"/>
        </w:rPr>
      </w:pPr>
      <w:bookmarkStart w:id="328" w:name="_Toc12886056"/>
      <w:r w:rsidRPr="00B05A21">
        <w:rPr>
          <w:rFonts w:cs="Arial"/>
          <w:sz w:val="24"/>
          <w:szCs w:val="24"/>
        </w:rPr>
        <w:t>2.C6.4  Participants and roles</w:t>
      </w:r>
      <w:r w:rsidRPr="00B05A21">
        <w:rPr>
          <w:rFonts w:cs="Arial"/>
          <w:bCs/>
          <w:sz w:val="24"/>
          <w:szCs w:val="24"/>
        </w:rPr>
        <w:t xml:space="preserve"> </w:t>
      </w:r>
      <w:bookmarkEnd w:id="328"/>
    </w:p>
    <w:p w:rsidR="004B099A" w:rsidRPr="004E5E35" w:rsidRDefault="004B099A" w:rsidP="004E5E35">
      <w:pPr>
        <w:pStyle w:val="HTMLPreformatted"/>
        <w:spacing w:line="276" w:lineRule="auto"/>
        <w:rPr>
          <w:rFonts w:ascii="Arial" w:hAnsi="Arial" w:cs="Arial"/>
          <w:sz w:val="24"/>
          <w:szCs w:val="24"/>
        </w:rPr>
      </w:pPr>
      <w:r w:rsidRPr="004E5E35">
        <w:rPr>
          <w:rFonts w:ascii="Arial" w:hAnsi="Arial" w:cs="Arial"/>
          <w:sz w:val="24"/>
          <w:szCs w:val="24"/>
        </w:rPr>
        <w:t>While DGS (and CDT when applicable) is responsible for the administration of the negotiating authority, successful negotiations require the cooperation of three key stakeholders: DGS, CDT, and the buying agency.  The following guidelines establish that all parties are co-approvers of any final, negotiated outcome. Departments are advised to ensure that all state participants are free from economic conflicts of interest. Departments are advised to ensure that all state participants are free from economic conflicts of interest before beginning work on a PCC 6611 negotiation project.  See GC Section 81000 et seq. (Political Reform Act); see also GC Section 1090. Not all participants listed in the table below are required in all situations.</w:t>
      </w:r>
    </w:p>
    <w:p w:rsidR="004B099A" w:rsidRPr="00B05A21" w:rsidRDefault="00D7107B" w:rsidP="00D7107B">
      <w:pPr>
        <w:pStyle w:val="TableHeading"/>
        <w:spacing w:after="120"/>
        <w:jc w:val="left"/>
        <w:rPr>
          <w:rFonts w:eastAsia="Calibri" w:cs="Arial"/>
          <w:color w:val="000000"/>
          <w:sz w:val="24"/>
          <w:szCs w:val="24"/>
        </w:rPr>
      </w:pPr>
      <w:r w:rsidRPr="00B05A21">
        <w:rPr>
          <w:rFonts w:eastAsia="Calibri" w:cs="Arial"/>
          <w:color w:val="000000"/>
          <w:sz w:val="24"/>
          <w:szCs w:val="24"/>
        </w:rPr>
        <w:t xml:space="preserve">State </w:t>
      </w:r>
      <w:r w:rsidR="004B099A" w:rsidRPr="00B05A21">
        <w:rPr>
          <w:rFonts w:eastAsia="Calibri" w:cs="Arial"/>
          <w:color w:val="000000"/>
          <w:sz w:val="24"/>
          <w:szCs w:val="24"/>
        </w:rPr>
        <w:t>Participant</w:t>
      </w:r>
      <w:r w:rsidRPr="00B05A21">
        <w:rPr>
          <w:rFonts w:eastAsia="Calibri" w:cs="Arial"/>
          <w:color w:val="000000"/>
          <w:sz w:val="24"/>
          <w:szCs w:val="24"/>
        </w:rPr>
        <w:t xml:space="preserve"> </w:t>
      </w:r>
      <w:r w:rsidR="004B099A" w:rsidRPr="00B05A21">
        <w:rPr>
          <w:rFonts w:eastAsia="Calibri" w:cs="Arial"/>
          <w:sz w:val="24"/>
          <w:szCs w:val="24"/>
        </w:rPr>
        <w:t>Roles</w:t>
      </w:r>
    </w:p>
    <w:p w:rsidR="004B099A" w:rsidRPr="00B05A21" w:rsidRDefault="004B099A" w:rsidP="00CF7D13">
      <w:pPr>
        <w:pStyle w:val="TableHeading"/>
        <w:jc w:val="left"/>
        <w:rPr>
          <w:rFonts w:eastAsia="Calibri" w:cs="Arial"/>
          <w:b w:val="0"/>
          <w:color w:val="000000"/>
          <w:sz w:val="24"/>
          <w:szCs w:val="24"/>
        </w:rPr>
      </w:pPr>
      <w:r w:rsidRPr="00B05A21">
        <w:rPr>
          <w:rFonts w:eastAsia="Calibri" w:cs="Arial"/>
          <w:b w:val="0"/>
          <w:color w:val="000000"/>
          <w:sz w:val="24"/>
          <w:szCs w:val="24"/>
        </w:rPr>
        <w:t>P</w:t>
      </w:r>
      <w:r w:rsidR="00D7107B" w:rsidRPr="00B05A21">
        <w:rPr>
          <w:rFonts w:eastAsia="Calibri" w:cs="Arial"/>
          <w:b w:val="0"/>
          <w:color w:val="000000"/>
          <w:sz w:val="24"/>
          <w:szCs w:val="24"/>
        </w:rPr>
        <w:t xml:space="preserve">rocurement Official </w:t>
      </w:r>
      <w:r w:rsidRPr="00B05A21">
        <w:rPr>
          <w:rFonts w:eastAsia="Calibri" w:cs="Arial"/>
          <w:b w:val="0"/>
          <w:color w:val="000000"/>
          <w:sz w:val="24"/>
          <w:szCs w:val="24"/>
        </w:rPr>
        <w:t xml:space="preserve">(DGS or </w:t>
      </w:r>
      <w:r w:rsidRPr="00B05A21">
        <w:rPr>
          <w:rFonts w:cs="Arial"/>
          <w:b w:val="0"/>
          <w:bCs/>
          <w:sz w:val="24"/>
          <w:szCs w:val="24"/>
        </w:rPr>
        <w:t>CDT</w:t>
      </w:r>
      <w:r w:rsidRPr="00B05A21">
        <w:rPr>
          <w:rFonts w:eastAsia="Calibri" w:cs="Arial"/>
          <w:b w:val="0"/>
          <w:color w:val="000000"/>
          <w:sz w:val="24"/>
          <w:szCs w:val="24"/>
        </w:rPr>
        <w:t>)</w:t>
      </w:r>
      <w:r w:rsidR="00D7107B" w:rsidRPr="00B05A21">
        <w:rPr>
          <w:rFonts w:eastAsia="Calibri" w:cs="Arial"/>
          <w:b w:val="0"/>
          <w:color w:val="000000"/>
          <w:sz w:val="24"/>
          <w:szCs w:val="24"/>
        </w:rPr>
        <w:t>:</w:t>
      </w:r>
    </w:p>
    <w:p w:rsidR="004B099A" w:rsidRPr="00B05A21" w:rsidRDefault="004B099A" w:rsidP="00CF7D13">
      <w:pPr>
        <w:pStyle w:val="TableBullet"/>
        <w:numPr>
          <w:ilvl w:val="0"/>
          <w:numId w:val="26"/>
        </w:numPr>
        <w:rPr>
          <w:rFonts w:eastAsia="Calibri" w:cs="Arial"/>
          <w:sz w:val="24"/>
          <w:szCs w:val="24"/>
        </w:rPr>
      </w:pPr>
      <w:r w:rsidRPr="00B05A21">
        <w:rPr>
          <w:rFonts w:eastAsia="Calibri" w:cs="Arial"/>
          <w:sz w:val="24"/>
          <w:szCs w:val="24"/>
        </w:rPr>
        <w:t>Conducts the procurement in accordance with the laws of the State of California;</w:t>
      </w:r>
    </w:p>
    <w:p w:rsidR="004B099A" w:rsidRPr="00B05A21" w:rsidRDefault="004B099A" w:rsidP="00CF7D13">
      <w:pPr>
        <w:pStyle w:val="TableBullet"/>
        <w:numPr>
          <w:ilvl w:val="0"/>
          <w:numId w:val="26"/>
        </w:numPr>
        <w:rPr>
          <w:rFonts w:eastAsia="Calibri" w:cs="Arial"/>
          <w:sz w:val="24"/>
          <w:szCs w:val="24"/>
        </w:rPr>
      </w:pPr>
      <w:r w:rsidRPr="00B05A21">
        <w:rPr>
          <w:rFonts w:eastAsia="Calibri" w:cs="Arial"/>
          <w:sz w:val="24"/>
          <w:szCs w:val="24"/>
        </w:rPr>
        <w:t xml:space="preserve">Coordinates contract negotiations sessions; </w:t>
      </w:r>
    </w:p>
    <w:p w:rsidR="004B099A" w:rsidRPr="00B05A21" w:rsidRDefault="004B099A" w:rsidP="00CF7D13">
      <w:pPr>
        <w:pStyle w:val="TableBullet"/>
        <w:numPr>
          <w:ilvl w:val="0"/>
          <w:numId w:val="26"/>
        </w:numPr>
        <w:rPr>
          <w:rFonts w:eastAsia="Calibri" w:cs="Arial"/>
          <w:sz w:val="24"/>
          <w:szCs w:val="24"/>
        </w:rPr>
      </w:pPr>
      <w:r w:rsidRPr="00B05A21">
        <w:rPr>
          <w:rFonts w:eastAsia="Calibri" w:cs="Arial"/>
          <w:sz w:val="24"/>
          <w:szCs w:val="24"/>
        </w:rPr>
        <w:t>Coordinates DGS Legal participation in negotiations, if required; and</w:t>
      </w:r>
    </w:p>
    <w:p w:rsidR="004B099A" w:rsidRPr="00B05A21" w:rsidRDefault="004B099A" w:rsidP="00CF7D13">
      <w:pPr>
        <w:pStyle w:val="TableBullet"/>
        <w:numPr>
          <w:ilvl w:val="0"/>
          <w:numId w:val="26"/>
        </w:numPr>
        <w:rPr>
          <w:rFonts w:eastAsia="Calibri" w:cs="Arial"/>
          <w:b/>
          <w:sz w:val="24"/>
          <w:szCs w:val="24"/>
        </w:rPr>
      </w:pPr>
      <w:r w:rsidRPr="00B05A21">
        <w:rPr>
          <w:rFonts w:eastAsia="Calibri" w:cs="Arial"/>
          <w:sz w:val="24"/>
          <w:szCs w:val="24"/>
        </w:rPr>
        <w:t>Oversees negotiation sessions.</w:t>
      </w:r>
    </w:p>
    <w:p w:rsidR="004B099A" w:rsidRPr="00B05A21" w:rsidRDefault="004B099A" w:rsidP="00CF7D13">
      <w:pPr>
        <w:pStyle w:val="TableBullet"/>
        <w:numPr>
          <w:ilvl w:val="0"/>
          <w:numId w:val="26"/>
        </w:numPr>
        <w:rPr>
          <w:rFonts w:eastAsia="Calibri" w:cs="Arial"/>
          <w:b/>
          <w:sz w:val="24"/>
          <w:szCs w:val="24"/>
        </w:rPr>
      </w:pPr>
      <w:r w:rsidRPr="00B05A21">
        <w:rPr>
          <w:rFonts w:eastAsia="Calibri" w:cs="Arial"/>
          <w:sz w:val="24"/>
          <w:szCs w:val="24"/>
        </w:rPr>
        <w:t>Co-approval of final negotiated agreement.</w:t>
      </w:r>
    </w:p>
    <w:p w:rsidR="004B099A" w:rsidRPr="00B05A21" w:rsidRDefault="004B099A" w:rsidP="00CF7D13">
      <w:pPr>
        <w:pStyle w:val="TableHeading"/>
        <w:jc w:val="left"/>
        <w:rPr>
          <w:rFonts w:eastAsia="Calibri" w:cs="Arial"/>
          <w:b w:val="0"/>
          <w:color w:val="000000"/>
          <w:sz w:val="24"/>
          <w:szCs w:val="24"/>
        </w:rPr>
      </w:pPr>
      <w:r w:rsidRPr="00B05A21">
        <w:rPr>
          <w:rFonts w:eastAsia="Calibri" w:cs="Arial"/>
          <w:b w:val="0"/>
          <w:color w:val="000000"/>
          <w:sz w:val="24"/>
          <w:szCs w:val="24"/>
        </w:rPr>
        <w:t>Buying Agency</w:t>
      </w:r>
      <w:r w:rsidR="00D7107B" w:rsidRPr="00B05A21">
        <w:rPr>
          <w:rFonts w:eastAsia="Calibri" w:cs="Arial"/>
          <w:b w:val="0"/>
          <w:color w:val="000000"/>
          <w:sz w:val="24"/>
          <w:szCs w:val="24"/>
        </w:rPr>
        <w:t>:</w:t>
      </w:r>
    </w:p>
    <w:p w:rsidR="004B099A" w:rsidRPr="00B05A21" w:rsidRDefault="004B099A" w:rsidP="00CF7D13">
      <w:pPr>
        <w:pStyle w:val="TableBullet"/>
        <w:numPr>
          <w:ilvl w:val="0"/>
          <w:numId w:val="26"/>
        </w:numPr>
        <w:rPr>
          <w:rFonts w:eastAsia="Calibri" w:cs="Arial"/>
          <w:sz w:val="24"/>
          <w:szCs w:val="24"/>
        </w:rPr>
      </w:pPr>
      <w:r w:rsidRPr="00B05A21">
        <w:rPr>
          <w:rFonts w:eastAsia="Calibri" w:cs="Arial"/>
          <w:sz w:val="24"/>
          <w:szCs w:val="24"/>
        </w:rPr>
        <w:t>Participates in negotiation sessions to ensure outcomes meet program needs.</w:t>
      </w:r>
    </w:p>
    <w:p w:rsidR="004B099A" w:rsidRPr="00B05A21" w:rsidRDefault="004B099A" w:rsidP="00CF7D13">
      <w:pPr>
        <w:pStyle w:val="TableBullet"/>
        <w:numPr>
          <w:ilvl w:val="0"/>
          <w:numId w:val="26"/>
        </w:numPr>
        <w:rPr>
          <w:rFonts w:eastAsia="Calibri" w:cs="Arial"/>
          <w:b/>
          <w:color w:val="000000"/>
          <w:sz w:val="24"/>
          <w:szCs w:val="24"/>
        </w:rPr>
      </w:pPr>
      <w:r w:rsidRPr="00B05A21">
        <w:rPr>
          <w:rFonts w:eastAsia="Calibri" w:cs="Arial"/>
          <w:sz w:val="24"/>
          <w:szCs w:val="24"/>
        </w:rPr>
        <w:t xml:space="preserve">Co-approval of final negotiated agreement. </w:t>
      </w:r>
    </w:p>
    <w:p w:rsidR="004B099A" w:rsidRPr="00B05A21" w:rsidRDefault="004B099A" w:rsidP="00D7107B">
      <w:pPr>
        <w:pStyle w:val="TableHeading"/>
        <w:jc w:val="left"/>
        <w:rPr>
          <w:rFonts w:eastAsia="Calibri" w:cs="Arial"/>
          <w:color w:val="000000"/>
          <w:sz w:val="24"/>
          <w:szCs w:val="24"/>
        </w:rPr>
      </w:pPr>
      <w:r w:rsidRPr="00B05A21">
        <w:rPr>
          <w:rFonts w:eastAsia="Calibri" w:cs="Arial"/>
          <w:b w:val="0"/>
          <w:color w:val="000000"/>
          <w:sz w:val="24"/>
          <w:szCs w:val="24"/>
        </w:rPr>
        <w:lastRenderedPageBreak/>
        <w:t>Core Negotiation Team</w:t>
      </w:r>
      <w:r w:rsidR="006531A5" w:rsidRPr="00B05A21">
        <w:rPr>
          <w:rFonts w:eastAsia="Calibri" w:cs="Arial"/>
          <w:b w:val="0"/>
          <w:color w:val="000000"/>
          <w:sz w:val="24"/>
          <w:szCs w:val="24"/>
        </w:rPr>
        <w:t xml:space="preserve"> -</w:t>
      </w:r>
      <w:r w:rsidR="00D7107B" w:rsidRPr="00B05A21">
        <w:rPr>
          <w:rFonts w:eastAsia="Calibri" w:cs="Arial"/>
          <w:b w:val="0"/>
          <w:color w:val="000000"/>
          <w:sz w:val="24"/>
          <w:szCs w:val="24"/>
        </w:rPr>
        <w:t xml:space="preserve"> </w:t>
      </w:r>
      <w:r w:rsidRPr="00B05A21">
        <w:rPr>
          <w:rFonts w:eastAsia="Calibri" w:cs="Arial"/>
          <w:b w:val="0"/>
          <w:color w:val="000000"/>
          <w:sz w:val="24"/>
          <w:szCs w:val="24"/>
        </w:rPr>
        <w:t xml:space="preserve">DGS and/or </w:t>
      </w:r>
      <w:r w:rsidRPr="00B05A21">
        <w:rPr>
          <w:rFonts w:cs="Arial"/>
          <w:b w:val="0"/>
          <w:bCs/>
          <w:sz w:val="24"/>
          <w:szCs w:val="24"/>
        </w:rPr>
        <w:t>CDT</w:t>
      </w:r>
      <w:r w:rsidRPr="00B05A21">
        <w:rPr>
          <w:rFonts w:eastAsia="Calibri" w:cs="Arial"/>
          <w:b w:val="0"/>
          <w:color w:val="000000"/>
          <w:sz w:val="24"/>
          <w:szCs w:val="24"/>
        </w:rPr>
        <w:t>, and sponsoring agency:</w:t>
      </w:r>
    </w:p>
    <w:p w:rsidR="004B099A" w:rsidRPr="00B05A21" w:rsidRDefault="004B099A" w:rsidP="00CF7D13">
      <w:pPr>
        <w:pStyle w:val="TableBullet"/>
        <w:numPr>
          <w:ilvl w:val="0"/>
          <w:numId w:val="27"/>
        </w:numPr>
        <w:ind w:left="330"/>
        <w:rPr>
          <w:rFonts w:eastAsia="Calibri" w:cs="Arial"/>
          <w:color w:val="000000"/>
          <w:sz w:val="24"/>
          <w:szCs w:val="24"/>
        </w:rPr>
      </w:pPr>
      <w:r w:rsidRPr="00B05A21">
        <w:rPr>
          <w:rFonts w:eastAsia="Calibri" w:cs="Arial"/>
          <w:color w:val="000000"/>
          <w:sz w:val="24"/>
          <w:szCs w:val="24"/>
        </w:rPr>
        <w:t>Provides negotiation facilities;</w:t>
      </w:r>
    </w:p>
    <w:p w:rsidR="004B099A" w:rsidRPr="00B05A21" w:rsidRDefault="004B099A" w:rsidP="00CF7D13">
      <w:pPr>
        <w:pStyle w:val="TableBullet"/>
        <w:numPr>
          <w:ilvl w:val="0"/>
          <w:numId w:val="27"/>
        </w:numPr>
        <w:ind w:left="330"/>
        <w:rPr>
          <w:rFonts w:eastAsia="Calibri" w:cs="Arial"/>
          <w:color w:val="000000"/>
          <w:sz w:val="24"/>
          <w:szCs w:val="24"/>
        </w:rPr>
      </w:pPr>
      <w:r w:rsidRPr="00B05A21">
        <w:rPr>
          <w:rFonts w:eastAsia="Calibri" w:cs="Arial"/>
          <w:color w:val="000000"/>
          <w:sz w:val="24"/>
          <w:szCs w:val="24"/>
        </w:rPr>
        <w:t>Prepares negotiation points;</w:t>
      </w:r>
    </w:p>
    <w:p w:rsidR="004B099A" w:rsidRPr="00B05A21" w:rsidRDefault="004B099A" w:rsidP="00CF7D13">
      <w:pPr>
        <w:pStyle w:val="TableBullet"/>
        <w:numPr>
          <w:ilvl w:val="0"/>
          <w:numId w:val="27"/>
        </w:numPr>
        <w:ind w:left="330"/>
        <w:rPr>
          <w:rFonts w:eastAsia="Calibri" w:cs="Arial"/>
          <w:color w:val="000000"/>
          <w:sz w:val="24"/>
          <w:szCs w:val="24"/>
        </w:rPr>
      </w:pPr>
      <w:r w:rsidRPr="00B05A21">
        <w:rPr>
          <w:rFonts w:eastAsia="Calibri" w:cs="Arial"/>
          <w:color w:val="000000"/>
          <w:sz w:val="24"/>
          <w:szCs w:val="24"/>
        </w:rPr>
        <w:t>Participates in negotiation sessions; and</w:t>
      </w:r>
    </w:p>
    <w:p w:rsidR="004B099A" w:rsidRPr="00B05A21" w:rsidRDefault="004B099A" w:rsidP="00CF7D13">
      <w:pPr>
        <w:pStyle w:val="TableBullet"/>
        <w:numPr>
          <w:ilvl w:val="0"/>
          <w:numId w:val="27"/>
        </w:numPr>
        <w:ind w:left="330"/>
        <w:rPr>
          <w:rFonts w:eastAsia="Calibri" w:cs="Arial"/>
          <w:b/>
          <w:color w:val="000000"/>
          <w:sz w:val="24"/>
          <w:szCs w:val="24"/>
        </w:rPr>
      </w:pPr>
      <w:r w:rsidRPr="00B05A21">
        <w:rPr>
          <w:rFonts w:eastAsia="Calibri" w:cs="Arial"/>
          <w:color w:val="000000"/>
          <w:sz w:val="24"/>
          <w:szCs w:val="24"/>
        </w:rPr>
        <w:t>Tracks status of outstanding items and completed agreements</w:t>
      </w:r>
    </w:p>
    <w:p w:rsidR="004B099A" w:rsidRPr="00B05A21" w:rsidRDefault="004B099A" w:rsidP="00CA6BD1">
      <w:pPr>
        <w:rPr>
          <w:rFonts w:ascii="Arial" w:eastAsia="Calibri" w:hAnsi="Arial" w:cs="Arial"/>
        </w:rPr>
      </w:pPr>
      <w:r w:rsidRPr="00B05A21">
        <w:rPr>
          <w:rFonts w:ascii="Arial" w:eastAsia="Calibri" w:hAnsi="Arial" w:cs="Arial"/>
          <w:color w:val="000000"/>
        </w:rPr>
        <w:t>State Evaluation Team Members</w:t>
      </w:r>
      <w:r w:rsidR="00D7107B" w:rsidRPr="00B05A21">
        <w:rPr>
          <w:rFonts w:ascii="Arial" w:eastAsia="Calibri" w:hAnsi="Arial" w:cs="Arial"/>
          <w:color w:val="000000"/>
        </w:rPr>
        <w:t>:</w:t>
      </w:r>
    </w:p>
    <w:p w:rsidR="004B099A" w:rsidRPr="00B05A21" w:rsidRDefault="004B099A" w:rsidP="00CF7D13">
      <w:pPr>
        <w:pStyle w:val="TableBullet"/>
        <w:numPr>
          <w:ilvl w:val="0"/>
          <w:numId w:val="26"/>
        </w:numPr>
        <w:rPr>
          <w:rFonts w:eastAsia="Calibri" w:cs="Arial"/>
          <w:color w:val="000000"/>
          <w:sz w:val="24"/>
          <w:szCs w:val="24"/>
        </w:rPr>
      </w:pPr>
      <w:r w:rsidRPr="00B05A21">
        <w:rPr>
          <w:rFonts w:eastAsia="Calibri" w:cs="Arial"/>
          <w:color w:val="000000"/>
          <w:sz w:val="24"/>
          <w:szCs w:val="24"/>
        </w:rPr>
        <w:t xml:space="preserve">SMEs tasked with evaluating bid submissions  </w:t>
      </w:r>
    </w:p>
    <w:p w:rsidR="004B099A" w:rsidRPr="00B05A21" w:rsidRDefault="004B099A" w:rsidP="00CF7D13">
      <w:pPr>
        <w:ind w:left="360"/>
        <w:rPr>
          <w:rFonts w:ascii="Arial" w:eastAsia="Calibri" w:hAnsi="Arial" w:cs="Arial"/>
          <w:b/>
        </w:rPr>
      </w:pPr>
      <w:r w:rsidRPr="00B05A21">
        <w:rPr>
          <w:rFonts w:ascii="Arial" w:eastAsia="Calibri" w:hAnsi="Arial" w:cs="Arial"/>
        </w:rPr>
        <w:t>Participates in negotiations sessions, as required. May be same individuals as core negotiation team.</w:t>
      </w:r>
    </w:p>
    <w:p w:rsidR="004B099A" w:rsidRPr="00B05A21" w:rsidRDefault="004B099A" w:rsidP="00CA6BD1">
      <w:pPr>
        <w:rPr>
          <w:rFonts w:ascii="Arial" w:eastAsia="Calibri" w:hAnsi="Arial" w:cs="Arial"/>
        </w:rPr>
      </w:pPr>
      <w:r w:rsidRPr="00B05A21">
        <w:rPr>
          <w:rFonts w:ascii="Arial" w:eastAsia="Calibri" w:hAnsi="Arial" w:cs="Arial"/>
          <w:color w:val="000000"/>
        </w:rPr>
        <w:t>Subject Matter Experts (SMEs)</w:t>
      </w:r>
      <w:r w:rsidR="00D7107B" w:rsidRPr="00B05A21">
        <w:rPr>
          <w:rFonts w:ascii="Arial" w:eastAsia="Calibri" w:hAnsi="Arial" w:cs="Arial"/>
          <w:color w:val="000000"/>
        </w:rPr>
        <w:t>:</w:t>
      </w:r>
    </w:p>
    <w:p w:rsidR="004B099A" w:rsidRPr="00B05A21" w:rsidRDefault="004B099A" w:rsidP="00CF7D13">
      <w:pPr>
        <w:pStyle w:val="ListParagraph"/>
        <w:numPr>
          <w:ilvl w:val="0"/>
          <w:numId w:val="26"/>
        </w:numPr>
        <w:rPr>
          <w:rFonts w:cs="Arial"/>
          <w:b/>
          <w:szCs w:val="24"/>
        </w:rPr>
      </w:pPr>
      <w:r w:rsidRPr="00B05A21">
        <w:rPr>
          <w:rFonts w:cs="Arial"/>
          <w:szCs w:val="24"/>
        </w:rPr>
        <w:t>Provides subject matter expertise and support to the Core Negotiation Team and state Evaluation Team, as requested.</w:t>
      </w:r>
    </w:p>
    <w:p w:rsidR="004B099A" w:rsidRPr="00B05A21" w:rsidRDefault="004B099A" w:rsidP="00CA6BD1">
      <w:pPr>
        <w:rPr>
          <w:rFonts w:ascii="Arial" w:eastAsia="Calibri" w:hAnsi="Arial" w:cs="Arial"/>
        </w:rPr>
      </w:pPr>
      <w:r w:rsidRPr="00B05A21">
        <w:rPr>
          <w:rFonts w:ascii="Arial" w:hAnsi="Arial" w:cs="Arial"/>
          <w:bCs/>
        </w:rPr>
        <w:t>CDT</w:t>
      </w:r>
      <w:r w:rsidRPr="00B05A21">
        <w:rPr>
          <w:rFonts w:ascii="Arial" w:eastAsia="Calibri" w:hAnsi="Arial" w:cs="Arial"/>
          <w:color w:val="000000"/>
        </w:rPr>
        <w:t xml:space="preserve"> (where DGS is the procurement official)</w:t>
      </w:r>
      <w:r w:rsidR="006531A5" w:rsidRPr="00B05A21">
        <w:rPr>
          <w:rFonts w:ascii="Arial" w:eastAsia="Calibri" w:hAnsi="Arial" w:cs="Arial"/>
          <w:color w:val="000000"/>
        </w:rPr>
        <w:t>:</w:t>
      </w:r>
    </w:p>
    <w:p w:rsidR="004B099A" w:rsidRPr="00B05A21" w:rsidRDefault="004B099A" w:rsidP="00CF7D13">
      <w:pPr>
        <w:pStyle w:val="ListParagraph"/>
        <w:numPr>
          <w:ilvl w:val="0"/>
          <w:numId w:val="28"/>
        </w:numPr>
        <w:rPr>
          <w:rFonts w:cs="Arial"/>
          <w:b/>
          <w:szCs w:val="24"/>
        </w:rPr>
      </w:pPr>
      <w:r w:rsidRPr="00B05A21">
        <w:rPr>
          <w:rFonts w:cs="Arial"/>
          <w:szCs w:val="24"/>
        </w:rPr>
        <w:t>Ensures negotiations meet all applicable IT architecture, technical, and project standards.</w:t>
      </w:r>
    </w:p>
    <w:p w:rsidR="004A7FB7" w:rsidRDefault="004A7FB7" w:rsidP="00D7107B">
      <w:pPr>
        <w:pStyle w:val="TableHeading"/>
        <w:jc w:val="left"/>
        <w:rPr>
          <w:rFonts w:cs="Arial"/>
          <w:color w:val="000000"/>
          <w:sz w:val="24"/>
          <w:szCs w:val="24"/>
        </w:rPr>
      </w:pPr>
    </w:p>
    <w:p w:rsidR="004B099A" w:rsidRPr="00B05A21" w:rsidRDefault="00D7107B" w:rsidP="00D7107B">
      <w:pPr>
        <w:pStyle w:val="TableHeading"/>
        <w:jc w:val="left"/>
        <w:rPr>
          <w:rFonts w:cs="Arial"/>
          <w:b w:val="0"/>
          <w:sz w:val="24"/>
          <w:szCs w:val="24"/>
        </w:rPr>
      </w:pPr>
      <w:r w:rsidRPr="00B05A21">
        <w:rPr>
          <w:rFonts w:cs="Arial"/>
          <w:color w:val="000000"/>
          <w:sz w:val="24"/>
          <w:szCs w:val="24"/>
        </w:rPr>
        <w:t xml:space="preserve">Bidder </w:t>
      </w:r>
      <w:r w:rsidR="004B099A" w:rsidRPr="00B05A21">
        <w:rPr>
          <w:rFonts w:cs="Arial"/>
          <w:color w:val="000000"/>
          <w:sz w:val="24"/>
          <w:szCs w:val="24"/>
        </w:rPr>
        <w:t>Participant</w:t>
      </w:r>
      <w:r w:rsidRPr="00B05A21">
        <w:rPr>
          <w:rFonts w:cs="Arial"/>
          <w:color w:val="000000"/>
          <w:sz w:val="24"/>
          <w:szCs w:val="24"/>
        </w:rPr>
        <w:t xml:space="preserve"> </w:t>
      </w:r>
      <w:r w:rsidR="004B099A" w:rsidRPr="00B05A21">
        <w:rPr>
          <w:rFonts w:cs="Arial"/>
          <w:sz w:val="24"/>
          <w:szCs w:val="24"/>
        </w:rPr>
        <w:t>Role</w:t>
      </w:r>
    </w:p>
    <w:p w:rsidR="004B099A" w:rsidRPr="00B05A21" w:rsidRDefault="004B099A" w:rsidP="00D7107B">
      <w:pPr>
        <w:pStyle w:val="TableHeading"/>
        <w:jc w:val="left"/>
        <w:rPr>
          <w:rFonts w:cs="Arial"/>
          <w:b w:val="0"/>
          <w:color w:val="000000"/>
          <w:sz w:val="24"/>
          <w:szCs w:val="24"/>
        </w:rPr>
      </w:pPr>
      <w:r w:rsidRPr="00B05A21">
        <w:rPr>
          <w:rFonts w:cs="Arial"/>
          <w:b w:val="0"/>
          <w:color w:val="000000"/>
          <w:sz w:val="24"/>
          <w:szCs w:val="24"/>
        </w:rPr>
        <w:t>Bidder Negotiation Team</w:t>
      </w:r>
    </w:p>
    <w:p w:rsidR="004B099A" w:rsidRPr="00B05A21" w:rsidRDefault="004B099A" w:rsidP="00D7107B">
      <w:pPr>
        <w:pStyle w:val="TableBullet"/>
        <w:numPr>
          <w:ilvl w:val="0"/>
          <w:numId w:val="0"/>
        </w:numPr>
        <w:ind w:left="360" w:hanging="360"/>
        <w:rPr>
          <w:rFonts w:cs="Arial"/>
          <w:sz w:val="24"/>
          <w:szCs w:val="24"/>
        </w:rPr>
      </w:pPr>
      <w:r w:rsidRPr="00B05A21">
        <w:rPr>
          <w:rFonts w:cs="Arial"/>
          <w:sz w:val="24"/>
          <w:szCs w:val="24"/>
        </w:rPr>
        <w:t>At a minimum, the supplier team:</w:t>
      </w:r>
    </w:p>
    <w:p w:rsidR="004B099A" w:rsidRPr="00B05A21" w:rsidRDefault="004B099A" w:rsidP="00D7107B">
      <w:pPr>
        <w:pStyle w:val="TableBullet"/>
        <w:numPr>
          <w:ilvl w:val="0"/>
          <w:numId w:val="26"/>
        </w:numPr>
        <w:rPr>
          <w:rFonts w:cs="Arial"/>
          <w:sz w:val="24"/>
          <w:szCs w:val="24"/>
        </w:rPr>
      </w:pPr>
      <w:r w:rsidRPr="00B05A21">
        <w:rPr>
          <w:rFonts w:cs="Arial"/>
          <w:sz w:val="24"/>
          <w:szCs w:val="24"/>
        </w:rPr>
        <w:t>Prepares negotiation materials in response to negotiations points;</w:t>
      </w:r>
    </w:p>
    <w:p w:rsidR="004B099A" w:rsidRPr="00B05A21" w:rsidRDefault="004B099A" w:rsidP="00D7107B">
      <w:pPr>
        <w:pStyle w:val="TableBullet"/>
        <w:numPr>
          <w:ilvl w:val="0"/>
          <w:numId w:val="26"/>
        </w:numPr>
        <w:rPr>
          <w:rFonts w:cs="Arial"/>
          <w:sz w:val="24"/>
          <w:szCs w:val="24"/>
        </w:rPr>
      </w:pPr>
      <w:r w:rsidRPr="00B05A21">
        <w:rPr>
          <w:rFonts w:cs="Arial"/>
          <w:sz w:val="24"/>
          <w:szCs w:val="24"/>
        </w:rPr>
        <w:t>Participates in negotiations sessions;</w:t>
      </w:r>
    </w:p>
    <w:p w:rsidR="004B099A" w:rsidRPr="00B05A21" w:rsidRDefault="004B099A" w:rsidP="00D7107B">
      <w:pPr>
        <w:pStyle w:val="TableBullet"/>
        <w:numPr>
          <w:ilvl w:val="0"/>
          <w:numId w:val="26"/>
        </w:numPr>
        <w:rPr>
          <w:rFonts w:cs="Arial"/>
          <w:sz w:val="24"/>
          <w:szCs w:val="24"/>
        </w:rPr>
      </w:pPr>
      <w:r w:rsidRPr="00B05A21">
        <w:rPr>
          <w:rFonts w:cs="Arial"/>
          <w:sz w:val="24"/>
          <w:szCs w:val="24"/>
        </w:rPr>
        <w:t>Develops and provides revised proposal materials for state review and agreement during the negotiation sessions; and</w:t>
      </w:r>
    </w:p>
    <w:p w:rsidR="004B099A" w:rsidRPr="00B05A21" w:rsidRDefault="004B099A" w:rsidP="00D7107B">
      <w:pPr>
        <w:pStyle w:val="TableBullet"/>
        <w:numPr>
          <w:ilvl w:val="0"/>
          <w:numId w:val="26"/>
        </w:numPr>
        <w:rPr>
          <w:rFonts w:cs="Arial"/>
          <w:sz w:val="24"/>
          <w:szCs w:val="24"/>
        </w:rPr>
      </w:pPr>
      <w:r w:rsidRPr="00B05A21">
        <w:rPr>
          <w:rFonts w:cs="Arial"/>
          <w:sz w:val="24"/>
          <w:szCs w:val="24"/>
        </w:rPr>
        <w:t>Provides Best and Final Offer (BAFO) that incorporates all negotiated changes.</w:t>
      </w:r>
    </w:p>
    <w:p w:rsidR="006531A5" w:rsidRPr="00B05A21" w:rsidRDefault="006531A5" w:rsidP="006531A5">
      <w:pPr>
        <w:pStyle w:val="Heading3"/>
        <w:spacing w:after="120"/>
        <w:jc w:val="left"/>
        <w:rPr>
          <w:rFonts w:cs="Arial"/>
          <w:bCs/>
          <w:sz w:val="24"/>
          <w:szCs w:val="24"/>
        </w:rPr>
      </w:pPr>
      <w:bookmarkStart w:id="329" w:name="_Toc12886057"/>
      <w:r w:rsidRPr="00B05A21">
        <w:rPr>
          <w:rFonts w:cs="Arial"/>
          <w:bCs/>
          <w:sz w:val="24"/>
          <w:szCs w:val="24"/>
        </w:rPr>
        <w:t>2.C6.5   Procedure when conducting negotiations from the outset of a procurement</w:t>
      </w:r>
      <w:bookmarkEnd w:id="329"/>
    </w:p>
    <w:p w:rsidR="004B099A" w:rsidRPr="004E5E35" w:rsidRDefault="004B099A" w:rsidP="004E5E35">
      <w:pPr>
        <w:pStyle w:val="HTMLPreformatted"/>
        <w:spacing w:line="276" w:lineRule="auto"/>
        <w:rPr>
          <w:rFonts w:ascii="Arial" w:hAnsi="Arial" w:cs="Arial"/>
          <w:sz w:val="24"/>
          <w:szCs w:val="24"/>
        </w:rPr>
      </w:pPr>
      <w:r w:rsidRPr="004E5E35">
        <w:rPr>
          <w:rFonts w:ascii="Arial" w:hAnsi="Arial" w:cs="Arial"/>
          <w:sz w:val="24"/>
          <w:szCs w:val="24"/>
        </w:rPr>
        <w:t>Departments shall follow this procedure when conducting negotiations from the outset of a procurement:</w:t>
      </w:r>
    </w:p>
    <w:p w:rsidR="004B099A" w:rsidRPr="00B05A21" w:rsidRDefault="004B099A" w:rsidP="00CF7D13">
      <w:pPr>
        <w:pStyle w:val="ListParagraph"/>
        <w:numPr>
          <w:ilvl w:val="0"/>
          <w:numId w:val="29"/>
        </w:numPr>
        <w:ind w:left="432"/>
        <w:rPr>
          <w:rFonts w:cs="Arial"/>
          <w:bCs/>
          <w:szCs w:val="24"/>
        </w:rPr>
      </w:pPr>
      <w:r w:rsidRPr="00B05A21">
        <w:rPr>
          <w:rFonts w:cs="Arial"/>
          <w:bCs/>
          <w:szCs w:val="24"/>
        </w:rPr>
        <w:t>With the exception of CDT,</w:t>
      </w:r>
      <w:r w:rsidRPr="00B05A21" w:rsidDel="00837E56">
        <w:rPr>
          <w:rFonts w:cs="Arial"/>
          <w:bCs/>
          <w:szCs w:val="24"/>
        </w:rPr>
        <w:t xml:space="preserve"> </w:t>
      </w:r>
      <w:r w:rsidRPr="00B05A21">
        <w:rPr>
          <w:rFonts w:cs="Arial"/>
          <w:bCs/>
          <w:szCs w:val="24"/>
        </w:rPr>
        <w:t>obtain approval from DGS to utilize negotiations (see Section 2.C5.1 above).</w:t>
      </w:r>
    </w:p>
    <w:p w:rsidR="004B099A" w:rsidRPr="00B05A21" w:rsidRDefault="004B099A" w:rsidP="00CF7D13">
      <w:pPr>
        <w:pStyle w:val="ListParagraph"/>
        <w:numPr>
          <w:ilvl w:val="0"/>
          <w:numId w:val="29"/>
        </w:numPr>
        <w:ind w:left="432"/>
        <w:rPr>
          <w:rFonts w:cs="Arial"/>
          <w:bCs/>
          <w:szCs w:val="24"/>
        </w:rPr>
      </w:pPr>
      <w:r w:rsidRPr="00B05A21">
        <w:rPr>
          <w:rFonts w:cs="Arial"/>
          <w:bCs/>
          <w:szCs w:val="24"/>
        </w:rPr>
        <w:t xml:space="preserve">Craft a solicitation under the authority of PCC 6611. The solicitation should include initial administrative and technical requirements, a cost proposal, evaluation criteria, and reference the state’s general provisions. It should also explain the general purpose and scope of the negotiations, the anticipated schedule for the negotiations; and the procedures to be followed for those negotiations See Section 2.C5.1 for template. </w:t>
      </w:r>
    </w:p>
    <w:p w:rsidR="004B099A" w:rsidRPr="00B05A21" w:rsidRDefault="004B099A" w:rsidP="00CF7D13">
      <w:pPr>
        <w:pStyle w:val="ListParagraph"/>
        <w:numPr>
          <w:ilvl w:val="0"/>
          <w:numId w:val="29"/>
        </w:numPr>
        <w:ind w:left="432" w:hanging="375"/>
        <w:rPr>
          <w:rFonts w:cs="Arial"/>
          <w:bCs/>
          <w:szCs w:val="24"/>
        </w:rPr>
      </w:pPr>
      <w:r w:rsidRPr="00B05A21">
        <w:rPr>
          <w:rFonts w:cs="Arial"/>
          <w:bCs/>
          <w:szCs w:val="24"/>
        </w:rPr>
        <w:t xml:space="preserve">Identify in the solicitation document the requirements for bidders to be included in negotiations.  This may include, but is not limited to, establishment of objective pre-requisites based on capabilities, experience, expertise, or capacity.  </w:t>
      </w:r>
    </w:p>
    <w:p w:rsidR="004B099A" w:rsidRPr="00B05A21" w:rsidRDefault="004B099A" w:rsidP="00CF7D13">
      <w:pPr>
        <w:pStyle w:val="ListParagraph"/>
        <w:numPr>
          <w:ilvl w:val="0"/>
          <w:numId w:val="29"/>
        </w:numPr>
        <w:ind w:left="432" w:hanging="372"/>
        <w:rPr>
          <w:rFonts w:cs="Arial"/>
          <w:bCs/>
          <w:szCs w:val="24"/>
        </w:rPr>
      </w:pPr>
      <w:r w:rsidRPr="00B05A21">
        <w:rPr>
          <w:rFonts w:cs="Arial"/>
          <w:bCs/>
          <w:szCs w:val="24"/>
        </w:rPr>
        <w:t xml:space="preserve">Determine the negotiation sequence which may include the order of steps such as negotiations, bid submission, evaluation, confidential discussions, supplemental bid submission, and contract award. </w:t>
      </w:r>
    </w:p>
    <w:p w:rsidR="004B099A" w:rsidRPr="00B05A21" w:rsidRDefault="004B099A" w:rsidP="00CF7D13">
      <w:pPr>
        <w:pStyle w:val="ListParagraph"/>
        <w:numPr>
          <w:ilvl w:val="0"/>
          <w:numId w:val="29"/>
        </w:numPr>
        <w:ind w:left="432" w:hanging="372"/>
        <w:rPr>
          <w:rFonts w:cs="Arial"/>
          <w:bCs/>
          <w:szCs w:val="24"/>
        </w:rPr>
      </w:pPr>
      <w:r w:rsidRPr="00B05A21">
        <w:rPr>
          <w:rFonts w:cs="Arial"/>
          <w:bCs/>
          <w:szCs w:val="24"/>
        </w:rPr>
        <w:t>Evaluate bids.</w:t>
      </w:r>
    </w:p>
    <w:p w:rsidR="004B099A" w:rsidRPr="00B05A21" w:rsidRDefault="004B099A" w:rsidP="00CF7D13">
      <w:pPr>
        <w:pStyle w:val="ListParagraph"/>
        <w:numPr>
          <w:ilvl w:val="1"/>
          <w:numId w:val="29"/>
        </w:numPr>
        <w:ind w:left="882"/>
        <w:rPr>
          <w:rFonts w:cs="Arial"/>
          <w:bCs/>
          <w:szCs w:val="24"/>
        </w:rPr>
      </w:pPr>
      <w:r w:rsidRPr="00B05A21">
        <w:rPr>
          <w:rFonts w:cs="Arial"/>
          <w:bCs/>
          <w:szCs w:val="24"/>
        </w:rPr>
        <w:lastRenderedPageBreak/>
        <w:t>The solicitation may allow for evaluation of all bids, even bids that would not be responsive under the rules of PCC 12100 et seq. Alternatively, the solicitation may require that bids meet certain minimum criteria in order to be evaluated.</w:t>
      </w:r>
    </w:p>
    <w:p w:rsidR="004B099A" w:rsidRPr="00B0002F" w:rsidRDefault="004B099A" w:rsidP="00B0002F">
      <w:pPr>
        <w:pStyle w:val="ListParagraph"/>
        <w:numPr>
          <w:ilvl w:val="1"/>
          <w:numId w:val="29"/>
        </w:numPr>
        <w:ind w:left="882"/>
        <w:rPr>
          <w:rFonts w:cs="Arial"/>
          <w:bCs/>
          <w:szCs w:val="24"/>
        </w:rPr>
      </w:pPr>
      <w:r w:rsidRPr="00B0002F">
        <w:rPr>
          <w:rFonts w:cs="Arial"/>
          <w:bCs/>
          <w:szCs w:val="24"/>
        </w:rPr>
        <w:t>Buyers may choose to establish an evaluation team to evaluate bids according to the methodology specified in the solicitation.</w:t>
      </w:r>
    </w:p>
    <w:p w:rsidR="004B099A" w:rsidRPr="00B0002F" w:rsidRDefault="004B099A" w:rsidP="00B0002F">
      <w:pPr>
        <w:pStyle w:val="ListParagraph"/>
        <w:numPr>
          <w:ilvl w:val="1"/>
          <w:numId w:val="29"/>
        </w:numPr>
        <w:ind w:left="882"/>
        <w:rPr>
          <w:rFonts w:cs="Arial"/>
          <w:bCs/>
          <w:szCs w:val="24"/>
        </w:rPr>
      </w:pPr>
      <w:r w:rsidRPr="00B0002F">
        <w:rPr>
          <w:rFonts w:cs="Arial"/>
          <w:bCs/>
          <w:szCs w:val="24"/>
        </w:rPr>
        <w:t>Establish initial scores either via ranking, as a percentage of total possible points, or other method that clearly differentiates between each bid.</w:t>
      </w:r>
    </w:p>
    <w:p w:rsidR="007D5B4F" w:rsidRPr="00B05A21" w:rsidRDefault="007D5B4F">
      <w:pPr>
        <w:rPr>
          <w:rFonts w:ascii="Arial" w:hAnsi="Arial" w:cs="Arial"/>
        </w:rPr>
      </w:pPr>
    </w:p>
    <w:p w:rsidR="00D72C41" w:rsidRDefault="00D72C41" w:rsidP="00B0002F">
      <w:pPr>
        <w:pStyle w:val="ListParagraph"/>
        <w:numPr>
          <w:ilvl w:val="0"/>
          <w:numId w:val="29"/>
        </w:numPr>
        <w:ind w:left="432" w:hanging="372"/>
        <w:rPr>
          <w:rFonts w:cs="Arial"/>
          <w:bCs/>
          <w:szCs w:val="24"/>
        </w:rPr>
      </w:pPr>
      <w:r w:rsidRPr="00B0002F">
        <w:rPr>
          <w:rFonts w:cs="Arial"/>
          <w:bCs/>
          <w:szCs w:val="24"/>
        </w:rPr>
        <w:t>Negotiate.</w:t>
      </w:r>
    </w:p>
    <w:p w:rsidR="00D72C41" w:rsidRPr="00B0002F" w:rsidRDefault="00D72C41" w:rsidP="00B0002F">
      <w:pPr>
        <w:pStyle w:val="ListParagraph"/>
        <w:numPr>
          <w:ilvl w:val="1"/>
          <w:numId w:val="29"/>
        </w:numPr>
        <w:ind w:left="882"/>
        <w:rPr>
          <w:rFonts w:cs="Arial"/>
          <w:bCs/>
          <w:szCs w:val="24"/>
        </w:rPr>
      </w:pPr>
      <w:r w:rsidRPr="00B0002F">
        <w:rPr>
          <w:rFonts w:cs="Arial"/>
          <w:bCs/>
          <w:szCs w:val="24"/>
        </w:rPr>
        <w:t xml:space="preserve">Follow the rules of the solicitation in negotiating with bidders. </w:t>
      </w:r>
    </w:p>
    <w:p w:rsidR="00D72C41" w:rsidRPr="00B0002F" w:rsidRDefault="00D72C41" w:rsidP="00B0002F">
      <w:pPr>
        <w:pStyle w:val="ListParagraph"/>
        <w:numPr>
          <w:ilvl w:val="1"/>
          <w:numId w:val="29"/>
        </w:numPr>
        <w:ind w:left="882"/>
        <w:rPr>
          <w:rFonts w:cs="Arial"/>
          <w:bCs/>
          <w:szCs w:val="24"/>
        </w:rPr>
      </w:pPr>
      <w:r w:rsidRPr="00B0002F">
        <w:rPr>
          <w:rFonts w:cs="Arial"/>
          <w:bCs/>
          <w:szCs w:val="24"/>
        </w:rPr>
        <w:t xml:space="preserve">Negotiations may be completed after a single round, or may be done in several rounds. </w:t>
      </w:r>
    </w:p>
    <w:p w:rsidR="00D72C41" w:rsidRPr="00B0002F" w:rsidRDefault="00D72C41" w:rsidP="00B0002F">
      <w:pPr>
        <w:pStyle w:val="ListParagraph"/>
        <w:numPr>
          <w:ilvl w:val="1"/>
          <w:numId w:val="29"/>
        </w:numPr>
        <w:ind w:left="882"/>
        <w:rPr>
          <w:rFonts w:cs="Arial"/>
          <w:bCs/>
          <w:szCs w:val="24"/>
        </w:rPr>
      </w:pPr>
      <w:r w:rsidRPr="00B0002F">
        <w:rPr>
          <w:rFonts w:cs="Arial"/>
          <w:bCs/>
          <w:szCs w:val="24"/>
        </w:rPr>
        <w:t>Negotiations may be conducted orally and/or in writing. Oral negotiations may be held in person by conference call, or by use of video or web conferencing.</w:t>
      </w:r>
    </w:p>
    <w:p w:rsidR="00D72C41" w:rsidRPr="00B0002F" w:rsidRDefault="00D72C41" w:rsidP="00B0002F">
      <w:pPr>
        <w:pStyle w:val="ListParagraph"/>
        <w:numPr>
          <w:ilvl w:val="1"/>
          <w:numId w:val="29"/>
        </w:numPr>
        <w:ind w:left="882"/>
        <w:rPr>
          <w:rFonts w:cs="Arial"/>
          <w:bCs/>
          <w:szCs w:val="24"/>
        </w:rPr>
      </w:pPr>
      <w:r w:rsidRPr="00B0002F">
        <w:rPr>
          <w:rFonts w:cs="Arial"/>
          <w:bCs/>
          <w:szCs w:val="24"/>
        </w:rPr>
        <w:t xml:space="preserve">The negotiation process may include persuasion, alteration of assumptions and positions, give and take, and may apply to price, schedule, requirements, or other terms of the proposed contract. The state may discuss other aspects of the Bidder’s proposal that could, in the opinion of the state, be altered or explained to enhance materially the proposal’s potential for award. However, the state is not required to discuss every area where the Bidder’s proposal could be improved. The scope and extent of negotiation exchanges are the matter of the state’s judgment.  All Bidders currently in negotiations will be notified of changes in requirements. </w:t>
      </w:r>
    </w:p>
    <w:p w:rsidR="00D72C41" w:rsidRPr="00B0002F" w:rsidRDefault="00D72C41" w:rsidP="00B0002F">
      <w:pPr>
        <w:pStyle w:val="ListParagraph"/>
        <w:numPr>
          <w:ilvl w:val="1"/>
          <w:numId w:val="29"/>
        </w:numPr>
        <w:ind w:left="882"/>
        <w:rPr>
          <w:rFonts w:cs="Arial"/>
          <w:bCs/>
          <w:szCs w:val="24"/>
        </w:rPr>
      </w:pPr>
      <w:r w:rsidRPr="00B0002F">
        <w:rPr>
          <w:rFonts w:cs="Arial"/>
          <w:bCs/>
          <w:szCs w:val="24"/>
        </w:rPr>
        <w:t>The state may establish a negotiation team to consist of representatives from DGS and the requesting department, and other state representatives as appropriate.  The table in 2.C5.4 identifies the general roles and responsibilities of a negotiation team although the composition of any team may vary based upon the procurement.</w:t>
      </w:r>
    </w:p>
    <w:p w:rsidR="00D72C41" w:rsidRPr="00B0002F" w:rsidRDefault="00D72C41" w:rsidP="00B0002F">
      <w:pPr>
        <w:pStyle w:val="ListParagraph"/>
        <w:numPr>
          <w:ilvl w:val="0"/>
          <w:numId w:val="29"/>
        </w:numPr>
        <w:ind w:left="432" w:hanging="372"/>
        <w:rPr>
          <w:rFonts w:cs="Arial"/>
          <w:bCs/>
          <w:szCs w:val="24"/>
        </w:rPr>
      </w:pPr>
      <w:r w:rsidRPr="00B0002F">
        <w:rPr>
          <w:rFonts w:cs="Arial"/>
          <w:bCs/>
          <w:szCs w:val="24"/>
        </w:rPr>
        <w:t>Supplemental bids may be received after initial bids are opened.  At the conclusion of negotiations, Bidders may be given an opportunity to submit a Best And Final Offer (BAFO) to the state.  The state will establish a date and time for receipt of each Bidder’s BAFO.</w:t>
      </w:r>
    </w:p>
    <w:p w:rsidR="00D72C41" w:rsidRPr="00B0002F" w:rsidRDefault="00D72C41" w:rsidP="00B0002F">
      <w:pPr>
        <w:pStyle w:val="ListParagraph"/>
        <w:numPr>
          <w:ilvl w:val="0"/>
          <w:numId w:val="29"/>
        </w:numPr>
        <w:ind w:left="432" w:hanging="372"/>
        <w:rPr>
          <w:rFonts w:cs="Arial"/>
          <w:bCs/>
          <w:szCs w:val="24"/>
        </w:rPr>
      </w:pPr>
      <w:r w:rsidRPr="00B0002F">
        <w:rPr>
          <w:rFonts w:cs="Arial"/>
          <w:bCs/>
          <w:szCs w:val="24"/>
        </w:rPr>
        <w:t xml:space="preserve">Final evaluation and award.  Use one of the following options to make a final award: </w:t>
      </w:r>
    </w:p>
    <w:p w:rsidR="00D72C41" w:rsidRPr="00B0002F" w:rsidRDefault="00D72C41" w:rsidP="00B0002F">
      <w:pPr>
        <w:pStyle w:val="ListParagraph"/>
        <w:numPr>
          <w:ilvl w:val="1"/>
          <w:numId w:val="29"/>
        </w:numPr>
        <w:ind w:left="882"/>
        <w:rPr>
          <w:rFonts w:cs="Arial"/>
          <w:bCs/>
          <w:szCs w:val="24"/>
        </w:rPr>
      </w:pPr>
      <w:r w:rsidRPr="00B0002F">
        <w:rPr>
          <w:rFonts w:cs="Arial"/>
          <w:bCs/>
          <w:szCs w:val="24"/>
        </w:rPr>
        <w:t xml:space="preserve">Using the original criteria in the solicitation, score all proposals based on either the results of negotiations or, if applicable, the BAFO.  Award to the highest ranked bidder. </w:t>
      </w:r>
    </w:p>
    <w:p w:rsidR="00D72C41" w:rsidRPr="00B0002F" w:rsidRDefault="00D72C41" w:rsidP="00B0002F">
      <w:pPr>
        <w:pStyle w:val="ListParagraph"/>
        <w:numPr>
          <w:ilvl w:val="1"/>
          <w:numId w:val="29"/>
        </w:numPr>
        <w:ind w:left="882"/>
        <w:rPr>
          <w:rFonts w:cs="Arial"/>
          <w:bCs/>
          <w:szCs w:val="24"/>
        </w:rPr>
      </w:pPr>
      <w:r w:rsidRPr="00B0002F">
        <w:rPr>
          <w:rFonts w:cs="Arial"/>
          <w:bCs/>
          <w:szCs w:val="24"/>
        </w:rPr>
        <w:t xml:space="preserve">Revise the evaluation criteria based on the results of the negotiations.  Prior to final evaluation, all bidders participating in negotiations shall be informed of the revised evaluation criteria and shall have the opportunity to submit a BAFO based on those criteria.  Award to the highest-ranked bidder. </w:t>
      </w:r>
    </w:p>
    <w:p w:rsidR="00D72C41" w:rsidRPr="00B0002F" w:rsidRDefault="00D72C41" w:rsidP="00B0002F">
      <w:pPr>
        <w:pStyle w:val="ListParagraph"/>
        <w:numPr>
          <w:ilvl w:val="0"/>
          <w:numId w:val="29"/>
        </w:numPr>
        <w:ind w:left="432" w:hanging="372"/>
        <w:rPr>
          <w:rFonts w:cs="Arial"/>
          <w:bCs/>
          <w:szCs w:val="24"/>
        </w:rPr>
      </w:pPr>
      <w:r w:rsidRPr="00B0002F">
        <w:rPr>
          <w:rFonts w:cs="Arial"/>
          <w:bCs/>
          <w:szCs w:val="24"/>
        </w:rPr>
        <w:t>Issue a final evaluation and selection report documenting any decisions relating to selection of bidders to participate in negotiations, final scoring of proposals, and award decisions.</w:t>
      </w:r>
    </w:p>
    <w:p w:rsidR="00D72C41" w:rsidRPr="00B0002F" w:rsidRDefault="00D72C41" w:rsidP="00B0002F">
      <w:pPr>
        <w:pStyle w:val="ListParagraph"/>
        <w:numPr>
          <w:ilvl w:val="0"/>
          <w:numId w:val="29"/>
        </w:numPr>
        <w:ind w:left="432" w:hanging="372"/>
        <w:rPr>
          <w:rFonts w:cs="Arial"/>
          <w:bCs/>
          <w:szCs w:val="24"/>
        </w:rPr>
      </w:pPr>
      <w:r w:rsidRPr="00B0002F">
        <w:rPr>
          <w:rFonts w:cs="Arial"/>
          <w:bCs/>
          <w:szCs w:val="24"/>
        </w:rPr>
        <w:t>DGS or CDT, as applicable, may terminate negotiations and/or the solicitation at any time.</w:t>
      </w:r>
    </w:p>
    <w:p w:rsidR="007D5B4F" w:rsidRPr="00B05A21" w:rsidRDefault="007D5B4F" w:rsidP="007D5B4F">
      <w:pPr>
        <w:pStyle w:val="BlockLine"/>
        <w:rPr>
          <w:rFonts w:ascii="Arial" w:hAnsi="Arial" w:cs="Arial"/>
          <w:szCs w:val="24"/>
        </w:rPr>
      </w:pPr>
    </w:p>
    <w:p w:rsidR="006531A5" w:rsidRPr="00B05A21" w:rsidRDefault="006531A5" w:rsidP="006531A5">
      <w:pPr>
        <w:pStyle w:val="Heading3"/>
        <w:spacing w:after="120"/>
        <w:jc w:val="left"/>
        <w:rPr>
          <w:rFonts w:cs="Arial"/>
          <w:bCs/>
          <w:sz w:val="24"/>
          <w:szCs w:val="24"/>
        </w:rPr>
      </w:pPr>
      <w:bookmarkStart w:id="330" w:name="_Toc12886058"/>
      <w:r w:rsidRPr="00B05A21">
        <w:rPr>
          <w:rFonts w:cs="Arial"/>
          <w:bCs/>
          <w:sz w:val="24"/>
          <w:szCs w:val="24"/>
        </w:rPr>
        <w:t xml:space="preserve">2.C6.6   Procedure when conducting negotiations during a procurement </w:t>
      </w:r>
      <w:bookmarkEnd w:id="330"/>
    </w:p>
    <w:p w:rsidR="006531A5" w:rsidRPr="004E5E35" w:rsidRDefault="006531A5" w:rsidP="004E5E35">
      <w:pPr>
        <w:pStyle w:val="HTMLPreformatted"/>
        <w:spacing w:line="276" w:lineRule="auto"/>
        <w:rPr>
          <w:rFonts w:ascii="Arial" w:hAnsi="Arial" w:cs="Arial"/>
          <w:sz w:val="24"/>
          <w:szCs w:val="24"/>
        </w:rPr>
      </w:pPr>
      <w:r w:rsidRPr="004E5E35">
        <w:rPr>
          <w:rFonts w:ascii="Arial" w:hAnsi="Arial" w:cs="Arial"/>
          <w:sz w:val="24"/>
          <w:szCs w:val="24"/>
        </w:rPr>
        <w:lastRenderedPageBreak/>
        <w:t>Departments shall follow these steps when conducting negotiations during a competitive procurement in which at least one responsive, responsible bid has been received:</w:t>
      </w:r>
    </w:p>
    <w:p w:rsidR="006531A5" w:rsidRPr="00B05A21" w:rsidRDefault="006531A5" w:rsidP="00CF7D13">
      <w:pPr>
        <w:pStyle w:val="ListParagraph"/>
        <w:numPr>
          <w:ilvl w:val="0"/>
          <w:numId w:val="30"/>
        </w:numPr>
        <w:ind w:left="432"/>
        <w:rPr>
          <w:rFonts w:cs="Arial"/>
          <w:bCs/>
          <w:szCs w:val="24"/>
        </w:rPr>
      </w:pPr>
      <w:r w:rsidRPr="00B05A21">
        <w:rPr>
          <w:rFonts w:cs="Arial"/>
          <w:bCs/>
          <w:szCs w:val="24"/>
        </w:rPr>
        <w:t>Obtain approval from DGS to utilize negotiations (see Section 2.C5.1 for template.).</w:t>
      </w:r>
    </w:p>
    <w:p w:rsidR="006531A5" w:rsidRPr="00B05A21" w:rsidRDefault="006531A5" w:rsidP="00B0002F">
      <w:pPr>
        <w:pStyle w:val="ListParagraph"/>
        <w:numPr>
          <w:ilvl w:val="0"/>
          <w:numId w:val="30"/>
        </w:numPr>
        <w:ind w:left="432"/>
        <w:rPr>
          <w:rFonts w:cs="Arial"/>
          <w:bCs/>
          <w:szCs w:val="24"/>
        </w:rPr>
      </w:pPr>
      <w:r w:rsidRPr="00B05A21">
        <w:rPr>
          <w:rFonts w:cs="Arial"/>
          <w:bCs/>
          <w:szCs w:val="24"/>
        </w:rPr>
        <w:t xml:space="preserve">Only bidders that submitted responsive, responsible bids may participate in negotiations.  Notify bidders that will be selected to participate in negotiations. Buyers must establish the criteria for selection in the solicitation either from the outset or via addendum.  Examples include:  </w:t>
      </w:r>
    </w:p>
    <w:p w:rsidR="006531A5" w:rsidRPr="00B05A21" w:rsidRDefault="006531A5" w:rsidP="00B0002F">
      <w:pPr>
        <w:pStyle w:val="ListParagraph"/>
        <w:numPr>
          <w:ilvl w:val="1"/>
          <w:numId w:val="29"/>
        </w:numPr>
        <w:ind w:left="882"/>
        <w:rPr>
          <w:rFonts w:cs="Arial"/>
          <w:bCs/>
          <w:szCs w:val="24"/>
        </w:rPr>
      </w:pPr>
      <w:r w:rsidRPr="00B05A21">
        <w:rPr>
          <w:rFonts w:cs="Arial"/>
          <w:bCs/>
          <w:szCs w:val="24"/>
        </w:rPr>
        <w:t>Negotiate with all responsive, responsible bidders.</w:t>
      </w:r>
    </w:p>
    <w:p w:rsidR="006531A5" w:rsidRPr="00B05A21" w:rsidRDefault="006531A5" w:rsidP="00B0002F">
      <w:pPr>
        <w:pStyle w:val="ListParagraph"/>
        <w:numPr>
          <w:ilvl w:val="1"/>
          <w:numId w:val="29"/>
        </w:numPr>
        <w:ind w:left="882"/>
        <w:rPr>
          <w:rFonts w:cs="Arial"/>
          <w:bCs/>
          <w:szCs w:val="24"/>
        </w:rPr>
      </w:pPr>
      <w:r w:rsidRPr="00B05A21">
        <w:rPr>
          <w:rFonts w:cs="Arial"/>
          <w:bCs/>
          <w:szCs w:val="24"/>
        </w:rPr>
        <w:t>Establish a competitive range based on bidders’ rankings following bid/proposal evaluations.</w:t>
      </w:r>
    </w:p>
    <w:p w:rsidR="006531A5" w:rsidRPr="00B05A21" w:rsidRDefault="006531A5" w:rsidP="00B0002F">
      <w:pPr>
        <w:pStyle w:val="ListParagraph"/>
        <w:numPr>
          <w:ilvl w:val="1"/>
          <w:numId w:val="29"/>
        </w:numPr>
        <w:ind w:left="882"/>
        <w:rPr>
          <w:rFonts w:cs="Arial"/>
          <w:bCs/>
          <w:szCs w:val="24"/>
        </w:rPr>
      </w:pPr>
      <w:r w:rsidRPr="00B05A21">
        <w:rPr>
          <w:rFonts w:cs="Arial"/>
          <w:bCs/>
          <w:szCs w:val="24"/>
        </w:rPr>
        <w:t>Initiate negotiations with the highest ranking bidder then, if no agreement can be reached, move on to the next highest ranked bidder continuing until an agreement can be reached.</w:t>
      </w:r>
    </w:p>
    <w:p w:rsidR="006531A5" w:rsidRPr="00B05A21" w:rsidRDefault="006531A5" w:rsidP="00B0002F">
      <w:pPr>
        <w:pStyle w:val="ListParagraph"/>
        <w:numPr>
          <w:ilvl w:val="0"/>
          <w:numId w:val="30"/>
        </w:numPr>
        <w:ind w:left="432"/>
        <w:rPr>
          <w:rFonts w:cs="Arial"/>
          <w:bCs/>
          <w:szCs w:val="24"/>
        </w:rPr>
      </w:pPr>
      <w:r w:rsidRPr="00B05A21">
        <w:rPr>
          <w:rFonts w:cs="Arial"/>
          <w:bCs/>
          <w:szCs w:val="24"/>
        </w:rPr>
        <w:t>Negotiate.  See “Negotiate” (step 6) of Section 2.C5.5 above.</w:t>
      </w:r>
    </w:p>
    <w:p w:rsidR="006531A5" w:rsidRPr="00B05A21" w:rsidRDefault="006531A5" w:rsidP="00B0002F">
      <w:pPr>
        <w:pStyle w:val="ListParagraph"/>
        <w:numPr>
          <w:ilvl w:val="0"/>
          <w:numId w:val="30"/>
        </w:numPr>
        <w:ind w:left="432"/>
        <w:rPr>
          <w:rFonts w:cs="Arial"/>
          <w:bCs/>
          <w:szCs w:val="24"/>
        </w:rPr>
      </w:pPr>
      <w:r w:rsidRPr="00B05A21">
        <w:rPr>
          <w:rFonts w:cs="Arial"/>
          <w:bCs/>
          <w:szCs w:val="24"/>
        </w:rPr>
        <w:t xml:space="preserve">Final evaluation and award.  </w:t>
      </w:r>
      <w:r w:rsidRPr="00B0002F">
        <w:rPr>
          <w:rFonts w:cs="Arial"/>
          <w:bCs/>
          <w:szCs w:val="24"/>
        </w:rPr>
        <w:t xml:space="preserve">Use one of the following options to make a final award: </w:t>
      </w:r>
    </w:p>
    <w:p w:rsidR="006531A5" w:rsidRPr="00B0002F" w:rsidRDefault="006531A5" w:rsidP="00B0002F">
      <w:pPr>
        <w:pStyle w:val="ListParagraph"/>
        <w:numPr>
          <w:ilvl w:val="0"/>
          <w:numId w:val="39"/>
        </w:numPr>
        <w:rPr>
          <w:rFonts w:cs="Arial"/>
          <w:bCs/>
          <w:szCs w:val="24"/>
        </w:rPr>
      </w:pPr>
      <w:r w:rsidRPr="00B0002F">
        <w:rPr>
          <w:rFonts w:cs="Arial"/>
          <w:bCs/>
          <w:szCs w:val="24"/>
        </w:rPr>
        <w:t xml:space="preserve">Using the original criteria in the solicitation, score all proposals based on either the results of negotiations or, if applicable, the BAFO.  Award to the highest ranked bidder. </w:t>
      </w:r>
    </w:p>
    <w:p w:rsidR="006531A5" w:rsidRPr="00B05A21" w:rsidRDefault="006531A5" w:rsidP="00B0002F">
      <w:pPr>
        <w:pStyle w:val="ListParagraph"/>
        <w:numPr>
          <w:ilvl w:val="0"/>
          <w:numId w:val="39"/>
        </w:numPr>
        <w:rPr>
          <w:rFonts w:cs="Arial"/>
          <w:bCs/>
          <w:szCs w:val="24"/>
        </w:rPr>
      </w:pPr>
      <w:r w:rsidRPr="00B0002F">
        <w:rPr>
          <w:rFonts w:cs="Arial"/>
          <w:bCs/>
          <w:szCs w:val="24"/>
        </w:rPr>
        <w:t>Revise the evaluation criteria based on the results of the negotiations.  Prior to final evaluation, all bidders participating in negotiations shall be informed of the revised evaluation criteria and shall have the opportunity to submit a BAFO based on those criteria.  Award to the highest-ranked bidder.</w:t>
      </w:r>
    </w:p>
    <w:p w:rsidR="006531A5" w:rsidRPr="00B0002F" w:rsidRDefault="006531A5" w:rsidP="00B0002F">
      <w:pPr>
        <w:pStyle w:val="ListParagraph"/>
        <w:numPr>
          <w:ilvl w:val="0"/>
          <w:numId w:val="30"/>
        </w:numPr>
        <w:ind w:left="432"/>
        <w:rPr>
          <w:rFonts w:cs="Arial"/>
          <w:bCs/>
          <w:szCs w:val="24"/>
        </w:rPr>
      </w:pPr>
      <w:r w:rsidRPr="00B0002F">
        <w:rPr>
          <w:rFonts w:cs="Arial"/>
          <w:bCs/>
          <w:szCs w:val="24"/>
        </w:rPr>
        <w:t>Issue a final evaluation and selection report documenting any decisions relating to selection of bidders to participate in negotiations, final scoring of proposals, and award decisions.</w:t>
      </w:r>
    </w:p>
    <w:p w:rsidR="00CF7D13" w:rsidRPr="00B0002F" w:rsidRDefault="006531A5" w:rsidP="00B0002F">
      <w:pPr>
        <w:pStyle w:val="ListParagraph"/>
        <w:numPr>
          <w:ilvl w:val="0"/>
          <w:numId w:val="30"/>
        </w:numPr>
        <w:ind w:left="432"/>
        <w:rPr>
          <w:rFonts w:cs="Arial"/>
          <w:bCs/>
          <w:szCs w:val="24"/>
        </w:rPr>
      </w:pPr>
      <w:r w:rsidRPr="00B0002F">
        <w:rPr>
          <w:rFonts w:cs="Arial"/>
          <w:bCs/>
          <w:szCs w:val="24"/>
        </w:rPr>
        <w:t>DGS or CDT, as applicable, may terminate negotiations and/or the solicitation at any time.</w:t>
      </w:r>
    </w:p>
    <w:p w:rsidR="00601A9F" w:rsidRPr="00B05A21" w:rsidRDefault="00601A9F" w:rsidP="00601A9F">
      <w:pPr>
        <w:pStyle w:val="Heading3"/>
        <w:spacing w:after="120"/>
        <w:jc w:val="left"/>
        <w:rPr>
          <w:rFonts w:cs="Arial"/>
          <w:bCs/>
          <w:sz w:val="24"/>
          <w:szCs w:val="24"/>
        </w:rPr>
      </w:pPr>
      <w:bookmarkStart w:id="331" w:name="_Toc12886059"/>
      <w:r w:rsidRPr="00B05A21">
        <w:rPr>
          <w:rFonts w:cs="Arial"/>
          <w:bCs/>
          <w:sz w:val="24"/>
          <w:szCs w:val="24"/>
        </w:rPr>
        <w:t xml:space="preserve">2.C6.7   Procedure when no responsive bids are received </w:t>
      </w:r>
      <w:bookmarkEnd w:id="331"/>
    </w:p>
    <w:p w:rsidR="00601A9F" w:rsidRPr="00B0002F" w:rsidRDefault="00601A9F" w:rsidP="00B0002F">
      <w:pPr>
        <w:pStyle w:val="HTMLPreformatted"/>
        <w:spacing w:line="276" w:lineRule="auto"/>
        <w:rPr>
          <w:rFonts w:ascii="Arial" w:hAnsi="Arial" w:cs="Arial"/>
          <w:sz w:val="24"/>
          <w:szCs w:val="24"/>
        </w:rPr>
      </w:pPr>
      <w:r w:rsidRPr="00B0002F">
        <w:rPr>
          <w:rFonts w:ascii="Arial" w:hAnsi="Arial" w:cs="Arial"/>
          <w:sz w:val="24"/>
          <w:szCs w:val="24"/>
        </w:rPr>
        <w:t xml:space="preserve">In rare cases, it may be necessary to negotiate with bidders participating in a competitive procurement even when no responsive, responsible bid has been received.  This can happen when repeated solicitations yield no bidders or when the complexity of the administrative, technical or cost requirements results in all bids failing to meet the requirements.  Departments shall follow these steps in those circumstances. </w:t>
      </w:r>
    </w:p>
    <w:p w:rsidR="00601A9F" w:rsidRPr="00B05A21" w:rsidRDefault="00601A9F" w:rsidP="00601A9F">
      <w:pPr>
        <w:pStyle w:val="ListParagraph"/>
        <w:numPr>
          <w:ilvl w:val="0"/>
          <w:numId w:val="31"/>
        </w:numPr>
        <w:ind w:left="432"/>
        <w:rPr>
          <w:rFonts w:cs="Arial"/>
          <w:bCs/>
          <w:szCs w:val="24"/>
        </w:rPr>
      </w:pPr>
      <w:r w:rsidRPr="00B05A21">
        <w:rPr>
          <w:rFonts w:cs="Arial"/>
          <w:bCs/>
          <w:szCs w:val="24"/>
        </w:rPr>
        <w:t xml:space="preserve">Obtain approval from DGS </w:t>
      </w:r>
      <w:r w:rsidRPr="00B05A21">
        <w:rPr>
          <w:rFonts w:cs="Arial"/>
          <w:szCs w:val="24"/>
        </w:rPr>
        <w:t>or CDT, as applicable,</w:t>
      </w:r>
      <w:r w:rsidRPr="00B05A21">
        <w:rPr>
          <w:rFonts w:cs="Arial"/>
          <w:bCs/>
          <w:szCs w:val="24"/>
        </w:rPr>
        <w:t xml:space="preserve"> to use negotiations. See Section 2.C5.1.  Usually, subsection 3, “t</w:t>
      </w:r>
      <w:r w:rsidRPr="00B05A21">
        <w:rPr>
          <w:rFonts w:cs="Arial"/>
          <w:szCs w:val="24"/>
        </w:rPr>
        <w:t>he complexity of the purpose or need suggests a bidder’s costs to prepare and develop a solicitation response are extremely high” or subsection 4, “negotiation is necessary to ensure the department is receiving the best value” from Section 2.C5.2 will apply.</w:t>
      </w:r>
    </w:p>
    <w:p w:rsidR="00601A9F" w:rsidRPr="00B05A21" w:rsidRDefault="00601A9F" w:rsidP="00601A9F">
      <w:pPr>
        <w:pStyle w:val="ListParagraph"/>
        <w:numPr>
          <w:ilvl w:val="0"/>
          <w:numId w:val="31"/>
        </w:numPr>
        <w:ind w:left="432"/>
        <w:rPr>
          <w:rFonts w:cs="Arial"/>
          <w:bCs/>
          <w:szCs w:val="24"/>
        </w:rPr>
      </w:pPr>
      <w:r w:rsidRPr="00B05A21">
        <w:rPr>
          <w:rFonts w:cs="Arial"/>
          <w:bCs/>
          <w:szCs w:val="24"/>
        </w:rPr>
        <w:t>If any responsive, responsible bids have been received, buyers must follow the procedures in 2.C5.5 or 2.C5.6.</w:t>
      </w:r>
    </w:p>
    <w:p w:rsidR="00601A9F" w:rsidRPr="00B05A21" w:rsidRDefault="00601A9F" w:rsidP="00601A9F">
      <w:pPr>
        <w:pStyle w:val="ListParagraph"/>
        <w:rPr>
          <w:rFonts w:cs="Arial"/>
          <w:szCs w:val="24"/>
        </w:rPr>
      </w:pPr>
    </w:p>
    <w:p w:rsidR="00CF7D13" w:rsidRPr="00B05A21" w:rsidRDefault="00CF7D13" w:rsidP="00CF7D13">
      <w:pPr>
        <w:rPr>
          <w:rFonts w:ascii="Arial" w:hAnsi="Arial" w:cs="Arial"/>
          <w:vanish/>
        </w:rPr>
      </w:pPr>
    </w:p>
    <w:p w:rsidR="00C46CC7" w:rsidRPr="00B05A21" w:rsidRDefault="00C46CC7" w:rsidP="00AD098E">
      <w:pPr>
        <w:pStyle w:val="Heading3"/>
        <w:spacing w:after="120"/>
        <w:jc w:val="left"/>
        <w:rPr>
          <w:rFonts w:cs="Arial"/>
          <w:bCs/>
          <w:sz w:val="24"/>
          <w:szCs w:val="24"/>
        </w:rPr>
      </w:pPr>
      <w:bookmarkStart w:id="332" w:name="_Toc12886060"/>
      <w:r w:rsidRPr="00B05A21">
        <w:rPr>
          <w:rFonts w:cs="Arial"/>
          <w:bCs/>
          <w:sz w:val="24"/>
          <w:szCs w:val="24"/>
        </w:rPr>
        <w:t>2.C6.7   Procedure when no responsive bids are received</w:t>
      </w:r>
      <w:r w:rsidR="00AD098E" w:rsidRPr="00B05A21">
        <w:rPr>
          <w:rFonts w:cs="Arial"/>
          <w:bCs/>
          <w:sz w:val="24"/>
          <w:szCs w:val="24"/>
        </w:rPr>
        <w:t xml:space="preserve"> </w:t>
      </w:r>
      <w:r w:rsidRPr="00B05A21">
        <w:rPr>
          <w:rFonts w:cs="Arial"/>
          <w:bCs/>
          <w:sz w:val="24"/>
          <w:szCs w:val="24"/>
        </w:rPr>
        <w:t>(continued)</w:t>
      </w:r>
      <w:r w:rsidR="002D1B9C" w:rsidRPr="00B05A21">
        <w:rPr>
          <w:rFonts w:cs="Arial"/>
          <w:b w:val="0"/>
          <w:bCs/>
          <w:sz w:val="24"/>
          <w:szCs w:val="24"/>
        </w:rPr>
        <w:t xml:space="preserve"> </w:t>
      </w:r>
      <w:bookmarkEnd w:id="332"/>
    </w:p>
    <w:p w:rsidR="00C46CC7" w:rsidRPr="00B05A21" w:rsidRDefault="00C46CC7" w:rsidP="00B0002F">
      <w:pPr>
        <w:pStyle w:val="ListParagraph"/>
        <w:numPr>
          <w:ilvl w:val="0"/>
          <w:numId w:val="40"/>
        </w:numPr>
        <w:rPr>
          <w:rFonts w:cs="Arial"/>
          <w:bCs/>
          <w:szCs w:val="24"/>
        </w:rPr>
      </w:pPr>
      <w:r w:rsidRPr="00B05A21">
        <w:rPr>
          <w:rFonts w:cs="Arial"/>
          <w:bCs/>
          <w:szCs w:val="24"/>
        </w:rPr>
        <w:t>In order to use negotiations in this circumstance, the criteria for participation must have been established in the solicitation (either from the outset or through an addendum).  Any of the following criteria may be used:</w:t>
      </w:r>
    </w:p>
    <w:p w:rsidR="00C46CC7" w:rsidRPr="00B05A21" w:rsidRDefault="00C46CC7" w:rsidP="00B0002F">
      <w:pPr>
        <w:pStyle w:val="ListParagraph"/>
        <w:numPr>
          <w:ilvl w:val="0"/>
          <w:numId w:val="41"/>
        </w:numPr>
        <w:rPr>
          <w:rFonts w:cs="Arial"/>
          <w:bCs/>
          <w:szCs w:val="24"/>
        </w:rPr>
      </w:pPr>
      <w:r w:rsidRPr="00B05A21">
        <w:rPr>
          <w:rFonts w:cs="Arial"/>
          <w:bCs/>
          <w:szCs w:val="24"/>
        </w:rPr>
        <w:t>All firms that submitted a bid may participate.</w:t>
      </w:r>
    </w:p>
    <w:p w:rsidR="00C46CC7" w:rsidRPr="00B05A21" w:rsidRDefault="00C46CC7" w:rsidP="00B0002F">
      <w:pPr>
        <w:pStyle w:val="ListParagraph"/>
        <w:numPr>
          <w:ilvl w:val="0"/>
          <w:numId w:val="41"/>
        </w:numPr>
        <w:rPr>
          <w:rFonts w:cs="Arial"/>
          <w:bCs/>
          <w:szCs w:val="24"/>
        </w:rPr>
      </w:pPr>
      <w:r w:rsidRPr="00B05A21">
        <w:rPr>
          <w:rFonts w:cs="Arial"/>
          <w:bCs/>
          <w:szCs w:val="24"/>
        </w:rPr>
        <w:lastRenderedPageBreak/>
        <w:t>Bidders within a competitive range may participate.  Rankings may be established by using a percentage of required items and/or scoring non-mandatory items.</w:t>
      </w:r>
    </w:p>
    <w:p w:rsidR="00C46CC7" w:rsidRPr="00B05A21" w:rsidRDefault="00C46CC7" w:rsidP="00B0002F">
      <w:pPr>
        <w:pStyle w:val="ListParagraph"/>
        <w:numPr>
          <w:ilvl w:val="0"/>
          <w:numId w:val="41"/>
        </w:numPr>
        <w:rPr>
          <w:rFonts w:cs="Arial"/>
          <w:bCs/>
          <w:szCs w:val="24"/>
        </w:rPr>
      </w:pPr>
      <w:r w:rsidRPr="00B05A21">
        <w:rPr>
          <w:rFonts w:cs="Arial"/>
          <w:bCs/>
          <w:szCs w:val="24"/>
        </w:rPr>
        <w:t>The highest ranking bidder negotiates first, then, if no agreement can be reached, the next highest similarly ranked bidder may negotiate continuing the process until the state reaches an acceptable agreement. Rankings may be established by using a percentage of required items and/or scoring non-mandatory items.</w:t>
      </w:r>
    </w:p>
    <w:p w:rsidR="00C46CC7" w:rsidRPr="00B05A21" w:rsidRDefault="00C46CC7" w:rsidP="00B0002F">
      <w:pPr>
        <w:pStyle w:val="ListParagraph"/>
        <w:numPr>
          <w:ilvl w:val="0"/>
          <w:numId w:val="40"/>
        </w:numPr>
        <w:ind w:left="432"/>
        <w:rPr>
          <w:rFonts w:cs="Arial"/>
          <w:bCs/>
          <w:szCs w:val="24"/>
        </w:rPr>
      </w:pPr>
      <w:r w:rsidRPr="00B05A21">
        <w:rPr>
          <w:rFonts w:cs="Arial"/>
          <w:bCs/>
          <w:szCs w:val="24"/>
        </w:rPr>
        <w:t>Negotiate.  See “Negotiate” (step 6) of Section 2.C5.5 above.</w:t>
      </w:r>
    </w:p>
    <w:p w:rsidR="00C46CC7" w:rsidRPr="00B05A21" w:rsidRDefault="00C46CC7" w:rsidP="00B0002F">
      <w:pPr>
        <w:pStyle w:val="ListParagraph"/>
        <w:numPr>
          <w:ilvl w:val="0"/>
          <w:numId w:val="40"/>
        </w:numPr>
        <w:ind w:left="432"/>
        <w:rPr>
          <w:rFonts w:cs="Arial"/>
          <w:bCs/>
          <w:szCs w:val="24"/>
        </w:rPr>
      </w:pPr>
      <w:r w:rsidRPr="00B05A21">
        <w:rPr>
          <w:rFonts w:cs="Arial"/>
          <w:bCs/>
          <w:szCs w:val="24"/>
        </w:rPr>
        <w:t xml:space="preserve">Final evaluation and award.  </w:t>
      </w:r>
      <w:r w:rsidRPr="00B0002F">
        <w:rPr>
          <w:rFonts w:cs="Arial"/>
          <w:bCs/>
          <w:szCs w:val="24"/>
        </w:rPr>
        <w:t xml:space="preserve">Use one of the following options to make a final award: </w:t>
      </w:r>
    </w:p>
    <w:p w:rsidR="00C46CC7" w:rsidRPr="00B0002F" w:rsidRDefault="00C46CC7" w:rsidP="00B0002F">
      <w:pPr>
        <w:pStyle w:val="ListParagraph"/>
        <w:numPr>
          <w:ilvl w:val="0"/>
          <w:numId w:val="42"/>
        </w:numPr>
        <w:rPr>
          <w:rFonts w:cs="Arial"/>
          <w:bCs/>
          <w:szCs w:val="24"/>
        </w:rPr>
      </w:pPr>
      <w:r w:rsidRPr="00B0002F">
        <w:rPr>
          <w:rFonts w:cs="Arial"/>
          <w:bCs/>
          <w:szCs w:val="24"/>
        </w:rPr>
        <w:t xml:space="preserve">Using the original criteria in the solicitation, score all proposals based on either the results of negotiations or, if applicable, the BAFO.  Award to the highest ranked bidder. </w:t>
      </w:r>
    </w:p>
    <w:p w:rsidR="00C46CC7" w:rsidRPr="00B05A21" w:rsidRDefault="00C46CC7" w:rsidP="00B0002F">
      <w:pPr>
        <w:pStyle w:val="ListParagraph"/>
        <w:numPr>
          <w:ilvl w:val="0"/>
          <w:numId w:val="42"/>
        </w:numPr>
        <w:rPr>
          <w:rFonts w:cs="Arial"/>
          <w:bCs/>
          <w:szCs w:val="24"/>
        </w:rPr>
      </w:pPr>
      <w:r w:rsidRPr="00B0002F">
        <w:rPr>
          <w:rFonts w:cs="Arial"/>
          <w:bCs/>
          <w:szCs w:val="24"/>
        </w:rPr>
        <w:t>Revise the evaluation criteria based on the results of the negotiations.  Prior to final evaluation, all bidders participating in negotiations shall be informed of the revised evaluation criteria and shall have the opportunity to submit a BAFO based on those criteria.  Award to the highest-ranked bidder.</w:t>
      </w:r>
    </w:p>
    <w:p w:rsidR="00C46CC7" w:rsidRPr="00B0002F" w:rsidRDefault="00C46CC7" w:rsidP="00B0002F">
      <w:pPr>
        <w:pStyle w:val="ListParagraph"/>
        <w:numPr>
          <w:ilvl w:val="0"/>
          <w:numId w:val="40"/>
        </w:numPr>
        <w:ind w:left="432"/>
        <w:rPr>
          <w:rFonts w:cs="Arial"/>
          <w:bCs/>
          <w:szCs w:val="24"/>
        </w:rPr>
      </w:pPr>
      <w:r w:rsidRPr="00B0002F">
        <w:rPr>
          <w:rFonts w:cs="Arial"/>
          <w:bCs/>
          <w:szCs w:val="24"/>
        </w:rPr>
        <w:t>Issue a final evaluation and selection report documenting any decisions relating to selection of bidders to participate in negotiations, final scoring of proposals, and award decisions. The final evaluation and selection report becomes a public record.</w:t>
      </w:r>
    </w:p>
    <w:p w:rsidR="00AD098E" w:rsidRPr="00B05A21" w:rsidRDefault="00AD098E" w:rsidP="00AD098E">
      <w:pPr>
        <w:pStyle w:val="Heading3"/>
        <w:spacing w:after="120"/>
        <w:jc w:val="left"/>
        <w:rPr>
          <w:rFonts w:cs="Arial"/>
          <w:bCs/>
          <w:sz w:val="24"/>
          <w:szCs w:val="24"/>
        </w:rPr>
      </w:pPr>
      <w:bookmarkStart w:id="333" w:name="_Toc12886061"/>
      <w:r w:rsidRPr="00B05A21">
        <w:rPr>
          <w:rFonts w:cs="Arial"/>
          <w:bCs/>
          <w:sz w:val="24"/>
          <w:szCs w:val="24"/>
        </w:rPr>
        <w:t xml:space="preserve">2.C6.8   Question &amp; Answer Process </w:t>
      </w:r>
      <w:bookmarkEnd w:id="333"/>
    </w:p>
    <w:p w:rsidR="00C46CC7" w:rsidRPr="00B0002F" w:rsidRDefault="00C46CC7" w:rsidP="00B0002F">
      <w:pPr>
        <w:pStyle w:val="HTMLPreformatted"/>
        <w:spacing w:line="276" w:lineRule="auto"/>
        <w:rPr>
          <w:rFonts w:ascii="Arial" w:hAnsi="Arial" w:cs="Arial"/>
          <w:sz w:val="24"/>
          <w:szCs w:val="24"/>
        </w:rPr>
      </w:pPr>
      <w:r w:rsidRPr="00B0002F">
        <w:rPr>
          <w:rFonts w:ascii="Arial" w:hAnsi="Arial" w:cs="Arial"/>
          <w:sz w:val="24"/>
          <w:szCs w:val="24"/>
        </w:rPr>
        <w:t>DGS or CDT, as applicable, may terminate negotiations and/or the solicitation at any time. PCC 6611(d) states that “...an unsuccessful bidder shall have no right to protest the results of the negotiating process.”   However, during the negotiation process, any bidder may raise questions regarding the procurement process prior to the conclusion of negotiations.</w:t>
      </w:r>
    </w:p>
    <w:p w:rsidR="00C46CC7" w:rsidRPr="00B0002F" w:rsidRDefault="00C46CC7" w:rsidP="00B0002F">
      <w:pPr>
        <w:pStyle w:val="HTMLPreformatted"/>
        <w:spacing w:line="276" w:lineRule="auto"/>
        <w:rPr>
          <w:rFonts w:ascii="Arial" w:hAnsi="Arial" w:cs="Arial"/>
          <w:sz w:val="24"/>
          <w:szCs w:val="24"/>
        </w:rPr>
      </w:pPr>
      <w:r w:rsidRPr="00B0002F">
        <w:rPr>
          <w:rFonts w:ascii="Arial" w:hAnsi="Arial" w:cs="Arial"/>
          <w:sz w:val="24"/>
          <w:szCs w:val="24"/>
        </w:rPr>
        <w:t>The requester should provide as much information as possible so that DGS can evaluate their issues. Questions must be mailed or delivered to:</w:t>
      </w:r>
    </w:p>
    <w:p w:rsidR="00C46CC7" w:rsidRPr="00B0002F" w:rsidRDefault="00C46CC7" w:rsidP="00B0002F">
      <w:pPr>
        <w:pStyle w:val="HTMLPreformatted"/>
        <w:spacing w:line="276" w:lineRule="auto"/>
        <w:rPr>
          <w:rFonts w:ascii="Arial" w:hAnsi="Arial" w:cs="Arial"/>
          <w:sz w:val="24"/>
          <w:szCs w:val="24"/>
        </w:rPr>
      </w:pPr>
    </w:p>
    <w:p w:rsidR="00C46CC7" w:rsidRPr="00B0002F" w:rsidRDefault="00C46CC7" w:rsidP="00B0002F">
      <w:pPr>
        <w:pStyle w:val="HTMLPreformatted"/>
        <w:spacing w:line="276" w:lineRule="auto"/>
        <w:ind w:firstLine="630"/>
        <w:rPr>
          <w:rFonts w:ascii="Arial" w:hAnsi="Arial" w:cs="Arial"/>
          <w:sz w:val="24"/>
          <w:szCs w:val="24"/>
        </w:rPr>
      </w:pPr>
      <w:r w:rsidRPr="00B0002F">
        <w:rPr>
          <w:rFonts w:ascii="Arial" w:hAnsi="Arial" w:cs="Arial"/>
          <w:sz w:val="24"/>
          <w:szCs w:val="24"/>
        </w:rPr>
        <w:t>Deputy Director Procurement Division</w:t>
      </w:r>
    </w:p>
    <w:p w:rsidR="00C46CC7" w:rsidRPr="00B0002F" w:rsidRDefault="00C46CC7" w:rsidP="00B0002F">
      <w:pPr>
        <w:pStyle w:val="HTMLPreformatted"/>
        <w:spacing w:line="276" w:lineRule="auto"/>
        <w:ind w:firstLine="630"/>
        <w:rPr>
          <w:rFonts w:ascii="Arial" w:hAnsi="Arial" w:cs="Arial"/>
          <w:sz w:val="24"/>
          <w:szCs w:val="24"/>
        </w:rPr>
      </w:pPr>
      <w:r w:rsidRPr="00B0002F">
        <w:rPr>
          <w:rFonts w:ascii="Arial" w:hAnsi="Arial" w:cs="Arial"/>
          <w:sz w:val="24"/>
          <w:szCs w:val="24"/>
        </w:rPr>
        <w:t xml:space="preserve">707 Third Street, West Sacramento, CA 95605 </w:t>
      </w:r>
    </w:p>
    <w:p w:rsidR="00C46CC7" w:rsidRPr="00B0002F" w:rsidRDefault="00C46CC7" w:rsidP="00B0002F">
      <w:pPr>
        <w:pStyle w:val="HTMLPreformatted"/>
        <w:spacing w:line="276" w:lineRule="auto"/>
        <w:ind w:firstLine="630"/>
        <w:rPr>
          <w:rFonts w:ascii="Arial" w:hAnsi="Arial" w:cs="Arial"/>
          <w:sz w:val="24"/>
          <w:szCs w:val="24"/>
        </w:rPr>
      </w:pPr>
      <w:r w:rsidRPr="00B0002F">
        <w:rPr>
          <w:rFonts w:ascii="Arial" w:hAnsi="Arial" w:cs="Arial"/>
          <w:sz w:val="24"/>
          <w:szCs w:val="24"/>
        </w:rPr>
        <w:t>Facsimile No.: (916) 375-4611.</w:t>
      </w:r>
    </w:p>
    <w:p w:rsidR="00C46CC7" w:rsidRPr="00B0002F" w:rsidRDefault="00C46CC7" w:rsidP="00B0002F">
      <w:pPr>
        <w:pStyle w:val="HTMLPreformatted"/>
        <w:spacing w:line="276" w:lineRule="auto"/>
        <w:rPr>
          <w:rFonts w:ascii="Arial" w:hAnsi="Arial" w:cs="Arial"/>
          <w:sz w:val="24"/>
          <w:szCs w:val="24"/>
        </w:rPr>
      </w:pPr>
    </w:p>
    <w:p w:rsidR="006E7527" w:rsidRPr="00B05A21" w:rsidRDefault="00C46CC7" w:rsidP="00B0002F">
      <w:pPr>
        <w:pStyle w:val="HTMLPreformatted"/>
        <w:spacing w:line="276" w:lineRule="auto"/>
        <w:rPr>
          <w:rFonts w:ascii="Arial" w:hAnsi="Arial" w:cs="Arial"/>
          <w:bCs/>
        </w:rPr>
      </w:pPr>
      <w:r w:rsidRPr="00B0002F">
        <w:rPr>
          <w:rFonts w:ascii="Arial" w:hAnsi="Arial" w:cs="Arial"/>
          <w:sz w:val="24"/>
          <w:szCs w:val="24"/>
        </w:rPr>
        <w:t>DGS shall acknowledge the receipt of questions and shall provide a written response or explanation. DGS shall inform all bidders of any actions that are taken in response to such objections or questions. At the Deputy Director’s discretion, the issue may be</w:t>
      </w:r>
      <w:r w:rsidRPr="00B05A21">
        <w:rPr>
          <w:rFonts w:ascii="Arial" w:hAnsi="Arial" w:cs="Arial"/>
          <w:bCs/>
        </w:rPr>
        <w:t xml:space="preserve"> provided to a designated procurement official for resolution or an ombudsman may be selected to work with the parties to address the issue. This Q &amp; A is not a right to protest</w:t>
      </w:r>
      <w:r w:rsidR="00AD098E" w:rsidRPr="00B05A21">
        <w:rPr>
          <w:rFonts w:ascii="Arial" w:hAnsi="Arial" w:cs="Arial"/>
          <w:bCs/>
        </w:rPr>
        <w:t xml:space="preserve"> </w:t>
      </w:r>
      <w:r w:rsidR="004C7FB6" w:rsidRPr="00B05A21">
        <w:rPr>
          <w:rFonts w:ascii="Arial" w:hAnsi="Arial" w:cs="Arial"/>
          <w:bCs/>
        </w:rPr>
        <w:t>and the submission of questions does not automatically trigger a delay in the award of a contract.  The disposition of the issues and response to the issues raised during this Q &amp; A process is solely at</w:t>
      </w:r>
      <w:r w:rsidR="00117466" w:rsidRPr="00B05A21">
        <w:rPr>
          <w:rFonts w:ascii="Arial" w:hAnsi="Arial" w:cs="Arial"/>
          <w:bCs/>
        </w:rPr>
        <w:t xml:space="preserve"> the discretion of </w:t>
      </w:r>
      <w:r w:rsidR="004C7FB6" w:rsidRPr="00B05A21">
        <w:rPr>
          <w:rFonts w:ascii="Arial" w:hAnsi="Arial" w:cs="Arial"/>
          <w:bCs/>
        </w:rPr>
        <w:t>DGS.</w:t>
      </w:r>
    </w:p>
    <w:p w:rsidR="007843A7" w:rsidRPr="00B05A21" w:rsidRDefault="006E7527" w:rsidP="00C42395">
      <w:pPr>
        <w:ind w:left="1440"/>
        <w:rPr>
          <w:rFonts w:ascii="Arial" w:hAnsi="Arial" w:cs="Arial"/>
        </w:rPr>
      </w:pPr>
      <w:r w:rsidRPr="00B05A21">
        <w:rPr>
          <w:rFonts w:ascii="Arial" w:hAnsi="Arial" w:cs="Arial"/>
          <w:bCs/>
        </w:rPr>
        <w:t>________________________________</w:t>
      </w:r>
      <w:r w:rsidR="003551BF">
        <w:rPr>
          <w:rFonts w:ascii="Arial" w:hAnsi="Arial" w:cs="Arial"/>
          <w:bCs/>
        </w:rPr>
        <w:t>___________________________</w:t>
      </w:r>
    </w:p>
    <w:p w:rsidR="007843A7" w:rsidRPr="00B05A21" w:rsidRDefault="007843A7" w:rsidP="007843A7">
      <w:pPr>
        <w:rPr>
          <w:rFonts w:ascii="Arial" w:hAnsi="Arial" w:cs="Arial"/>
        </w:rPr>
      </w:pPr>
    </w:p>
    <w:p w:rsidR="00071379" w:rsidRPr="003551BF" w:rsidRDefault="00071379" w:rsidP="00D268A3">
      <w:pPr>
        <w:pStyle w:val="Heading2"/>
        <w:tabs>
          <w:tab w:val="left" w:pos="1005"/>
        </w:tabs>
        <w:spacing w:after="120"/>
        <w:jc w:val="left"/>
        <w:rPr>
          <w:rFonts w:cs="Arial"/>
          <w:bCs/>
          <w:szCs w:val="32"/>
        </w:rPr>
      </w:pPr>
      <w:bookmarkStart w:id="334" w:name="_Topic_7_–_Certificate_of_Compliance"/>
      <w:bookmarkStart w:id="335" w:name="_Topic_4_–_Certificate_of_Compliance"/>
      <w:bookmarkStart w:id="336" w:name="_Toc12886062"/>
      <w:bookmarkStart w:id="337" w:name="_Toc83450130"/>
      <w:bookmarkStart w:id="338" w:name="_Toc116952005"/>
      <w:bookmarkEnd w:id="334"/>
      <w:bookmarkEnd w:id="335"/>
      <w:r w:rsidRPr="003551BF">
        <w:rPr>
          <w:rFonts w:cs="Arial"/>
          <w:bCs/>
          <w:szCs w:val="32"/>
        </w:rPr>
        <w:t xml:space="preserve">Topic </w:t>
      </w:r>
      <w:r w:rsidR="006729B5" w:rsidRPr="003551BF">
        <w:rPr>
          <w:rFonts w:cs="Arial"/>
          <w:bCs/>
          <w:szCs w:val="32"/>
        </w:rPr>
        <w:t>7</w:t>
      </w:r>
      <w:r w:rsidRPr="003551BF">
        <w:rPr>
          <w:rFonts w:cs="Arial"/>
          <w:bCs/>
          <w:szCs w:val="32"/>
        </w:rPr>
        <w:t xml:space="preserve"> – Certificate of Compliance with State IT Policies</w:t>
      </w:r>
      <w:bookmarkEnd w:id="336"/>
    </w:p>
    <w:p w:rsidR="00071379" w:rsidRPr="00B05A21" w:rsidRDefault="00071379" w:rsidP="00071379">
      <w:pPr>
        <w:pStyle w:val="BlockLine"/>
        <w:tabs>
          <w:tab w:val="left" w:pos="2655"/>
        </w:tabs>
        <w:rPr>
          <w:rFonts w:ascii="Arial" w:hAnsi="Arial" w:cs="Arial"/>
          <w:szCs w:val="24"/>
        </w:rPr>
      </w:pPr>
      <w:r w:rsidRPr="00B05A21">
        <w:rPr>
          <w:rFonts w:ascii="Arial" w:hAnsi="Arial" w:cs="Arial"/>
          <w:szCs w:val="24"/>
        </w:rPr>
        <w:tab/>
      </w:r>
    </w:p>
    <w:p w:rsidR="001077C4" w:rsidRPr="00B05A21" w:rsidRDefault="001077C4" w:rsidP="001077C4">
      <w:pPr>
        <w:pStyle w:val="Heading3"/>
        <w:spacing w:after="120"/>
        <w:jc w:val="left"/>
        <w:rPr>
          <w:rFonts w:cs="Arial"/>
          <w:sz w:val="24"/>
          <w:szCs w:val="24"/>
        </w:rPr>
      </w:pPr>
      <w:bookmarkStart w:id="339" w:name="_Toc12886063"/>
      <w:r w:rsidRPr="00B05A21">
        <w:rPr>
          <w:rFonts w:cs="Arial"/>
          <w:bCs/>
          <w:sz w:val="24"/>
          <w:szCs w:val="24"/>
        </w:rPr>
        <w:lastRenderedPageBreak/>
        <w:t>2.C7.0   Certification of Compliance with State IT Policies</w:t>
      </w:r>
      <w:bookmarkEnd w:id="339"/>
    </w:p>
    <w:p w:rsidR="001077C4" w:rsidRPr="00B05A21" w:rsidRDefault="001077C4" w:rsidP="00C772F8">
      <w:pPr>
        <w:pStyle w:val="BlockText0"/>
        <w:rPr>
          <w:rFonts w:ascii="Arial" w:hAnsi="Arial" w:cs="Arial"/>
          <w:szCs w:val="24"/>
        </w:rPr>
      </w:pPr>
      <w:r w:rsidRPr="00B05A21">
        <w:rPr>
          <w:rFonts w:ascii="Arial" w:hAnsi="Arial" w:cs="Arial"/>
          <w:szCs w:val="24"/>
        </w:rPr>
        <w:t>Pursuant to State Administrative Manual (SAM) Section 4819.41, a signed Certification of Compliance with IT Policies is required for all IT acquisitions of hardware, software, services and IT Interagency Agreements. A certification is not required for acquisitions less than $5,000.00.</w:t>
      </w:r>
    </w:p>
    <w:p w:rsidR="001077C4" w:rsidRPr="00B05A21" w:rsidRDefault="001077C4" w:rsidP="00C772F8">
      <w:pPr>
        <w:pStyle w:val="BlockText0"/>
        <w:rPr>
          <w:rFonts w:ascii="Arial" w:hAnsi="Arial" w:cs="Arial"/>
          <w:szCs w:val="24"/>
        </w:rPr>
      </w:pPr>
    </w:p>
    <w:p w:rsidR="001077C4" w:rsidRPr="00B05A21" w:rsidRDefault="001077C4" w:rsidP="00C772F8">
      <w:pPr>
        <w:pStyle w:val="BlockText0"/>
        <w:rPr>
          <w:rFonts w:ascii="Arial" w:hAnsi="Arial" w:cs="Arial"/>
          <w:szCs w:val="24"/>
        </w:rPr>
      </w:pPr>
      <w:r w:rsidRPr="00B05A21">
        <w:rPr>
          <w:rFonts w:ascii="Arial" w:hAnsi="Arial" w:cs="Arial"/>
          <w:szCs w:val="24"/>
        </w:rPr>
        <w:t xml:space="preserve">State agencies are required to complete the certification form provided in the State Information Management Manual (SIMM) Section 71B and adhere to the preparation instructions provided in SIMM Section 71A. The SIMM is available on the California Department of Technology’s webpage. </w:t>
      </w:r>
    </w:p>
    <w:p w:rsidR="001077C4" w:rsidRPr="00B05A21" w:rsidRDefault="001077C4" w:rsidP="00C772F8">
      <w:pPr>
        <w:pStyle w:val="BlockText0"/>
        <w:rPr>
          <w:rFonts w:ascii="Arial" w:hAnsi="Arial" w:cs="Arial"/>
          <w:szCs w:val="24"/>
        </w:rPr>
      </w:pPr>
    </w:p>
    <w:p w:rsidR="001077C4" w:rsidRPr="00B05A21" w:rsidRDefault="001077C4" w:rsidP="00C772F8">
      <w:pPr>
        <w:pStyle w:val="BlockText0"/>
        <w:rPr>
          <w:rFonts w:ascii="Arial" w:hAnsi="Arial" w:cs="Arial"/>
          <w:szCs w:val="24"/>
        </w:rPr>
      </w:pPr>
      <w:r w:rsidRPr="00B05A21">
        <w:rPr>
          <w:rFonts w:ascii="Arial" w:hAnsi="Arial" w:cs="Arial"/>
          <w:szCs w:val="24"/>
        </w:rPr>
        <w:t>The signed certification must be retained within the procurement file.</w:t>
      </w:r>
    </w:p>
    <w:p w:rsidR="001077C4" w:rsidRPr="00B05A21" w:rsidRDefault="001077C4" w:rsidP="00C772F8">
      <w:pPr>
        <w:pStyle w:val="BlockText0"/>
        <w:rPr>
          <w:rFonts w:ascii="Arial" w:hAnsi="Arial" w:cs="Arial"/>
          <w:szCs w:val="24"/>
        </w:rPr>
      </w:pPr>
    </w:p>
    <w:p w:rsidR="001077C4" w:rsidRPr="00B05A21" w:rsidRDefault="001077C4" w:rsidP="00C772F8">
      <w:pPr>
        <w:pStyle w:val="BlockText0"/>
        <w:rPr>
          <w:rFonts w:ascii="Arial" w:hAnsi="Arial" w:cs="Arial"/>
          <w:szCs w:val="24"/>
        </w:rPr>
      </w:pPr>
      <w:r w:rsidRPr="00B05A21">
        <w:rPr>
          <w:rFonts w:ascii="Arial" w:hAnsi="Arial" w:cs="Arial"/>
          <w:szCs w:val="24"/>
        </w:rPr>
        <w:t>If the acquisition is being forwarded to DGS/PD for processing, a signed certification must be part of the submitted procurement package.</w:t>
      </w:r>
    </w:p>
    <w:p w:rsidR="001077C4" w:rsidRPr="00B05A21" w:rsidRDefault="001077C4" w:rsidP="00C772F8">
      <w:pPr>
        <w:pStyle w:val="BlockText0"/>
        <w:ind w:left="552" w:hanging="552"/>
        <w:rPr>
          <w:rFonts w:ascii="Arial" w:hAnsi="Arial" w:cs="Arial"/>
          <w:szCs w:val="24"/>
        </w:rPr>
      </w:pPr>
    </w:p>
    <w:p w:rsidR="001077C4" w:rsidRPr="00B05A21" w:rsidRDefault="001077C4" w:rsidP="00C772F8">
      <w:pPr>
        <w:pStyle w:val="BlockText0"/>
        <w:rPr>
          <w:rFonts w:ascii="Arial" w:hAnsi="Arial" w:cs="Arial"/>
          <w:szCs w:val="24"/>
        </w:rPr>
      </w:pPr>
      <w:r w:rsidRPr="00B05A21">
        <w:rPr>
          <w:rFonts w:ascii="Arial" w:hAnsi="Arial" w:cs="Arial"/>
          <w:szCs w:val="24"/>
        </w:rPr>
        <w:t>A certification must be included in requests to DGS/PD, such as requests to review and approve Non-Competitive Bid (NCB) Justifications and requests for transaction-based increases in IT purchasing authority.</w:t>
      </w:r>
    </w:p>
    <w:p w:rsidR="00071379" w:rsidRPr="00B05A21" w:rsidRDefault="00071379" w:rsidP="00071379">
      <w:pPr>
        <w:pStyle w:val="BlockLine"/>
        <w:tabs>
          <w:tab w:val="left" w:pos="2655"/>
        </w:tabs>
        <w:rPr>
          <w:rFonts w:ascii="Arial" w:hAnsi="Arial" w:cs="Arial"/>
          <w:szCs w:val="24"/>
        </w:rPr>
      </w:pPr>
      <w:r w:rsidRPr="00B05A21">
        <w:rPr>
          <w:rFonts w:ascii="Arial" w:hAnsi="Arial" w:cs="Arial"/>
          <w:szCs w:val="24"/>
        </w:rPr>
        <w:tab/>
      </w:r>
    </w:p>
    <w:p w:rsidR="00071379" w:rsidRPr="00AB2982" w:rsidRDefault="007A7913" w:rsidP="00E56629">
      <w:pPr>
        <w:pStyle w:val="Heading2"/>
        <w:spacing w:after="120"/>
        <w:ind w:left="1498" w:hanging="1498"/>
        <w:jc w:val="left"/>
        <w:rPr>
          <w:rFonts w:cs="Arial"/>
          <w:bCs/>
          <w:szCs w:val="32"/>
        </w:rPr>
      </w:pPr>
      <w:bookmarkStart w:id="340" w:name="_1.C4.0_Certification_of_Compliance_"/>
      <w:bookmarkStart w:id="341" w:name="_1.C4.1__When_Certification_is_Not_R"/>
      <w:bookmarkStart w:id="342" w:name="_1.C4.2_Under_$100,000_Documentation"/>
      <w:bookmarkStart w:id="343" w:name="_Topic_5_–_Additional_Pre-Procuremen"/>
      <w:bookmarkStart w:id="344" w:name="_Topic_8_–_Additional_Pre-Procuremen"/>
      <w:bookmarkStart w:id="345" w:name="_Toc83450131"/>
      <w:bookmarkStart w:id="346" w:name="_Toc116952009"/>
      <w:bookmarkEnd w:id="337"/>
      <w:bookmarkEnd w:id="338"/>
      <w:bookmarkEnd w:id="340"/>
      <w:bookmarkEnd w:id="341"/>
      <w:bookmarkEnd w:id="342"/>
      <w:bookmarkEnd w:id="343"/>
      <w:bookmarkEnd w:id="344"/>
      <w:r w:rsidRPr="00B05A21">
        <w:rPr>
          <w:rFonts w:cs="Arial"/>
          <w:sz w:val="24"/>
          <w:szCs w:val="24"/>
        </w:rPr>
        <w:br w:type="page"/>
      </w:r>
      <w:bookmarkStart w:id="347" w:name="_Toc12886064"/>
      <w:r w:rsidR="00071379" w:rsidRPr="00AB2982">
        <w:rPr>
          <w:rFonts w:cs="Arial"/>
          <w:bCs/>
          <w:szCs w:val="32"/>
        </w:rPr>
        <w:lastRenderedPageBreak/>
        <w:t xml:space="preserve">Topic </w:t>
      </w:r>
      <w:r w:rsidR="006729B5" w:rsidRPr="00AB2982">
        <w:rPr>
          <w:rFonts w:cs="Arial"/>
          <w:bCs/>
          <w:szCs w:val="32"/>
        </w:rPr>
        <w:t>8</w:t>
      </w:r>
      <w:r w:rsidR="00071379" w:rsidRPr="00AB2982">
        <w:rPr>
          <w:rFonts w:cs="Arial"/>
          <w:bCs/>
          <w:szCs w:val="32"/>
        </w:rPr>
        <w:t xml:space="preserve"> – Additional Pre-Procurement Reviews and Approvals</w:t>
      </w:r>
      <w:bookmarkEnd w:id="347"/>
    </w:p>
    <w:p w:rsidR="00071379" w:rsidRPr="00B05A21" w:rsidRDefault="00071379" w:rsidP="00071379">
      <w:pPr>
        <w:pStyle w:val="BlockLine"/>
        <w:tabs>
          <w:tab w:val="left" w:pos="2655"/>
        </w:tabs>
        <w:rPr>
          <w:rFonts w:ascii="Arial" w:hAnsi="Arial" w:cs="Arial"/>
          <w:szCs w:val="24"/>
        </w:rPr>
      </w:pPr>
      <w:r w:rsidRPr="00B05A21">
        <w:rPr>
          <w:rFonts w:ascii="Arial" w:hAnsi="Arial" w:cs="Arial"/>
          <w:szCs w:val="24"/>
        </w:rPr>
        <w:tab/>
      </w:r>
    </w:p>
    <w:p w:rsidR="00E56629" w:rsidRPr="00B05A21" w:rsidRDefault="00E56629" w:rsidP="00E56629">
      <w:pPr>
        <w:pStyle w:val="Heading3"/>
        <w:spacing w:after="120"/>
        <w:jc w:val="left"/>
        <w:rPr>
          <w:rFonts w:cs="Arial"/>
          <w:bCs/>
          <w:sz w:val="24"/>
          <w:szCs w:val="24"/>
        </w:rPr>
      </w:pPr>
      <w:bookmarkStart w:id="348" w:name="_Toc12886065"/>
      <w:r w:rsidRPr="00B05A21">
        <w:rPr>
          <w:rFonts w:cs="Arial"/>
          <w:bCs/>
          <w:sz w:val="24"/>
          <w:szCs w:val="24"/>
        </w:rPr>
        <w:t>2.C8.0   State personnel board (SPB)</w:t>
      </w:r>
      <w:bookmarkEnd w:id="348"/>
    </w:p>
    <w:p w:rsidR="00E56629" w:rsidRPr="00B05A21" w:rsidRDefault="00E56629" w:rsidP="00071379">
      <w:pPr>
        <w:pStyle w:val="BlockText0"/>
        <w:rPr>
          <w:rFonts w:ascii="Arial" w:hAnsi="Arial" w:cs="Arial"/>
          <w:szCs w:val="24"/>
        </w:rPr>
      </w:pPr>
      <w:r w:rsidRPr="00B05A21">
        <w:rPr>
          <w:rFonts w:ascii="Arial" w:hAnsi="Arial" w:cs="Arial"/>
          <w:szCs w:val="24"/>
        </w:rPr>
        <w:t>Every personal services contract must be documented to support the need to contract out work.  GC section 19130(b) establishes acceptable exemptions from the Civil Service provision of the California Constitution for the use of personal services contracts.</w:t>
      </w:r>
    </w:p>
    <w:p w:rsidR="00E56629" w:rsidRPr="00B05A21" w:rsidRDefault="00E56629" w:rsidP="00071379">
      <w:pPr>
        <w:pStyle w:val="BlockText0"/>
        <w:rPr>
          <w:rFonts w:ascii="Arial" w:hAnsi="Arial" w:cs="Arial"/>
          <w:szCs w:val="24"/>
        </w:rPr>
      </w:pPr>
    </w:p>
    <w:p w:rsidR="00E56629" w:rsidRPr="00B05A21" w:rsidRDefault="00E56629" w:rsidP="00071379">
      <w:pPr>
        <w:pStyle w:val="BlockText0"/>
        <w:rPr>
          <w:rFonts w:ascii="Arial" w:hAnsi="Arial" w:cs="Arial"/>
          <w:szCs w:val="24"/>
        </w:rPr>
      </w:pPr>
      <w:r w:rsidRPr="00B05A21">
        <w:rPr>
          <w:rFonts w:ascii="Arial" w:hAnsi="Arial" w:cs="Arial"/>
          <w:szCs w:val="24"/>
        </w:rPr>
        <w:t xml:space="preserve">In accordance with GC section 19131, departments proposing to execute a personal services contract pursuant to GC section 19130(a) must notify the State Personnel Board (SPB) of its intention prior to contract award. </w:t>
      </w:r>
    </w:p>
    <w:p w:rsidR="00E56629" w:rsidRPr="00B05A21" w:rsidRDefault="00E56629" w:rsidP="00071379">
      <w:pPr>
        <w:pStyle w:val="BlockText0"/>
        <w:rPr>
          <w:rFonts w:ascii="Arial" w:hAnsi="Arial" w:cs="Arial"/>
          <w:szCs w:val="24"/>
        </w:rPr>
      </w:pPr>
    </w:p>
    <w:p w:rsidR="00E56629" w:rsidRPr="00B05A21" w:rsidRDefault="00E56629" w:rsidP="00071379">
      <w:pPr>
        <w:rPr>
          <w:rFonts w:ascii="Arial" w:hAnsi="Arial" w:cs="Arial"/>
        </w:rPr>
      </w:pPr>
      <w:r w:rsidRPr="00B05A21">
        <w:rPr>
          <w:rFonts w:ascii="Arial" w:hAnsi="Arial" w:cs="Arial"/>
        </w:rPr>
        <w:t xml:space="preserve">Click here to access the </w:t>
      </w:r>
      <w:hyperlink r:id="rId40" w:history="1">
        <w:r w:rsidRPr="00B05A21">
          <w:rPr>
            <w:rStyle w:val="Hyperlink"/>
            <w:rFonts w:ascii="Arial" w:hAnsi="Arial" w:cs="Arial"/>
          </w:rPr>
          <w:t>SPB web site</w:t>
        </w:r>
      </w:hyperlink>
      <w:r w:rsidRPr="00B05A21">
        <w:rPr>
          <w:rFonts w:ascii="Arial" w:hAnsi="Arial" w:cs="Arial"/>
        </w:rPr>
        <w:t>.</w:t>
      </w:r>
    </w:p>
    <w:p w:rsidR="00071379" w:rsidRPr="00B05A21" w:rsidRDefault="00071379" w:rsidP="00071379">
      <w:pPr>
        <w:pStyle w:val="BlockLine"/>
        <w:tabs>
          <w:tab w:val="left" w:pos="2655"/>
        </w:tabs>
        <w:rPr>
          <w:rFonts w:ascii="Arial" w:hAnsi="Arial" w:cs="Arial"/>
          <w:szCs w:val="24"/>
        </w:rPr>
      </w:pPr>
      <w:r w:rsidRPr="00B05A21">
        <w:rPr>
          <w:rFonts w:ascii="Arial" w:hAnsi="Arial" w:cs="Arial"/>
          <w:szCs w:val="24"/>
        </w:rPr>
        <w:tab/>
      </w:r>
    </w:p>
    <w:p w:rsidR="006A1A64" w:rsidRPr="00B05A21" w:rsidRDefault="006A1A64" w:rsidP="006A1A64">
      <w:pPr>
        <w:pStyle w:val="Heading3"/>
        <w:spacing w:after="120"/>
        <w:jc w:val="left"/>
        <w:rPr>
          <w:rFonts w:cs="Arial"/>
          <w:bCs/>
          <w:sz w:val="24"/>
          <w:szCs w:val="24"/>
        </w:rPr>
      </w:pPr>
      <w:bookmarkStart w:id="349" w:name="_Toc12886066"/>
      <w:r w:rsidRPr="00B05A21">
        <w:rPr>
          <w:rFonts w:cs="Arial"/>
          <w:bCs/>
          <w:sz w:val="24"/>
          <w:szCs w:val="24"/>
        </w:rPr>
        <w:t>2.C8.1   Records management requirements</w:t>
      </w:r>
      <w:bookmarkEnd w:id="349"/>
    </w:p>
    <w:p w:rsidR="006A1A64" w:rsidRPr="00B05A21" w:rsidRDefault="006A1A64" w:rsidP="00071379">
      <w:pPr>
        <w:pStyle w:val="BlockText0"/>
        <w:rPr>
          <w:rFonts w:ascii="Arial" w:hAnsi="Arial" w:cs="Arial"/>
          <w:szCs w:val="24"/>
        </w:rPr>
      </w:pPr>
      <w:r w:rsidRPr="00B05A21">
        <w:rPr>
          <w:rFonts w:ascii="Arial" w:hAnsi="Arial" w:cs="Arial"/>
          <w:szCs w:val="24"/>
        </w:rPr>
        <w:t>Prior to the purchase or rental of any file, microfilm, optical disk and/or records destruction equipment, departments will review and coordinate the purchase activity through the department’s records manager or analyst in accordance with DGS California Records and Information Management (CalRIM) manual.</w:t>
      </w:r>
    </w:p>
    <w:p w:rsidR="006A1A64" w:rsidRPr="00B05A21" w:rsidRDefault="006A1A64" w:rsidP="00071379">
      <w:pPr>
        <w:pStyle w:val="BlockText0"/>
        <w:rPr>
          <w:rFonts w:ascii="Arial" w:hAnsi="Arial" w:cs="Arial"/>
          <w:szCs w:val="24"/>
        </w:rPr>
      </w:pPr>
    </w:p>
    <w:p w:rsidR="006A1A64" w:rsidRPr="00B05A21" w:rsidRDefault="006A1A64" w:rsidP="0022159E">
      <w:pPr>
        <w:rPr>
          <w:rFonts w:ascii="Arial" w:hAnsi="Arial" w:cs="Arial"/>
        </w:rPr>
      </w:pPr>
      <w:r w:rsidRPr="00B05A21">
        <w:rPr>
          <w:rFonts w:ascii="Arial" w:hAnsi="Arial" w:cs="Arial"/>
        </w:rPr>
        <w:t xml:space="preserve">Click here to access the </w:t>
      </w:r>
      <w:hyperlink r:id="rId41" w:history="1">
        <w:r w:rsidR="00D63685">
          <w:rPr>
            <w:rStyle w:val="Hyperlink"/>
            <w:rFonts w:ascii="Arial" w:hAnsi="Arial" w:cs="Arial"/>
          </w:rPr>
          <w:t>DGS/OSP State Records Center</w:t>
        </w:r>
      </w:hyperlink>
      <w:r w:rsidRPr="00B05A21">
        <w:rPr>
          <w:rFonts w:ascii="Arial" w:hAnsi="Arial" w:cs="Arial"/>
        </w:rPr>
        <w:t>.</w:t>
      </w:r>
    </w:p>
    <w:p w:rsidR="00071379" w:rsidRPr="00B05A21" w:rsidRDefault="00071379" w:rsidP="00071379">
      <w:pPr>
        <w:pStyle w:val="BlockLine"/>
        <w:tabs>
          <w:tab w:val="left" w:pos="2655"/>
        </w:tabs>
        <w:rPr>
          <w:rFonts w:ascii="Arial" w:hAnsi="Arial" w:cs="Arial"/>
          <w:szCs w:val="24"/>
        </w:rPr>
      </w:pPr>
      <w:r w:rsidRPr="00B05A21">
        <w:rPr>
          <w:rFonts w:ascii="Arial" w:hAnsi="Arial" w:cs="Arial"/>
          <w:szCs w:val="24"/>
        </w:rPr>
        <w:tab/>
      </w:r>
    </w:p>
    <w:p w:rsidR="006A1A64" w:rsidRPr="00B05A21" w:rsidRDefault="006A1A64" w:rsidP="006A1A64">
      <w:pPr>
        <w:pStyle w:val="Heading3"/>
        <w:spacing w:after="120"/>
        <w:jc w:val="left"/>
        <w:rPr>
          <w:rFonts w:cs="Arial"/>
          <w:bCs/>
          <w:sz w:val="24"/>
          <w:szCs w:val="24"/>
        </w:rPr>
      </w:pPr>
      <w:bookmarkStart w:id="350" w:name="_Toc12886067"/>
      <w:r w:rsidRPr="00B05A21">
        <w:rPr>
          <w:rFonts w:cs="Arial"/>
          <w:bCs/>
          <w:sz w:val="24"/>
          <w:szCs w:val="24"/>
        </w:rPr>
        <w:t>2.C8.2   NCB requirements</w:t>
      </w:r>
      <w:bookmarkEnd w:id="350"/>
    </w:p>
    <w:p w:rsidR="006A1A64" w:rsidRPr="00B05A21" w:rsidRDefault="006A1A64" w:rsidP="00071379">
      <w:pPr>
        <w:rPr>
          <w:rFonts w:ascii="Arial" w:hAnsi="Arial" w:cs="Arial"/>
        </w:rPr>
      </w:pPr>
      <w:r w:rsidRPr="00B05A21">
        <w:rPr>
          <w:rFonts w:ascii="Arial" w:hAnsi="Arial" w:cs="Arial"/>
        </w:rPr>
        <w:t>See Chapter 5 of this manual.</w:t>
      </w:r>
    </w:p>
    <w:p w:rsidR="00071379" w:rsidRPr="00B05A21" w:rsidRDefault="00071379" w:rsidP="00071379">
      <w:pPr>
        <w:pStyle w:val="BlockLine"/>
        <w:tabs>
          <w:tab w:val="left" w:pos="2655"/>
        </w:tabs>
        <w:rPr>
          <w:rFonts w:ascii="Arial" w:hAnsi="Arial" w:cs="Arial"/>
          <w:szCs w:val="24"/>
        </w:rPr>
      </w:pPr>
      <w:r w:rsidRPr="00B05A21">
        <w:rPr>
          <w:rFonts w:ascii="Arial" w:hAnsi="Arial" w:cs="Arial"/>
          <w:szCs w:val="24"/>
        </w:rPr>
        <w:tab/>
      </w:r>
    </w:p>
    <w:p w:rsidR="00071379" w:rsidRPr="00AB2982" w:rsidRDefault="003B3906" w:rsidP="00AC56E7">
      <w:pPr>
        <w:pStyle w:val="Heading2"/>
        <w:spacing w:after="120"/>
        <w:ind w:left="1498" w:hanging="1498"/>
        <w:jc w:val="left"/>
        <w:rPr>
          <w:rFonts w:cs="Arial"/>
          <w:bCs/>
          <w:szCs w:val="32"/>
        </w:rPr>
      </w:pPr>
      <w:bookmarkStart w:id="351" w:name="_1.C5.0_State_Personal_Board_(SPB)"/>
      <w:bookmarkStart w:id="352" w:name="_1.C5.1_CalRIM_Requirements"/>
      <w:bookmarkStart w:id="353" w:name="_Creating_the_Paper_Trail"/>
      <w:bookmarkEnd w:id="345"/>
      <w:bookmarkEnd w:id="346"/>
      <w:bookmarkEnd w:id="351"/>
      <w:bookmarkEnd w:id="352"/>
      <w:bookmarkEnd w:id="353"/>
      <w:r w:rsidRPr="00B05A21">
        <w:rPr>
          <w:rFonts w:cs="Arial"/>
          <w:sz w:val="24"/>
          <w:szCs w:val="24"/>
        </w:rPr>
        <w:br w:type="page"/>
      </w:r>
      <w:bookmarkStart w:id="354" w:name="_Topic_7_–_Purchase_Requisition"/>
      <w:bookmarkStart w:id="355" w:name="_Toc12886068"/>
      <w:bookmarkEnd w:id="354"/>
      <w:r w:rsidR="00071379" w:rsidRPr="00AB2982">
        <w:rPr>
          <w:rFonts w:cs="Arial"/>
          <w:bCs/>
          <w:szCs w:val="32"/>
        </w:rPr>
        <w:lastRenderedPageBreak/>
        <w:t xml:space="preserve">Topic </w:t>
      </w:r>
      <w:r w:rsidR="006729B5" w:rsidRPr="00AB2982">
        <w:rPr>
          <w:rFonts w:cs="Arial"/>
          <w:bCs/>
          <w:szCs w:val="32"/>
        </w:rPr>
        <w:t>9</w:t>
      </w:r>
      <w:r w:rsidR="00071379" w:rsidRPr="00AB2982">
        <w:rPr>
          <w:rFonts w:cs="Arial"/>
          <w:bCs/>
          <w:szCs w:val="32"/>
        </w:rPr>
        <w:t xml:space="preserve"> – Purchase Requisition</w:t>
      </w:r>
      <w:bookmarkEnd w:id="355"/>
    </w:p>
    <w:p w:rsidR="00071379" w:rsidRPr="00B05A21" w:rsidRDefault="00071379" w:rsidP="00071379">
      <w:pPr>
        <w:pStyle w:val="BlockLine"/>
        <w:tabs>
          <w:tab w:val="left" w:pos="2655"/>
        </w:tabs>
        <w:rPr>
          <w:rFonts w:ascii="Arial" w:hAnsi="Arial" w:cs="Arial"/>
          <w:szCs w:val="24"/>
        </w:rPr>
      </w:pPr>
      <w:r w:rsidRPr="00B05A21">
        <w:rPr>
          <w:rFonts w:ascii="Arial" w:hAnsi="Arial" w:cs="Arial"/>
          <w:szCs w:val="24"/>
        </w:rPr>
        <w:tab/>
      </w:r>
    </w:p>
    <w:p w:rsidR="00AC56E7" w:rsidRPr="00B05A21" w:rsidRDefault="00AC56E7" w:rsidP="00AC56E7">
      <w:pPr>
        <w:pStyle w:val="Heading3"/>
        <w:spacing w:after="120"/>
        <w:jc w:val="left"/>
        <w:rPr>
          <w:rFonts w:cs="Arial"/>
          <w:bCs/>
          <w:sz w:val="24"/>
          <w:szCs w:val="24"/>
        </w:rPr>
      </w:pPr>
      <w:bookmarkStart w:id="356" w:name="_Toc12886069"/>
      <w:r w:rsidRPr="00B05A21">
        <w:rPr>
          <w:rFonts w:cs="Arial"/>
          <w:bCs/>
          <w:sz w:val="24"/>
          <w:szCs w:val="24"/>
        </w:rPr>
        <w:t>2.C9.0   General use of the purchase estimate (STD. 66)</w:t>
      </w:r>
      <w:bookmarkEnd w:id="356"/>
    </w:p>
    <w:p w:rsidR="00AC56E7" w:rsidRPr="00B05A21" w:rsidRDefault="00AC56E7" w:rsidP="00071379">
      <w:pPr>
        <w:autoSpaceDE w:val="0"/>
        <w:autoSpaceDN w:val="0"/>
        <w:adjustRightInd w:val="0"/>
        <w:rPr>
          <w:rFonts w:ascii="Arial" w:hAnsi="Arial" w:cs="Arial"/>
        </w:rPr>
      </w:pPr>
      <w:r w:rsidRPr="00B05A21">
        <w:rPr>
          <w:rFonts w:ascii="Arial" w:hAnsi="Arial" w:cs="Arial"/>
        </w:rPr>
        <w:t xml:space="preserve">The Purchase Estimate (STD. 66) is the standard requisition used by departments to request DGS/PD conduct competitive and/or non-competitive informal procurements of IT goods and/or services. </w:t>
      </w:r>
    </w:p>
    <w:p w:rsidR="00AC56E7" w:rsidRPr="00B05A21" w:rsidRDefault="00AC56E7" w:rsidP="00071379">
      <w:pPr>
        <w:autoSpaceDE w:val="0"/>
        <w:autoSpaceDN w:val="0"/>
        <w:adjustRightInd w:val="0"/>
        <w:ind w:left="1440"/>
        <w:rPr>
          <w:rFonts w:ascii="Arial" w:hAnsi="Arial" w:cs="Arial"/>
        </w:rPr>
      </w:pPr>
    </w:p>
    <w:p w:rsidR="00AC56E7" w:rsidRPr="00B05A21" w:rsidRDefault="00AC56E7" w:rsidP="00117466">
      <w:pPr>
        <w:pStyle w:val="BlockText0"/>
        <w:rPr>
          <w:rFonts w:ascii="Arial" w:hAnsi="Arial" w:cs="Arial"/>
          <w:szCs w:val="24"/>
        </w:rPr>
      </w:pPr>
      <w:r w:rsidRPr="00B05A21">
        <w:rPr>
          <w:rFonts w:ascii="Arial" w:hAnsi="Arial" w:cs="Arial"/>
          <w:b/>
          <w:bCs/>
          <w:szCs w:val="24"/>
        </w:rPr>
        <w:t>Note</w:t>
      </w:r>
      <w:r w:rsidRPr="00B05A21">
        <w:rPr>
          <w:rFonts w:ascii="Arial" w:hAnsi="Arial" w:cs="Arial"/>
          <w:szCs w:val="24"/>
        </w:rPr>
        <w:t xml:space="preserve">:  For formal procurements requests for DGS/PD to conduct the acquisition, instead of the STD. 66 submit a memorandum to DGS/PD.  In some </w:t>
      </w:r>
      <w:r w:rsidR="00A864AB" w:rsidRPr="00B05A21">
        <w:rPr>
          <w:rFonts w:ascii="Arial" w:hAnsi="Arial" w:cs="Arial"/>
          <w:szCs w:val="24"/>
        </w:rPr>
        <w:t>situations,</w:t>
      </w:r>
      <w:r w:rsidRPr="00B05A21">
        <w:rPr>
          <w:rFonts w:ascii="Arial" w:hAnsi="Arial" w:cs="Arial"/>
          <w:szCs w:val="24"/>
        </w:rPr>
        <w:t xml:space="preserve"> prior to issuance of the purchase document, DGS/PD may subsequently request a STD. 66.</w:t>
      </w:r>
    </w:p>
    <w:p w:rsidR="00071379" w:rsidRPr="00B05A21" w:rsidRDefault="00071379" w:rsidP="00071379">
      <w:pPr>
        <w:pStyle w:val="BlockLine"/>
        <w:tabs>
          <w:tab w:val="left" w:pos="2655"/>
        </w:tabs>
        <w:rPr>
          <w:rFonts w:ascii="Arial" w:hAnsi="Arial" w:cs="Arial"/>
          <w:szCs w:val="24"/>
        </w:rPr>
      </w:pPr>
      <w:r w:rsidRPr="00B05A21">
        <w:rPr>
          <w:rFonts w:ascii="Arial" w:hAnsi="Arial" w:cs="Arial"/>
          <w:szCs w:val="24"/>
        </w:rPr>
        <w:tab/>
      </w:r>
    </w:p>
    <w:p w:rsidR="00AC56E7" w:rsidRPr="00B05A21" w:rsidRDefault="00AC56E7" w:rsidP="00AC56E7">
      <w:pPr>
        <w:pStyle w:val="Heading3"/>
        <w:spacing w:after="120"/>
        <w:jc w:val="left"/>
        <w:rPr>
          <w:rFonts w:cs="Arial"/>
          <w:bCs/>
          <w:sz w:val="24"/>
          <w:szCs w:val="24"/>
        </w:rPr>
      </w:pPr>
      <w:bookmarkStart w:id="357" w:name="_Toc12886070"/>
      <w:r w:rsidRPr="00B05A21">
        <w:rPr>
          <w:rFonts w:cs="Arial"/>
          <w:bCs/>
          <w:sz w:val="24"/>
          <w:szCs w:val="24"/>
        </w:rPr>
        <w:t>2.C9.1   STD. 66 instructions</w:t>
      </w:r>
      <w:bookmarkEnd w:id="357"/>
    </w:p>
    <w:p w:rsidR="00AC56E7" w:rsidRPr="00B05A21" w:rsidRDefault="00AC56E7" w:rsidP="00071379">
      <w:pPr>
        <w:pStyle w:val="BlockText0"/>
        <w:rPr>
          <w:rFonts w:ascii="Arial" w:hAnsi="Arial" w:cs="Arial"/>
          <w:szCs w:val="24"/>
        </w:rPr>
      </w:pPr>
      <w:r w:rsidRPr="00B05A21">
        <w:rPr>
          <w:rFonts w:ascii="Arial" w:hAnsi="Arial" w:cs="Arial"/>
          <w:szCs w:val="24"/>
        </w:rPr>
        <w:t>Refer to the instructions provided on the last page of the STD. 66 to ensure complete and accurate information is provided.  If you need help completing the form refer to the Purchase Estimate Preparation Check List on the DGS/PD website.</w:t>
      </w:r>
    </w:p>
    <w:p w:rsidR="00AC56E7" w:rsidRPr="00B05A21" w:rsidRDefault="00AC56E7" w:rsidP="00071379">
      <w:pPr>
        <w:pStyle w:val="BlockText0"/>
        <w:rPr>
          <w:rFonts w:ascii="Arial" w:hAnsi="Arial" w:cs="Arial"/>
          <w:szCs w:val="24"/>
        </w:rPr>
      </w:pPr>
    </w:p>
    <w:p w:rsidR="00AC56E7" w:rsidRPr="00B05A21" w:rsidRDefault="00A674E6" w:rsidP="001007CC">
      <w:pPr>
        <w:pStyle w:val="BlockText0"/>
        <w:rPr>
          <w:rFonts w:ascii="Arial" w:hAnsi="Arial" w:cs="Arial"/>
          <w:szCs w:val="24"/>
        </w:rPr>
      </w:pPr>
      <w:hyperlink r:id="rId42" w:history="1">
        <w:r w:rsidR="00AC56E7" w:rsidRPr="00B05A21">
          <w:rPr>
            <w:rStyle w:val="Hyperlink"/>
            <w:rFonts w:ascii="Arial" w:hAnsi="Arial" w:cs="Arial"/>
            <w:szCs w:val="24"/>
          </w:rPr>
          <w:t>Click</w:t>
        </w:r>
      </w:hyperlink>
      <w:r w:rsidR="00AC56E7" w:rsidRPr="00B05A21">
        <w:rPr>
          <w:rFonts w:ascii="Arial" w:hAnsi="Arial" w:cs="Arial"/>
          <w:color w:val="0000FF"/>
          <w:szCs w:val="24"/>
        </w:rPr>
        <w:t xml:space="preserve"> </w:t>
      </w:r>
      <w:r w:rsidR="00AC56E7" w:rsidRPr="00B05A21">
        <w:rPr>
          <w:rFonts w:ascii="Arial" w:hAnsi="Arial" w:cs="Arial"/>
          <w:szCs w:val="24"/>
        </w:rPr>
        <w:t>here for the Purchase Estimate Preparation Check List</w:t>
      </w:r>
    </w:p>
    <w:p w:rsidR="00AC56E7" w:rsidRPr="00B05A21" w:rsidRDefault="00A674E6" w:rsidP="001007CC">
      <w:pPr>
        <w:pStyle w:val="BlockText0"/>
        <w:rPr>
          <w:rFonts w:ascii="Arial" w:hAnsi="Arial" w:cs="Arial"/>
          <w:szCs w:val="24"/>
        </w:rPr>
      </w:pPr>
      <w:hyperlink r:id="rId43" w:history="1">
        <w:r w:rsidR="00AC56E7" w:rsidRPr="00B05A21">
          <w:rPr>
            <w:rStyle w:val="Hyperlink"/>
            <w:rFonts w:ascii="Arial" w:hAnsi="Arial" w:cs="Arial"/>
            <w:szCs w:val="24"/>
          </w:rPr>
          <w:t>Click</w:t>
        </w:r>
      </w:hyperlink>
      <w:r w:rsidR="00AC56E7" w:rsidRPr="00B05A21">
        <w:rPr>
          <w:rFonts w:ascii="Arial" w:hAnsi="Arial" w:cs="Arial"/>
          <w:color w:val="0000FF"/>
          <w:szCs w:val="24"/>
        </w:rPr>
        <w:t xml:space="preserve"> </w:t>
      </w:r>
      <w:r w:rsidR="00AC56E7" w:rsidRPr="00B05A21">
        <w:rPr>
          <w:rFonts w:ascii="Arial" w:hAnsi="Arial" w:cs="Arial"/>
          <w:szCs w:val="24"/>
        </w:rPr>
        <w:t xml:space="preserve"> here for the Purchase Estimate (PE) (STD. 66).</w:t>
      </w:r>
    </w:p>
    <w:p w:rsidR="00AC56E7" w:rsidRPr="00B05A21" w:rsidRDefault="00AC56E7" w:rsidP="00071379">
      <w:pPr>
        <w:pStyle w:val="BlockText0"/>
        <w:rPr>
          <w:rFonts w:ascii="Arial" w:hAnsi="Arial" w:cs="Arial"/>
          <w:szCs w:val="24"/>
        </w:rPr>
      </w:pPr>
    </w:p>
    <w:p w:rsidR="00071379" w:rsidRPr="00B05A21" w:rsidRDefault="00071379" w:rsidP="00071379">
      <w:pPr>
        <w:pStyle w:val="BlockLine"/>
        <w:tabs>
          <w:tab w:val="left" w:pos="2655"/>
        </w:tabs>
        <w:rPr>
          <w:rFonts w:ascii="Arial" w:hAnsi="Arial" w:cs="Arial"/>
          <w:szCs w:val="24"/>
        </w:rPr>
      </w:pPr>
    </w:p>
    <w:p w:rsidR="00E9244E" w:rsidRPr="00B05A21" w:rsidRDefault="00E9244E" w:rsidP="00E9244E">
      <w:pPr>
        <w:pStyle w:val="Heading3"/>
        <w:spacing w:after="120"/>
        <w:jc w:val="left"/>
        <w:rPr>
          <w:rFonts w:cs="Arial"/>
          <w:bCs/>
          <w:sz w:val="24"/>
          <w:szCs w:val="24"/>
        </w:rPr>
      </w:pPr>
      <w:bookmarkStart w:id="358" w:name="_Toc12886071"/>
      <w:r w:rsidRPr="00B05A21">
        <w:rPr>
          <w:rFonts w:cs="Arial"/>
          <w:bCs/>
          <w:sz w:val="24"/>
          <w:szCs w:val="24"/>
        </w:rPr>
        <w:t>2.C9.2   Where to send the STD. 66</w:t>
      </w:r>
      <w:bookmarkEnd w:id="358"/>
    </w:p>
    <w:p w:rsidR="00E9244E" w:rsidRPr="00B05A21" w:rsidRDefault="00E9244E" w:rsidP="00071379">
      <w:pPr>
        <w:rPr>
          <w:rFonts w:ascii="Arial" w:hAnsi="Arial" w:cs="Arial"/>
        </w:rPr>
      </w:pPr>
      <w:r w:rsidRPr="00B05A21">
        <w:rPr>
          <w:rFonts w:ascii="Arial" w:hAnsi="Arial" w:cs="Arial"/>
        </w:rPr>
        <w:t>The completed STD. 66 should be submitted to DGS/PD a minimum of 45 days prior to the anticipated delivery date and may be sent electronically, by hardcopy or facsimile as follows:</w:t>
      </w:r>
    </w:p>
    <w:p w:rsidR="00E9244E" w:rsidRPr="00B05A21" w:rsidRDefault="00E9244E" w:rsidP="00071379">
      <w:pPr>
        <w:numPr>
          <w:ilvl w:val="1"/>
          <w:numId w:val="12"/>
        </w:numPr>
        <w:tabs>
          <w:tab w:val="clear" w:pos="1440"/>
          <w:tab w:val="num" w:pos="374"/>
        </w:tabs>
        <w:ind w:left="374"/>
        <w:rPr>
          <w:rFonts w:ascii="Arial" w:hAnsi="Arial" w:cs="Arial"/>
        </w:rPr>
      </w:pPr>
      <w:r w:rsidRPr="00B05A21">
        <w:rPr>
          <w:rFonts w:ascii="Arial" w:hAnsi="Arial" w:cs="Arial"/>
        </w:rPr>
        <w:t xml:space="preserve">Attach it to an e-mail and send it to </w:t>
      </w:r>
      <w:hyperlink r:id="rId44" w:history="1">
        <w:r w:rsidRPr="00B05A21">
          <w:rPr>
            <w:rStyle w:val="Hyperlink"/>
            <w:rFonts w:ascii="Arial" w:hAnsi="Arial" w:cs="Arial"/>
          </w:rPr>
          <w:t>iau@dgs.ca.gov</w:t>
        </w:r>
      </w:hyperlink>
      <w:r w:rsidRPr="00B05A21">
        <w:rPr>
          <w:rFonts w:ascii="Arial" w:hAnsi="Arial" w:cs="Arial"/>
        </w:rPr>
        <w:t xml:space="preserve"> </w:t>
      </w:r>
      <w:r w:rsidRPr="00B05A21">
        <w:rPr>
          <w:rFonts w:ascii="Arial" w:hAnsi="Arial" w:cs="Arial"/>
          <w:color w:val="0000FF"/>
        </w:rPr>
        <w:t xml:space="preserve"> </w:t>
      </w:r>
    </w:p>
    <w:p w:rsidR="00E9244E" w:rsidRPr="00B05A21" w:rsidRDefault="00E9244E" w:rsidP="00071379">
      <w:pPr>
        <w:numPr>
          <w:ilvl w:val="1"/>
          <w:numId w:val="12"/>
        </w:numPr>
        <w:tabs>
          <w:tab w:val="clear" w:pos="1440"/>
          <w:tab w:val="num" w:pos="374"/>
        </w:tabs>
        <w:ind w:left="374"/>
        <w:rPr>
          <w:rFonts w:ascii="Arial" w:hAnsi="Arial" w:cs="Arial"/>
        </w:rPr>
      </w:pPr>
      <w:r w:rsidRPr="00B05A21">
        <w:rPr>
          <w:rFonts w:ascii="Arial" w:hAnsi="Arial" w:cs="Arial"/>
        </w:rPr>
        <w:t xml:space="preserve">(Additional descriptive information and specifications may be attached.) </w:t>
      </w:r>
    </w:p>
    <w:p w:rsidR="00E9244E" w:rsidRPr="00B05A21" w:rsidRDefault="00E9244E" w:rsidP="00071379">
      <w:pPr>
        <w:numPr>
          <w:ilvl w:val="1"/>
          <w:numId w:val="12"/>
        </w:numPr>
        <w:tabs>
          <w:tab w:val="clear" w:pos="1440"/>
          <w:tab w:val="num" w:pos="374"/>
        </w:tabs>
        <w:ind w:left="374"/>
        <w:rPr>
          <w:rFonts w:ascii="Arial" w:hAnsi="Arial" w:cs="Arial"/>
        </w:rPr>
      </w:pPr>
      <w:r w:rsidRPr="00B05A21">
        <w:rPr>
          <w:rFonts w:ascii="Arial" w:hAnsi="Arial" w:cs="Arial"/>
        </w:rPr>
        <w:t xml:space="preserve">Fax the form to (916) 376-6315 </w:t>
      </w:r>
    </w:p>
    <w:p w:rsidR="00E9244E" w:rsidRPr="00B05A21" w:rsidRDefault="00E9244E" w:rsidP="00071379">
      <w:pPr>
        <w:numPr>
          <w:ilvl w:val="1"/>
          <w:numId w:val="12"/>
        </w:numPr>
        <w:tabs>
          <w:tab w:val="clear" w:pos="1440"/>
          <w:tab w:val="num" w:pos="374"/>
        </w:tabs>
        <w:ind w:left="374"/>
        <w:rPr>
          <w:rFonts w:ascii="Arial" w:hAnsi="Arial" w:cs="Arial"/>
        </w:rPr>
      </w:pPr>
      <w:r w:rsidRPr="00B05A21">
        <w:rPr>
          <w:rFonts w:ascii="Arial" w:hAnsi="Arial" w:cs="Arial"/>
        </w:rPr>
        <w:t>Mail a copy to:</w:t>
      </w:r>
    </w:p>
    <w:p w:rsidR="00E9244E" w:rsidRPr="00B05A21" w:rsidRDefault="00E9244E" w:rsidP="00071379">
      <w:pPr>
        <w:tabs>
          <w:tab w:val="num" w:pos="374"/>
        </w:tabs>
        <w:ind w:left="374"/>
        <w:rPr>
          <w:rFonts w:ascii="Arial" w:hAnsi="Arial" w:cs="Arial"/>
        </w:rPr>
      </w:pPr>
      <w:r w:rsidRPr="00B05A21">
        <w:rPr>
          <w:rFonts w:ascii="Arial" w:hAnsi="Arial" w:cs="Arial"/>
        </w:rPr>
        <w:t>DGS/Procurement Division</w:t>
      </w:r>
      <w:r w:rsidRPr="00B05A21">
        <w:rPr>
          <w:rFonts w:ascii="Arial" w:hAnsi="Arial" w:cs="Arial"/>
        </w:rPr>
        <w:br/>
        <w:t>Attn: Intake and Analysis Unit</w:t>
      </w:r>
      <w:r w:rsidRPr="00B05A21">
        <w:rPr>
          <w:rFonts w:ascii="Arial" w:hAnsi="Arial" w:cs="Arial"/>
        </w:rPr>
        <w:br/>
        <w:t>707 3rd Street, 2nd Floor</w:t>
      </w:r>
      <w:r w:rsidRPr="00B05A21">
        <w:rPr>
          <w:rFonts w:ascii="Arial" w:hAnsi="Arial" w:cs="Arial"/>
        </w:rPr>
        <w:br/>
        <w:t xml:space="preserve">West Sacramento, Ca. 95605 </w:t>
      </w:r>
    </w:p>
    <w:p w:rsidR="00E9244E" w:rsidRPr="00B05A21" w:rsidRDefault="00E9244E" w:rsidP="00071379">
      <w:pPr>
        <w:tabs>
          <w:tab w:val="num" w:pos="374"/>
        </w:tabs>
        <w:ind w:left="374"/>
        <w:rPr>
          <w:rFonts w:ascii="Arial" w:hAnsi="Arial" w:cs="Arial"/>
        </w:rPr>
      </w:pPr>
    </w:p>
    <w:p w:rsidR="00E9244E" w:rsidRPr="00B05A21" w:rsidRDefault="00E9244E" w:rsidP="0022159E">
      <w:pPr>
        <w:pStyle w:val="BlockText0"/>
        <w:rPr>
          <w:rFonts w:ascii="Arial" w:hAnsi="Arial" w:cs="Arial"/>
          <w:szCs w:val="24"/>
        </w:rPr>
      </w:pPr>
      <w:r w:rsidRPr="00B05A21">
        <w:rPr>
          <w:rFonts w:ascii="Arial" w:hAnsi="Arial" w:cs="Arial"/>
          <w:b/>
          <w:szCs w:val="24"/>
        </w:rPr>
        <w:t>Note</w:t>
      </w:r>
      <w:r w:rsidRPr="00B05A21">
        <w:rPr>
          <w:rFonts w:ascii="Arial" w:hAnsi="Arial" w:cs="Arial"/>
          <w:szCs w:val="24"/>
        </w:rPr>
        <w:t>:  Receipt of Purchase Estimates for fiscal year end deadlines may be different.</w:t>
      </w:r>
    </w:p>
    <w:p w:rsidR="00071379" w:rsidRPr="00B05A21" w:rsidRDefault="00071379" w:rsidP="00071379">
      <w:pPr>
        <w:pStyle w:val="BlockLine"/>
        <w:tabs>
          <w:tab w:val="left" w:pos="2655"/>
        </w:tabs>
        <w:rPr>
          <w:rFonts w:ascii="Arial" w:hAnsi="Arial" w:cs="Arial"/>
          <w:szCs w:val="24"/>
        </w:rPr>
      </w:pPr>
      <w:r w:rsidRPr="00B05A21">
        <w:rPr>
          <w:rFonts w:ascii="Arial" w:hAnsi="Arial" w:cs="Arial"/>
          <w:szCs w:val="24"/>
        </w:rPr>
        <w:tab/>
      </w:r>
    </w:p>
    <w:p w:rsidR="009F4FE1" w:rsidRPr="00B05A21" w:rsidRDefault="009F4FE1" w:rsidP="009F4FE1">
      <w:pPr>
        <w:pStyle w:val="Heading3"/>
        <w:spacing w:after="120"/>
        <w:jc w:val="left"/>
        <w:rPr>
          <w:rFonts w:cs="Arial"/>
          <w:bCs/>
          <w:sz w:val="24"/>
          <w:szCs w:val="24"/>
        </w:rPr>
      </w:pPr>
      <w:bookmarkStart w:id="359" w:name="_Toc12886072"/>
      <w:r w:rsidRPr="00B05A21">
        <w:rPr>
          <w:rFonts w:cs="Arial"/>
          <w:bCs/>
          <w:sz w:val="24"/>
          <w:szCs w:val="24"/>
        </w:rPr>
        <w:t>2.C9.3   Amendments</w:t>
      </w:r>
      <w:bookmarkEnd w:id="359"/>
    </w:p>
    <w:p w:rsidR="009F4FE1" w:rsidRPr="00B05A21" w:rsidRDefault="009F4FE1" w:rsidP="00071379">
      <w:pPr>
        <w:pStyle w:val="BlockText0"/>
        <w:rPr>
          <w:rFonts w:ascii="Arial" w:hAnsi="Arial" w:cs="Arial"/>
          <w:szCs w:val="24"/>
        </w:rPr>
      </w:pPr>
      <w:r w:rsidRPr="00B05A21">
        <w:rPr>
          <w:rFonts w:ascii="Arial" w:hAnsi="Arial" w:cs="Arial"/>
          <w:szCs w:val="24"/>
        </w:rPr>
        <w:t>The Purchase Order/Estimate Change Request (STD. 96) is used to request a change to a Purchase Estimate (STD. 66) submitted to DGS/PD or to a purchase order issued by DGS/PD.</w:t>
      </w:r>
    </w:p>
    <w:p w:rsidR="009F4FE1" w:rsidRPr="00B05A21" w:rsidRDefault="009F4FE1" w:rsidP="00071379">
      <w:pPr>
        <w:pStyle w:val="BlockText0"/>
        <w:rPr>
          <w:rFonts w:ascii="Arial" w:hAnsi="Arial" w:cs="Arial"/>
          <w:szCs w:val="24"/>
        </w:rPr>
      </w:pPr>
    </w:p>
    <w:p w:rsidR="009F4FE1" w:rsidRPr="00B05A21" w:rsidRDefault="009F4FE1" w:rsidP="00071379">
      <w:pPr>
        <w:rPr>
          <w:rFonts w:ascii="Arial" w:hAnsi="Arial" w:cs="Arial"/>
        </w:rPr>
      </w:pPr>
      <w:r w:rsidRPr="00B05A21">
        <w:rPr>
          <w:rFonts w:ascii="Arial" w:hAnsi="Arial" w:cs="Arial"/>
        </w:rPr>
        <w:t>The STD. 96 may not be used to create an amendment to an IT transaction executed on a STD. 65.</w:t>
      </w:r>
    </w:p>
    <w:p w:rsidR="009F4FE1" w:rsidRPr="00B05A21" w:rsidRDefault="009F4FE1" w:rsidP="00071379">
      <w:pPr>
        <w:pStyle w:val="BulletText1"/>
        <w:numPr>
          <w:ilvl w:val="0"/>
          <w:numId w:val="0"/>
        </w:numPr>
        <w:rPr>
          <w:rFonts w:ascii="Arial" w:hAnsi="Arial" w:cs="Arial"/>
          <w:color w:val="0000FF"/>
          <w:szCs w:val="24"/>
        </w:rPr>
      </w:pPr>
    </w:p>
    <w:p w:rsidR="009F4FE1" w:rsidRPr="00B05A21" w:rsidRDefault="009F4FE1" w:rsidP="00071379">
      <w:pPr>
        <w:pStyle w:val="BulletText1"/>
        <w:numPr>
          <w:ilvl w:val="0"/>
          <w:numId w:val="0"/>
        </w:numPr>
        <w:rPr>
          <w:rFonts w:ascii="Arial" w:hAnsi="Arial" w:cs="Arial"/>
          <w:szCs w:val="24"/>
        </w:rPr>
      </w:pPr>
      <w:r w:rsidRPr="00B05A21">
        <w:rPr>
          <w:rFonts w:ascii="Arial" w:hAnsi="Arial" w:cs="Arial"/>
          <w:szCs w:val="24"/>
        </w:rPr>
        <w:t xml:space="preserve">Click here for the </w:t>
      </w:r>
      <w:hyperlink r:id="rId45" w:history="1">
        <w:r w:rsidRPr="00B05A21">
          <w:rPr>
            <w:rStyle w:val="Hyperlink"/>
            <w:rFonts w:ascii="Arial" w:hAnsi="Arial" w:cs="Arial"/>
            <w:szCs w:val="24"/>
          </w:rPr>
          <w:t>Purchase Order/Estimate Change Request</w:t>
        </w:r>
      </w:hyperlink>
      <w:r w:rsidRPr="00B05A21">
        <w:rPr>
          <w:rFonts w:ascii="Arial" w:hAnsi="Arial" w:cs="Arial"/>
          <w:szCs w:val="24"/>
        </w:rPr>
        <w:t xml:space="preserve"> (STD. 96) (Also, see Chapter 8, for further information on amending purchase documents.)</w:t>
      </w:r>
    </w:p>
    <w:p w:rsidR="00071379" w:rsidRPr="00B05A21" w:rsidRDefault="00071379" w:rsidP="00071379">
      <w:pPr>
        <w:pStyle w:val="BlockLine"/>
        <w:tabs>
          <w:tab w:val="left" w:pos="2655"/>
        </w:tabs>
        <w:rPr>
          <w:rFonts w:ascii="Arial" w:hAnsi="Arial" w:cs="Arial"/>
          <w:szCs w:val="24"/>
        </w:rPr>
      </w:pPr>
      <w:r w:rsidRPr="00B05A21">
        <w:rPr>
          <w:rFonts w:ascii="Arial" w:hAnsi="Arial" w:cs="Arial"/>
          <w:szCs w:val="24"/>
        </w:rPr>
        <w:tab/>
      </w:r>
    </w:p>
    <w:p w:rsidR="008D5D31" w:rsidRPr="00AB2982" w:rsidRDefault="008D5D31" w:rsidP="009F4FE1">
      <w:pPr>
        <w:pStyle w:val="Heading1"/>
        <w:spacing w:after="120"/>
        <w:rPr>
          <w:rFonts w:cs="Arial"/>
          <w:szCs w:val="32"/>
        </w:rPr>
      </w:pPr>
      <w:bookmarkStart w:id="360" w:name="_Toc12886073"/>
      <w:r w:rsidRPr="00AB2982">
        <w:rPr>
          <w:rFonts w:cs="Arial"/>
          <w:szCs w:val="32"/>
        </w:rPr>
        <w:t>Section D</w:t>
      </w:r>
      <w:bookmarkEnd w:id="360"/>
    </w:p>
    <w:p w:rsidR="008D5D31" w:rsidRDefault="008D5D31" w:rsidP="00B0002F">
      <w:pPr>
        <w:pStyle w:val="Heading1"/>
        <w:spacing w:after="120"/>
        <w:rPr>
          <w:rFonts w:cs="Arial"/>
          <w:szCs w:val="32"/>
        </w:rPr>
      </w:pPr>
      <w:bookmarkStart w:id="361" w:name="_Toc12886074"/>
      <w:r w:rsidRPr="00AB2982">
        <w:rPr>
          <w:rFonts w:cs="Arial"/>
          <w:szCs w:val="32"/>
        </w:rPr>
        <w:t>Creating the Paper Trail</w:t>
      </w:r>
      <w:bookmarkEnd w:id="361"/>
    </w:p>
    <w:p w:rsidR="00B0002F" w:rsidRPr="00B0002F" w:rsidRDefault="00B0002F" w:rsidP="00B0002F">
      <w:pPr>
        <w:pStyle w:val="Heading4"/>
      </w:pPr>
    </w:p>
    <w:p w:rsidR="008D5D31" w:rsidRPr="00B05A21" w:rsidRDefault="008D5D31" w:rsidP="009F4FE1">
      <w:pPr>
        <w:pStyle w:val="Heading3"/>
        <w:spacing w:after="120"/>
        <w:jc w:val="left"/>
        <w:rPr>
          <w:rFonts w:cs="Arial"/>
          <w:bCs/>
          <w:sz w:val="24"/>
          <w:szCs w:val="24"/>
        </w:rPr>
      </w:pPr>
      <w:bookmarkStart w:id="362" w:name="_Toc83450134"/>
      <w:bookmarkStart w:id="363" w:name="_Toc238448350"/>
      <w:bookmarkStart w:id="364" w:name="_Toc12886075"/>
      <w:r w:rsidRPr="00B05A21">
        <w:rPr>
          <w:rFonts w:cs="Arial"/>
          <w:bCs/>
          <w:sz w:val="24"/>
          <w:szCs w:val="24"/>
        </w:rPr>
        <w:t>Overview</w:t>
      </w:r>
      <w:bookmarkEnd w:id="362"/>
      <w:bookmarkEnd w:id="363"/>
      <w:bookmarkEnd w:id="364"/>
    </w:p>
    <w:p w:rsidR="008D5D31" w:rsidRPr="00B05A21" w:rsidRDefault="008D5D31" w:rsidP="008D5D31">
      <w:pPr>
        <w:pStyle w:val="BlockLine"/>
        <w:rPr>
          <w:rFonts w:ascii="Arial" w:hAnsi="Arial" w:cs="Arial"/>
          <w:szCs w:val="24"/>
        </w:rPr>
      </w:pPr>
    </w:p>
    <w:p w:rsidR="009F4FE1" w:rsidRPr="00B05A21" w:rsidRDefault="009F4FE1" w:rsidP="009F4FE1">
      <w:pPr>
        <w:pStyle w:val="Heading3"/>
        <w:spacing w:after="120"/>
        <w:jc w:val="left"/>
        <w:rPr>
          <w:rFonts w:cs="Arial"/>
          <w:bCs/>
          <w:sz w:val="24"/>
          <w:szCs w:val="24"/>
        </w:rPr>
      </w:pPr>
      <w:bookmarkStart w:id="365" w:name="_Toc238448351"/>
      <w:bookmarkStart w:id="366" w:name="_Toc12886076"/>
      <w:r w:rsidRPr="00B05A21">
        <w:rPr>
          <w:rFonts w:cs="Arial"/>
          <w:bCs/>
          <w:sz w:val="24"/>
          <w:szCs w:val="24"/>
        </w:rPr>
        <w:t>Introduction</w:t>
      </w:r>
      <w:bookmarkEnd w:id="365"/>
      <w:bookmarkEnd w:id="366"/>
    </w:p>
    <w:p w:rsidR="009F4FE1" w:rsidRPr="00B05A21" w:rsidRDefault="009F4FE1" w:rsidP="00B43670">
      <w:pPr>
        <w:pStyle w:val="BlockText0"/>
        <w:rPr>
          <w:rFonts w:ascii="Arial" w:hAnsi="Arial" w:cs="Arial"/>
          <w:szCs w:val="24"/>
        </w:rPr>
      </w:pPr>
      <w:r w:rsidRPr="00B05A21">
        <w:rPr>
          <w:rFonts w:ascii="Arial" w:hAnsi="Arial" w:cs="Arial"/>
          <w:szCs w:val="24"/>
        </w:rPr>
        <w:t>It is absolutely essential to maintain good records and information relating to the decisions made during the initial planning phase.  This is the beginning of establishing the paper trail that should continue throughout the procurement process from the department request through contract conclusion and closure.</w:t>
      </w:r>
    </w:p>
    <w:p w:rsidR="008D5D31" w:rsidRPr="00B05A21" w:rsidRDefault="008D5D31" w:rsidP="008D5D31">
      <w:pPr>
        <w:pStyle w:val="BlockLine"/>
        <w:rPr>
          <w:rFonts w:ascii="Arial" w:hAnsi="Arial" w:cs="Arial"/>
          <w:szCs w:val="24"/>
        </w:rPr>
      </w:pPr>
    </w:p>
    <w:p w:rsidR="009F4FE1" w:rsidRPr="00B05A21" w:rsidRDefault="009F4FE1" w:rsidP="009F4FE1">
      <w:pPr>
        <w:pStyle w:val="Heading3"/>
        <w:spacing w:after="120"/>
        <w:jc w:val="left"/>
        <w:rPr>
          <w:rFonts w:cs="Arial"/>
          <w:bCs/>
          <w:color w:val="000000"/>
          <w:sz w:val="24"/>
          <w:szCs w:val="24"/>
        </w:rPr>
      </w:pPr>
      <w:bookmarkStart w:id="367" w:name="_Toc238448352"/>
      <w:bookmarkStart w:id="368" w:name="_Toc12886077"/>
      <w:r w:rsidRPr="00B05A21">
        <w:rPr>
          <w:rFonts w:cs="Arial"/>
          <w:bCs/>
          <w:color w:val="000000"/>
          <w:sz w:val="24"/>
          <w:szCs w:val="24"/>
        </w:rPr>
        <w:t>Contents</w:t>
      </w:r>
      <w:bookmarkEnd w:id="367"/>
      <w:bookmarkEnd w:id="368"/>
    </w:p>
    <w:p w:rsidR="009F4FE1" w:rsidRPr="00B05A21" w:rsidRDefault="009F4FE1" w:rsidP="00B43670">
      <w:pPr>
        <w:pStyle w:val="TOCStem"/>
        <w:rPr>
          <w:rFonts w:ascii="Arial" w:hAnsi="Arial" w:cs="Arial"/>
          <w:szCs w:val="24"/>
        </w:rPr>
      </w:pPr>
      <w:r w:rsidRPr="00B05A21">
        <w:rPr>
          <w:rFonts w:ascii="Arial" w:hAnsi="Arial" w:cs="Arial"/>
          <w:szCs w:val="24"/>
        </w:rPr>
        <w:t>This section contains the following topic:</w:t>
      </w:r>
    </w:p>
    <w:p w:rsidR="008D5D31" w:rsidRPr="00B05A21" w:rsidRDefault="008D5D31" w:rsidP="008D5D31">
      <w:pPr>
        <w:rPr>
          <w:rFonts w:ascii="Arial" w:hAnsi="Arial" w:cs="Arial"/>
        </w:rPr>
      </w:pPr>
    </w:p>
    <w:p w:rsidR="009F4FE1" w:rsidRPr="00B05A21" w:rsidRDefault="009F4FE1" w:rsidP="009F4FE1">
      <w:pPr>
        <w:pStyle w:val="TableText"/>
        <w:rPr>
          <w:rFonts w:ascii="Arial" w:hAnsi="Arial" w:cs="Arial"/>
          <w:szCs w:val="24"/>
        </w:rPr>
      </w:pPr>
      <w:r w:rsidRPr="00B05A21">
        <w:rPr>
          <w:rFonts w:ascii="Arial" w:hAnsi="Arial" w:cs="Arial"/>
          <w:szCs w:val="24"/>
        </w:rPr>
        <w:t>Topic 1 – Documenting the Decisions, See Page 60</w:t>
      </w:r>
    </w:p>
    <w:p w:rsidR="008F4C67" w:rsidRPr="00B05A21" w:rsidRDefault="008F4C67" w:rsidP="008F4C67">
      <w:pPr>
        <w:pStyle w:val="BlockLine"/>
        <w:rPr>
          <w:rFonts w:ascii="Arial" w:hAnsi="Arial" w:cs="Arial"/>
          <w:szCs w:val="24"/>
        </w:rPr>
      </w:pPr>
      <w:bookmarkStart w:id="369" w:name="_Toc83450135"/>
      <w:bookmarkStart w:id="370" w:name="_Toc238448353"/>
    </w:p>
    <w:p w:rsidR="008D5D31" w:rsidRPr="00AB2982" w:rsidRDefault="00071379" w:rsidP="000710EA">
      <w:pPr>
        <w:pStyle w:val="Heading2"/>
        <w:spacing w:after="120"/>
        <w:jc w:val="left"/>
        <w:rPr>
          <w:rFonts w:cs="Arial"/>
          <w:bCs/>
          <w:szCs w:val="32"/>
        </w:rPr>
      </w:pPr>
      <w:bookmarkStart w:id="371" w:name="_Toc12886078"/>
      <w:r w:rsidRPr="00AB2982">
        <w:rPr>
          <w:rFonts w:cs="Arial"/>
          <w:bCs/>
          <w:szCs w:val="32"/>
        </w:rPr>
        <w:t>Topic 1 – Documenting the Decisions</w:t>
      </w:r>
      <w:bookmarkEnd w:id="371"/>
      <w:r w:rsidRPr="00AB2982">
        <w:rPr>
          <w:rFonts w:cs="Arial"/>
          <w:bCs/>
          <w:szCs w:val="32"/>
        </w:rPr>
        <w:t xml:space="preserve"> </w:t>
      </w:r>
      <w:bookmarkEnd w:id="369"/>
      <w:bookmarkEnd w:id="370"/>
    </w:p>
    <w:p w:rsidR="008D5D31" w:rsidRPr="00B05A21" w:rsidRDefault="008D5D31" w:rsidP="008D5D31">
      <w:pPr>
        <w:pStyle w:val="BlockLine"/>
        <w:rPr>
          <w:rFonts w:ascii="Arial" w:hAnsi="Arial" w:cs="Arial"/>
          <w:szCs w:val="24"/>
        </w:rPr>
      </w:pPr>
    </w:p>
    <w:p w:rsidR="000710EA" w:rsidRPr="00B05A21" w:rsidRDefault="000710EA" w:rsidP="000710EA">
      <w:pPr>
        <w:pStyle w:val="Heading3"/>
        <w:spacing w:after="120"/>
        <w:jc w:val="left"/>
        <w:rPr>
          <w:rFonts w:cs="Arial"/>
          <w:bCs/>
          <w:sz w:val="24"/>
          <w:szCs w:val="24"/>
        </w:rPr>
      </w:pPr>
      <w:bookmarkStart w:id="372" w:name="_Toc238448354"/>
      <w:bookmarkStart w:id="373" w:name="_Toc12886079"/>
      <w:r w:rsidRPr="00B05A21">
        <w:rPr>
          <w:rFonts w:cs="Arial"/>
          <w:bCs/>
          <w:sz w:val="24"/>
          <w:szCs w:val="24"/>
        </w:rPr>
        <w:t>2.D1.0   Documenting the decisions</w:t>
      </w:r>
      <w:bookmarkEnd w:id="372"/>
      <w:bookmarkEnd w:id="373"/>
    </w:p>
    <w:p w:rsidR="000710EA" w:rsidRPr="00B05A21" w:rsidRDefault="000710EA" w:rsidP="00B43670">
      <w:pPr>
        <w:pStyle w:val="BlockText0"/>
        <w:rPr>
          <w:rFonts w:ascii="Arial" w:hAnsi="Arial" w:cs="Arial"/>
          <w:szCs w:val="24"/>
        </w:rPr>
      </w:pPr>
      <w:r w:rsidRPr="00B05A21">
        <w:rPr>
          <w:rFonts w:ascii="Arial" w:hAnsi="Arial" w:cs="Arial"/>
          <w:szCs w:val="24"/>
        </w:rPr>
        <w:t xml:space="preserve">As previously stated, planning the purchasing activity begins as soon as the department has identified a need. </w:t>
      </w:r>
    </w:p>
    <w:p w:rsidR="000710EA" w:rsidRPr="00B05A21" w:rsidRDefault="000710EA" w:rsidP="00B43670">
      <w:pPr>
        <w:pStyle w:val="BlockText0"/>
        <w:rPr>
          <w:rFonts w:ascii="Arial" w:hAnsi="Arial" w:cs="Arial"/>
          <w:szCs w:val="24"/>
        </w:rPr>
      </w:pPr>
    </w:p>
    <w:p w:rsidR="000710EA" w:rsidRPr="00B05A21" w:rsidRDefault="000710EA" w:rsidP="00B43670">
      <w:pPr>
        <w:pStyle w:val="BlockText0"/>
        <w:rPr>
          <w:rFonts w:ascii="Arial" w:hAnsi="Arial" w:cs="Arial"/>
          <w:szCs w:val="24"/>
        </w:rPr>
      </w:pPr>
      <w:r w:rsidRPr="00B05A21">
        <w:rPr>
          <w:rFonts w:ascii="Arial" w:hAnsi="Arial" w:cs="Arial"/>
          <w:szCs w:val="24"/>
        </w:rPr>
        <w:t>Buyers should develop a strategy of how the procurement activity will be accomplished and document the rationale of what led to the decision.</w:t>
      </w:r>
    </w:p>
    <w:p w:rsidR="008D5D31" w:rsidRPr="00B05A21" w:rsidRDefault="008D5D31" w:rsidP="008D5D31">
      <w:pPr>
        <w:pStyle w:val="BlockLine"/>
        <w:rPr>
          <w:rFonts w:ascii="Arial" w:hAnsi="Arial" w:cs="Arial"/>
          <w:szCs w:val="24"/>
        </w:rPr>
      </w:pPr>
    </w:p>
    <w:p w:rsidR="006510BD" w:rsidRPr="00B05A21" w:rsidRDefault="006510BD" w:rsidP="006510BD">
      <w:pPr>
        <w:pStyle w:val="Heading3"/>
        <w:spacing w:after="120"/>
        <w:jc w:val="left"/>
        <w:rPr>
          <w:rFonts w:cs="Arial"/>
          <w:bCs/>
          <w:sz w:val="24"/>
          <w:szCs w:val="24"/>
        </w:rPr>
      </w:pPr>
      <w:bookmarkStart w:id="374" w:name="_Toc238448355"/>
      <w:bookmarkStart w:id="375" w:name="_Toc12886080"/>
      <w:r w:rsidRPr="00B05A21">
        <w:rPr>
          <w:rFonts w:cs="Arial"/>
          <w:bCs/>
          <w:sz w:val="24"/>
          <w:szCs w:val="24"/>
        </w:rPr>
        <w:t>2.D1.1   Provide the basis of the decisions</w:t>
      </w:r>
      <w:bookmarkEnd w:id="374"/>
      <w:bookmarkEnd w:id="375"/>
    </w:p>
    <w:p w:rsidR="006510BD" w:rsidRPr="00B05A21" w:rsidRDefault="006510BD" w:rsidP="00B43670">
      <w:pPr>
        <w:pStyle w:val="BlockText0"/>
        <w:rPr>
          <w:rFonts w:ascii="Arial" w:hAnsi="Arial" w:cs="Arial"/>
          <w:szCs w:val="24"/>
        </w:rPr>
      </w:pPr>
      <w:r w:rsidRPr="00B05A21">
        <w:rPr>
          <w:rFonts w:ascii="Arial" w:hAnsi="Arial" w:cs="Arial"/>
          <w:szCs w:val="24"/>
        </w:rPr>
        <w:t>Buyers shall also describe how competition will be sought, promoted and sustained throughout the course of the purchasing activity.  If open competition is not the method of choice, document the basis of the decision.</w:t>
      </w:r>
    </w:p>
    <w:p w:rsidR="008D5D31" w:rsidRPr="00B05A21" w:rsidRDefault="008D5D31" w:rsidP="008D5D31">
      <w:pPr>
        <w:pStyle w:val="BlockLine"/>
        <w:rPr>
          <w:rFonts w:ascii="Arial" w:hAnsi="Arial" w:cs="Arial"/>
          <w:szCs w:val="24"/>
        </w:rPr>
      </w:pPr>
    </w:p>
    <w:p w:rsidR="00D43781" w:rsidRPr="00B05A21" w:rsidRDefault="00D43781" w:rsidP="00D43781">
      <w:pPr>
        <w:pStyle w:val="Heading3"/>
        <w:spacing w:after="120"/>
        <w:jc w:val="left"/>
        <w:rPr>
          <w:rFonts w:cs="Arial"/>
          <w:bCs/>
          <w:sz w:val="24"/>
          <w:szCs w:val="24"/>
        </w:rPr>
      </w:pPr>
      <w:bookmarkStart w:id="376" w:name="_Toc238448356"/>
      <w:bookmarkStart w:id="377" w:name="_Toc12886081"/>
      <w:r w:rsidRPr="00B05A21">
        <w:rPr>
          <w:rFonts w:cs="Arial"/>
          <w:bCs/>
          <w:sz w:val="24"/>
          <w:szCs w:val="24"/>
        </w:rPr>
        <w:t>2.D1.2   Degree of detail</w:t>
      </w:r>
      <w:bookmarkEnd w:id="376"/>
      <w:bookmarkEnd w:id="377"/>
    </w:p>
    <w:p w:rsidR="00D43781" w:rsidRPr="00B05A21" w:rsidRDefault="00D43781" w:rsidP="00B43670">
      <w:pPr>
        <w:pStyle w:val="BlockText0"/>
        <w:rPr>
          <w:rFonts w:ascii="Arial" w:hAnsi="Arial" w:cs="Arial"/>
          <w:szCs w:val="24"/>
        </w:rPr>
      </w:pPr>
      <w:r w:rsidRPr="00B05A21">
        <w:rPr>
          <w:rFonts w:ascii="Arial" w:hAnsi="Arial" w:cs="Arial"/>
          <w:szCs w:val="24"/>
        </w:rPr>
        <w:lastRenderedPageBreak/>
        <w:t>The degree of documentation detail is determined by the cost, risk, complexity and criticality of the purchasing activity.</w:t>
      </w:r>
    </w:p>
    <w:p w:rsidR="00D43781" w:rsidRPr="00B05A21" w:rsidRDefault="00D43781" w:rsidP="00B43670">
      <w:pPr>
        <w:pStyle w:val="BlockText0"/>
        <w:rPr>
          <w:rFonts w:ascii="Arial" w:hAnsi="Arial" w:cs="Arial"/>
          <w:szCs w:val="24"/>
        </w:rPr>
      </w:pPr>
    </w:p>
    <w:p w:rsidR="00D43781" w:rsidRPr="00B05A21" w:rsidRDefault="00D43781" w:rsidP="00B43670">
      <w:pPr>
        <w:pStyle w:val="BlockText0"/>
        <w:rPr>
          <w:rFonts w:ascii="Arial" w:hAnsi="Arial" w:cs="Arial"/>
          <w:szCs w:val="24"/>
          <w:u w:val="single"/>
        </w:rPr>
      </w:pPr>
      <w:r w:rsidRPr="00B05A21">
        <w:rPr>
          <w:rFonts w:ascii="Arial" w:hAnsi="Arial" w:cs="Arial"/>
          <w:szCs w:val="24"/>
          <w:u w:val="single"/>
        </w:rPr>
        <w:t>Example:</w:t>
      </w:r>
    </w:p>
    <w:p w:rsidR="00D43781" w:rsidRPr="00B05A21" w:rsidRDefault="00D43781" w:rsidP="00B43670">
      <w:pPr>
        <w:pStyle w:val="BlockText0"/>
        <w:rPr>
          <w:rFonts w:ascii="Arial" w:hAnsi="Arial" w:cs="Arial"/>
          <w:szCs w:val="24"/>
        </w:rPr>
      </w:pPr>
      <w:r w:rsidRPr="00B05A21">
        <w:rPr>
          <w:rFonts w:ascii="Arial" w:hAnsi="Arial" w:cs="Arial"/>
          <w:szCs w:val="24"/>
        </w:rPr>
        <w:t>If the selection of the purchase approach was dictated by time constraints, then appropriate notations in the procurement file should be made.</w:t>
      </w:r>
    </w:p>
    <w:p w:rsidR="00D43781" w:rsidRPr="00B05A21" w:rsidRDefault="00D43781" w:rsidP="00B43670">
      <w:pPr>
        <w:pStyle w:val="BlockText0"/>
        <w:rPr>
          <w:rFonts w:ascii="Arial" w:hAnsi="Arial" w:cs="Arial"/>
          <w:szCs w:val="24"/>
        </w:rPr>
      </w:pPr>
    </w:p>
    <w:p w:rsidR="00D43781" w:rsidRPr="00B05A21" w:rsidRDefault="00D43781" w:rsidP="00B43670">
      <w:pPr>
        <w:pStyle w:val="BlockText0"/>
        <w:rPr>
          <w:rFonts w:ascii="Arial" w:hAnsi="Arial" w:cs="Arial"/>
          <w:szCs w:val="24"/>
        </w:rPr>
      </w:pPr>
      <w:r w:rsidRPr="00B05A21">
        <w:rPr>
          <w:rFonts w:ascii="Arial" w:hAnsi="Arial" w:cs="Arial"/>
          <w:szCs w:val="24"/>
        </w:rPr>
        <w:t>In simple terms, buyers should maintain a diary of the events and decisions that lead up to and complete the purchase transaction, providing a timeline and history of the actions and decisions made throughout the procurement process.</w:t>
      </w:r>
    </w:p>
    <w:p w:rsidR="008D5D31" w:rsidRPr="00B05A21" w:rsidRDefault="008D5D31" w:rsidP="008D5D31">
      <w:pPr>
        <w:pStyle w:val="BlockLine"/>
        <w:rPr>
          <w:rFonts w:ascii="Arial" w:hAnsi="Arial" w:cs="Arial"/>
          <w:szCs w:val="24"/>
        </w:rPr>
      </w:pPr>
    </w:p>
    <w:p w:rsidR="00D43781" w:rsidRPr="00B05A21" w:rsidRDefault="00D43781" w:rsidP="00D43781">
      <w:pPr>
        <w:pStyle w:val="Heading3"/>
        <w:spacing w:after="120"/>
        <w:jc w:val="left"/>
        <w:rPr>
          <w:rFonts w:cs="Arial"/>
          <w:bCs/>
          <w:sz w:val="24"/>
          <w:szCs w:val="24"/>
        </w:rPr>
      </w:pPr>
      <w:bookmarkStart w:id="378" w:name="_Toc238448357"/>
      <w:bookmarkStart w:id="379" w:name="_Toc12886082"/>
      <w:r w:rsidRPr="00B05A21">
        <w:rPr>
          <w:rFonts w:cs="Arial"/>
          <w:bCs/>
          <w:sz w:val="24"/>
          <w:szCs w:val="24"/>
        </w:rPr>
        <w:t>2.D1.3   Take notes</w:t>
      </w:r>
      <w:bookmarkEnd w:id="378"/>
      <w:bookmarkEnd w:id="379"/>
    </w:p>
    <w:p w:rsidR="00D43781" w:rsidRPr="00B05A21" w:rsidRDefault="00D43781" w:rsidP="00B43670">
      <w:pPr>
        <w:pStyle w:val="BlockText0"/>
        <w:rPr>
          <w:rFonts w:ascii="Arial" w:hAnsi="Arial" w:cs="Arial"/>
          <w:b/>
          <w:bCs/>
          <w:szCs w:val="24"/>
        </w:rPr>
      </w:pPr>
      <w:r w:rsidRPr="00B05A21">
        <w:rPr>
          <w:rFonts w:ascii="Arial" w:hAnsi="Arial" w:cs="Arial"/>
          <w:szCs w:val="24"/>
        </w:rPr>
        <w:t>Buyers should make notations of meetings held and decisions made, and create a phone log to record phone conversations impacting the procurement effort.</w:t>
      </w:r>
    </w:p>
    <w:p w:rsidR="00D43781" w:rsidRPr="00B05A21" w:rsidRDefault="00D43781" w:rsidP="00B43670">
      <w:pPr>
        <w:pStyle w:val="BlockText0"/>
        <w:rPr>
          <w:rFonts w:ascii="Arial" w:hAnsi="Arial" w:cs="Arial"/>
          <w:szCs w:val="24"/>
        </w:rPr>
      </w:pPr>
    </w:p>
    <w:p w:rsidR="00D43781" w:rsidRPr="00B05A21" w:rsidRDefault="00D43781" w:rsidP="00B43670">
      <w:pPr>
        <w:pStyle w:val="BlockText0"/>
        <w:rPr>
          <w:rFonts w:ascii="Arial" w:hAnsi="Arial" w:cs="Arial"/>
          <w:szCs w:val="24"/>
        </w:rPr>
      </w:pPr>
      <w:r w:rsidRPr="00B05A21">
        <w:rPr>
          <w:rFonts w:ascii="Arial" w:hAnsi="Arial" w:cs="Arial"/>
          <w:szCs w:val="24"/>
        </w:rPr>
        <w:t xml:space="preserve">Consistent, high quality file documentation helps the transaction to be easily understood by a reader who is unfamiliar with it and makes documents easy to locate. </w:t>
      </w:r>
    </w:p>
    <w:p w:rsidR="00D43781" w:rsidRPr="00B05A21" w:rsidRDefault="00D43781" w:rsidP="00B43670">
      <w:pPr>
        <w:pStyle w:val="BlockText0"/>
        <w:rPr>
          <w:rFonts w:ascii="Arial" w:hAnsi="Arial" w:cs="Arial"/>
          <w:szCs w:val="24"/>
        </w:rPr>
      </w:pPr>
    </w:p>
    <w:p w:rsidR="00D43781" w:rsidRPr="00B05A21" w:rsidRDefault="00D43781" w:rsidP="00B43670">
      <w:pPr>
        <w:pStyle w:val="BlockText0"/>
        <w:rPr>
          <w:rFonts w:ascii="Arial" w:hAnsi="Arial" w:cs="Arial"/>
          <w:szCs w:val="24"/>
        </w:rPr>
      </w:pPr>
      <w:r w:rsidRPr="00B05A21">
        <w:rPr>
          <w:rFonts w:ascii="Arial" w:hAnsi="Arial" w:cs="Arial"/>
          <w:szCs w:val="24"/>
        </w:rPr>
        <w:t xml:space="preserve">Click here to access a sample discussion note form.  </w:t>
      </w:r>
      <w:hyperlink r:id="rId46" w:history="1">
        <w:r w:rsidRPr="00B05A21">
          <w:rPr>
            <w:rStyle w:val="Hyperlink"/>
            <w:rFonts w:ascii="Arial" w:hAnsi="Arial" w:cs="Arial"/>
            <w:szCs w:val="24"/>
          </w:rPr>
          <w:t>Word</w:t>
        </w:r>
      </w:hyperlink>
    </w:p>
    <w:p w:rsidR="008D5D31" w:rsidRPr="00B05A21" w:rsidRDefault="008D5D31" w:rsidP="008D5D31">
      <w:pPr>
        <w:pStyle w:val="BlockLine"/>
        <w:rPr>
          <w:rFonts w:ascii="Arial" w:hAnsi="Arial" w:cs="Arial"/>
          <w:szCs w:val="24"/>
        </w:rPr>
      </w:pPr>
    </w:p>
    <w:p w:rsidR="00AF19C0" w:rsidRPr="00B05A21" w:rsidRDefault="00AF19C0" w:rsidP="00AF19C0">
      <w:pPr>
        <w:pStyle w:val="Heading3"/>
        <w:spacing w:after="120"/>
        <w:jc w:val="left"/>
        <w:rPr>
          <w:rFonts w:cs="Arial"/>
          <w:bCs/>
          <w:sz w:val="24"/>
          <w:szCs w:val="24"/>
        </w:rPr>
      </w:pPr>
      <w:bookmarkStart w:id="380" w:name="_Toc238448358"/>
      <w:bookmarkStart w:id="381" w:name="_Toc12886083"/>
      <w:r w:rsidRPr="00B05A21">
        <w:rPr>
          <w:rFonts w:cs="Arial"/>
          <w:bCs/>
          <w:sz w:val="24"/>
          <w:szCs w:val="24"/>
        </w:rPr>
        <w:t>2.D1.4   End result is a public record</w:t>
      </w:r>
      <w:bookmarkEnd w:id="380"/>
      <w:bookmarkEnd w:id="381"/>
    </w:p>
    <w:p w:rsidR="00AF19C0" w:rsidRPr="00B05A21" w:rsidRDefault="00AF19C0" w:rsidP="00B43670">
      <w:pPr>
        <w:pStyle w:val="BlockText0"/>
        <w:rPr>
          <w:rFonts w:ascii="Arial" w:hAnsi="Arial" w:cs="Arial"/>
          <w:szCs w:val="24"/>
        </w:rPr>
      </w:pPr>
      <w:r w:rsidRPr="00B05A21">
        <w:rPr>
          <w:rFonts w:ascii="Arial" w:hAnsi="Arial" w:cs="Arial"/>
          <w:szCs w:val="24"/>
        </w:rPr>
        <w:t>Buyers should create and maintain their procurement records keeping in mind that all procurement records are public records subject to request and release to the requestor.  Consequently, avoid typos, scratch outs, and personal notations not relevant to the procurement.</w:t>
      </w:r>
    </w:p>
    <w:p w:rsidR="008D5D31" w:rsidRPr="00B05A21" w:rsidRDefault="000D7D03" w:rsidP="008D5D31">
      <w:pPr>
        <w:pStyle w:val="BlockLine"/>
        <w:rPr>
          <w:rFonts w:ascii="Arial" w:hAnsi="Arial" w:cs="Arial"/>
          <w:szCs w:val="24"/>
        </w:rPr>
      </w:pPr>
      <w:r w:rsidRPr="00B05A21">
        <w:rPr>
          <w:rFonts w:ascii="Arial" w:hAnsi="Arial" w:cs="Arial"/>
          <w:szCs w:val="24"/>
        </w:rPr>
        <w:fldChar w:fldCharType="begin">
          <w:fldData xml:space="preserve">RABvAGMAVABlAG0AcAAxAFYAYQByAFQAcgBhAGQAaQB0AGkAbwBuAGEAbAA=
</w:fldData>
        </w:fldChar>
      </w:r>
      <w:r w:rsidRPr="00B05A21">
        <w:rPr>
          <w:rFonts w:ascii="Arial" w:hAnsi="Arial" w:cs="Arial"/>
          <w:szCs w:val="24"/>
        </w:rPr>
        <w:instrText xml:space="preserve"> ADDIN  \* MERGEFORMAT </w:instrText>
      </w:r>
      <w:r w:rsidRPr="00B05A21">
        <w:rPr>
          <w:rFonts w:ascii="Arial" w:hAnsi="Arial" w:cs="Arial"/>
          <w:szCs w:val="24"/>
        </w:rPr>
      </w:r>
      <w:r w:rsidRPr="00B05A21">
        <w:rPr>
          <w:rFonts w:ascii="Arial" w:hAnsi="Arial" w:cs="Arial"/>
          <w:szCs w:val="24"/>
        </w:rPr>
        <w:fldChar w:fldCharType="end"/>
      </w:r>
      <w:r w:rsidRPr="00B05A21">
        <w:rPr>
          <w:rFonts w:ascii="Arial" w:hAnsi="Arial" w:cs="Arial"/>
          <w:szCs w:val="24"/>
        </w:rPr>
        <w:fldChar w:fldCharType="begin">
          <w:fldData xml:space="preserve">RgBvAG4AdABTAGUAdABpAG0AaQBzAHQAeQBsAGUAcwAuAHgAbQBsAA==
</w:fldData>
        </w:fldChar>
      </w:r>
      <w:r w:rsidRPr="00B05A21">
        <w:rPr>
          <w:rFonts w:ascii="Arial" w:hAnsi="Arial" w:cs="Arial"/>
          <w:szCs w:val="24"/>
        </w:rPr>
        <w:instrText xml:space="preserve"> ADDIN  \* MERGEFORMAT </w:instrText>
      </w:r>
      <w:r w:rsidRPr="00B05A21">
        <w:rPr>
          <w:rFonts w:ascii="Arial" w:hAnsi="Arial" w:cs="Arial"/>
          <w:szCs w:val="24"/>
        </w:rPr>
      </w:r>
      <w:r w:rsidRPr="00B05A21">
        <w:rPr>
          <w:rFonts w:ascii="Arial" w:hAnsi="Arial" w:cs="Arial"/>
          <w:szCs w:val="24"/>
        </w:rPr>
        <w:fldChar w:fldCharType="end"/>
      </w:r>
      <w:r w:rsidR="0055616D" w:rsidRPr="00B05A21">
        <w:rPr>
          <w:rFonts w:ascii="Arial" w:hAnsi="Arial" w:cs="Arial"/>
          <w:szCs w:val="24"/>
        </w:rPr>
        <w:fldChar w:fldCharType="begin">
          <w:fldData xml:space="preserve">RABvAGMAVABlAG0AcAAxAFYAYQByAFQAcgBhAGQAaQB0AGkAbwBuAGEAbAA=
</w:fldData>
        </w:fldChar>
      </w:r>
      <w:r w:rsidR="0055616D" w:rsidRPr="00B05A21">
        <w:rPr>
          <w:rFonts w:ascii="Arial" w:hAnsi="Arial" w:cs="Arial"/>
          <w:szCs w:val="24"/>
        </w:rPr>
        <w:instrText xml:space="preserve"> ADDIN  \* MERGEFORMAT </w:instrText>
      </w:r>
      <w:r w:rsidR="0055616D" w:rsidRPr="00B05A21">
        <w:rPr>
          <w:rFonts w:ascii="Arial" w:hAnsi="Arial" w:cs="Arial"/>
          <w:szCs w:val="24"/>
        </w:rPr>
      </w:r>
      <w:r w:rsidR="0055616D" w:rsidRPr="00B05A21">
        <w:rPr>
          <w:rFonts w:ascii="Arial" w:hAnsi="Arial" w:cs="Arial"/>
          <w:szCs w:val="24"/>
        </w:rPr>
        <w:fldChar w:fldCharType="end"/>
      </w:r>
      <w:r w:rsidR="0055616D" w:rsidRPr="00B05A21">
        <w:rPr>
          <w:rFonts w:ascii="Arial" w:hAnsi="Arial" w:cs="Arial"/>
          <w:szCs w:val="24"/>
        </w:rPr>
        <w:fldChar w:fldCharType="begin">
          <w:fldData xml:space="preserve">RgBvAG4AdABTAGUAdABGAG8AbgB0AFMAZQB0AGkAbQBpAHMAdAB5AGwAZQBzAC4AeABtAGwA
</w:fldData>
        </w:fldChar>
      </w:r>
      <w:r w:rsidR="0055616D" w:rsidRPr="00B05A21">
        <w:rPr>
          <w:rFonts w:ascii="Arial" w:hAnsi="Arial" w:cs="Arial"/>
          <w:szCs w:val="24"/>
        </w:rPr>
        <w:instrText xml:space="preserve"> ADDIN  \* MERGEFORMAT </w:instrText>
      </w:r>
      <w:r w:rsidR="0055616D" w:rsidRPr="00B05A21">
        <w:rPr>
          <w:rFonts w:ascii="Arial" w:hAnsi="Arial" w:cs="Arial"/>
          <w:szCs w:val="24"/>
        </w:rPr>
      </w:r>
      <w:r w:rsidR="0055616D" w:rsidRPr="00B05A21">
        <w:rPr>
          <w:rFonts w:ascii="Arial" w:hAnsi="Arial" w:cs="Arial"/>
          <w:szCs w:val="24"/>
        </w:rPr>
        <w:fldChar w:fldCharType="end"/>
      </w:r>
      <w:r w:rsidR="008C534D" w:rsidRPr="00B05A21">
        <w:rPr>
          <w:rFonts w:ascii="Arial" w:hAnsi="Arial" w:cs="Arial"/>
          <w:szCs w:val="24"/>
        </w:rPr>
        <w:fldChar w:fldCharType="begin">
          <w:fldData xml:space="preserve">RABvAGMAVABlAG0AcAAxAFYAYQByAFQAcgBhAGQAaQB0AGkAbwBuAGEAbAA=
</w:fldData>
        </w:fldChar>
      </w:r>
      <w:r w:rsidR="008C534D" w:rsidRPr="00B05A21">
        <w:rPr>
          <w:rFonts w:ascii="Arial" w:hAnsi="Arial" w:cs="Arial"/>
          <w:szCs w:val="24"/>
        </w:rPr>
        <w:instrText xml:space="preserve"> ADDIN  \* MERGEFORMAT </w:instrText>
      </w:r>
      <w:r w:rsidR="008C534D" w:rsidRPr="00B05A21">
        <w:rPr>
          <w:rFonts w:ascii="Arial" w:hAnsi="Arial" w:cs="Arial"/>
          <w:szCs w:val="24"/>
        </w:rPr>
      </w:r>
      <w:r w:rsidR="008C534D" w:rsidRPr="00B05A21">
        <w:rPr>
          <w:rFonts w:ascii="Arial" w:hAnsi="Arial" w:cs="Arial"/>
          <w:szCs w:val="24"/>
        </w:rPr>
        <w:fldChar w:fldCharType="end"/>
      </w:r>
      <w:r w:rsidR="008C534D" w:rsidRPr="00B05A21">
        <w:rPr>
          <w:rFonts w:ascii="Arial" w:hAnsi="Arial" w:cs="Arial"/>
          <w:szCs w:val="24"/>
        </w:rPr>
        <w:fldChar w:fldCharType="begin">
          <w:fldData xml:space="preserve">RgBvAG4AdABTAGUAdABGAG8AbgB0AFMAZQB0AEYAbwBuAHQAUwBlAHQAaQBtAGkAcwB0AHkAbABl
AHMALgB4AG0AbAA=
</w:fldData>
        </w:fldChar>
      </w:r>
      <w:r w:rsidR="008C534D" w:rsidRPr="00B05A21">
        <w:rPr>
          <w:rFonts w:ascii="Arial" w:hAnsi="Arial" w:cs="Arial"/>
          <w:szCs w:val="24"/>
        </w:rPr>
        <w:instrText xml:space="preserve"> ADDIN  \* MERGEFORMAT </w:instrText>
      </w:r>
      <w:r w:rsidR="008C534D" w:rsidRPr="00B05A21">
        <w:rPr>
          <w:rFonts w:ascii="Arial" w:hAnsi="Arial" w:cs="Arial"/>
          <w:szCs w:val="24"/>
        </w:rPr>
      </w:r>
      <w:r w:rsidR="008C534D" w:rsidRPr="00B05A21">
        <w:rPr>
          <w:rFonts w:ascii="Arial" w:hAnsi="Arial" w:cs="Arial"/>
          <w:szCs w:val="24"/>
        </w:rPr>
        <w:fldChar w:fldCharType="end"/>
      </w:r>
      <w:r w:rsidR="00606EF5" w:rsidRPr="00B05A21">
        <w:rPr>
          <w:rFonts w:ascii="Arial" w:hAnsi="Arial" w:cs="Arial"/>
          <w:szCs w:val="24"/>
        </w:rPr>
        <w:fldChar w:fldCharType="begin">
          <w:fldData xml:space="preserve">RABvAGMAVABlAG0AcAAxAFYAYQByAFQAcgBhAGQAaQB0AGkAbwBuAGEAbAA=
</w:fldData>
        </w:fldChar>
      </w:r>
      <w:r w:rsidR="00606EF5" w:rsidRPr="00B05A21">
        <w:rPr>
          <w:rFonts w:ascii="Arial" w:hAnsi="Arial" w:cs="Arial"/>
          <w:szCs w:val="24"/>
        </w:rPr>
        <w:instrText xml:space="preserve"> ADDIN  \* MERGEFORMAT </w:instrText>
      </w:r>
      <w:r w:rsidR="00606EF5" w:rsidRPr="00B05A21">
        <w:rPr>
          <w:rFonts w:ascii="Arial" w:hAnsi="Arial" w:cs="Arial"/>
          <w:szCs w:val="24"/>
        </w:rPr>
      </w:r>
      <w:r w:rsidR="00606EF5" w:rsidRPr="00B05A21">
        <w:rPr>
          <w:rFonts w:ascii="Arial" w:hAnsi="Arial" w:cs="Arial"/>
          <w:szCs w:val="24"/>
        </w:rPr>
        <w:fldChar w:fldCharType="end"/>
      </w:r>
      <w:r w:rsidR="00606EF5" w:rsidRPr="00B05A21">
        <w:rPr>
          <w:rFonts w:ascii="Arial" w:hAnsi="Arial" w:cs="Arial"/>
          <w:szCs w:val="24"/>
        </w:rPr>
        <w:fldChar w:fldCharType="begin">
          <w:fldData xml:space="preserve">RgBvAG4AdABTAGUAdABGAG8AbgB0AFMAZQB0AEYAbwBuAHQAUwBlAHQAaQBtAGkAcwB0AHkAbABl
AHMALgB4AG0AbAA=
</w:fldData>
        </w:fldChar>
      </w:r>
      <w:r w:rsidR="00606EF5" w:rsidRPr="00B05A21">
        <w:rPr>
          <w:rFonts w:ascii="Arial" w:hAnsi="Arial" w:cs="Arial"/>
          <w:szCs w:val="24"/>
        </w:rPr>
        <w:instrText xml:space="preserve"> ADDIN  \* MERGEFORMAT </w:instrText>
      </w:r>
      <w:r w:rsidR="00606EF5" w:rsidRPr="00B05A21">
        <w:rPr>
          <w:rFonts w:ascii="Arial" w:hAnsi="Arial" w:cs="Arial"/>
          <w:szCs w:val="24"/>
        </w:rPr>
      </w:r>
      <w:r w:rsidR="00606EF5" w:rsidRPr="00B05A21">
        <w:rPr>
          <w:rFonts w:ascii="Arial" w:hAnsi="Arial" w:cs="Arial"/>
          <w:szCs w:val="24"/>
        </w:rPr>
        <w:fldChar w:fldCharType="end"/>
      </w:r>
      <w:r w:rsidR="00047CDF" w:rsidRPr="00B05A21">
        <w:rPr>
          <w:rFonts w:ascii="Arial" w:hAnsi="Arial" w:cs="Arial"/>
          <w:szCs w:val="24"/>
        </w:rPr>
        <w:fldChar w:fldCharType="begin">
          <w:fldData xml:space="preserve">RABvAGMAVABlAG0AcAAxAFYAYQByAFQAcgBhAGQAaQB0AGkAbwBuAGEAbAA=
</w:fldData>
        </w:fldChar>
      </w:r>
      <w:r w:rsidR="00047CDF" w:rsidRPr="00B05A21">
        <w:rPr>
          <w:rFonts w:ascii="Arial" w:hAnsi="Arial" w:cs="Arial"/>
          <w:szCs w:val="24"/>
        </w:rPr>
        <w:instrText xml:space="preserve"> ADDIN  \* MERGEFORMAT </w:instrText>
      </w:r>
      <w:r w:rsidR="00047CDF" w:rsidRPr="00B05A21">
        <w:rPr>
          <w:rFonts w:ascii="Arial" w:hAnsi="Arial" w:cs="Arial"/>
          <w:szCs w:val="24"/>
        </w:rPr>
      </w:r>
      <w:r w:rsidR="00047CDF" w:rsidRPr="00B05A21">
        <w:rPr>
          <w:rFonts w:ascii="Arial" w:hAnsi="Arial" w:cs="Arial"/>
          <w:szCs w:val="24"/>
        </w:rPr>
        <w:fldChar w:fldCharType="end"/>
      </w:r>
      <w:r w:rsidR="00047CDF" w:rsidRPr="00B05A21">
        <w:rPr>
          <w:rFonts w:ascii="Arial" w:hAnsi="Arial" w:cs="Arial"/>
          <w:szCs w:val="24"/>
        </w:rPr>
        <w:fldChar w:fldCharType="begin">
          <w:fldData xml:space="preserve">RgBvAG4AdABTAGUAdABGAG8AbgB0AFMAZQB0AEYAbwBuAHQAUwBlAHQARgBvAG4AdABTAGUAdABp
AG0AaQBzAHQAeQBsAGUAcwAuAHgAbQBsAA==
</w:fldData>
        </w:fldChar>
      </w:r>
      <w:r w:rsidR="00047CDF" w:rsidRPr="00B05A21">
        <w:rPr>
          <w:rFonts w:ascii="Arial" w:hAnsi="Arial" w:cs="Arial"/>
          <w:szCs w:val="24"/>
        </w:rPr>
        <w:instrText xml:space="preserve"> ADDIN  \* MERGEFORMAT </w:instrText>
      </w:r>
      <w:r w:rsidR="00047CDF" w:rsidRPr="00B05A21">
        <w:rPr>
          <w:rFonts w:ascii="Arial" w:hAnsi="Arial" w:cs="Arial"/>
          <w:szCs w:val="24"/>
        </w:rPr>
      </w:r>
      <w:r w:rsidR="00047CDF" w:rsidRPr="00B05A21">
        <w:rPr>
          <w:rFonts w:ascii="Arial" w:hAnsi="Arial" w:cs="Arial"/>
          <w:szCs w:val="24"/>
        </w:rPr>
        <w:fldChar w:fldCharType="end"/>
      </w:r>
    </w:p>
    <w:sectPr w:rsidR="008D5D31" w:rsidRPr="00B05A21" w:rsidSect="00177AE3">
      <w:headerReference w:type="default" r:id="rId47"/>
      <w:footerReference w:type="even" r:id="rId48"/>
      <w:footerReference w:type="default" r:id="rId49"/>
      <w:pgSz w:w="12240" w:h="15840" w:code="1"/>
      <w:pgMar w:top="900" w:right="1440" w:bottom="1008" w:left="144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4E6" w:rsidRDefault="00A674E6">
      <w:r>
        <w:separator/>
      </w:r>
    </w:p>
  </w:endnote>
  <w:endnote w:type="continuationSeparator" w:id="0">
    <w:p w:rsidR="00A674E6" w:rsidRDefault="00A67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386" w:rsidRDefault="009E43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4386" w:rsidRDefault="009E43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386" w:rsidRPr="00EC045C" w:rsidRDefault="009E4386">
    <w:pPr>
      <w:pStyle w:val="Footer"/>
      <w:framePr w:wrap="around" w:vAnchor="text" w:hAnchor="margin" w:xAlign="right" w:y="1"/>
      <w:rPr>
        <w:rStyle w:val="PageNumber"/>
        <w:sz w:val="20"/>
        <w:szCs w:val="20"/>
      </w:rPr>
    </w:pPr>
    <w:r w:rsidRPr="00EC045C">
      <w:rPr>
        <w:rStyle w:val="PageNumber"/>
        <w:sz w:val="20"/>
        <w:szCs w:val="20"/>
      </w:rPr>
      <w:fldChar w:fldCharType="begin"/>
    </w:r>
    <w:r w:rsidRPr="00EC045C">
      <w:rPr>
        <w:rStyle w:val="PageNumber"/>
        <w:sz w:val="20"/>
        <w:szCs w:val="20"/>
      </w:rPr>
      <w:instrText xml:space="preserve">PAGE  </w:instrText>
    </w:r>
    <w:r w:rsidRPr="00EC045C">
      <w:rPr>
        <w:rStyle w:val="PageNumber"/>
        <w:sz w:val="20"/>
        <w:szCs w:val="20"/>
      </w:rPr>
      <w:fldChar w:fldCharType="separate"/>
    </w:r>
    <w:r w:rsidR="005662B3">
      <w:rPr>
        <w:rStyle w:val="PageNumber"/>
        <w:noProof/>
        <w:sz w:val="20"/>
        <w:szCs w:val="20"/>
      </w:rPr>
      <w:t>53</w:t>
    </w:r>
    <w:r w:rsidRPr="00EC045C">
      <w:rPr>
        <w:rStyle w:val="PageNumber"/>
        <w:sz w:val="20"/>
        <w:szCs w:val="20"/>
      </w:rPr>
      <w:fldChar w:fldCharType="end"/>
    </w:r>
  </w:p>
  <w:p w:rsidR="009E4386" w:rsidRPr="00B05A21" w:rsidRDefault="009E4386" w:rsidP="00C32A87">
    <w:pPr>
      <w:pStyle w:val="Footer"/>
      <w:rPr>
        <w:rStyle w:val="PageNumber"/>
        <w:szCs w:val="24"/>
      </w:rPr>
    </w:pPr>
    <w:r w:rsidRPr="00B05A21">
      <w:rPr>
        <w:szCs w:val="24"/>
      </w:rPr>
      <w:t>Chapter 2 – Procurement Planning</w:t>
    </w:r>
  </w:p>
  <w:p w:rsidR="009E4386" w:rsidRDefault="009E4386" w:rsidP="004E5E35">
    <w:pPr>
      <w:pStyle w:val="Footer"/>
      <w:tabs>
        <w:tab w:val="clear" w:pos="4320"/>
        <w:tab w:val="clear" w:pos="8640"/>
        <w:tab w:val="center" w:pos="8820"/>
        <w:tab w:val="right" w:pos="9360"/>
      </w:tabs>
    </w:pPr>
    <w:r w:rsidRPr="00B05A21">
      <w:rPr>
        <w:szCs w:val="24"/>
      </w:rPr>
      <w:t xml:space="preserve">SCM Vol. 3, </w:t>
    </w:r>
    <w:r>
      <w:rPr>
        <w:szCs w:val="24"/>
      </w:rPr>
      <w:tab/>
    </w:r>
    <w:r w:rsidRPr="00B05A21">
      <w:rPr>
        <w:szCs w:val="24"/>
      </w:rPr>
      <w:t>July 2010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4E6" w:rsidRDefault="00A674E6">
      <w:r>
        <w:separator/>
      </w:r>
    </w:p>
  </w:footnote>
  <w:footnote w:type="continuationSeparator" w:id="0">
    <w:p w:rsidR="00A674E6" w:rsidRDefault="00A67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386" w:rsidRDefault="009E4386">
    <w:pPr>
      <w:pStyle w:val="Header"/>
      <w:tabs>
        <w:tab w:val="clear" w:pos="4320"/>
        <w:tab w:val="clear" w:pos="8640"/>
        <w:tab w:val="center" w:pos="4674"/>
        <w:tab w:val="right" w:pos="934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0FB9"/>
    <w:multiLevelType w:val="hybridMultilevel"/>
    <w:tmpl w:val="2EAE2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66812"/>
    <w:multiLevelType w:val="multilevel"/>
    <w:tmpl w:val="A24A7B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EB67C3"/>
    <w:multiLevelType w:val="hybridMultilevel"/>
    <w:tmpl w:val="32B4A8FA"/>
    <w:lvl w:ilvl="0" w:tplc="0409000F">
      <w:start w:val="1"/>
      <w:numFmt w:val="decimal"/>
      <w:lvlText w:val="%1."/>
      <w:lvlJc w:val="left"/>
      <w:pPr>
        <w:ind w:left="360" w:hanging="360"/>
      </w:pPr>
    </w:lvl>
    <w:lvl w:ilvl="1" w:tplc="04090019">
      <w:start w:val="1"/>
      <w:numFmt w:val="lowerLetter"/>
      <w:lvlText w:val="%2."/>
      <w:lvlJc w:val="left"/>
      <w:pPr>
        <w:ind w:left="1509" w:hanging="360"/>
      </w:pPr>
    </w:lvl>
    <w:lvl w:ilvl="2" w:tplc="0409001B">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3" w15:restartNumberingAfterBreak="0">
    <w:nsid w:val="16711426"/>
    <w:multiLevelType w:val="hybridMultilevel"/>
    <w:tmpl w:val="5D7E01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163EB8"/>
    <w:multiLevelType w:val="hybridMultilevel"/>
    <w:tmpl w:val="9FCABB06"/>
    <w:lvl w:ilvl="0" w:tplc="D226979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38358C"/>
    <w:multiLevelType w:val="hybridMultilevel"/>
    <w:tmpl w:val="D88E38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A97212"/>
    <w:multiLevelType w:val="hybridMultilevel"/>
    <w:tmpl w:val="8B56D3E6"/>
    <w:lvl w:ilvl="0" w:tplc="008C508C">
      <w:start w:val="1"/>
      <w:numFmt w:val="bullet"/>
      <w:lvlText w:val=""/>
      <w:lvlJc w:val="left"/>
      <w:pPr>
        <w:tabs>
          <w:tab w:val="num" w:pos="547"/>
        </w:tabs>
        <w:ind w:left="547" w:hanging="360"/>
      </w:pPr>
      <w:rPr>
        <w:rFonts w:ascii="Symbol" w:hAnsi="Symbol" w:hint="default"/>
      </w:rPr>
    </w:lvl>
    <w:lvl w:ilvl="1" w:tplc="04090003">
      <w:start w:val="1"/>
      <w:numFmt w:val="bullet"/>
      <w:lvlText w:val="o"/>
      <w:lvlJc w:val="left"/>
      <w:pPr>
        <w:tabs>
          <w:tab w:val="num" w:pos="1267"/>
        </w:tabs>
        <w:ind w:left="1267" w:hanging="360"/>
      </w:pPr>
      <w:rPr>
        <w:rFonts w:ascii="Courier New" w:hAnsi="Courier New" w:cs="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7" w15:restartNumberingAfterBreak="0">
    <w:nsid w:val="1EEC6CA4"/>
    <w:multiLevelType w:val="hybridMultilevel"/>
    <w:tmpl w:val="38707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FA6D60"/>
    <w:multiLevelType w:val="hybridMultilevel"/>
    <w:tmpl w:val="84B0F4F0"/>
    <w:lvl w:ilvl="0" w:tplc="62B88CF0">
      <w:start w:val="1"/>
      <w:numFmt w:val="decimal"/>
      <w:lvlText w:val="%1."/>
      <w:lvlJc w:val="left"/>
      <w:pPr>
        <w:ind w:left="326" w:hanging="269"/>
      </w:pPr>
      <w:rPr>
        <w:rFonts w:ascii="Arial" w:eastAsia="Arial" w:hAnsi="Arial" w:cs="Arial" w:hint="default"/>
        <w:spacing w:val="-1"/>
        <w:w w:val="99"/>
        <w:sz w:val="20"/>
        <w:szCs w:val="20"/>
      </w:rPr>
    </w:lvl>
    <w:lvl w:ilvl="1" w:tplc="4DA4DD8E">
      <w:numFmt w:val="bullet"/>
      <w:lvlText w:val="•"/>
      <w:lvlJc w:val="left"/>
      <w:pPr>
        <w:ind w:left="680" w:hanging="269"/>
      </w:pPr>
      <w:rPr>
        <w:rFonts w:hint="default"/>
      </w:rPr>
    </w:lvl>
    <w:lvl w:ilvl="2" w:tplc="321A93FE">
      <w:numFmt w:val="bullet"/>
      <w:lvlText w:val="•"/>
      <w:lvlJc w:val="left"/>
      <w:pPr>
        <w:ind w:left="1041" w:hanging="269"/>
      </w:pPr>
      <w:rPr>
        <w:rFonts w:hint="default"/>
      </w:rPr>
    </w:lvl>
    <w:lvl w:ilvl="3" w:tplc="FB20888C">
      <w:numFmt w:val="bullet"/>
      <w:lvlText w:val="•"/>
      <w:lvlJc w:val="left"/>
      <w:pPr>
        <w:ind w:left="1401" w:hanging="269"/>
      </w:pPr>
      <w:rPr>
        <w:rFonts w:hint="default"/>
      </w:rPr>
    </w:lvl>
    <w:lvl w:ilvl="4" w:tplc="F1B42BFE">
      <w:numFmt w:val="bullet"/>
      <w:lvlText w:val="•"/>
      <w:lvlJc w:val="left"/>
      <w:pPr>
        <w:ind w:left="1762" w:hanging="269"/>
      </w:pPr>
      <w:rPr>
        <w:rFonts w:hint="default"/>
      </w:rPr>
    </w:lvl>
    <w:lvl w:ilvl="5" w:tplc="20BC3BBA">
      <w:numFmt w:val="bullet"/>
      <w:lvlText w:val="•"/>
      <w:lvlJc w:val="left"/>
      <w:pPr>
        <w:ind w:left="2123" w:hanging="269"/>
      </w:pPr>
      <w:rPr>
        <w:rFonts w:hint="default"/>
      </w:rPr>
    </w:lvl>
    <w:lvl w:ilvl="6" w:tplc="E18C77A8">
      <w:numFmt w:val="bullet"/>
      <w:lvlText w:val="•"/>
      <w:lvlJc w:val="left"/>
      <w:pPr>
        <w:ind w:left="2483" w:hanging="269"/>
      </w:pPr>
      <w:rPr>
        <w:rFonts w:hint="default"/>
      </w:rPr>
    </w:lvl>
    <w:lvl w:ilvl="7" w:tplc="CEB0CA40">
      <w:numFmt w:val="bullet"/>
      <w:lvlText w:val="•"/>
      <w:lvlJc w:val="left"/>
      <w:pPr>
        <w:ind w:left="2844" w:hanging="269"/>
      </w:pPr>
      <w:rPr>
        <w:rFonts w:hint="default"/>
      </w:rPr>
    </w:lvl>
    <w:lvl w:ilvl="8" w:tplc="76E4A690">
      <w:numFmt w:val="bullet"/>
      <w:lvlText w:val="•"/>
      <w:lvlJc w:val="left"/>
      <w:pPr>
        <w:ind w:left="3205" w:hanging="269"/>
      </w:pPr>
      <w:rPr>
        <w:rFonts w:hint="default"/>
      </w:rPr>
    </w:lvl>
  </w:abstractNum>
  <w:abstractNum w:abstractNumId="9" w15:restartNumberingAfterBreak="0">
    <w:nsid w:val="297A6248"/>
    <w:multiLevelType w:val="hybridMultilevel"/>
    <w:tmpl w:val="83526118"/>
    <w:lvl w:ilvl="0" w:tplc="04090001">
      <w:start w:val="1"/>
      <w:numFmt w:val="bullet"/>
      <w:lvlText w:val=""/>
      <w:lvlJc w:val="left"/>
      <w:pPr>
        <w:ind w:left="720" w:hanging="360"/>
      </w:pPr>
      <w:rPr>
        <w:rFonts w:ascii="Symbol" w:hAnsi="Symbol" w:hint="default"/>
      </w:rPr>
    </w:lvl>
    <w:lvl w:ilvl="1" w:tplc="63B0DF2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2024E3"/>
    <w:multiLevelType w:val="hybridMultilevel"/>
    <w:tmpl w:val="B52CDB34"/>
    <w:lvl w:ilvl="0" w:tplc="008C508C">
      <w:start w:val="1"/>
      <w:numFmt w:val="bullet"/>
      <w:lvlText w:val=""/>
      <w:lvlJc w:val="left"/>
      <w:pPr>
        <w:tabs>
          <w:tab w:val="num" w:pos="547"/>
        </w:tabs>
        <w:ind w:left="547"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C061F25"/>
    <w:multiLevelType w:val="hybridMultilevel"/>
    <w:tmpl w:val="88D8515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873E53"/>
    <w:multiLevelType w:val="hybridMultilevel"/>
    <w:tmpl w:val="616CC0DC"/>
    <w:lvl w:ilvl="0" w:tplc="33360230">
      <w:start w:val="1"/>
      <w:numFmt w:val="bullet"/>
      <w:lvlText w:val=""/>
      <w:lvlJc w:val="left"/>
      <w:pPr>
        <w:ind w:left="780" w:hanging="360"/>
      </w:pPr>
      <w:rPr>
        <w:rFonts w:ascii="Symbol" w:hAnsi="Symbol" w:hint="default"/>
        <w:sz w:val="22"/>
        <w:szCs w:val="22"/>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3" w15:restartNumberingAfterBreak="0">
    <w:nsid w:val="2F3F33A4"/>
    <w:multiLevelType w:val="hybridMultilevel"/>
    <w:tmpl w:val="7A30FCB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48108BE"/>
    <w:multiLevelType w:val="hybridMultilevel"/>
    <w:tmpl w:val="53A44CC6"/>
    <w:lvl w:ilvl="0" w:tplc="FFFFFFFF">
      <w:start w:val="1"/>
      <w:numFmt w:val="bullet"/>
      <w:pStyle w:val="BulletText3"/>
      <w:lvlText w:val=""/>
      <w:lvlJc w:val="left"/>
      <w:pPr>
        <w:tabs>
          <w:tab w:val="num" w:pos="0"/>
        </w:tabs>
        <w:ind w:left="533" w:hanging="173"/>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55364B1"/>
    <w:multiLevelType w:val="hybridMultilevel"/>
    <w:tmpl w:val="2A964BAA"/>
    <w:lvl w:ilvl="0" w:tplc="4790B58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396"/>
        </w:tabs>
        <w:ind w:left="396" w:hanging="360"/>
      </w:pPr>
      <w:rPr>
        <w:rFonts w:ascii="Courier New" w:hAnsi="Courier New" w:cs="Courier New" w:hint="default"/>
      </w:rPr>
    </w:lvl>
    <w:lvl w:ilvl="2" w:tplc="04090005" w:tentative="1">
      <w:start w:val="1"/>
      <w:numFmt w:val="bullet"/>
      <w:lvlText w:val=""/>
      <w:lvlJc w:val="left"/>
      <w:pPr>
        <w:tabs>
          <w:tab w:val="num" w:pos="1116"/>
        </w:tabs>
        <w:ind w:left="1116" w:hanging="360"/>
      </w:pPr>
      <w:rPr>
        <w:rFonts w:ascii="Wingdings" w:hAnsi="Wingdings" w:hint="default"/>
      </w:rPr>
    </w:lvl>
    <w:lvl w:ilvl="3" w:tplc="04090001" w:tentative="1">
      <w:start w:val="1"/>
      <w:numFmt w:val="bullet"/>
      <w:lvlText w:val=""/>
      <w:lvlJc w:val="left"/>
      <w:pPr>
        <w:tabs>
          <w:tab w:val="num" w:pos="1836"/>
        </w:tabs>
        <w:ind w:left="1836" w:hanging="360"/>
      </w:pPr>
      <w:rPr>
        <w:rFonts w:ascii="Symbol" w:hAnsi="Symbol" w:hint="default"/>
      </w:rPr>
    </w:lvl>
    <w:lvl w:ilvl="4" w:tplc="04090003" w:tentative="1">
      <w:start w:val="1"/>
      <w:numFmt w:val="bullet"/>
      <w:lvlText w:val="o"/>
      <w:lvlJc w:val="left"/>
      <w:pPr>
        <w:tabs>
          <w:tab w:val="num" w:pos="2556"/>
        </w:tabs>
        <w:ind w:left="2556" w:hanging="360"/>
      </w:pPr>
      <w:rPr>
        <w:rFonts w:ascii="Courier New" w:hAnsi="Courier New" w:cs="Courier New" w:hint="default"/>
      </w:rPr>
    </w:lvl>
    <w:lvl w:ilvl="5" w:tplc="04090005" w:tentative="1">
      <w:start w:val="1"/>
      <w:numFmt w:val="bullet"/>
      <w:lvlText w:val=""/>
      <w:lvlJc w:val="left"/>
      <w:pPr>
        <w:tabs>
          <w:tab w:val="num" w:pos="3276"/>
        </w:tabs>
        <w:ind w:left="3276" w:hanging="360"/>
      </w:pPr>
      <w:rPr>
        <w:rFonts w:ascii="Wingdings" w:hAnsi="Wingdings" w:hint="default"/>
      </w:rPr>
    </w:lvl>
    <w:lvl w:ilvl="6" w:tplc="04090001" w:tentative="1">
      <w:start w:val="1"/>
      <w:numFmt w:val="bullet"/>
      <w:lvlText w:val=""/>
      <w:lvlJc w:val="left"/>
      <w:pPr>
        <w:tabs>
          <w:tab w:val="num" w:pos="3996"/>
        </w:tabs>
        <w:ind w:left="3996" w:hanging="360"/>
      </w:pPr>
      <w:rPr>
        <w:rFonts w:ascii="Symbol" w:hAnsi="Symbol" w:hint="default"/>
      </w:rPr>
    </w:lvl>
    <w:lvl w:ilvl="7" w:tplc="04090003" w:tentative="1">
      <w:start w:val="1"/>
      <w:numFmt w:val="bullet"/>
      <w:lvlText w:val="o"/>
      <w:lvlJc w:val="left"/>
      <w:pPr>
        <w:tabs>
          <w:tab w:val="num" w:pos="4716"/>
        </w:tabs>
        <w:ind w:left="4716" w:hanging="360"/>
      </w:pPr>
      <w:rPr>
        <w:rFonts w:ascii="Courier New" w:hAnsi="Courier New" w:cs="Courier New" w:hint="default"/>
      </w:rPr>
    </w:lvl>
    <w:lvl w:ilvl="8" w:tplc="04090005" w:tentative="1">
      <w:start w:val="1"/>
      <w:numFmt w:val="bullet"/>
      <w:lvlText w:val=""/>
      <w:lvlJc w:val="left"/>
      <w:pPr>
        <w:tabs>
          <w:tab w:val="num" w:pos="5436"/>
        </w:tabs>
        <w:ind w:left="5436" w:hanging="360"/>
      </w:pPr>
      <w:rPr>
        <w:rFonts w:ascii="Wingdings" w:hAnsi="Wingdings" w:hint="default"/>
      </w:rPr>
    </w:lvl>
  </w:abstractNum>
  <w:abstractNum w:abstractNumId="16" w15:restartNumberingAfterBreak="0">
    <w:nsid w:val="359547E6"/>
    <w:multiLevelType w:val="hybridMultilevel"/>
    <w:tmpl w:val="2F96F3A4"/>
    <w:lvl w:ilvl="0" w:tplc="04090001">
      <w:start w:val="1"/>
      <w:numFmt w:val="bullet"/>
      <w:lvlText w:val=""/>
      <w:lvlJc w:val="left"/>
      <w:pPr>
        <w:tabs>
          <w:tab w:val="num" w:pos="720"/>
        </w:tabs>
        <w:ind w:left="720" w:hanging="360"/>
      </w:pPr>
      <w:rPr>
        <w:rFonts w:ascii="Symbol" w:hAnsi="Symbol" w:hint="default"/>
      </w:rPr>
    </w:lvl>
    <w:lvl w:ilvl="1" w:tplc="021C5FB0">
      <w:start w:val="1"/>
      <w:numFmt w:val="bullet"/>
      <w:lvlText w:val=""/>
      <w:lvlJc w:val="left"/>
      <w:pPr>
        <w:tabs>
          <w:tab w:val="num" w:pos="1800"/>
        </w:tabs>
        <w:ind w:left="1800" w:hanging="72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246FB2"/>
    <w:multiLevelType w:val="hybridMultilevel"/>
    <w:tmpl w:val="5AA84CA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6D1766"/>
    <w:multiLevelType w:val="hybridMultilevel"/>
    <w:tmpl w:val="ABB4A88C"/>
    <w:lvl w:ilvl="0" w:tplc="0409000F">
      <w:start w:val="1"/>
      <w:numFmt w:val="decimal"/>
      <w:lvlText w:val="%1."/>
      <w:lvlJc w:val="left"/>
      <w:pPr>
        <w:ind w:left="360" w:hanging="360"/>
      </w:pPr>
    </w:lvl>
    <w:lvl w:ilvl="1" w:tplc="04090019">
      <w:start w:val="1"/>
      <w:numFmt w:val="lowerLetter"/>
      <w:lvlText w:val="%2."/>
      <w:lvlJc w:val="left"/>
      <w:pPr>
        <w:ind w:left="1509" w:hanging="360"/>
      </w:pPr>
    </w:lvl>
    <w:lvl w:ilvl="2" w:tplc="0409001B">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9" w15:restartNumberingAfterBreak="0">
    <w:nsid w:val="3F207DE0"/>
    <w:multiLevelType w:val="hybridMultilevel"/>
    <w:tmpl w:val="9C865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B80699"/>
    <w:multiLevelType w:val="hybridMultilevel"/>
    <w:tmpl w:val="A47A8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324F5E"/>
    <w:multiLevelType w:val="hybridMultilevel"/>
    <w:tmpl w:val="7E96D1A8"/>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42B84305"/>
    <w:multiLevelType w:val="hybridMultilevel"/>
    <w:tmpl w:val="91ACE47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43537EA7"/>
    <w:multiLevelType w:val="hybridMultilevel"/>
    <w:tmpl w:val="216809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CCA2F08"/>
    <w:multiLevelType w:val="multilevel"/>
    <w:tmpl w:val="19F8BD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EAC751D"/>
    <w:multiLevelType w:val="hybridMultilevel"/>
    <w:tmpl w:val="4A16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FF4394"/>
    <w:multiLevelType w:val="hybridMultilevel"/>
    <w:tmpl w:val="CC2402F2"/>
    <w:lvl w:ilvl="0" w:tplc="04090005">
      <w:start w:val="1"/>
      <w:numFmt w:val="bullet"/>
      <w:lvlText w:val=""/>
      <w:lvlJc w:val="left"/>
      <w:pPr>
        <w:ind w:left="600" w:hanging="360"/>
      </w:pPr>
      <w:rPr>
        <w:rFonts w:ascii="Wingdings" w:hAnsi="Wingdings"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7" w15:restartNumberingAfterBreak="0">
    <w:nsid w:val="554F0A24"/>
    <w:multiLevelType w:val="hybridMultilevel"/>
    <w:tmpl w:val="7E96D1A8"/>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15:restartNumberingAfterBreak="0">
    <w:nsid w:val="57DF4724"/>
    <w:multiLevelType w:val="hybridMultilevel"/>
    <w:tmpl w:val="E1948D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15087B"/>
    <w:multiLevelType w:val="hybridMultilevel"/>
    <w:tmpl w:val="5AA84C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905CA6"/>
    <w:multiLevelType w:val="hybridMultilevel"/>
    <w:tmpl w:val="3184F4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94E25F1"/>
    <w:multiLevelType w:val="hybridMultilevel"/>
    <w:tmpl w:val="3184F4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B991EBC"/>
    <w:multiLevelType w:val="hybridMultilevel"/>
    <w:tmpl w:val="B1C21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6B02AF"/>
    <w:multiLevelType w:val="singleLevel"/>
    <w:tmpl w:val="15F25542"/>
    <w:lvl w:ilvl="0">
      <w:start w:val="1"/>
      <w:numFmt w:val="bullet"/>
      <w:pStyle w:val="BulletText2"/>
      <w:lvlText w:val="-"/>
      <w:lvlJc w:val="left"/>
      <w:pPr>
        <w:tabs>
          <w:tab w:val="num" w:pos="360"/>
        </w:tabs>
        <w:ind w:left="360" w:hanging="187"/>
      </w:pPr>
      <w:rPr>
        <w:rFonts w:ascii="Symbol" w:hAnsi="Symbol" w:cs="Times New Roman" w:hint="default"/>
      </w:rPr>
    </w:lvl>
  </w:abstractNum>
  <w:abstractNum w:abstractNumId="34" w15:restartNumberingAfterBreak="0">
    <w:nsid w:val="73106CFF"/>
    <w:multiLevelType w:val="hybridMultilevel"/>
    <w:tmpl w:val="43A8EE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12357A"/>
    <w:multiLevelType w:val="hybridMultilevel"/>
    <w:tmpl w:val="5FCCA830"/>
    <w:lvl w:ilvl="0" w:tplc="2012D14E">
      <w:start w:val="1"/>
      <w:numFmt w:val="bullet"/>
      <w:lvlText w:val=""/>
      <w:lvlJc w:val="left"/>
      <w:pPr>
        <w:tabs>
          <w:tab w:val="num" w:pos="173"/>
        </w:tabs>
        <w:ind w:left="173" w:hanging="17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D0203C"/>
    <w:multiLevelType w:val="hybridMultilevel"/>
    <w:tmpl w:val="C674ED4C"/>
    <w:lvl w:ilvl="0" w:tplc="4790B58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396"/>
        </w:tabs>
        <w:ind w:left="396" w:hanging="360"/>
      </w:pPr>
      <w:rPr>
        <w:rFonts w:ascii="Courier New" w:hAnsi="Courier New" w:cs="Courier New" w:hint="default"/>
      </w:rPr>
    </w:lvl>
    <w:lvl w:ilvl="2" w:tplc="04090005" w:tentative="1">
      <w:start w:val="1"/>
      <w:numFmt w:val="bullet"/>
      <w:lvlText w:val=""/>
      <w:lvlJc w:val="left"/>
      <w:pPr>
        <w:tabs>
          <w:tab w:val="num" w:pos="1116"/>
        </w:tabs>
        <w:ind w:left="1116" w:hanging="360"/>
      </w:pPr>
      <w:rPr>
        <w:rFonts w:ascii="Wingdings" w:hAnsi="Wingdings" w:hint="default"/>
      </w:rPr>
    </w:lvl>
    <w:lvl w:ilvl="3" w:tplc="04090001" w:tentative="1">
      <w:start w:val="1"/>
      <w:numFmt w:val="bullet"/>
      <w:lvlText w:val=""/>
      <w:lvlJc w:val="left"/>
      <w:pPr>
        <w:tabs>
          <w:tab w:val="num" w:pos="1836"/>
        </w:tabs>
        <w:ind w:left="1836" w:hanging="360"/>
      </w:pPr>
      <w:rPr>
        <w:rFonts w:ascii="Symbol" w:hAnsi="Symbol" w:hint="default"/>
      </w:rPr>
    </w:lvl>
    <w:lvl w:ilvl="4" w:tplc="04090003" w:tentative="1">
      <w:start w:val="1"/>
      <w:numFmt w:val="bullet"/>
      <w:lvlText w:val="o"/>
      <w:lvlJc w:val="left"/>
      <w:pPr>
        <w:tabs>
          <w:tab w:val="num" w:pos="2556"/>
        </w:tabs>
        <w:ind w:left="2556" w:hanging="360"/>
      </w:pPr>
      <w:rPr>
        <w:rFonts w:ascii="Courier New" w:hAnsi="Courier New" w:cs="Courier New" w:hint="default"/>
      </w:rPr>
    </w:lvl>
    <w:lvl w:ilvl="5" w:tplc="04090005" w:tentative="1">
      <w:start w:val="1"/>
      <w:numFmt w:val="bullet"/>
      <w:lvlText w:val=""/>
      <w:lvlJc w:val="left"/>
      <w:pPr>
        <w:tabs>
          <w:tab w:val="num" w:pos="3276"/>
        </w:tabs>
        <w:ind w:left="3276" w:hanging="360"/>
      </w:pPr>
      <w:rPr>
        <w:rFonts w:ascii="Wingdings" w:hAnsi="Wingdings" w:hint="default"/>
      </w:rPr>
    </w:lvl>
    <w:lvl w:ilvl="6" w:tplc="04090001" w:tentative="1">
      <w:start w:val="1"/>
      <w:numFmt w:val="bullet"/>
      <w:lvlText w:val=""/>
      <w:lvlJc w:val="left"/>
      <w:pPr>
        <w:tabs>
          <w:tab w:val="num" w:pos="3996"/>
        </w:tabs>
        <w:ind w:left="3996" w:hanging="360"/>
      </w:pPr>
      <w:rPr>
        <w:rFonts w:ascii="Symbol" w:hAnsi="Symbol" w:hint="default"/>
      </w:rPr>
    </w:lvl>
    <w:lvl w:ilvl="7" w:tplc="04090003" w:tentative="1">
      <w:start w:val="1"/>
      <w:numFmt w:val="bullet"/>
      <w:lvlText w:val="o"/>
      <w:lvlJc w:val="left"/>
      <w:pPr>
        <w:tabs>
          <w:tab w:val="num" w:pos="4716"/>
        </w:tabs>
        <w:ind w:left="4716" w:hanging="360"/>
      </w:pPr>
      <w:rPr>
        <w:rFonts w:ascii="Courier New" w:hAnsi="Courier New" w:cs="Courier New" w:hint="default"/>
      </w:rPr>
    </w:lvl>
    <w:lvl w:ilvl="8" w:tplc="04090005" w:tentative="1">
      <w:start w:val="1"/>
      <w:numFmt w:val="bullet"/>
      <w:lvlText w:val=""/>
      <w:lvlJc w:val="left"/>
      <w:pPr>
        <w:tabs>
          <w:tab w:val="num" w:pos="5436"/>
        </w:tabs>
        <w:ind w:left="5436" w:hanging="360"/>
      </w:pPr>
      <w:rPr>
        <w:rFonts w:ascii="Wingdings" w:hAnsi="Wingdings" w:hint="default"/>
      </w:rPr>
    </w:lvl>
  </w:abstractNum>
  <w:abstractNum w:abstractNumId="37" w15:restartNumberingAfterBreak="0">
    <w:nsid w:val="773F0C0A"/>
    <w:multiLevelType w:val="hybridMultilevel"/>
    <w:tmpl w:val="86BC79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407290"/>
    <w:multiLevelType w:val="singleLevel"/>
    <w:tmpl w:val="2012D14E"/>
    <w:lvl w:ilvl="0">
      <w:start w:val="1"/>
      <w:numFmt w:val="bullet"/>
      <w:pStyle w:val="BulletText1"/>
      <w:lvlText w:val=""/>
      <w:lvlJc w:val="left"/>
      <w:pPr>
        <w:tabs>
          <w:tab w:val="num" w:pos="173"/>
        </w:tabs>
        <w:ind w:left="173" w:hanging="173"/>
      </w:pPr>
      <w:rPr>
        <w:rFonts w:ascii="Symbol" w:hAnsi="Symbol" w:hint="default"/>
      </w:rPr>
    </w:lvl>
  </w:abstractNum>
  <w:abstractNum w:abstractNumId="39" w15:restartNumberingAfterBreak="0">
    <w:nsid w:val="79A20480"/>
    <w:multiLevelType w:val="hybridMultilevel"/>
    <w:tmpl w:val="7E96D1A8"/>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15:restartNumberingAfterBreak="0">
    <w:nsid w:val="7E765B1C"/>
    <w:multiLevelType w:val="hybridMultilevel"/>
    <w:tmpl w:val="6EDA3A06"/>
    <w:lvl w:ilvl="0" w:tplc="04090001">
      <w:start w:val="1"/>
      <w:numFmt w:val="bullet"/>
      <w:lvlText w:val=""/>
      <w:lvlJc w:val="left"/>
      <w:pPr>
        <w:tabs>
          <w:tab w:val="num" w:pos="374"/>
        </w:tabs>
        <w:ind w:left="374" w:hanging="360"/>
      </w:pPr>
      <w:rPr>
        <w:rFonts w:ascii="Symbol" w:hAnsi="Symbol" w:hint="default"/>
      </w:rPr>
    </w:lvl>
    <w:lvl w:ilvl="1" w:tplc="04090003" w:tentative="1">
      <w:start w:val="1"/>
      <w:numFmt w:val="bullet"/>
      <w:lvlText w:val="o"/>
      <w:lvlJc w:val="left"/>
      <w:pPr>
        <w:tabs>
          <w:tab w:val="num" w:pos="1094"/>
        </w:tabs>
        <w:ind w:left="1094" w:hanging="360"/>
      </w:pPr>
      <w:rPr>
        <w:rFonts w:ascii="Courier New" w:hAnsi="Courier New" w:cs="Courier New" w:hint="default"/>
      </w:rPr>
    </w:lvl>
    <w:lvl w:ilvl="2" w:tplc="04090005" w:tentative="1">
      <w:start w:val="1"/>
      <w:numFmt w:val="bullet"/>
      <w:lvlText w:val=""/>
      <w:lvlJc w:val="left"/>
      <w:pPr>
        <w:tabs>
          <w:tab w:val="num" w:pos="1814"/>
        </w:tabs>
        <w:ind w:left="1814" w:hanging="360"/>
      </w:pPr>
      <w:rPr>
        <w:rFonts w:ascii="Wingdings" w:hAnsi="Wingdings" w:hint="default"/>
      </w:rPr>
    </w:lvl>
    <w:lvl w:ilvl="3" w:tplc="04090001" w:tentative="1">
      <w:start w:val="1"/>
      <w:numFmt w:val="bullet"/>
      <w:lvlText w:val=""/>
      <w:lvlJc w:val="left"/>
      <w:pPr>
        <w:tabs>
          <w:tab w:val="num" w:pos="2534"/>
        </w:tabs>
        <w:ind w:left="2534" w:hanging="360"/>
      </w:pPr>
      <w:rPr>
        <w:rFonts w:ascii="Symbol" w:hAnsi="Symbol" w:hint="default"/>
      </w:rPr>
    </w:lvl>
    <w:lvl w:ilvl="4" w:tplc="04090003" w:tentative="1">
      <w:start w:val="1"/>
      <w:numFmt w:val="bullet"/>
      <w:lvlText w:val="o"/>
      <w:lvlJc w:val="left"/>
      <w:pPr>
        <w:tabs>
          <w:tab w:val="num" w:pos="3254"/>
        </w:tabs>
        <w:ind w:left="3254" w:hanging="360"/>
      </w:pPr>
      <w:rPr>
        <w:rFonts w:ascii="Courier New" w:hAnsi="Courier New" w:cs="Courier New" w:hint="default"/>
      </w:rPr>
    </w:lvl>
    <w:lvl w:ilvl="5" w:tplc="04090005" w:tentative="1">
      <w:start w:val="1"/>
      <w:numFmt w:val="bullet"/>
      <w:lvlText w:val=""/>
      <w:lvlJc w:val="left"/>
      <w:pPr>
        <w:tabs>
          <w:tab w:val="num" w:pos="3974"/>
        </w:tabs>
        <w:ind w:left="3974" w:hanging="360"/>
      </w:pPr>
      <w:rPr>
        <w:rFonts w:ascii="Wingdings" w:hAnsi="Wingdings" w:hint="default"/>
      </w:rPr>
    </w:lvl>
    <w:lvl w:ilvl="6" w:tplc="04090001" w:tentative="1">
      <w:start w:val="1"/>
      <w:numFmt w:val="bullet"/>
      <w:lvlText w:val=""/>
      <w:lvlJc w:val="left"/>
      <w:pPr>
        <w:tabs>
          <w:tab w:val="num" w:pos="4694"/>
        </w:tabs>
        <w:ind w:left="4694" w:hanging="360"/>
      </w:pPr>
      <w:rPr>
        <w:rFonts w:ascii="Symbol" w:hAnsi="Symbol" w:hint="default"/>
      </w:rPr>
    </w:lvl>
    <w:lvl w:ilvl="7" w:tplc="04090003" w:tentative="1">
      <w:start w:val="1"/>
      <w:numFmt w:val="bullet"/>
      <w:lvlText w:val="o"/>
      <w:lvlJc w:val="left"/>
      <w:pPr>
        <w:tabs>
          <w:tab w:val="num" w:pos="5414"/>
        </w:tabs>
        <w:ind w:left="5414" w:hanging="360"/>
      </w:pPr>
      <w:rPr>
        <w:rFonts w:ascii="Courier New" w:hAnsi="Courier New" w:cs="Courier New" w:hint="default"/>
      </w:rPr>
    </w:lvl>
    <w:lvl w:ilvl="8" w:tplc="04090005" w:tentative="1">
      <w:start w:val="1"/>
      <w:numFmt w:val="bullet"/>
      <w:lvlText w:val=""/>
      <w:lvlJc w:val="left"/>
      <w:pPr>
        <w:tabs>
          <w:tab w:val="num" w:pos="6134"/>
        </w:tabs>
        <w:ind w:left="6134" w:hanging="360"/>
      </w:pPr>
      <w:rPr>
        <w:rFonts w:ascii="Wingdings" w:hAnsi="Wingdings" w:hint="default"/>
      </w:rPr>
    </w:lvl>
  </w:abstractNum>
  <w:abstractNum w:abstractNumId="41" w15:restartNumberingAfterBreak="0">
    <w:nsid w:val="7F356548"/>
    <w:multiLevelType w:val="singleLevel"/>
    <w:tmpl w:val="EA2068F6"/>
    <w:lvl w:ilvl="0">
      <w:start w:val="1"/>
      <w:numFmt w:val="bullet"/>
      <w:pStyle w:val="TableBullet"/>
      <w:lvlText w:val=""/>
      <w:lvlJc w:val="left"/>
      <w:pPr>
        <w:tabs>
          <w:tab w:val="num" w:pos="360"/>
        </w:tabs>
        <w:ind w:left="360" w:hanging="360"/>
      </w:pPr>
      <w:rPr>
        <w:rFonts w:ascii="Symbol" w:hAnsi="Symbol" w:hint="default"/>
        <w:b w:val="0"/>
        <w:i w:val="0"/>
        <w:sz w:val="16"/>
      </w:rPr>
    </w:lvl>
  </w:abstractNum>
  <w:num w:numId="1">
    <w:abstractNumId w:val="38"/>
  </w:num>
  <w:num w:numId="2">
    <w:abstractNumId w:val="33"/>
  </w:num>
  <w:num w:numId="3">
    <w:abstractNumId w:val="14"/>
  </w:num>
  <w:num w:numId="4">
    <w:abstractNumId w:val="5"/>
  </w:num>
  <w:num w:numId="5">
    <w:abstractNumId w:val="6"/>
  </w:num>
  <w:num w:numId="6">
    <w:abstractNumId w:val="10"/>
  </w:num>
  <w:num w:numId="7">
    <w:abstractNumId w:val="40"/>
  </w:num>
  <w:num w:numId="8">
    <w:abstractNumId w:val="15"/>
  </w:num>
  <w:num w:numId="9">
    <w:abstractNumId w:val="24"/>
  </w:num>
  <w:num w:numId="10">
    <w:abstractNumId w:val="36"/>
  </w:num>
  <w:num w:numId="11">
    <w:abstractNumId w:val="16"/>
  </w:num>
  <w:num w:numId="12">
    <w:abstractNumId w:val="1"/>
  </w:num>
  <w:num w:numId="13">
    <w:abstractNumId w:val="32"/>
  </w:num>
  <w:num w:numId="14">
    <w:abstractNumId w:val="37"/>
  </w:num>
  <w:num w:numId="15">
    <w:abstractNumId w:val="3"/>
  </w:num>
  <w:num w:numId="16">
    <w:abstractNumId w:val="7"/>
  </w:num>
  <w:num w:numId="17">
    <w:abstractNumId w:val="23"/>
  </w:num>
  <w:num w:numId="18">
    <w:abstractNumId w:val="35"/>
  </w:num>
  <w:num w:numId="19">
    <w:abstractNumId w:val="22"/>
  </w:num>
  <w:num w:numId="20">
    <w:abstractNumId w:val="4"/>
  </w:num>
  <w:num w:numId="21">
    <w:abstractNumId w:val="28"/>
  </w:num>
  <w:num w:numId="22">
    <w:abstractNumId w:val="0"/>
  </w:num>
  <w:num w:numId="23">
    <w:abstractNumId w:val="12"/>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13"/>
  </w:num>
  <w:num w:numId="27">
    <w:abstractNumId w:val="26"/>
  </w:num>
  <w:num w:numId="28">
    <w:abstractNumId w:val="11"/>
  </w:num>
  <w:num w:numId="29">
    <w:abstractNumId w:val="2"/>
  </w:num>
  <w:num w:numId="30">
    <w:abstractNumId w:val="34"/>
  </w:num>
  <w:num w:numId="31">
    <w:abstractNumId w:val="29"/>
  </w:num>
  <w:num w:numId="32">
    <w:abstractNumId w:val="18"/>
  </w:num>
  <w:num w:numId="33">
    <w:abstractNumId w:val="20"/>
  </w:num>
  <w:num w:numId="34">
    <w:abstractNumId w:val="19"/>
  </w:num>
  <w:num w:numId="35">
    <w:abstractNumId w:val="9"/>
  </w:num>
  <w:num w:numId="36">
    <w:abstractNumId w:val="25"/>
  </w:num>
  <w:num w:numId="37">
    <w:abstractNumId w:val="8"/>
  </w:num>
  <w:num w:numId="38">
    <w:abstractNumId w:val="30"/>
  </w:num>
  <w:num w:numId="39">
    <w:abstractNumId w:val="27"/>
  </w:num>
  <w:num w:numId="40">
    <w:abstractNumId w:val="17"/>
  </w:num>
  <w:num w:numId="41">
    <w:abstractNumId w:val="39"/>
  </w:num>
  <w:num w:numId="42">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drawingGridHorizontalSpacing w:val="1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FontSetFontSetFontSetFontSetimistyles.xml"/>
  </w:docVars>
  <w:rsids>
    <w:rsidRoot w:val="00BC7442"/>
    <w:rsid w:val="0000106A"/>
    <w:rsid w:val="000026A8"/>
    <w:rsid w:val="0000665F"/>
    <w:rsid w:val="00007CE7"/>
    <w:rsid w:val="0001260C"/>
    <w:rsid w:val="00012B7C"/>
    <w:rsid w:val="000146C8"/>
    <w:rsid w:val="000149F5"/>
    <w:rsid w:val="00014D52"/>
    <w:rsid w:val="0002368D"/>
    <w:rsid w:val="00026355"/>
    <w:rsid w:val="00026BB2"/>
    <w:rsid w:val="00027FF0"/>
    <w:rsid w:val="00030EDC"/>
    <w:rsid w:val="00030FF6"/>
    <w:rsid w:val="00031F63"/>
    <w:rsid w:val="000320DD"/>
    <w:rsid w:val="00037D58"/>
    <w:rsid w:val="00040E8F"/>
    <w:rsid w:val="00041C05"/>
    <w:rsid w:val="000459EC"/>
    <w:rsid w:val="00047CDF"/>
    <w:rsid w:val="000504D9"/>
    <w:rsid w:val="000541D2"/>
    <w:rsid w:val="000611E9"/>
    <w:rsid w:val="00063FA0"/>
    <w:rsid w:val="00065AE2"/>
    <w:rsid w:val="00066C19"/>
    <w:rsid w:val="000710EA"/>
    <w:rsid w:val="00071220"/>
    <w:rsid w:val="00071379"/>
    <w:rsid w:val="00073168"/>
    <w:rsid w:val="00075C06"/>
    <w:rsid w:val="00076F94"/>
    <w:rsid w:val="000773FC"/>
    <w:rsid w:val="00077F10"/>
    <w:rsid w:val="00080A03"/>
    <w:rsid w:val="00081AA8"/>
    <w:rsid w:val="000826E1"/>
    <w:rsid w:val="000833F0"/>
    <w:rsid w:val="000843F1"/>
    <w:rsid w:val="00084B1F"/>
    <w:rsid w:val="000851C2"/>
    <w:rsid w:val="00086020"/>
    <w:rsid w:val="00086DE3"/>
    <w:rsid w:val="00086E71"/>
    <w:rsid w:val="00091B23"/>
    <w:rsid w:val="000939FE"/>
    <w:rsid w:val="000952E5"/>
    <w:rsid w:val="0009634A"/>
    <w:rsid w:val="000A1711"/>
    <w:rsid w:val="000A3D65"/>
    <w:rsid w:val="000A5023"/>
    <w:rsid w:val="000A6342"/>
    <w:rsid w:val="000A7170"/>
    <w:rsid w:val="000A7DE0"/>
    <w:rsid w:val="000B0F7C"/>
    <w:rsid w:val="000B1DC2"/>
    <w:rsid w:val="000B3ABF"/>
    <w:rsid w:val="000B49E6"/>
    <w:rsid w:val="000B627C"/>
    <w:rsid w:val="000B76EC"/>
    <w:rsid w:val="000C09A6"/>
    <w:rsid w:val="000C106B"/>
    <w:rsid w:val="000C11C4"/>
    <w:rsid w:val="000C26D2"/>
    <w:rsid w:val="000D10E7"/>
    <w:rsid w:val="000D2487"/>
    <w:rsid w:val="000D24A9"/>
    <w:rsid w:val="000D6909"/>
    <w:rsid w:val="000D7D03"/>
    <w:rsid w:val="000E0040"/>
    <w:rsid w:val="000E230D"/>
    <w:rsid w:val="000E51E9"/>
    <w:rsid w:val="000E54FF"/>
    <w:rsid w:val="000F2116"/>
    <w:rsid w:val="000F377A"/>
    <w:rsid w:val="000F3AFD"/>
    <w:rsid w:val="001007CC"/>
    <w:rsid w:val="001024EE"/>
    <w:rsid w:val="00103249"/>
    <w:rsid w:val="0010764C"/>
    <w:rsid w:val="001077C4"/>
    <w:rsid w:val="00112CE0"/>
    <w:rsid w:val="00114565"/>
    <w:rsid w:val="00114B78"/>
    <w:rsid w:val="001160C5"/>
    <w:rsid w:val="00117466"/>
    <w:rsid w:val="00120692"/>
    <w:rsid w:val="00123944"/>
    <w:rsid w:val="001254C5"/>
    <w:rsid w:val="001268F9"/>
    <w:rsid w:val="00126A58"/>
    <w:rsid w:val="00126AEA"/>
    <w:rsid w:val="0012739F"/>
    <w:rsid w:val="00130000"/>
    <w:rsid w:val="00131A60"/>
    <w:rsid w:val="001327FA"/>
    <w:rsid w:val="0013745C"/>
    <w:rsid w:val="00140D04"/>
    <w:rsid w:val="00141D18"/>
    <w:rsid w:val="001448C4"/>
    <w:rsid w:val="00150B54"/>
    <w:rsid w:val="00150BD3"/>
    <w:rsid w:val="001517CF"/>
    <w:rsid w:val="0015270B"/>
    <w:rsid w:val="00152D6F"/>
    <w:rsid w:val="00152DAA"/>
    <w:rsid w:val="00153B53"/>
    <w:rsid w:val="00153F9B"/>
    <w:rsid w:val="00155FE9"/>
    <w:rsid w:val="001574C9"/>
    <w:rsid w:val="00160687"/>
    <w:rsid w:val="00161355"/>
    <w:rsid w:val="0017183B"/>
    <w:rsid w:val="001736EA"/>
    <w:rsid w:val="00175488"/>
    <w:rsid w:val="00175F80"/>
    <w:rsid w:val="00176900"/>
    <w:rsid w:val="00177AE3"/>
    <w:rsid w:val="00180B60"/>
    <w:rsid w:val="00182AB2"/>
    <w:rsid w:val="00186180"/>
    <w:rsid w:val="0018731A"/>
    <w:rsid w:val="00190D31"/>
    <w:rsid w:val="0019274E"/>
    <w:rsid w:val="00195116"/>
    <w:rsid w:val="00195492"/>
    <w:rsid w:val="001A004D"/>
    <w:rsid w:val="001A06B9"/>
    <w:rsid w:val="001A0DF3"/>
    <w:rsid w:val="001A1E0E"/>
    <w:rsid w:val="001A254A"/>
    <w:rsid w:val="001A38EA"/>
    <w:rsid w:val="001A7F9C"/>
    <w:rsid w:val="001B0608"/>
    <w:rsid w:val="001B2DB3"/>
    <w:rsid w:val="001C505D"/>
    <w:rsid w:val="001C65E1"/>
    <w:rsid w:val="001D12B1"/>
    <w:rsid w:val="001D4BCF"/>
    <w:rsid w:val="001D51E2"/>
    <w:rsid w:val="001D5DC8"/>
    <w:rsid w:val="001D6EB5"/>
    <w:rsid w:val="001E1014"/>
    <w:rsid w:val="001E28D4"/>
    <w:rsid w:val="001E441C"/>
    <w:rsid w:val="001E5CA8"/>
    <w:rsid w:val="001E5DE2"/>
    <w:rsid w:val="001E6811"/>
    <w:rsid w:val="001E68D8"/>
    <w:rsid w:val="001E7A65"/>
    <w:rsid w:val="001F061D"/>
    <w:rsid w:val="001F0E0D"/>
    <w:rsid w:val="001F1F9E"/>
    <w:rsid w:val="001F4B28"/>
    <w:rsid w:val="001F5FD0"/>
    <w:rsid w:val="001F6193"/>
    <w:rsid w:val="001F6345"/>
    <w:rsid w:val="001F72D9"/>
    <w:rsid w:val="00203C27"/>
    <w:rsid w:val="00204E92"/>
    <w:rsid w:val="00212003"/>
    <w:rsid w:val="0021305B"/>
    <w:rsid w:val="00213DA4"/>
    <w:rsid w:val="002142CA"/>
    <w:rsid w:val="002149CC"/>
    <w:rsid w:val="002162D8"/>
    <w:rsid w:val="00217222"/>
    <w:rsid w:val="0022159E"/>
    <w:rsid w:val="00221D6C"/>
    <w:rsid w:val="00221FC9"/>
    <w:rsid w:val="00222250"/>
    <w:rsid w:val="002225B4"/>
    <w:rsid w:val="0022288C"/>
    <w:rsid w:val="00222B8D"/>
    <w:rsid w:val="00222B94"/>
    <w:rsid w:val="002233C2"/>
    <w:rsid w:val="002242DB"/>
    <w:rsid w:val="00227A45"/>
    <w:rsid w:val="00231C41"/>
    <w:rsid w:val="00231D64"/>
    <w:rsid w:val="002336C3"/>
    <w:rsid w:val="00235B44"/>
    <w:rsid w:val="00236FEF"/>
    <w:rsid w:val="0023759C"/>
    <w:rsid w:val="00240222"/>
    <w:rsid w:val="00246421"/>
    <w:rsid w:val="002465CD"/>
    <w:rsid w:val="002521DD"/>
    <w:rsid w:val="002537E4"/>
    <w:rsid w:val="00254884"/>
    <w:rsid w:val="00256526"/>
    <w:rsid w:val="00257664"/>
    <w:rsid w:val="00257CE9"/>
    <w:rsid w:val="002615B0"/>
    <w:rsid w:val="00263C20"/>
    <w:rsid w:val="00264B27"/>
    <w:rsid w:val="00266EB1"/>
    <w:rsid w:val="00267292"/>
    <w:rsid w:val="00267A41"/>
    <w:rsid w:val="00272019"/>
    <w:rsid w:val="00275098"/>
    <w:rsid w:val="00275FC7"/>
    <w:rsid w:val="0028192A"/>
    <w:rsid w:val="00282500"/>
    <w:rsid w:val="002844BB"/>
    <w:rsid w:val="00285728"/>
    <w:rsid w:val="00287169"/>
    <w:rsid w:val="00287D4E"/>
    <w:rsid w:val="00287F95"/>
    <w:rsid w:val="00291135"/>
    <w:rsid w:val="00291CB4"/>
    <w:rsid w:val="00292215"/>
    <w:rsid w:val="002933FB"/>
    <w:rsid w:val="0029752F"/>
    <w:rsid w:val="002A07E4"/>
    <w:rsid w:val="002A2125"/>
    <w:rsid w:val="002A3F0B"/>
    <w:rsid w:val="002A538D"/>
    <w:rsid w:val="002A64A2"/>
    <w:rsid w:val="002A7AEE"/>
    <w:rsid w:val="002B584B"/>
    <w:rsid w:val="002B5B59"/>
    <w:rsid w:val="002B7561"/>
    <w:rsid w:val="002C2C9D"/>
    <w:rsid w:val="002C2D33"/>
    <w:rsid w:val="002C51D7"/>
    <w:rsid w:val="002D1777"/>
    <w:rsid w:val="002D1B9C"/>
    <w:rsid w:val="002D26BD"/>
    <w:rsid w:val="002D41BF"/>
    <w:rsid w:val="002D534C"/>
    <w:rsid w:val="002D59EA"/>
    <w:rsid w:val="002D5B86"/>
    <w:rsid w:val="002D751F"/>
    <w:rsid w:val="002D7F6C"/>
    <w:rsid w:val="002E0E81"/>
    <w:rsid w:val="002E1BB7"/>
    <w:rsid w:val="002E21F7"/>
    <w:rsid w:val="002E4CE9"/>
    <w:rsid w:val="002E69B3"/>
    <w:rsid w:val="002F31AC"/>
    <w:rsid w:val="002F6104"/>
    <w:rsid w:val="002F6FC1"/>
    <w:rsid w:val="002F6FD4"/>
    <w:rsid w:val="003037A5"/>
    <w:rsid w:val="00303A9A"/>
    <w:rsid w:val="0030414C"/>
    <w:rsid w:val="0030586B"/>
    <w:rsid w:val="00306640"/>
    <w:rsid w:val="003066F4"/>
    <w:rsid w:val="00306B3E"/>
    <w:rsid w:val="00307CEF"/>
    <w:rsid w:val="00310A55"/>
    <w:rsid w:val="00310E8D"/>
    <w:rsid w:val="0031101D"/>
    <w:rsid w:val="00314377"/>
    <w:rsid w:val="00314488"/>
    <w:rsid w:val="0031494C"/>
    <w:rsid w:val="00314F12"/>
    <w:rsid w:val="003156FA"/>
    <w:rsid w:val="0032095C"/>
    <w:rsid w:val="00326546"/>
    <w:rsid w:val="0032774C"/>
    <w:rsid w:val="00327E36"/>
    <w:rsid w:val="003304EA"/>
    <w:rsid w:val="00331A4D"/>
    <w:rsid w:val="003330BF"/>
    <w:rsid w:val="0033314D"/>
    <w:rsid w:val="00333792"/>
    <w:rsid w:val="003403D5"/>
    <w:rsid w:val="00343301"/>
    <w:rsid w:val="003445E0"/>
    <w:rsid w:val="00351896"/>
    <w:rsid w:val="00351B61"/>
    <w:rsid w:val="00354649"/>
    <w:rsid w:val="003551BF"/>
    <w:rsid w:val="003568AD"/>
    <w:rsid w:val="00360D9B"/>
    <w:rsid w:val="003703CD"/>
    <w:rsid w:val="003714FA"/>
    <w:rsid w:val="00371B75"/>
    <w:rsid w:val="00371DBE"/>
    <w:rsid w:val="00372235"/>
    <w:rsid w:val="003732F8"/>
    <w:rsid w:val="00375113"/>
    <w:rsid w:val="00375D5E"/>
    <w:rsid w:val="003777C2"/>
    <w:rsid w:val="00377BB5"/>
    <w:rsid w:val="00382E9E"/>
    <w:rsid w:val="003838E1"/>
    <w:rsid w:val="00386FAE"/>
    <w:rsid w:val="0039200B"/>
    <w:rsid w:val="00393699"/>
    <w:rsid w:val="003961AD"/>
    <w:rsid w:val="003961C3"/>
    <w:rsid w:val="00396A31"/>
    <w:rsid w:val="0039707C"/>
    <w:rsid w:val="00397DCD"/>
    <w:rsid w:val="003A3E23"/>
    <w:rsid w:val="003A53F1"/>
    <w:rsid w:val="003A576A"/>
    <w:rsid w:val="003A6026"/>
    <w:rsid w:val="003A7F90"/>
    <w:rsid w:val="003B3906"/>
    <w:rsid w:val="003B5460"/>
    <w:rsid w:val="003B7331"/>
    <w:rsid w:val="003B74CD"/>
    <w:rsid w:val="003C16A0"/>
    <w:rsid w:val="003C19B7"/>
    <w:rsid w:val="003C33F5"/>
    <w:rsid w:val="003C37B4"/>
    <w:rsid w:val="003C57CB"/>
    <w:rsid w:val="003C70CA"/>
    <w:rsid w:val="003D232A"/>
    <w:rsid w:val="003D31F8"/>
    <w:rsid w:val="003D46D2"/>
    <w:rsid w:val="003E131A"/>
    <w:rsid w:val="003E35F3"/>
    <w:rsid w:val="003E3C3F"/>
    <w:rsid w:val="003E4107"/>
    <w:rsid w:val="003E4A07"/>
    <w:rsid w:val="003E61A5"/>
    <w:rsid w:val="003E62EB"/>
    <w:rsid w:val="003F15EB"/>
    <w:rsid w:val="003F1AC3"/>
    <w:rsid w:val="003F1FBB"/>
    <w:rsid w:val="003F2187"/>
    <w:rsid w:val="003F3764"/>
    <w:rsid w:val="003F3797"/>
    <w:rsid w:val="003F4569"/>
    <w:rsid w:val="003F4E67"/>
    <w:rsid w:val="003F5132"/>
    <w:rsid w:val="003F5ACA"/>
    <w:rsid w:val="0040205D"/>
    <w:rsid w:val="004020BB"/>
    <w:rsid w:val="00402B9E"/>
    <w:rsid w:val="004058E7"/>
    <w:rsid w:val="00406D1F"/>
    <w:rsid w:val="00406EF8"/>
    <w:rsid w:val="00407627"/>
    <w:rsid w:val="004077DE"/>
    <w:rsid w:val="00411485"/>
    <w:rsid w:val="0041213B"/>
    <w:rsid w:val="004127CD"/>
    <w:rsid w:val="00412FAD"/>
    <w:rsid w:val="00413606"/>
    <w:rsid w:val="00414763"/>
    <w:rsid w:val="00417503"/>
    <w:rsid w:val="004202EF"/>
    <w:rsid w:val="00422B34"/>
    <w:rsid w:val="00424BF9"/>
    <w:rsid w:val="00431936"/>
    <w:rsid w:val="00432650"/>
    <w:rsid w:val="00440413"/>
    <w:rsid w:val="0044110E"/>
    <w:rsid w:val="00441798"/>
    <w:rsid w:val="00441EDC"/>
    <w:rsid w:val="0044439D"/>
    <w:rsid w:val="00445827"/>
    <w:rsid w:val="00450DEB"/>
    <w:rsid w:val="0045337E"/>
    <w:rsid w:val="004536FD"/>
    <w:rsid w:val="00453ADB"/>
    <w:rsid w:val="004600BD"/>
    <w:rsid w:val="00463416"/>
    <w:rsid w:val="0046361E"/>
    <w:rsid w:val="00464787"/>
    <w:rsid w:val="00464863"/>
    <w:rsid w:val="00464DF7"/>
    <w:rsid w:val="00464F79"/>
    <w:rsid w:val="00466FC1"/>
    <w:rsid w:val="00467083"/>
    <w:rsid w:val="00470091"/>
    <w:rsid w:val="0047033E"/>
    <w:rsid w:val="0047073B"/>
    <w:rsid w:val="00470D60"/>
    <w:rsid w:val="00471263"/>
    <w:rsid w:val="00472B4A"/>
    <w:rsid w:val="004745EC"/>
    <w:rsid w:val="00481E9B"/>
    <w:rsid w:val="004842C6"/>
    <w:rsid w:val="0048475F"/>
    <w:rsid w:val="004867A4"/>
    <w:rsid w:val="004915C3"/>
    <w:rsid w:val="004918E9"/>
    <w:rsid w:val="00491BDB"/>
    <w:rsid w:val="0049267E"/>
    <w:rsid w:val="00495A2C"/>
    <w:rsid w:val="0049602F"/>
    <w:rsid w:val="00496912"/>
    <w:rsid w:val="00497DC6"/>
    <w:rsid w:val="004A34DF"/>
    <w:rsid w:val="004A4A07"/>
    <w:rsid w:val="004A55D1"/>
    <w:rsid w:val="004A58AC"/>
    <w:rsid w:val="004A5DE8"/>
    <w:rsid w:val="004A700C"/>
    <w:rsid w:val="004A7467"/>
    <w:rsid w:val="004A7FB7"/>
    <w:rsid w:val="004B099A"/>
    <w:rsid w:val="004B0A14"/>
    <w:rsid w:val="004B198D"/>
    <w:rsid w:val="004B5BDC"/>
    <w:rsid w:val="004B79F2"/>
    <w:rsid w:val="004C3DB1"/>
    <w:rsid w:val="004C4E94"/>
    <w:rsid w:val="004C7C14"/>
    <w:rsid w:val="004C7FB6"/>
    <w:rsid w:val="004D01B2"/>
    <w:rsid w:val="004D138C"/>
    <w:rsid w:val="004D167E"/>
    <w:rsid w:val="004D2373"/>
    <w:rsid w:val="004D320D"/>
    <w:rsid w:val="004D7587"/>
    <w:rsid w:val="004D7C1C"/>
    <w:rsid w:val="004D7F7B"/>
    <w:rsid w:val="004E1920"/>
    <w:rsid w:val="004E2472"/>
    <w:rsid w:val="004E2FD0"/>
    <w:rsid w:val="004E3451"/>
    <w:rsid w:val="004E5E35"/>
    <w:rsid w:val="004F3316"/>
    <w:rsid w:val="004F7D0A"/>
    <w:rsid w:val="00502D21"/>
    <w:rsid w:val="0050494D"/>
    <w:rsid w:val="0050737D"/>
    <w:rsid w:val="005078D4"/>
    <w:rsid w:val="00511E15"/>
    <w:rsid w:val="00511F3C"/>
    <w:rsid w:val="00514588"/>
    <w:rsid w:val="00517992"/>
    <w:rsid w:val="00520567"/>
    <w:rsid w:val="00522556"/>
    <w:rsid w:val="0052431D"/>
    <w:rsid w:val="005243D4"/>
    <w:rsid w:val="00525AE1"/>
    <w:rsid w:val="00527143"/>
    <w:rsid w:val="005306AF"/>
    <w:rsid w:val="00530818"/>
    <w:rsid w:val="00531305"/>
    <w:rsid w:val="0053188C"/>
    <w:rsid w:val="00532EC6"/>
    <w:rsid w:val="00532ECD"/>
    <w:rsid w:val="005330E2"/>
    <w:rsid w:val="00536237"/>
    <w:rsid w:val="005371C4"/>
    <w:rsid w:val="00540DB4"/>
    <w:rsid w:val="005420DE"/>
    <w:rsid w:val="00542821"/>
    <w:rsid w:val="005437EA"/>
    <w:rsid w:val="00546580"/>
    <w:rsid w:val="00551040"/>
    <w:rsid w:val="005531F4"/>
    <w:rsid w:val="005532A5"/>
    <w:rsid w:val="005535AE"/>
    <w:rsid w:val="0055616D"/>
    <w:rsid w:val="005600E7"/>
    <w:rsid w:val="005604C9"/>
    <w:rsid w:val="00560DD6"/>
    <w:rsid w:val="005628DA"/>
    <w:rsid w:val="00565CBB"/>
    <w:rsid w:val="005662B3"/>
    <w:rsid w:val="00567012"/>
    <w:rsid w:val="005725B2"/>
    <w:rsid w:val="00573834"/>
    <w:rsid w:val="00573F9F"/>
    <w:rsid w:val="00580987"/>
    <w:rsid w:val="00581398"/>
    <w:rsid w:val="005829F1"/>
    <w:rsid w:val="005838C6"/>
    <w:rsid w:val="00590C5A"/>
    <w:rsid w:val="00593402"/>
    <w:rsid w:val="00594B38"/>
    <w:rsid w:val="0059523A"/>
    <w:rsid w:val="005A11C3"/>
    <w:rsid w:val="005A3C80"/>
    <w:rsid w:val="005A5C64"/>
    <w:rsid w:val="005B165D"/>
    <w:rsid w:val="005B2609"/>
    <w:rsid w:val="005B483E"/>
    <w:rsid w:val="005C1E4B"/>
    <w:rsid w:val="005C289C"/>
    <w:rsid w:val="005C2FAD"/>
    <w:rsid w:val="005C3FA9"/>
    <w:rsid w:val="005C4334"/>
    <w:rsid w:val="005C55FA"/>
    <w:rsid w:val="005C5AA0"/>
    <w:rsid w:val="005C74F5"/>
    <w:rsid w:val="005D744B"/>
    <w:rsid w:val="005E09A7"/>
    <w:rsid w:val="005E1CAA"/>
    <w:rsid w:val="005E2D78"/>
    <w:rsid w:val="005E3294"/>
    <w:rsid w:val="005E329A"/>
    <w:rsid w:val="005E377D"/>
    <w:rsid w:val="005E4CA1"/>
    <w:rsid w:val="005E5A01"/>
    <w:rsid w:val="005E5AAE"/>
    <w:rsid w:val="005E5BDA"/>
    <w:rsid w:val="005E6FCF"/>
    <w:rsid w:val="005F29EA"/>
    <w:rsid w:val="005F2A03"/>
    <w:rsid w:val="005F53DF"/>
    <w:rsid w:val="005F5554"/>
    <w:rsid w:val="005F616F"/>
    <w:rsid w:val="00600704"/>
    <w:rsid w:val="00601A9F"/>
    <w:rsid w:val="00602EC1"/>
    <w:rsid w:val="00603BF7"/>
    <w:rsid w:val="00606EF5"/>
    <w:rsid w:val="00607774"/>
    <w:rsid w:val="00610180"/>
    <w:rsid w:val="00611768"/>
    <w:rsid w:val="00611D1D"/>
    <w:rsid w:val="006138A6"/>
    <w:rsid w:val="00615FC6"/>
    <w:rsid w:val="00616B52"/>
    <w:rsid w:val="0062025D"/>
    <w:rsid w:val="00621D1E"/>
    <w:rsid w:val="006249B6"/>
    <w:rsid w:val="00625782"/>
    <w:rsid w:val="0062642E"/>
    <w:rsid w:val="00626683"/>
    <w:rsid w:val="00626C0E"/>
    <w:rsid w:val="00626D54"/>
    <w:rsid w:val="006272E3"/>
    <w:rsid w:val="0062744E"/>
    <w:rsid w:val="00632147"/>
    <w:rsid w:val="00633702"/>
    <w:rsid w:val="00633B5D"/>
    <w:rsid w:val="00635941"/>
    <w:rsid w:val="00636081"/>
    <w:rsid w:val="0063625D"/>
    <w:rsid w:val="006367CE"/>
    <w:rsid w:val="0064182A"/>
    <w:rsid w:val="00642023"/>
    <w:rsid w:val="006435B5"/>
    <w:rsid w:val="00646619"/>
    <w:rsid w:val="006477F5"/>
    <w:rsid w:val="00650A95"/>
    <w:rsid w:val="00650B41"/>
    <w:rsid w:val="006510BD"/>
    <w:rsid w:val="00651D80"/>
    <w:rsid w:val="006531A5"/>
    <w:rsid w:val="00655FF5"/>
    <w:rsid w:val="006571E7"/>
    <w:rsid w:val="00660824"/>
    <w:rsid w:val="00660AAA"/>
    <w:rsid w:val="00662C46"/>
    <w:rsid w:val="00665D89"/>
    <w:rsid w:val="00665DB6"/>
    <w:rsid w:val="00671200"/>
    <w:rsid w:val="006729B5"/>
    <w:rsid w:val="00674853"/>
    <w:rsid w:val="006748EF"/>
    <w:rsid w:val="00674F4A"/>
    <w:rsid w:val="00680646"/>
    <w:rsid w:val="00682C30"/>
    <w:rsid w:val="00682D92"/>
    <w:rsid w:val="00684DB5"/>
    <w:rsid w:val="00691E72"/>
    <w:rsid w:val="00693C89"/>
    <w:rsid w:val="00696662"/>
    <w:rsid w:val="006A1A64"/>
    <w:rsid w:val="006A22AB"/>
    <w:rsid w:val="006A28C6"/>
    <w:rsid w:val="006A3885"/>
    <w:rsid w:val="006A41EE"/>
    <w:rsid w:val="006A430D"/>
    <w:rsid w:val="006A5156"/>
    <w:rsid w:val="006A5E01"/>
    <w:rsid w:val="006B013C"/>
    <w:rsid w:val="006B3024"/>
    <w:rsid w:val="006B43E5"/>
    <w:rsid w:val="006B498C"/>
    <w:rsid w:val="006B67CD"/>
    <w:rsid w:val="006C0045"/>
    <w:rsid w:val="006C2486"/>
    <w:rsid w:val="006C304C"/>
    <w:rsid w:val="006C3FFE"/>
    <w:rsid w:val="006C6FDF"/>
    <w:rsid w:val="006C7DB9"/>
    <w:rsid w:val="006D43B4"/>
    <w:rsid w:val="006D5878"/>
    <w:rsid w:val="006D7342"/>
    <w:rsid w:val="006E013E"/>
    <w:rsid w:val="006E11EA"/>
    <w:rsid w:val="006E3CE6"/>
    <w:rsid w:val="006E54DC"/>
    <w:rsid w:val="006E7527"/>
    <w:rsid w:val="006F0AD4"/>
    <w:rsid w:val="006F2BA4"/>
    <w:rsid w:val="006F354D"/>
    <w:rsid w:val="006F3621"/>
    <w:rsid w:val="006F4AF6"/>
    <w:rsid w:val="006F5800"/>
    <w:rsid w:val="006F7213"/>
    <w:rsid w:val="00701484"/>
    <w:rsid w:val="00702DE1"/>
    <w:rsid w:val="00702F31"/>
    <w:rsid w:val="00705B91"/>
    <w:rsid w:val="0070619F"/>
    <w:rsid w:val="00706368"/>
    <w:rsid w:val="00706856"/>
    <w:rsid w:val="00706D44"/>
    <w:rsid w:val="0070727F"/>
    <w:rsid w:val="00712A18"/>
    <w:rsid w:val="00712A8A"/>
    <w:rsid w:val="00714DD9"/>
    <w:rsid w:val="00717666"/>
    <w:rsid w:val="00717FA2"/>
    <w:rsid w:val="0072112F"/>
    <w:rsid w:val="007266A3"/>
    <w:rsid w:val="00726E11"/>
    <w:rsid w:val="00726FA3"/>
    <w:rsid w:val="00727E95"/>
    <w:rsid w:val="00731B91"/>
    <w:rsid w:val="00733491"/>
    <w:rsid w:val="00735322"/>
    <w:rsid w:val="00736E37"/>
    <w:rsid w:val="007374B6"/>
    <w:rsid w:val="00737588"/>
    <w:rsid w:val="00740EDD"/>
    <w:rsid w:val="00740F1E"/>
    <w:rsid w:val="00743470"/>
    <w:rsid w:val="007458E5"/>
    <w:rsid w:val="00746C7E"/>
    <w:rsid w:val="007509E8"/>
    <w:rsid w:val="00750AEC"/>
    <w:rsid w:val="00750DE5"/>
    <w:rsid w:val="007531F4"/>
    <w:rsid w:val="00753D54"/>
    <w:rsid w:val="00753E47"/>
    <w:rsid w:val="0075545B"/>
    <w:rsid w:val="00762C7B"/>
    <w:rsid w:val="0076676C"/>
    <w:rsid w:val="007700C3"/>
    <w:rsid w:val="007747CD"/>
    <w:rsid w:val="00775101"/>
    <w:rsid w:val="007766E0"/>
    <w:rsid w:val="00781620"/>
    <w:rsid w:val="00781DF6"/>
    <w:rsid w:val="007843A7"/>
    <w:rsid w:val="0078568E"/>
    <w:rsid w:val="0078639E"/>
    <w:rsid w:val="00786B2D"/>
    <w:rsid w:val="00787280"/>
    <w:rsid w:val="0078784F"/>
    <w:rsid w:val="00787AC1"/>
    <w:rsid w:val="007A0269"/>
    <w:rsid w:val="007A092D"/>
    <w:rsid w:val="007A7913"/>
    <w:rsid w:val="007B08E3"/>
    <w:rsid w:val="007B0AA9"/>
    <w:rsid w:val="007B0E2D"/>
    <w:rsid w:val="007B108C"/>
    <w:rsid w:val="007B37EC"/>
    <w:rsid w:val="007B42E2"/>
    <w:rsid w:val="007B49E5"/>
    <w:rsid w:val="007B5388"/>
    <w:rsid w:val="007B60E2"/>
    <w:rsid w:val="007C102F"/>
    <w:rsid w:val="007C1F10"/>
    <w:rsid w:val="007C239F"/>
    <w:rsid w:val="007C44CF"/>
    <w:rsid w:val="007C54F7"/>
    <w:rsid w:val="007C7601"/>
    <w:rsid w:val="007C760B"/>
    <w:rsid w:val="007D056F"/>
    <w:rsid w:val="007D2113"/>
    <w:rsid w:val="007D23C6"/>
    <w:rsid w:val="007D5B4F"/>
    <w:rsid w:val="007D6271"/>
    <w:rsid w:val="007E0035"/>
    <w:rsid w:val="007E126A"/>
    <w:rsid w:val="007E3A71"/>
    <w:rsid w:val="007F0242"/>
    <w:rsid w:val="007F05E8"/>
    <w:rsid w:val="007F191E"/>
    <w:rsid w:val="007F3F44"/>
    <w:rsid w:val="007F5816"/>
    <w:rsid w:val="007F7A59"/>
    <w:rsid w:val="00800931"/>
    <w:rsid w:val="00800CC6"/>
    <w:rsid w:val="00802ACD"/>
    <w:rsid w:val="00803BBA"/>
    <w:rsid w:val="00804F3D"/>
    <w:rsid w:val="00805898"/>
    <w:rsid w:val="008070BE"/>
    <w:rsid w:val="008070FA"/>
    <w:rsid w:val="00807F66"/>
    <w:rsid w:val="0081037D"/>
    <w:rsid w:val="00812571"/>
    <w:rsid w:val="00812859"/>
    <w:rsid w:val="0081458F"/>
    <w:rsid w:val="00815644"/>
    <w:rsid w:val="00815F79"/>
    <w:rsid w:val="00816B5C"/>
    <w:rsid w:val="00820021"/>
    <w:rsid w:val="00825119"/>
    <w:rsid w:val="00825A74"/>
    <w:rsid w:val="00826300"/>
    <w:rsid w:val="0083346C"/>
    <w:rsid w:val="0083616F"/>
    <w:rsid w:val="00837511"/>
    <w:rsid w:val="00840050"/>
    <w:rsid w:val="00840479"/>
    <w:rsid w:val="008431A9"/>
    <w:rsid w:val="00843657"/>
    <w:rsid w:val="008464D2"/>
    <w:rsid w:val="00846582"/>
    <w:rsid w:val="00846D2A"/>
    <w:rsid w:val="008475E5"/>
    <w:rsid w:val="0085138A"/>
    <w:rsid w:val="00853B6A"/>
    <w:rsid w:val="00853CB5"/>
    <w:rsid w:val="008557D5"/>
    <w:rsid w:val="0085682D"/>
    <w:rsid w:val="00856B91"/>
    <w:rsid w:val="00856D8D"/>
    <w:rsid w:val="00857699"/>
    <w:rsid w:val="008613E2"/>
    <w:rsid w:val="00861E65"/>
    <w:rsid w:val="00865387"/>
    <w:rsid w:val="00867D42"/>
    <w:rsid w:val="008700CB"/>
    <w:rsid w:val="00871625"/>
    <w:rsid w:val="0087508C"/>
    <w:rsid w:val="0087567D"/>
    <w:rsid w:val="00877C2C"/>
    <w:rsid w:val="008813F8"/>
    <w:rsid w:val="008816CB"/>
    <w:rsid w:val="00883A31"/>
    <w:rsid w:val="00885590"/>
    <w:rsid w:val="0088794B"/>
    <w:rsid w:val="00887DE5"/>
    <w:rsid w:val="00892799"/>
    <w:rsid w:val="008A43BD"/>
    <w:rsid w:val="008A4BEC"/>
    <w:rsid w:val="008A52B3"/>
    <w:rsid w:val="008A5EA0"/>
    <w:rsid w:val="008A6B4E"/>
    <w:rsid w:val="008B0185"/>
    <w:rsid w:val="008B034C"/>
    <w:rsid w:val="008B05CB"/>
    <w:rsid w:val="008B1C29"/>
    <w:rsid w:val="008B549A"/>
    <w:rsid w:val="008B64AF"/>
    <w:rsid w:val="008C534D"/>
    <w:rsid w:val="008C642D"/>
    <w:rsid w:val="008D1EB4"/>
    <w:rsid w:val="008D3C17"/>
    <w:rsid w:val="008D5D31"/>
    <w:rsid w:val="008D6F61"/>
    <w:rsid w:val="008D73B1"/>
    <w:rsid w:val="008D762C"/>
    <w:rsid w:val="008D7A72"/>
    <w:rsid w:val="008E0D74"/>
    <w:rsid w:val="008E5ED9"/>
    <w:rsid w:val="008E60BD"/>
    <w:rsid w:val="008E665D"/>
    <w:rsid w:val="008F082C"/>
    <w:rsid w:val="008F2833"/>
    <w:rsid w:val="008F2E3D"/>
    <w:rsid w:val="008F3F46"/>
    <w:rsid w:val="008F4483"/>
    <w:rsid w:val="008F4C67"/>
    <w:rsid w:val="008F5178"/>
    <w:rsid w:val="008F6373"/>
    <w:rsid w:val="008F7130"/>
    <w:rsid w:val="008F7181"/>
    <w:rsid w:val="00900FBE"/>
    <w:rsid w:val="00901C78"/>
    <w:rsid w:val="00901C92"/>
    <w:rsid w:val="00902C2D"/>
    <w:rsid w:val="00903267"/>
    <w:rsid w:val="00905994"/>
    <w:rsid w:val="00907A4B"/>
    <w:rsid w:val="009126EE"/>
    <w:rsid w:val="00912BFA"/>
    <w:rsid w:val="0091599D"/>
    <w:rsid w:val="00916504"/>
    <w:rsid w:val="00920298"/>
    <w:rsid w:val="00922892"/>
    <w:rsid w:val="00923BE4"/>
    <w:rsid w:val="00923E7C"/>
    <w:rsid w:val="00925366"/>
    <w:rsid w:val="009266B2"/>
    <w:rsid w:val="009307C8"/>
    <w:rsid w:val="009328D2"/>
    <w:rsid w:val="0093667C"/>
    <w:rsid w:val="00937749"/>
    <w:rsid w:val="00940AA2"/>
    <w:rsid w:val="00942263"/>
    <w:rsid w:val="0094321E"/>
    <w:rsid w:val="009437CF"/>
    <w:rsid w:val="00943DA4"/>
    <w:rsid w:val="00943F50"/>
    <w:rsid w:val="00945C94"/>
    <w:rsid w:val="00951D3F"/>
    <w:rsid w:val="00955011"/>
    <w:rsid w:val="00956994"/>
    <w:rsid w:val="00957222"/>
    <w:rsid w:val="00957A3B"/>
    <w:rsid w:val="0096124D"/>
    <w:rsid w:val="00961D11"/>
    <w:rsid w:val="009634E0"/>
    <w:rsid w:val="009644EB"/>
    <w:rsid w:val="00964ADF"/>
    <w:rsid w:val="009660A6"/>
    <w:rsid w:val="00967CE3"/>
    <w:rsid w:val="0097043A"/>
    <w:rsid w:val="00971F47"/>
    <w:rsid w:val="009727C0"/>
    <w:rsid w:val="00973A14"/>
    <w:rsid w:val="00974CEF"/>
    <w:rsid w:val="00980CCF"/>
    <w:rsid w:val="0098137A"/>
    <w:rsid w:val="00982E91"/>
    <w:rsid w:val="00985936"/>
    <w:rsid w:val="0098643B"/>
    <w:rsid w:val="00992BB8"/>
    <w:rsid w:val="00993E7A"/>
    <w:rsid w:val="00995E87"/>
    <w:rsid w:val="009A15A8"/>
    <w:rsid w:val="009A44F1"/>
    <w:rsid w:val="009A5952"/>
    <w:rsid w:val="009A6B83"/>
    <w:rsid w:val="009B44D3"/>
    <w:rsid w:val="009B7216"/>
    <w:rsid w:val="009C130D"/>
    <w:rsid w:val="009C1749"/>
    <w:rsid w:val="009C2AB3"/>
    <w:rsid w:val="009C2C05"/>
    <w:rsid w:val="009C358B"/>
    <w:rsid w:val="009C3D06"/>
    <w:rsid w:val="009C5F6B"/>
    <w:rsid w:val="009C7114"/>
    <w:rsid w:val="009C7120"/>
    <w:rsid w:val="009D0672"/>
    <w:rsid w:val="009D6368"/>
    <w:rsid w:val="009D638C"/>
    <w:rsid w:val="009D7A60"/>
    <w:rsid w:val="009D7C1A"/>
    <w:rsid w:val="009E026B"/>
    <w:rsid w:val="009E033E"/>
    <w:rsid w:val="009E3B09"/>
    <w:rsid w:val="009E432E"/>
    <w:rsid w:val="009E4386"/>
    <w:rsid w:val="009F19D7"/>
    <w:rsid w:val="009F4CE8"/>
    <w:rsid w:val="009F4E9D"/>
    <w:rsid w:val="009F4FE1"/>
    <w:rsid w:val="009F6950"/>
    <w:rsid w:val="009F6C53"/>
    <w:rsid w:val="00A00BBA"/>
    <w:rsid w:val="00A01D69"/>
    <w:rsid w:val="00A03CFF"/>
    <w:rsid w:val="00A03E9A"/>
    <w:rsid w:val="00A04976"/>
    <w:rsid w:val="00A1439E"/>
    <w:rsid w:val="00A17396"/>
    <w:rsid w:val="00A21F48"/>
    <w:rsid w:val="00A31094"/>
    <w:rsid w:val="00A32258"/>
    <w:rsid w:val="00A34FCA"/>
    <w:rsid w:val="00A377E4"/>
    <w:rsid w:val="00A4039B"/>
    <w:rsid w:val="00A423DC"/>
    <w:rsid w:val="00A4377B"/>
    <w:rsid w:val="00A43A39"/>
    <w:rsid w:val="00A44BD7"/>
    <w:rsid w:val="00A46CBF"/>
    <w:rsid w:val="00A4706A"/>
    <w:rsid w:val="00A47740"/>
    <w:rsid w:val="00A47FFB"/>
    <w:rsid w:val="00A509C5"/>
    <w:rsid w:val="00A52F8A"/>
    <w:rsid w:val="00A57269"/>
    <w:rsid w:val="00A61640"/>
    <w:rsid w:val="00A63F97"/>
    <w:rsid w:val="00A674E6"/>
    <w:rsid w:val="00A71695"/>
    <w:rsid w:val="00A72FB9"/>
    <w:rsid w:val="00A73261"/>
    <w:rsid w:val="00A73E1E"/>
    <w:rsid w:val="00A74834"/>
    <w:rsid w:val="00A74FEC"/>
    <w:rsid w:val="00A75A2C"/>
    <w:rsid w:val="00A77A22"/>
    <w:rsid w:val="00A822B7"/>
    <w:rsid w:val="00A83333"/>
    <w:rsid w:val="00A864AB"/>
    <w:rsid w:val="00A90874"/>
    <w:rsid w:val="00A92181"/>
    <w:rsid w:val="00A9332E"/>
    <w:rsid w:val="00A943BD"/>
    <w:rsid w:val="00A974FC"/>
    <w:rsid w:val="00A97E3B"/>
    <w:rsid w:val="00AA0638"/>
    <w:rsid w:val="00AA08B8"/>
    <w:rsid w:val="00AA6A2C"/>
    <w:rsid w:val="00AA76F7"/>
    <w:rsid w:val="00AB2982"/>
    <w:rsid w:val="00AB3C5D"/>
    <w:rsid w:val="00AB4366"/>
    <w:rsid w:val="00AB461D"/>
    <w:rsid w:val="00AB47D7"/>
    <w:rsid w:val="00AB4C7F"/>
    <w:rsid w:val="00AB506E"/>
    <w:rsid w:val="00AC01FE"/>
    <w:rsid w:val="00AC3537"/>
    <w:rsid w:val="00AC3EAA"/>
    <w:rsid w:val="00AC507B"/>
    <w:rsid w:val="00AC56E7"/>
    <w:rsid w:val="00AC6F90"/>
    <w:rsid w:val="00AD098E"/>
    <w:rsid w:val="00AD33C8"/>
    <w:rsid w:val="00AD3B71"/>
    <w:rsid w:val="00AD6651"/>
    <w:rsid w:val="00AE0DAE"/>
    <w:rsid w:val="00AE57EA"/>
    <w:rsid w:val="00AF0281"/>
    <w:rsid w:val="00AF0EAE"/>
    <w:rsid w:val="00AF19C0"/>
    <w:rsid w:val="00AF228E"/>
    <w:rsid w:val="00AF616B"/>
    <w:rsid w:val="00AF648B"/>
    <w:rsid w:val="00AF6DC4"/>
    <w:rsid w:val="00B0002F"/>
    <w:rsid w:val="00B032A5"/>
    <w:rsid w:val="00B03E4D"/>
    <w:rsid w:val="00B05A21"/>
    <w:rsid w:val="00B06FBD"/>
    <w:rsid w:val="00B119F3"/>
    <w:rsid w:val="00B128D2"/>
    <w:rsid w:val="00B132EA"/>
    <w:rsid w:val="00B14C1B"/>
    <w:rsid w:val="00B20F5D"/>
    <w:rsid w:val="00B21E23"/>
    <w:rsid w:val="00B2382E"/>
    <w:rsid w:val="00B245C2"/>
    <w:rsid w:val="00B25465"/>
    <w:rsid w:val="00B255DA"/>
    <w:rsid w:val="00B26E76"/>
    <w:rsid w:val="00B26FE6"/>
    <w:rsid w:val="00B27858"/>
    <w:rsid w:val="00B30CAB"/>
    <w:rsid w:val="00B30E44"/>
    <w:rsid w:val="00B34F3E"/>
    <w:rsid w:val="00B35CC1"/>
    <w:rsid w:val="00B40BA1"/>
    <w:rsid w:val="00B43670"/>
    <w:rsid w:val="00B464EC"/>
    <w:rsid w:val="00B46801"/>
    <w:rsid w:val="00B4796A"/>
    <w:rsid w:val="00B514C1"/>
    <w:rsid w:val="00B522F5"/>
    <w:rsid w:val="00B5296F"/>
    <w:rsid w:val="00B52EE7"/>
    <w:rsid w:val="00B53F38"/>
    <w:rsid w:val="00B547BF"/>
    <w:rsid w:val="00B56D28"/>
    <w:rsid w:val="00B60AB8"/>
    <w:rsid w:val="00B60F0E"/>
    <w:rsid w:val="00B618D4"/>
    <w:rsid w:val="00B667F5"/>
    <w:rsid w:val="00B66DE1"/>
    <w:rsid w:val="00B70786"/>
    <w:rsid w:val="00B74146"/>
    <w:rsid w:val="00B742F8"/>
    <w:rsid w:val="00B76FB0"/>
    <w:rsid w:val="00B81A90"/>
    <w:rsid w:val="00B8237E"/>
    <w:rsid w:val="00B82EA1"/>
    <w:rsid w:val="00B86043"/>
    <w:rsid w:val="00B86187"/>
    <w:rsid w:val="00B911FF"/>
    <w:rsid w:val="00B92852"/>
    <w:rsid w:val="00B955FD"/>
    <w:rsid w:val="00B968FB"/>
    <w:rsid w:val="00BA0283"/>
    <w:rsid w:val="00BA06C7"/>
    <w:rsid w:val="00BA12D1"/>
    <w:rsid w:val="00BA200B"/>
    <w:rsid w:val="00BA4FF1"/>
    <w:rsid w:val="00BA57AC"/>
    <w:rsid w:val="00BB139B"/>
    <w:rsid w:val="00BB235B"/>
    <w:rsid w:val="00BB40F0"/>
    <w:rsid w:val="00BB5690"/>
    <w:rsid w:val="00BC02E8"/>
    <w:rsid w:val="00BC05B5"/>
    <w:rsid w:val="00BC0688"/>
    <w:rsid w:val="00BC137A"/>
    <w:rsid w:val="00BC1515"/>
    <w:rsid w:val="00BC1741"/>
    <w:rsid w:val="00BC1DE5"/>
    <w:rsid w:val="00BC26FA"/>
    <w:rsid w:val="00BC339E"/>
    <w:rsid w:val="00BC3B11"/>
    <w:rsid w:val="00BC582E"/>
    <w:rsid w:val="00BC6977"/>
    <w:rsid w:val="00BC7442"/>
    <w:rsid w:val="00BC7FA5"/>
    <w:rsid w:val="00BD52EA"/>
    <w:rsid w:val="00BD70C7"/>
    <w:rsid w:val="00BE02B3"/>
    <w:rsid w:val="00BE4888"/>
    <w:rsid w:val="00BE6104"/>
    <w:rsid w:val="00BE6134"/>
    <w:rsid w:val="00BF0630"/>
    <w:rsid w:val="00BF363A"/>
    <w:rsid w:val="00BF3D92"/>
    <w:rsid w:val="00BF4812"/>
    <w:rsid w:val="00BF5A2D"/>
    <w:rsid w:val="00BF5CED"/>
    <w:rsid w:val="00BF5F81"/>
    <w:rsid w:val="00BF75DB"/>
    <w:rsid w:val="00C00070"/>
    <w:rsid w:val="00C03EB8"/>
    <w:rsid w:val="00C05517"/>
    <w:rsid w:val="00C07DFC"/>
    <w:rsid w:val="00C132A1"/>
    <w:rsid w:val="00C142BF"/>
    <w:rsid w:val="00C23A65"/>
    <w:rsid w:val="00C24244"/>
    <w:rsid w:val="00C25A31"/>
    <w:rsid w:val="00C25EFF"/>
    <w:rsid w:val="00C265C0"/>
    <w:rsid w:val="00C315FC"/>
    <w:rsid w:val="00C31E0E"/>
    <w:rsid w:val="00C32149"/>
    <w:rsid w:val="00C32302"/>
    <w:rsid w:val="00C32A87"/>
    <w:rsid w:val="00C3335A"/>
    <w:rsid w:val="00C33B23"/>
    <w:rsid w:val="00C33EAC"/>
    <w:rsid w:val="00C42037"/>
    <w:rsid w:val="00C42395"/>
    <w:rsid w:val="00C4274E"/>
    <w:rsid w:val="00C42751"/>
    <w:rsid w:val="00C42929"/>
    <w:rsid w:val="00C444D7"/>
    <w:rsid w:val="00C445B0"/>
    <w:rsid w:val="00C449D3"/>
    <w:rsid w:val="00C44ABD"/>
    <w:rsid w:val="00C45EA0"/>
    <w:rsid w:val="00C46674"/>
    <w:rsid w:val="00C46CC7"/>
    <w:rsid w:val="00C475C4"/>
    <w:rsid w:val="00C47912"/>
    <w:rsid w:val="00C525D4"/>
    <w:rsid w:val="00C52842"/>
    <w:rsid w:val="00C52895"/>
    <w:rsid w:val="00C5433C"/>
    <w:rsid w:val="00C55792"/>
    <w:rsid w:val="00C6196A"/>
    <w:rsid w:val="00C6249B"/>
    <w:rsid w:val="00C66EDD"/>
    <w:rsid w:val="00C675E2"/>
    <w:rsid w:val="00C76643"/>
    <w:rsid w:val="00C772F8"/>
    <w:rsid w:val="00C80E5E"/>
    <w:rsid w:val="00C844D0"/>
    <w:rsid w:val="00C84C21"/>
    <w:rsid w:val="00C8516C"/>
    <w:rsid w:val="00C86763"/>
    <w:rsid w:val="00C87BA5"/>
    <w:rsid w:val="00C9110B"/>
    <w:rsid w:val="00C92829"/>
    <w:rsid w:val="00C931D3"/>
    <w:rsid w:val="00C94869"/>
    <w:rsid w:val="00C9498B"/>
    <w:rsid w:val="00C964B0"/>
    <w:rsid w:val="00C9655C"/>
    <w:rsid w:val="00C96CAE"/>
    <w:rsid w:val="00CA0B89"/>
    <w:rsid w:val="00CA0CC7"/>
    <w:rsid w:val="00CA1BEA"/>
    <w:rsid w:val="00CA49A4"/>
    <w:rsid w:val="00CA4AE1"/>
    <w:rsid w:val="00CA5776"/>
    <w:rsid w:val="00CA6BD1"/>
    <w:rsid w:val="00CB080D"/>
    <w:rsid w:val="00CB1E91"/>
    <w:rsid w:val="00CB3187"/>
    <w:rsid w:val="00CB4A99"/>
    <w:rsid w:val="00CB6974"/>
    <w:rsid w:val="00CB6FF0"/>
    <w:rsid w:val="00CB730A"/>
    <w:rsid w:val="00CB7BFF"/>
    <w:rsid w:val="00CC0367"/>
    <w:rsid w:val="00CC0A28"/>
    <w:rsid w:val="00CC19E9"/>
    <w:rsid w:val="00CC354E"/>
    <w:rsid w:val="00CC7B90"/>
    <w:rsid w:val="00CD1B04"/>
    <w:rsid w:val="00CD1C78"/>
    <w:rsid w:val="00CD7920"/>
    <w:rsid w:val="00CE128A"/>
    <w:rsid w:val="00CE1B42"/>
    <w:rsid w:val="00CE2F89"/>
    <w:rsid w:val="00CE35AC"/>
    <w:rsid w:val="00CE3645"/>
    <w:rsid w:val="00CE61C4"/>
    <w:rsid w:val="00CE70C7"/>
    <w:rsid w:val="00CE7553"/>
    <w:rsid w:val="00CF0DE1"/>
    <w:rsid w:val="00CF24C7"/>
    <w:rsid w:val="00CF4DD2"/>
    <w:rsid w:val="00CF5C85"/>
    <w:rsid w:val="00CF641F"/>
    <w:rsid w:val="00CF7D13"/>
    <w:rsid w:val="00D0083B"/>
    <w:rsid w:val="00D042D9"/>
    <w:rsid w:val="00D04834"/>
    <w:rsid w:val="00D05FB9"/>
    <w:rsid w:val="00D06786"/>
    <w:rsid w:val="00D15A6D"/>
    <w:rsid w:val="00D1610A"/>
    <w:rsid w:val="00D161AA"/>
    <w:rsid w:val="00D16EE2"/>
    <w:rsid w:val="00D17D38"/>
    <w:rsid w:val="00D20ADB"/>
    <w:rsid w:val="00D20BF8"/>
    <w:rsid w:val="00D20DE3"/>
    <w:rsid w:val="00D233FC"/>
    <w:rsid w:val="00D24208"/>
    <w:rsid w:val="00D2447C"/>
    <w:rsid w:val="00D25C34"/>
    <w:rsid w:val="00D268A3"/>
    <w:rsid w:val="00D26F42"/>
    <w:rsid w:val="00D2714C"/>
    <w:rsid w:val="00D33064"/>
    <w:rsid w:val="00D34E5E"/>
    <w:rsid w:val="00D36AC9"/>
    <w:rsid w:val="00D408F9"/>
    <w:rsid w:val="00D424BB"/>
    <w:rsid w:val="00D43781"/>
    <w:rsid w:val="00D52993"/>
    <w:rsid w:val="00D5568B"/>
    <w:rsid w:val="00D5630A"/>
    <w:rsid w:val="00D56D6D"/>
    <w:rsid w:val="00D63685"/>
    <w:rsid w:val="00D64BF8"/>
    <w:rsid w:val="00D70865"/>
    <w:rsid w:val="00D7107B"/>
    <w:rsid w:val="00D710B1"/>
    <w:rsid w:val="00D72C41"/>
    <w:rsid w:val="00D770DA"/>
    <w:rsid w:val="00D770EB"/>
    <w:rsid w:val="00D77EA3"/>
    <w:rsid w:val="00D81EB6"/>
    <w:rsid w:val="00D8229A"/>
    <w:rsid w:val="00D83823"/>
    <w:rsid w:val="00D87FC7"/>
    <w:rsid w:val="00D9052F"/>
    <w:rsid w:val="00D91F9E"/>
    <w:rsid w:val="00D94B90"/>
    <w:rsid w:val="00D94F9B"/>
    <w:rsid w:val="00D95780"/>
    <w:rsid w:val="00D960FD"/>
    <w:rsid w:val="00D96597"/>
    <w:rsid w:val="00D96E2C"/>
    <w:rsid w:val="00D97494"/>
    <w:rsid w:val="00D97F33"/>
    <w:rsid w:val="00DA18DF"/>
    <w:rsid w:val="00DA1E3B"/>
    <w:rsid w:val="00DA245A"/>
    <w:rsid w:val="00DA296B"/>
    <w:rsid w:val="00DA5A00"/>
    <w:rsid w:val="00DA7C99"/>
    <w:rsid w:val="00DB3A76"/>
    <w:rsid w:val="00DB3DEA"/>
    <w:rsid w:val="00DB4267"/>
    <w:rsid w:val="00DC1663"/>
    <w:rsid w:val="00DC3FC8"/>
    <w:rsid w:val="00DC5004"/>
    <w:rsid w:val="00DC584D"/>
    <w:rsid w:val="00DC67EF"/>
    <w:rsid w:val="00DC696B"/>
    <w:rsid w:val="00DC7DDE"/>
    <w:rsid w:val="00DD02F3"/>
    <w:rsid w:val="00DD1039"/>
    <w:rsid w:val="00DD2A13"/>
    <w:rsid w:val="00DD6DFB"/>
    <w:rsid w:val="00DE1446"/>
    <w:rsid w:val="00DE22C9"/>
    <w:rsid w:val="00DE2B7D"/>
    <w:rsid w:val="00DE4C85"/>
    <w:rsid w:val="00DF058D"/>
    <w:rsid w:val="00DF21CB"/>
    <w:rsid w:val="00DF4023"/>
    <w:rsid w:val="00DF7BCA"/>
    <w:rsid w:val="00E05723"/>
    <w:rsid w:val="00E06780"/>
    <w:rsid w:val="00E07D48"/>
    <w:rsid w:val="00E103FB"/>
    <w:rsid w:val="00E124BC"/>
    <w:rsid w:val="00E14C8B"/>
    <w:rsid w:val="00E161CF"/>
    <w:rsid w:val="00E16BD5"/>
    <w:rsid w:val="00E20AC6"/>
    <w:rsid w:val="00E233BE"/>
    <w:rsid w:val="00E255C9"/>
    <w:rsid w:val="00E31102"/>
    <w:rsid w:val="00E3299E"/>
    <w:rsid w:val="00E33792"/>
    <w:rsid w:val="00E34D5E"/>
    <w:rsid w:val="00E35AC1"/>
    <w:rsid w:val="00E4149D"/>
    <w:rsid w:val="00E421EF"/>
    <w:rsid w:val="00E4364C"/>
    <w:rsid w:val="00E46BB0"/>
    <w:rsid w:val="00E470C8"/>
    <w:rsid w:val="00E52D89"/>
    <w:rsid w:val="00E5584E"/>
    <w:rsid w:val="00E55F36"/>
    <w:rsid w:val="00E5609F"/>
    <w:rsid w:val="00E56629"/>
    <w:rsid w:val="00E5739F"/>
    <w:rsid w:val="00E57946"/>
    <w:rsid w:val="00E57D99"/>
    <w:rsid w:val="00E60C94"/>
    <w:rsid w:val="00E67985"/>
    <w:rsid w:val="00E72603"/>
    <w:rsid w:val="00E72CD2"/>
    <w:rsid w:val="00E73689"/>
    <w:rsid w:val="00E75480"/>
    <w:rsid w:val="00E75718"/>
    <w:rsid w:val="00E80E9A"/>
    <w:rsid w:val="00E80F60"/>
    <w:rsid w:val="00E82276"/>
    <w:rsid w:val="00E834C9"/>
    <w:rsid w:val="00E83816"/>
    <w:rsid w:val="00E84BA5"/>
    <w:rsid w:val="00E91818"/>
    <w:rsid w:val="00E9244E"/>
    <w:rsid w:val="00E93A63"/>
    <w:rsid w:val="00EA061C"/>
    <w:rsid w:val="00EA487D"/>
    <w:rsid w:val="00EB2166"/>
    <w:rsid w:val="00EB40DC"/>
    <w:rsid w:val="00EB464E"/>
    <w:rsid w:val="00EB611D"/>
    <w:rsid w:val="00EB7E97"/>
    <w:rsid w:val="00EC045C"/>
    <w:rsid w:val="00EC1C8D"/>
    <w:rsid w:val="00EC3C5A"/>
    <w:rsid w:val="00EC49FA"/>
    <w:rsid w:val="00EC50E5"/>
    <w:rsid w:val="00EC7AE1"/>
    <w:rsid w:val="00EC7C1D"/>
    <w:rsid w:val="00ED167D"/>
    <w:rsid w:val="00EE05E6"/>
    <w:rsid w:val="00EE2DEB"/>
    <w:rsid w:val="00EE37F5"/>
    <w:rsid w:val="00EE4741"/>
    <w:rsid w:val="00EE54CA"/>
    <w:rsid w:val="00EF48A2"/>
    <w:rsid w:val="00EF5025"/>
    <w:rsid w:val="00EF6CBF"/>
    <w:rsid w:val="00F000D3"/>
    <w:rsid w:val="00F022C1"/>
    <w:rsid w:val="00F034C7"/>
    <w:rsid w:val="00F0374D"/>
    <w:rsid w:val="00F03A3E"/>
    <w:rsid w:val="00F04763"/>
    <w:rsid w:val="00F047A7"/>
    <w:rsid w:val="00F05AF5"/>
    <w:rsid w:val="00F11DAA"/>
    <w:rsid w:val="00F13E34"/>
    <w:rsid w:val="00F1606E"/>
    <w:rsid w:val="00F17D5B"/>
    <w:rsid w:val="00F21680"/>
    <w:rsid w:val="00F21806"/>
    <w:rsid w:val="00F3274E"/>
    <w:rsid w:val="00F329A6"/>
    <w:rsid w:val="00F33F48"/>
    <w:rsid w:val="00F3449C"/>
    <w:rsid w:val="00F3473C"/>
    <w:rsid w:val="00F354C0"/>
    <w:rsid w:val="00F40798"/>
    <w:rsid w:val="00F419BA"/>
    <w:rsid w:val="00F4391A"/>
    <w:rsid w:val="00F46D1D"/>
    <w:rsid w:val="00F47EAA"/>
    <w:rsid w:val="00F52CFF"/>
    <w:rsid w:val="00F53529"/>
    <w:rsid w:val="00F535E6"/>
    <w:rsid w:val="00F538C4"/>
    <w:rsid w:val="00F56644"/>
    <w:rsid w:val="00F569B5"/>
    <w:rsid w:val="00F57381"/>
    <w:rsid w:val="00F6048A"/>
    <w:rsid w:val="00F61D1D"/>
    <w:rsid w:val="00F63B7A"/>
    <w:rsid w:val="00F66892"/>
    <w:rsid w:val="00F748ED"/>
    <w:rsid w:val="00F75052"/>
    <w:rsid w:val="00F754AF"/>
    <w:rsid w:val="00F767FB"/>
    <w:rsid w:val="00F77F55"/>
    <w:rsid w:val="00F819D9"/>
    <w:rsid w:val="00F827E7"/>
    <w:rsid w:val="00F8477F"/>
    <w:rsid w:val="00F854DB"/>
    <w:rsid w:val="00F87673"/>
    <w:rsid w:val="00F8781B"/>
    <w:rsid w:val="00F9369D"/>
    <w:rsid w:val="00FA5CCB"/>
    <w:rsid w:val="00FA6996"/>
    <w:rsid w:val="00FA6DC8"/>
    <w:rsid w:val="00FB07A9"/>
    <w:rsid w:val="00FB229D"/>
    <w:rsid w:val="00FB5CDD"/>
    <w:rsid w:val="00FC135B"/>
    <w:rsid w:val="00FC2537"/>
    <w:rsid w:val="00FD2C02"/>
    <w:rsid w:val="00FD5078"/>
    <w:rsid w:val="00FD57A8"/>
    <w:rsid w:val="00FD79A8"/>
    <w:rsid w:val="00FE0A8A"/>
    <w:rsid w:val="00FE7424"/>
    <w:rsid w:val="00FE7BD9"/>
    <w:rsid w:val="00FF0386"/>
    <w:rsid w:val="00FF1FC4"/>
    <w:rsid w:val="00FF6457"/>
    <w:rsid w:val="00FF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F0F9AC"/>
  <w15:chartTrackingRefBased/>
  <w15:docId w15:val="{0A0977E2-ED20-4D66-BE26-87D93C78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D33"/>
    <w:rPr>
      <w:sz w:val="24"/>
      <w:szCs w:val="24"/>
    </w:rPr>
  </w:style>
  <w:style w:type="paragraph" w:styleId="Heading1">
    <w:name w:val="heading 1"/>
    <w:aliases w:val="Part Title"/>
    <w:basedOn w:val="Normal"/>
    <w:next w:val="Heading4"/>
    <w:qFormat/>
    <w:rsid w:val="002C2D33"/>
    <w:pPr>
      <w:spacing w:after="240"/>
      <w:jc w:val="center"/>
      <w:outlineLvl w:val="0"/>
    </w:pPr>
    <w:rPr>
      <w:rFonts w:ascii="Arial" w:hAnsi="Arial"/>
      <w:b/>
      <w:sz w:val="32"/>
      <w:szCs w:val="20"/>
    </w:rPr>
  </w:style>
  <w:style w:type="paragraph" w:styleId="Heading2">
    <w:name w:val="heading 2"/>
    <w:aliases w:val="Chapter Title"/>
    <w:basedOn w:val="Normal"/>
    <w:next w:val="Heading4"/>
    <w:link w:val="Heading2Char"/>
    <w:qFormat/>
    <w:rsid w:val="002C2D33"/>
    <w:pPr>
      <w:spacing w:after="240"/>
      <w:jc w:val="center"/>
      <w:outlineLvl w:val="1"/>
    </w:pPr>
    <w:rPr>
      <w:rFonts w:ascii="Arial" w:hAnsi="Arial"/>
      <w:b/>
      <w:sz w:val="32"/>
      <w:szCs w:val="20"/>
    </w:rPr>
  </w:style>
  <w:style w:type="paragraph" w:styleId="Heading3">
    <w:name w:val="heading 3"/>
    <w:aliases w:val="Section Title,Section Title+Arial Bold,16pt,center,Section Title +11pt"/>
    <w:basedOn w:val="Normal"/>
    <w:next w:val="Heading4"/>
    <w:link w:val="Heading3Char"/>
    <w:qFormat/>
    <w:rsid w:val="002C2D33"/>
    <w:pPr>
      <w:spacing w:after="240"/>
      <w:jc w:val="center"/>
      <w:outlineLvl w:val="2"/>
    </w:pPr>
    <w:rPr>
      <w:rFonts w:ascii="Arial" w:hAnsi="Arial"/>
      <w:b/>
      <w:sz w:val="32"/>
      <w:szCs w:val="20"/>
    </w:rPr>
  </w:style>
  <w:style w:type="paragraph" w:styleId="Heading4">
    <w:name w:val="heading 4"/>
    <w:aliases w:val="Map Title"/>
    <w:basedOn w:val="Normal"/>
    <w:next w:val="Normal"/>
    <w:qFormat/>
    <w:rsid w:val="002C2D33"/>
    <w:pPr>
      <w:spacing w:after="240"/>
      <w:outlineLvl w:val="3"/>
    </w:pPr>
    <w:rPr>
      <w:rFonts w:ascii="Arial" w:hAnsi="Arial"/>
      <w:b/>
      <w:sz w:val="32"/>
      <w:szCs w:val="20"/>
    </w:rPr>
  </w:style>
  <w:style w:type="paragraph" w:styleId="Heading5">
    <w:name w:val="heading 5"/>
    <w:aliases w:val="Block Label"/>
    <w:basedOn w:val="Normal"/>
    <w:link w:val="Heading5Char"/>
    <w:qFormat/>
    <w:rsid w:val="002C2D33"/>
    <w:pPr>
      <w:outlineLvl w:val="4"/>
    </w:pPr>
    <w:rPr>
      <w:b/>
      <w:sz w:val="22"/>
      <w:szCs w:val="20"/>
    </w:rPr>
  </w:style>
  <w:style w:type="paragraph" w:styleId="Heading6">
    <w:name w:val="heading 6"/>
    <w:aliases w:val="Sub Label"/>
    <w:basedOn w:val="Heading5"/>
    <w:next w:val="BlockText"/>
    <w:qFormat/>
    <w:rsid w:val="002C2D33"/>
    <w:pPr>
      <w:spacing w:before="240" w:after="60"/>
      <w:outlineLvl w:val="5"/>
    </w:pPr>
    <w:rPr>
      <w:i/>
    </w:rPr>
  </w:style>
  <w:style w:type="paragraph" w:styleId="Heading7">
    <w:name w:val="heading 7"/>
    <w:basedOn w:val="Normal"/>
    <w:next w:val="Normal"/>
    <w:qFormat/>
    <w:rsid w:val="0098137A"/>
    <w:pPr>
      <w:spacing w:before="240" w:after="60"/>
      <w:outlineLvl w:val="6"/>
    </w:pPr>
    <w:rPr>
      <w:rFonts w:ascii="Arial" w:hAnsi="Arial" w:cs="Arial"/>
      <w:szCs w:val="32"/>
    </w:rPr>
  </w:style>
  <w:style w:type="paragraph" w:styleId="Heading8">
    <w:name w:val="heading 8"/>
    <w:basedOn w:val="Normal"/>
    <w:next w:val="Normal"/>
    <w:qFormat/>
    <w:rsid w:val="0098137A"/>
    <w:pPr>
      <w:spacing w:before="240" w:after="60"/>
      <w:outlineLvl w:val="7"/>
    </w:pPr>
    <w:rPr>
      <w:rFonts w:ascii="Arial" w:hAnsi="Arial" w:cs="Arial"/>
      <w:i/>
      <w:szCs w:val="32"/>
    </w:rPr>
  </w:style>
  <w:style w:type="paragraph" w:styleId="Heading9">
    <w:name w:val="heading 9"/>
    <w:basedOn w:val="Normal"/>
    <w:next w:val="Normal"/>
    <w:qFormat/>
    <w:rsid w:val="0098137A"/>
    <w:pPr>
      <w:spacing w:before="240" w:after="60"/>
      <w:outlineLvl w:val="8"/>
    </w:pPr>
    <w:rPr>
      <w:rFonts w:ascii="Arial" w:hAnsi="Arial" w:cs="Arial"/>
      <w:b/>
      <w:i/>
      <w:sz w:val="1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C2D33"/>
  </w:style>
  <w:style w:type="paragraph" w:customStyle="1" w:styleId="BlockLine">
    <w:name w:val="Block Line"/>
    <w:basedOn w:val="Normal"/>
    <w:next w:val="Normal"/>
    <w:rsid w:val="002C2D33"/>
    <w:pPr>
      <w:pBdr>
        <w:top w:val="single" w:sz="6" w:space="1" w:color="auto"/>
        <w:between w:val="single" w:sz="6" w:space="1" w:color="auto"/>
      </w:pBdr>
      <w:spacing w:before="240"/>
      <w:ind w:left="1728"/>
    </w:pPr>
    <w:rPr>
      <w:szCs w:val="20"/>
    </w:rPr>
  </w:style>
  <w:style w:type="paragraph" w:customStyle="1" w:styleId="BlockText0">
    <w:name w:val="Block_Text"/>
    <w:basedOn w:val="Normal"/>
    <w:link w:val="BlockTextChar"/>
    <w:rsid w:val="002C2D33"/>
    <w:rPr>
      <w:szCs w:val="20"/>
    </w:rPr>
  </w:style>
  <w:style w:type="paragraph" w:customStyle="1" w:styleId="BulletText1">
    <w:name w:val="Bullet Text 1"/>
    <w:basedOn w:val="Normal"/>
    <w:link w:val="BulletText1Char"/>
    <w:rsid w:val="002C2D33"/>
    <w:pPr>
      <w:numPr>
        <w:numId w:val="1"/>
      </w:numPr>
    </w:pPr>
    <w:rPr>
      <w:szCs w:val="20"/>
    </w:rPr>
  </w:style>
  <w:style w:type="paragraph" w:customStyle="1" w:styleId="BulletText2">
    <w:name w:val="Bullet Text 2"/>
    <w:basedOn w:val="Normal"/>
    <w:rsid w:val="002C2D33"/>
    <w:pPr>
      <w:numPr>
        <w:numId w:val="2"/>
      </w:numPr>
    </w:pPr>
    <w:rPr>
      <w:szCs w:val="20"/>
    </w:rPr>
  </w:style>
  <w:style w:type="paragraph" w:customStyle="1" w:styleId="BulletText3">
    <w:name w:val="Bullet Text 3"/>
    <w:basedOn w:val="Normal"/>
    <w:rsid w:val="002C2D33"/>
    <w:pPr>
      <w:numPr>
        <w:numId w:val="3"/>
      </w:numPr>
    </w:pPr>
    <w:rPr>
      <w:szCs w:val="20"/>
    </w:rPr>
  </w:style>
  <w:style w:type="paragraph" w:customStyle="1" w:styleId="ContinuedBlockLabel">
    <w:name w:val="Continued Block Label"/>
    <w:basedOn w:val="Normal"/>
    <w:rsid w:val="002C2D33"/>
    <w:rPr>
      <w:b/>
      <w:sz w:val="22"/>
      <w:szCs w:val="20"/>
    </w:rPr>
  </w:style>
  <w:style w:type="paragraph" w:customStyle="1" w:styleId="ContinuedOnNextPa">
    <w:name w:val="Continued On Next Pa"/>
    <w:basedOn w:val="Normal"/>
    <w:next w:val="Normal"/>
    <w:rsid w:val="002C2D33"/>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rsid w:val="002C2D33"/>
    <w:rPr>
      <w:b/>
      <w:sz w:val="22"/>
      <w:szCs w:val="20"/>
    </w:rPr>
  </w:style>
  <w:style w:type="paragraph" w:customStyle="1" w:styleId="EmbeddedText">
    <w:name w:val="Embedded Text"/>
    <w:basedOn w:val="Normal"/>
    <w:rsid w:val="002C2D33"/>
    <w:rPr>
      <w:szCs w:val="20"/>
    </w:rPr>
  </w:style>
  <w:style w:type="character" w:styleId="HTMLAcronym">
    <w:name w:val="HTML Acronym"/>
    <w:basedOn w:val="DefaultParagraphFont"/>
    <w:rsid w:val="002C2D33"/>
  </w:style>
  <w:style w:type="paragraph" w:customStyle="1" w:styleId="IMTOC">
    <w:name w:val="IMTOC"/>
    <w:rsid w:val="002C2D33"/>
    <w:rPr>
      <w:sz w:val="24"/>
    </w:rPr>
  </w:style>
  <w:style w:type="paragraph" w:customStyle="1" w:styleId="MapTitleContinued">
    <w:name w:val="Map Title. Continued"/>
    <w:basedOn w:val="Normal"/>
    <w:rsid w:val="002C2D33"/>
    <w:pPr>
      <w:spacing w:after="240"/>
    </w:pPr>
    <w:rPr>
      <w:rFonts w:ascii="Arial" w:hAnsi="Arial"/>
      <w:b/>
      <w:sz w:val="32"/>
      <w:szCs w:val="20"/>
    </w:rPr>
  </w:style>
  <w:style w:type="paragraph" w:customStyle="1" w:styleId="MemoLine">
    <w:name w:val="Memo Line"/>
    <w:basedOn w:val="BlockLine"/>
    <w:next w:val="Normal"/>
    <w:rsid w:val="002C2D33"/>
    <w:pPr>
      <w:ind w:left="0"/>
    </w:pPr>
  </w:style>
  <w:style w:type="paragraph" w:customStyle="1" w:styleId="NoteText">
    <w:name w:val="Note Text"/>
    <w:basedOn w:val="Normal"/>
    <w:rsid w:val="002C2D33"/>
    <w:rPr>
      <w:szCs w:val="20"/>
    </w:rPr>
  </w:style>
  <w:style w:type="paragraph" w:customStyle="1" w:styleId="PublicationTitle">
    <w:name w:val="Publication Title"/>
    <w:basedOn w:val="Normal"/>
    <w:next w:val="Heading4"/>
    <w:rsid w:val="002C2D33"/>
    <w:pPr>
      <w:spacing w:after="240"/>
      <w:jc w:val="center"/>
    </w:pPr>
    <w:rPr>
      <w:rFonts w:ascii="Arial" w:hAnsi="Arial"/>
      <w:b/>
      <w:sz w:val="32"/>
      <w:szCs w:val="20"/>
    </w:rPr>
  </w:style>
  <w:style w:type="paragraph" w:customStyle="1" w:styleId="TableHeaderText">
    <w:name w:val="Table Header Text"/>
    <w:basedOn w:val="Normal"/>
    <w:rsid w:val="002C2D33"/>
    <w:pPr>
      <w:jc w:val="center"/>
    </w:pPr>
    <w:rPr>
      <w:b/>
      <w:szCs w:val="20"/>
    </w:rPr>
  </w:style>
  <w:style w:type="paragraph" w:customStyle="1" w:styleId="TableText">
    <w:name w:val="Table Text"/>
    <w:basedOn w:val="Normal"/>
    <w:rsid w:val="002C2D33"/>
    <w:rPr>
      <w:szCs w:val="20"/>
    </w:rPr>
  </w:style>
  <w:style w:type="paragraph" w:customStyle="1" w:styleId="TOCTitle">
    <w:name w:val="TOC Title"/>
    <w:basedOn w:val="Normal"/>
    <w:rsid w:val="002C2D33"/>
    <w:pPr>
      <w:widowControl w:val="0"/>
    </w:pPr>
    <w:rPr>
      <w:rFonts w:ascii="Arial" w:hAnsi="Arial"/>
      <w:b/>
      <w:sz w:val="32"/>
      <w:szCs w:val="20"/>
    </w:rPr>
  </w:style>
  <w:style w:type="paragraph" w:customStyle="1" w:styleId="TOCItem">
    <w:name w:val="TOCItem"/>
    <w:basedOn w:val="Normal"/>
    <w:rsid w:val="002C2D33"/>
    <w:pPr>
      <w:tabs>
        <w:tab w:val="left" w:leader="dot" w:pos="7061"/>
        <w:tab w:val="right" w:pos="7524"/>
      </w:tabs>
      <w:spacing w:before="60" w:after="60"/>
      <w:ind w:right="465"/>
    </w:pPr>
    <w:rPr>
      <w:szCs w:val="20"/>
    </w:rPr>
  </w:style>
  <w:style w:type="paragraph" w:customStyle="1" w:styleId="TOCStem">
    <w:name w:val="TOCStem"/>
    <w:basedOn w:val="Normal"/>
    <w:rsid w:val="002C2D33"/>
    <w:rPr>
      <w:szCs w:val="20"/>
    </w:rPr>
  </w:style>
  <w:style w:type="paragraph" w:styleId="BalloonText">
    <w:name w:val="Balloon Text"/>
    <w:basedOn w:val="Normal"/>
    <w:semiHidden/>
    <w:rsid w:val="0098137A"/>
    <w:rPr>
      <w:rFonts w:ascii="Tahoma" w:hAnsi="Tahoma" w:cs="Tahoma"/>
      <w:sz w:val="16"/>
      <w:szCs w:val="16"/>
    </w:rPr>
  </w:style>
  <w:style w:type="character" w:customStyle="1" w:styleId="Continued">
    <w:name w:val="Continued"/>
    <w:rsid w:val="0098137A"/>
    <w:rPr>
      <w:rFonts w:ascii="Arial" w:hAnsi="Arial"/>
      <w:sz w:val="24"/>
    </w:rPr>
  </w:style>
  <w:style w:type="paragraph" w:styleId="Footer">
    <w:name w:val="footer"/>
    <w:basedOn w:val="Normal"/>
    <w:rsid w:val="0098137A"/>
    <w:pPr>
      <w:tabs>
        <w:tab w:val="center" w:pos="4320"/>
        <w:tab w:val="right" w:pos="8640"/>
      </w:tabs>
    </w:pPr>
    <w:rPr>
      <w:rFonts w:ascii="Arial" w:hAnsi="Arial" w:cs="Arial"/>
      <w:szCs w:val="32"/>
    </w:rPr>
  </w:style>
  <w:style w:type="paragraph" w:styleId="Header">
    <w:name w:val="header"/>
    <w:basedOn w:val="Normal"/>
    <w:rsid w:val="0098137A"/>
    <w:pPr>
      <w:tabs>
        <w:tab w:val="center" w:pos="4320"/>
        <w:tab w:val="right" w:pos="8640"/>
      </w:tabs>
    </w:pPr>
    <w:rPr>
      <w:rFonts w:ascii="Arial" w:hAnsi="Arial" w:cs="Arial"/>
      <w:szCs w:val="32"/>
    </w:rPr>
  </w:style>
  <w:style w:type="paragraph" w:styleId="TOC4">
    <w:name w:val="toc 4"/>
    <w:basedOn w:val="Normal"/>
    <w:next w:val="Normal"/>
    <w:autoRedefine/>
    <w:uiPriority w:val="39"/>
    <w:rsid w:val="00674853"/>
    <w:pPr>
      <w:tabs>
        <w:tab w:val="right" w:leader="dot" w:pos="9350"/>
      </w:tabs>
      <w:ind w:left="935"/>
    </w:pPr>
    <w:rPr>
      <w:rFonts w:ascii="Arial" w:hAnsi="Arial" w:cs="Arial"/>
      <w:noProof/>
      <w:sz w:val="22"/>
      <w:szCs w:val="32"/>
    </w:rPr>
  </w:style>
  <w:style w:type="character" w:styleId="PageNumber">
    <w:name w:val="page number"/>
    <w:basedOn w:val="DefaultParagraphFont"/>
    <w:rsid w:val="0098137A"/>
  </w:style>
  <w:style w:type="paragraph" w:styleId="TOC1">
    <w:name w:val="toc 1"/>
    <w:basedOn w:val="Normal"/>
    <w:next w:val="Normal"/>
    <w:autoRedefine/>
    <w:uiPriority w:val="39"/>
    <w:rsid w:val="00464863"/>
    <w:pPr>
      <w:tabs>
        <w:tab w:val="left" w:pos="187"/>
        <w:tab w:val="left" w:pos="748"/>
        <w:tab w:val="right" w:leader="dot" w:pos="9540"/>
      </w:tabs>
    </w:pPr>
    <w:rPr>
      <w:rFonts w:ascii="Arial" w:hAnsi="Arial" w:cs="Arial"/>
      <w:sz w:val="22"/>
      <w:szCs w:val="32"/>
    </w:rPr>
  </w:style>
  <w:style w:type="paragraph" w:styleId="TOC2">
    <w:name w:val="toc 2"/>
    <w:basedOn w:val="Normal"/>
    <w:next w:val="Normal"/>
    <w:autoRedefine/>
    <w:uiPriority w:val="39"/>
    <w:rsid w:val="00464863"/>
    <w:pPr>
      <w:tabs>
        <w:tab w:val="left" w:pos="216"/>
        <w:tab w:val="left" w:pos="748"/>
        <w:tab w:val="right" w:leader="dot" w:pos="9540"/>
      </w:tabs>
      <w:ind w:left="220"/>
    </w:pPr>
    <w:rPr>
      <w:rFonts w:ascii="Arial" w:hAnsi="Arial" w:cs="Arial"/>
      <w:sz w:val="22"/>
      <w:szCs w:val="32"/>
    </w:rPr>
  </w:style>
  <w:style w:type="paragraph" w:styleId="TOC3">
    <w:name w:val="toc 3"/>
    <w:basedOn w:val="Normal"/>
    <w:next w:val="Normal"/>
    <w:autoRedefine/>
    <w:uiPriority w:val="39"/>
    <w:rsid w:val="00A83333"/>
    <w:pPr>
      <w:tabs>
        <w:tab w:val="left" w:pos="475"/>
        <w:tab w:val="left" w:pos="778"/>
        <w:tab w:val="left" w:pos="1267"/>
        <w:tab w:val="left" w:pos="1496"/>
        <w:tab w:val="right" w:leader="dot" w:pos="9533"/>
      </w:tabs>
      <w:ind w:left="1498" w:hanging="749"/>
    </w:pPr>
    <w:rPr>
      <w:rFonts w:ascii="Arial" w:hAnsi="Arial" w:cs="Arial"/>
      <w:noProof/>
      <w:sz w:val="22"/>
      <w:szCs w:val="32"/>
    </w:rPr>
  </w:style>
  <w:style w:type="character" w:styleId="Hyperlink">
    <w:name w:val="Hyperlink"/>
    <w:uiPriority w:val="99"/>
    <w:rsid w:val="0098137A"/>
    <w:rPr>
      <w:color w:val="0000FF"/>
      <w:u w:val="single"/>
    </w:rPr>
  </w:style>
  <w:style w:type="character" w:styleId="FollowedHyperlink">
    <w:name w:val="FollowedHyperlink"/>
    <w:rsid w:val="0098137A"/>
    <w:rPr>
      <w:color w:val="800080"/>
      <w:u w:val="single"/>
    </w:rPr>
  </w:style>
  <w:style w:type="paragraph" w:styleId="BodyTextIndent2">
    <w:name w:val="Body Text Indent 2"/>
    <w:basedOn w:val="Normal"/>
    <w:rsid w:val="0098137A"/>
    <w:pPr>
      <w:tabs>
        <w:tab w:val="left" w:pos="720"/>
      </w:tabs>
      <w:ind w:left="1440" w:hanging="1440"/>
    </w:pPr>
    <w:rPr>
      <w:rFonts w:ascii="Arial" w:hAnsi="Arial" w:cs="Arial"/>
      <w:sz w:val="18"/>
      <w:szCs w:val="32"/>
    </w:rPr>
  </w:style>
  <w:style w:type="paragraph" w:styleId="BodyTextIndent3">
    <w:name w:val="Body Text Indent 3"/>
    <w:basedOn w:val="Normal"/>
    <w:rsid w:val="0098137A"/>
    <w:pPr>
      <w:ind w:left="1440"/>
    </w:pPr>
    <w:rPr>
      <w:rFonts w:ascii="Arial" w:hAnsi="Arial" w:cs="Arial"/>
      <w:sz w:val="18"/>
      <w:szCs w:val="32"/>
    </w:rPr>
  </w:style>
  <w:style w:type="paragraph" w:styleId="BodyTextIndent">
    <w:name w:val="Body Text Indent"/>
    <w:basedOn w:val="Normal"/>
    <w:rsid w:val="0098137A"/>
    <w:pPr>
      <w:ind w:left="192"/>
    </w:pPr>
    <w:rPr>
      <w:rFonts w:ascii="Arial" w:hAnsi="Arial" w:cs="Arial"/>
      <w:sz w:val="22"/>
      <w:szCs w:val="32"/>
    </w:rPr>
  </w:style>
  <w:style w:type="paragraph" w:customStyle="1" w:styleId="letterhead">
    <w:name w:val="letterhead"/>
    <w:basedOn w:val="Normal"/>
    <w:rsid w:val="0098137A"/>
    <w:pPr>
      <w:spacing w:line="240" w:lineRule="exact"/>
    </w:pPr>
    <w:rPr>
      <w:rFonts w:ascii="lettergothic" w:hAnsi="lettergothic" w:cs="Arial"/>
      <w:szCs w:val="32"/>
    </w:rPr>
  </w:style>
  <w:style w:type="paragraph" w:customStyle="1" w:styleId="content">
    <w:name w:val="content"/>
    <w:basedOn w:val="Normal"/>
    <w:rsid w:val="0098137A"/>
    <w:pPr>
      <w:spacing w:before="100" w:beforeAutospacing="1" w:after="100" w:afterAutospacing="1"/>
    </w:pPr>
    <w:rPr>
      <w:rFonts w:ascii="Arial" w:eastAsia="Arial Unicode MS" w:hAnsi="Arial" w:cs="Arial"/>
      <w:color w:val="000000"/>
      <w:sz w:val="17"/>
      <w:szCs w:val="17"/>
    </w:rPr>
  </w:style>
  <w:style w:type="character" w:styleId="Strong">
    <w:name w:val="Strong"/>
    <w:uiPriority w:val="22"/>
    <w:qFormat/>
    <w:rsid w:val="0098137A"/>
    <w:rPr>
      <w:b/>
      <w:bCs/>
    </w:rPr>
  </w:style>
  <w:style w:type="paragraph" w:styleId="TOC5">
    <w:name w:val="toc 5"/>
    <w:basedOn w:val="Normal"/>
    <w:next w:val="Normal"/>
    <w:autoRedefine/>
    <w:uiPriority w:val="39"/>
    <w:rsid w:val="00674853"/>
    <w:pPr>
      <w:tabs>
        <w:tab w:val="right" w:leader="dot" w:pos="9350"/>
      </w:tabs>
      <w:ind w:left="1122"/>
    </w:pPr>
    <w:rPr>
      <w:rFonts w:ascii="Arial" w:hAnsi="Arial" w:cs="Arial"/>
      <w:noProof/>
      <w:sz w:val="22"/>
      <w:szCs w:val="22"/>
    </w:rPr>
  </w:style>
  <w:style w:type="character" w:styleId="CommentReference">
    <w:name w:val="annotation reference"/>
    <w:semiHidden/>
    <w:rsid w:val="0098137A"/>
    <w:rPr>
      <w:sz w:val="16"/>
      <w:szCs w:val="16"/>
    </w:rPr>
  </w:style>
  <w:style w:type="paragraph" w:styleId="CommentText">
    <w:name w:val="annotation text"/>
    <w:basedOn w:val="Normal"/>
    <w:semiHidden/>
    <w:rsid w:val="0098137A"/>
    <w:rPr>
      <w:rFonts w:ascii="Arial" w:hAnsi="Arial" w:cs="Arial"/>
      <w:sz w:val="20"/>
      <w:szCs w:val="20"/>
    </w:rPr>
  </w:style>
  <w:style w:type="paragraph" w:styleId="CommentSubject">
    <w:name w:val="annotation subject"/>
    <w:basedOn w:val="CommentText"/>
    <w:next w:val="CommentText"/>
    <w:semiHidden/>
    <w:rsid w:val="00413606"/>
    <w:rPr>
      <w:rFonts w:ascii="Times New Roman" w:hAnsi="Times New Roman" w:cs="Times New Roman"/>
      <w:b/>
      <w:bCs/>
    </w:rPr>
  </w:style>
  <w:style w:type="paragraph" w:styleId="HTMLPreformatted">
    <w:name w:val="HTML Preformatted"/>
    <w:basedOn w:val="Normal"/>
    <w:link w:val="HTMLPreformattedChar"/>
    <w:uiPriority w:val="99"/>
    <w:rsid w:val="00144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PlainText">
    <w:name w:val="Plain Text"/>
    <w:basedOn w:val="Normal"/>
    <w:rsid w:val="007B60E2"/>
    <w:rPr>
      <w:rFonts w:ascii="Courier New" w:hAnsi="Courier New" w:cs="Courier New"/>
      <w:sz w:val="20"/>
      <w:szCs w:val="20"/>
    </w:rPr>
  </w:style>
  <w:style w:type="character" w:customStyle="1" w:styleId="BlockTextChar">
    <w:name w:val="Block_Text Char"/>
    <w:link w:val="BlockText0"/>
    <w:rsid w:val="003A6026"/>
    <w:rPr>
      <w:sz w:val="24"/>
      <w:lang w:val="en-US" w:eastAsia="en-US" w:bidi="ar-SA"/>
    </w:rPr>
  </w:style>
  <w:style w:type="character" w:customStyle="1" w:styleId="BulletText1Char">
    <w:name w:val="Bullet Text 1 Char"/>
    <w:link w:val="BulletText1"/>
    <w:rsid w:val="003A6026"/>
    <w:rPr>
      <w:sz w:val="24"/>
    </w:rPr>
  </w:style>
  <w:style w:type="paragraph" w:styleId="TOC6">
    <w:name w:val="toc 6"/>
    <w:basedOn w:val="Normal"/>
    <w:next w:val="Normal"/>
    <w:autoRedefine/>
    <w:uiPriority w:val="39"/>
    <w:rsid w:val="0022159E"/>
    <w:pPr>
      <w:ind w:left="1200"/>
    </w:pPr>
  </w:style>
  <w:style w:type="paragraph" w:styleId="TOC7">
    <w:name w:val="toc 7"/>
    <w:basedOn w:val="Normal"/>
    <w:next w:val="Normal"/>
    <w:autoRedefine/>
    <w:uiPriority w:val="39"/>
    <w:rsid w:val="0022159E"/>
    <w:pPr>
      <w:ind w:left="1440"/>
    </w:pPr>
  </w:style>
  <w:style w:type="paragraph" w:styleId="TOC8">
    <w:name w:val="toc 8"/>
    <w:basedOn w:val="Normal"/>
    <w:next w:val="Normal"/>
    <w:autoRedefine/>
    <w:uiPriority w:val="39"/>
    <w:rsid w:val="0022159E"/>
    <w:pPr>
      <w:ind w:left="1680"/>
    </w:pPr>
  </w:style>
  <w:style w:type="paragraph" w:styleId="TOC9">
    <w:name w:val="toc 9"/>
    <w:basedOn w:val="Normal"/>
    <w:next w:val="Normal"/>
    <w:autoRedefine/>
    <w:uiPriority w:val="39"/>
    <w:rsid w:val="0022159E"/>
    <w:pPr>
      <w:ind w:left="1920"/>
    </w:pPr>
  </w:style>
  <w:style w:type="paragraph" w:customStyle="1" w:styleId="Norma">
    <w:name w:val="Norma"/>
    <w:basedOn w:val="Heading3"/>
    <w:rsid w:val="0033314D"/>
    <w:pPr>
      <w:tabs>
        <w:tab w:val="left" w:pos="1122"/>
      </w:tabs>
      <w:spacing w:after="0"/>
      <w:jc w:val="left"/>
    </w:pPr>
    <w:rPr>
      <w:b w:val="0"/>
      <w:sz w:val="22"/>
      <w:szCs w:val="22"/>
    </w:rPr>
  </w:style>
  <w:style w:type="paragraph" w:styleId="BodyText2">
    <w:name w:val="Body Text 2"/>
    <w:basedOn w:val="Normal"/>
    <w:rsid w:val="00E35AC1"/>
    <w:pPr>
      <w:spacing w:after="120" w:line="480" w:lineRule="auto"/>
    </w:pPr>
    <w:rPr>
      <w:rFonts w:ascii="Arial" w:hAnsi="Arial" w:cs="Arial"/>
      <w:sz w:val="22"/>
      <w:szCs w:val="32"/>
    </w:rPr>
  </w:style>
  <w:style w:type="character" w:customStyle="1" w:styleId="Heading5Char">
    <w:name w:val="Heading 5 Char"/>
    <w:aliases w:val="Block Label Char"/>
    <w:link w:val="Heading5"/>
    <w:rsid w:val="00922892"/>
    <w:rPr>
      <w:b/>
      <w:sz w:val="22"/>
      <w:lang w:val="en-US" w:eastAsia="en-US" w:bidi="ar-SA"/>
    </w:rPr>
  </w:style>
  <w:style w:type="paragraph" w:styleId="NormalWeb">
    <w:name w:val="Normal (Web)"/>
    <w:basedOn w:val="Normal"/>
    <w:rsid w:val="000D2487"/>
    <w:pPr>
      <w:spacing w:before="168" w:after="216"/>
    </w:pPr>
  </w:style>
  <w:style w:type="paragraph" w:styleId="DocumentMap">
    <w:name w:val="Document Map"/>
    <w:basedOn w:val="Normal"/>
    <w:semiHidden/>
    <w:rsid w:val="001A1E0E"/>
    <w:pPr>
      <w:shd w:val="clear" w:color="auto" w:fill="000080"/>
    </w:pPr>
    <w:rPr>
      <w:rFonts w:ascii="Tahoma" w:hAnsi="Tahoma" w:cs="Tahoma"/>
      <w:sz w:val="20"/>
      <w:szCs w:val="20"/>
    </w:rPr>
  </w:style>
  <w:style w:type="paragraph" w:customStyle="1" w:styleId="Default">
    <w:name w:val="Default"/>
    <w:rsid w:val="00F56644"/>
    <w:pPr>
      <w:autoSpaceDE w:val="0"/>
      <w:autoSpaceDN w:val="0"/>
      <w:adjustRightInd w:val="0"/>
    </w:pPr>
    <w:rPr>
      <w:rFonts w:ascii="Arial" w:eastAsia="Calibri" w:hAnsi="Arial" w:cs="Arial"/>
      <w:color w:val="000000"/>
      <w:sz w:val="24"/>
      <w:szCs w:val="24"/>
    </w:rPr>
  </w:style>
  <w:style w:type="character" w:customStyle="1" w:styleId="HTMLPreformattedChar">
    <w:name w:val="HTML Preformatted Char"/>
    <w:link w:val="HTMLPreformatted"/>
    <w:uiPriority w:val="99"/>
    <w:rsid w:val="000B76EC"/>
    <w:rPr>
      <w:rFonts w:ascii="Courier New" w:hAnsi="Courier New" w:cs="Courier New"/>
    </w:rPr>
  </w:style>
  <w:style w:type="table" w:styleId="TableGrid">
    <w:name w:val="Table Grid"/>
    <w:basedOn w:val="TableNormal"/>
    <w:uiPriority w:val="59"/>
    <w:rsid w:val="006E5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4DC"/>
    <w:pPr>
      <w:ind w:left="720"/>
      <w:contextualSpacing/>
    </w:pPr>
    <w:rPr>
      <w:rFonts w:ascii="Arial" w:eastAsia="Calibri" w:hAnsi="Arial"/>
      <w:szCs w:val="22"/>
    </w:rPr>
  </w:style>
  <w:style w:type="paragraph" w:customStyle="1" w:styleId="TableHeading">
    <w:name w:val="Table Heading"/>
    <w:rsid w:val="006E54DC"/>
    <w:pPr>
      <w:spacing w:before="60" w:after="60"/>
      <w:jc w:val="center"/>
    </w:pPr>
    <w:rPr>
      <w:rFonts w:ascii="Arial" w:hAnsi="Arial"/>
      <w:b/>
      <w:sz w:val="22"/>
    </w:rPr>
  </w:style>
  <w:style w:type="paragraph" w:customStyle="1" w:styleId="TableBullet">
    <w:name w:val="Table Bullet"/>
    <w:basedOn w:val="Normal"/>
    <w:rsid w:val="006E54DC"/>
    <w:pPr>
      <w:numPr>
        <w:numId w:val="25"/>
      </w:numPr>
      <w:spacing w:before="40" w:after="40"/>
    </w:pPr>
    <w:rPr>
      <w:rFonts w:ascii="Arial" w:hAnsi="Arial"/>
      <w:sz w:val="20"/>
      <w:szCs w:val="20"/>
    </w:rPr>
  </w:style>
  <w:style w:type="paragraph" w:styleId="FootnoteText">
    <w:name w:val="footnote text"/>
    <w:basedOn w:val="Normal"/>
    <w:link w:val="FootnoteTextChar"/>
    <w:uiPriority w:val="99"/>
    <w:unhideWhenUsed/>
    <w:rsid w:val="006E54DC"/>
    <w:rPr>
      <w:rFonts w:ascii="Arial" w:eastAsia="Calibri" w:hAnsi="Arial"/>
      <w:sz w:val="20"/>
      <w:szCs w:val="20"/>
    </w:rPr>
  </w:style>
  <w:style w:type="character" w:customStyle="1" w:styleId="FootnoteTextChar">
    <w:name w:val="Footnote Text Char"/>
    <w:link w:val="FootnoteText"/>
    <w:uiPriority w:val="99"/>
    <w:rsid w:val="006E54DC"/>
    <w:rPr>
      <w:rFonts w:ascii="Arial" w:eastAsia="Calibri" w:hAnsi="Arial"/>
    </w:rPr>
  </w:style>
  <w:style w:type="character" w:styleId="FootnoteReference">
    <w:name w:val="footnote reference"/>
    <w:uiPriority w:val="99"/>
    <w:unhideWhenUsed/>
    <w:rsid w:val="006E54DC"/>
    <w:rPr>
      <w:vertAlign w:val="superscript"/>
    </w:rPr>
  </w:style>
  <w:style w:type="character" w:customStyle="1" w:styleId="Heading3Char">
    <w:name w:val="Heading 3 Char"/>
    <w:aliases w:val="Section Title Char,Section Title+Arial Bold Char,16pt Char,center Char,Section Title +11pt Char"/>
    <w:link w:val="Heading3"/>
    <w:rsid w:val="007D5B4F"/>
    <w:rPr>
      <w:rFonts w:ascii="Arial" w:hAnsi="Arial"/>
      <w:b/>
      <w:sz w:val="32"/>
    </w:rPr>
  </w:style>
  <w:style w:type="paragraph" w:styleId="Revision">
    <w:name w:val="Revision"/>
    <w:hidden/>
    <w:uiPriority w:val="99"/>
    <w:semiHidden/>
    <w:rsid w:val="00AC3537"/>
    <w:rPr>
      <w:sz w:val="24"/>
      <w:szCs w:val="24"/>
    </w:rPr>
  </w:style>
  <w:style w:type="character" w:customStyle="1" w:styleId="Heading2Char">
    <w:name w:val="Heading 2 Char"/>
    <w:aliases w:val="Chapter Title Char"/>
    <w:link w:val="Heading2"/>
    <w:rsid w:val="006729B5"/>
    <w:rPr>
      <w:rFonts w:ascii="Arial" w:hAnsi="Arial"/>
      <w:b/>
      <w:sz w:val="32"/>
    </w:rPr>
  </w:style>
  <w:style w:type="paragraph" w:customStyle="1" w:styleId="TableParagraph">
    <w:name w:val="Table Paragraph"/>
    <w:basedOn w:val="Normal"/>
    <w:uiPriority w:val="1"/>
    <w:qFormat/>
    <w:rsid w:val="006729B5"/>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2278">
      <w:bodyDiv w:val="1"/>
      <w:marLeft w:val="0"/>
      <w:marRight w:val="0"/>
      <w:marTop w:val="0"/>
      <w:marBottom w:val="0"/>
      <w:divBdr>
        <w:top w:val="none" w:sz="0" w:space="0" w:color="auto"/>
        <w:left w:val="none" w:sz="0" w:space="0" w:color="auto"/>
        <w:bottom w:val="none" w:sz="0" w:space="0" w:color="auto"/>
        <w:right w:val="none" w:sz="0" w:space="0" w:color="auto"/>
      </w:divBdr>
    </w:div>
    <w:div w:id="193424005">
      <w:bodyDiv w:val="1"/>
      <w:marLeft w:val="0"/>
      <w:marRight w:val="0"/>
      <w:marTop w:val="0"/>
      <w:marBottom w:val="0"/>
      <w:divBdr>
        <w:top w:val="none" w:sz="0" w:space="0" w:color="auto"/>
        <w:left w:val="none" w:sz="0" w:space="0" w:color="auto"/>
        <w:bottom w:val="none" w:sz="0" w:space="0" w:color="auto"/>
        <w:right w:val="none" w:sz="0" w:space="0" w:color="auto"/>
      </w:divBdr>
    </w:div>
    <w:div w:id="311449001">
      <w:bodyDiv w:val="1"/>
      <w:marLeft w:val="0"/>
      <w:marRight w:val="0"/>
      <w:marTop w:val="0"/>
      <w:marBottom w:val="0"/>
      <w:divBdr>
        <w:top w:val="none" w:sz="0" w:space="0" w:color="auto"/>
        <w:left w:val="none" w:sz="0" w:space="0" w:color="auto"/>
        <w:bottom w:val="none" w:sz="0" w:space="0" w:color="auto"/>
        <w:right w:val="none" w:sz="0" w:space="0" w:color="auto"/>
      </w:divBdr>
    </w:div>
    <w:div w:id="425810920">
      <w:bodyDiv w:val="1"/>
      <w:marLeft w:val="0"/>
      <w:marRight w:val="0"/>
      <w:marTop w:val="0"/>
      <w:marBottom w:val="0"/>
      <w:divBdr>
        <w:top w:val="none" w:sz="0" w:space="0" w:color="auto"/>
        <w:left w:val="none" w:sz="0" w:space="0" w:color="auto"/>
        <w:bottom w:val="none" w:sz="0" w:space="0" w:color="auto"/>
        <w:right w:val="none" w:sz="0" w:space="0" w:color="auto"/>
      </w:divBdr>
      <w:divsChild>
        <w:div w:id="1529636702">
          <w:marLeft w:val="0"/>
          <w:marRight w:val="0"/>
          <w:marTop w:val="0"/>
          <w:marBottom w:val="0"/>
          <w:divBdr>
            <w:top w:val="none" w:sz="0" w:space="0" w:color="auto"/>
            <w:left w:val="none" w:sz="0" w:space="0" w:color="auto"/>
            <w:bottom w:val="none" w:sz="0" w:space="0" w:color="auto"/>
            <w:right w:val="none" w:sz="0" w:space="0" w:color="auto"/>
          </w:divBdr>
          <w:divsChild>
            <w:div w:id="885800055">
              <w:marLeft w:val="0"/>
              <w:marRight w:val="0"/>
              <w:marTop w:val="0"/>
              <w:marBottom w:val="0"/>
              <w:divBdr>
                <w:top w:val="none" w:sz="0" w:space="0" w:color="auto"/>
                <w:left w:val="none" w:sz="0" w:space="0" w:color="auto"/>
                <w:bottom w:val="none" w:sz="0" w:space="0" w:color="auto"/>
                <w:right w:val="none" w:sz="0" w:space="0" w:color="auto"/>
              </w:divBdr>
            </w:div>
            <w:div w:id="113475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98946">
      <w:bodyDiv w:val="1"/>
      <w:marLeft w:val="0"/>
      <w:marRight w:val="0"/>
      <w:marTop w:val="0"/>
      <w:marBottom w:val="0"/>
      <w:divBdr>
        <w:top w:val="none" w:sz="0" w:space="0" w:color="auto"/>
        <w:left w:val="none" w:sz="0" w:space="0" w:color="auto"/>
        <w:bottom w:val="none" w:sz="0" w:space="0" w:color="auto"/>
        <w:right w:val="none" w:sz="0" w:space="0" w:color="auto"/>
      </w:divBdr>
      <w:divsChild>
        <w:div w:id="1461802367">
          <w:marLeft w:val="0"/>
          <w:marRight w:val="0"/>
          <w:marTop w:val="0"/>
          <w:marBottom w:val="0"/>
          <w:divBdr>
            <w:top w:val="none" w:sz="0" w:space="0" w:color="auto"/>
            <w:left w:val="none" w:sz="0" w:space="0" w:color="auto"/>
            <w:bottom w:val="none" w:sz="0" w:space="0" w:color="auto"/>
            <w:right w:val="none" w:sz="0" w:space="0" w:color="auto"/>
          </w:divBdr>
          <w:divsChild>
            <w:div w:id="49156080">
              <w:marLeft w:val="0"/>
              <w:marRight w:val="0"/>
              <w:marTop w:val="0"/>
              <w:marBottom w:val="0"/>
              <w:divBdr>
                <w:top w:val="none" w:sz="0" w:space="0" w:color="auto"/>
                <w:left w:val="none" w:sz="0" w:space="0" w:color="auto"/>
                <w:bottom w:val="none" w:sz="0" w:space="0" w:color="auto"/>
                <w:right w:val="none" w:sz="0" w:space="0" w:color="auto"/>
              </w:divBdr>
            </w:div>
            <w:div w:id="252127301">
              <w:marLeft w:val="0"/>
              <w:marRight w:val="0"/>
              <w:marTop w:val="0"/>
              <w:marBottom w:val="0"/>
              <w:divBdr>
                <w:top w:val="none" w:sz="0" w:space="0" w:color="auto"/>
                <w:left w:val="none" w:sz="0" w:space="0" w:color="auto"/>
                <w:bottom w:val="none" w:sz="0" w:space="0" w:color="auto"/>
                <w:right w:val="none" w:sz="0" w:space="0" w:color="auto"/>
              </w:divBdr>
            </w:div>
            <w:div w:id="282613146">
              <w:marLeft w:val="0"/>
              <w:marRight w:val="0"/>
              <w:marTop w:val="0"/>
              <w:marBottom w:val="0"/>
              <w:divBdr>
                <w:top w:val="none" w:sz="0" w:space="0" w:color="auto"/>
                <w:left w:val="none" w:sz="0" w:space="0" w:color="auto"/>
                <w:bottom w:val="none" w:sz="0" w:space="0" w:color="auto"/>
                <w:right w:val="none" w:sz="0" w:space="0" w:color="auto"/>
              </w:divBdr>
            </w:div>
            <w:div w:id="472330240">
              <w:marLeft w:val="0"/>
              <w:marRight w:val="0"/>
              <w:marTop w:val="0"/>
              <w:marBottom w:val="0"/>
              <w:divBdr>
                <w:top w:val="none" w:sz="0" w:space="0" w:color="auto"/>
                <w:left w:val="none" w:sz="0" w:space="0" w:color="auto"/>
                <w:bottom w:val="none" w:sz="0" w:space="0" w:color="auto"/>
                <w:right w:val="none" w:sz="0" w:space="0" w:color="auto"/>
              </w:divBdr>
            </w:div>
            <w:div w:id="791510662">
              <w:marLeft w:val="0"/>
              <w:marRight w:val="0"/>
              <w:marTop w:val="0"/>
              <w:marBottom w:val="0"/>
              <w:divBdr>
                <w:top w:val="none" w:sz="0" w:space="0" w:color="auto"/>
                <w:left w:val="none" w:sz="0" w:space="0" w:color="auto"/>
                <w:bottom w:val="none" w:sz="0" w:space="0" w:color="auto"/>
                <w:right w:val="none" w:sz="0" w:space="0" w:color="auto"/>
              </w:divBdr>
            </w:div>
            <w:div w:id="826088457">
              <w:marLeft w:val="0"/>
              <w:marRight w:val="0"/>
              <w:marTop w:val="0"/>
              <w:marBottom w:val="0"/>
              <w:divBdr>
                <w:top w:val="none" w:sz="0" w:space="0" w:color="auto"/>
                <w:left w:val="none" w:sz="0" w:space="0" w:color="auto"/>
                <w:bottom w:val="none" w:sz="0" w:space="0" w:color="auto"/>
                <w:right w:val="none" w:sz="0" w:space="0" w:color="auto"/>
              </w:divBdr>
            </w:div>
            <w:div w:id="855117925">
              <w:marLeft w:val="0"/>
              <w:marRight w:val="0"/>
              <w:marTop w:val="0"/>
              <w:marBottom w:val="0"/>
              <w:divBdr>
                <w:top w:val="none" w:sz="0" w:space="0" w:color="auto"/>
                <w:left w:val="none" w:sz="0" w:space="0" w:color="auto"/>
                <w:bottom w:val="none" w:sz="0" w:space="0" w:color="auto"/>
                <w:right w:val="none" w:sz="0" w:space="0" w:color="auto"/>
              </w:divBdr>
            </w:div>
            <w:div w:id="1776829172">
              <w:marLeft w:val="0"/>
              <w:marRight w:val="0"/>
              <w:marTop w:val="0"/>
              <w:marBottom w:val="0"/>
              <w:divBdr>
                <w:top w:val="none" w:sz="0" w:space="0" w:color="auto"/>
                <w:left w:val="none" w:sz="0" w:space="0" w:color="auto"/>
                <w:bottom w:val="none" w:sz="0" w:space="0" w:color="auto"/>
                <w:right w:val="none" w:sz="0" w:space="0" w:color="auto"/>
              </w:divBdr>
            </w:div>
            <w:div w:id="1841266174">
              <w:marLeft w:val="0"/>
              <w:marRight w:val="0"/>
              <w:marTop w:val="0"/>
              <w:marBottom w:val="0"/>
              <w:divBdr>
                <w:top w:val="none" w:sz="0" w:space="0" w:color="auto"/>
                <w:left w:val="none" w:sz="0" w:space="0" w:color="auto"/>
                <w:bottom w:val="none" w:sz="0" w:space="0" w:color="auto"/>
                <w:right w:val="none" w:sz="0" w:space="0" w:color="auto"/>
              </w:divBdr>
            </w:div>
            <w:div w:id="1852837245">
              <w:marLeft w:val="0"/>
              <w:marRight w:val="0"/>
              <w:marTop w:val="0"/>
              <w:marBottom w:val="0"/>
              <w:divBdr>
                <w:top w:val="none" w:sz="0" w:space="0" w:color="auto"/>
                <w:left w:val="none" w:sz="0" w:space="0" w:color="auto"/>
                <w:bottom w:val="none" w:sz="0" w:space="0" w:color="auto"/>
                <w:right w:val="none" w:sz="0" w:space="0" w:color="auto"/>
              </w:divBdr>
            </w:div>
            <w:div w:id="20499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43679">
      <w:bodyDiv w:val="1"/>
      <w:marLeft w:val="0"/>
      <w:marRight w:val="0"/>
      <w:marTop w:val="0"/>
      <w:marBottom w:val="0"/>
      <w:divBdr>
        <w:top w:val="none" w:sz="0" w:space="0" w:color="auto"/>
        <w:left w:val="none" w:sz="0" w:space="0" w:color="auto"/>
        <w:bottom w:val="none" w:sz="0" w:space="0" w:color="auto"/>
        <w:right w:val="none" w:sz="0" w:space="0" w:color="auto"/>
      </w:divBdr>
      <w:divsChild>
        <w:div w:id="2022077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424532">
              <w:marLeft w:val="0"/>
              <w:marRight w:val="0"/>
              <w:marTop w:val="0"/>
              <w:marBottom w:val="0"/>
              <w:divBdr>
                <w:top w:val="none" w:sz="0" w:space="0" w:color="auto"/>
                <w:left w:val="none" w:sz="0" w:space="0" w:color="auto"/>
                <w:bottom w:val="none" w:sz="0" w:space="0" w:color="auto"/>
                <w:right w:val="none" w:sz="0" w:space="0" w:color="auto"/>
              </w:divBdr>
              <w:divsChild>
                <w:div w:id="67404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747521">
      <w:bodyDiv w:val="1"/>
      <w:marLeft w:val="0"/>
      <w:marRight w:val="0"/>
      <w:marTop w:val="0"/>
      <w:marBottom w:val="0"/>
      <w:divBdr>
        <w:top w:val="none" w:sz="0" w:space="0" w:color="auto"/>
        <w:left w:val="none" w:sz="0" w:space="0" w:color="auto"/>
        <w:bottom w:val="none" w:sz="0" w:space="0" w:color="auto"/>
        <w:right w:val="none" w:sz="0" w:space="0" w:color="auto"/>
      </w:divBdr>
    </w:div>
    <w:div w:id="816217713">
      <w:bodyDiv w:val="1"/>
      <w:marLeft w:val="0"/>
      <w:marRight w:val="0"/>
      <w:marTop w:val="0"/>
      <w:marBottom w:val="0"/>
      <w:divBdr>
        <w:top w:val="none" w:sz="0" w:space="0" w:color="auto"/>
        <w:left w:val="none" w:sz="0" w:space="0" w:color="auto"/>
        <w:bottom w:val="none" w:sz="0" w:space="0" w:color="auto"/>
        <w:right w:val="none" w:sz="0" w:space="0" w:color="auto"/>
      </w:divBdr>
      <w:divsChild>
        <w:div w:id="1454639893">
          <w:marLeft w:val="0"/>
          <w:marRight w:val="0"/>
          <w:marTop w:val="0"/>
          <w:marBottom w:val="0"/>
          <w:divBdr>
            <w:top w:val="none" w:sz="0" w:space="0" w:color="auto"/>
            <w:left w:val="none" w:sz="0" w:space="0" w:color="auto"/>
            <w:bottom w:val="none" w:sz="0" w:space="0" w:color="auto"/>
            <w:right w:val="none" w:sz="0" w:space="0" w:color="auto"/>
          </w:divBdr>
          <w:divsChild>
            <w:div w:id="831868740">
              <w:marLeft w:val="0"/>
              <w:marRight w:val="0"/>
              <w:marTop w:val="0"/>
              <w:marBottom w:val="0"/>
              <w:divBdr>
                <w:top w:val="none" w:sz="0" w:space="0" w:color="auto"/>
                <w:left w:val="none" w:sz="0" w:space="0" w:color="auto"/>
                <w:bottom w:val="none" w:sz="0" w:space="0" w:color="auto"/>
                <w:right w:val="none" w:sz="0" w:space="0" w:color="auto"/>
              </w:divBdr>
            </w:div>
            <w:div w:id="12677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84532">
      <w:bodyDiv w:val="1"/>
      <w:marLeft w:val="0"/>
      <w:marRight w:val="0"/>
      <w:marTop w:val="0"/>
      <w:marBottom w:val="0"/>
      <w:divBdr>
        <w:top w:val="none" w:sz="0" w:space="0" w:color="auto"/>
        <w:left w:val="none" w:sz="0" w:space="0" w:color="auto"/>
        <w:bottom w:val="none" w:sz="0" w:space="0" w:color="auto"/>
        <w:right w:val="none" w:sz="0" w:space="0" w:color="auto"/>
      </w:divBdr>
    </w:div>
    <w:div w:id="929197382">
      <w:bodyDiv w:val="1"/>
      <w:marLeft w:val="0"/>
      <w:marRight w:val="0"/>
      <w:marTop w:val="0"/>
      <w:marBottom w:val="0"/>
      <w:divBdr>
        <w:top w:val="none" w:sz="0" w:space="0" w:color="auto"/>
        <w:left w:val="none" w:sz="0" w:space="0" w:color="auto"/>
        <w:bottom w:val="none" w:sz="0" w:space="0" w:color="auto"/>
        <w:right w:val="none" w:sz="0" w:space="0" w:color="auto"/>
      </w:divBdr>
      <w:divsChild>
        <w:div w:id="1592204745">
          <w:marLeft w:val="0"/>
          <w:marRight w:val="0"/>
          <w:marTop w:val="0"/>
          <w:marBottom w:val="0"/>
          <w:divBdr>
            <w:top w:val="none" w:sz="0" w:space="0" w:color="auto"/>
            <w:left w:val="none" w:sz="0" w:space="0" w:color="auto"/>
            <w:bottom w:val="none" w:sz="0" w:space="0" w:color="auto"/>
            <w:right w:val="none" w:sz="0" w:space="0" w:color="auto"/>
          </w:divBdr>
          <w:divsChild>
            <w:div w:id="585043678">
              <w:marLeft w:val="2985"/>
              <w:marRight w:val="0"/>
              <w:marTop w:val="0"/>
              <w:marBottom w:val="0"/>
              <w:divBdr>
                <w:top w:val="none" w:sz="0" w:space="0" w:color="auto"/>
                <w:left w:val="none" w:sz="0" w:space="0" w:color="auto"/>
                <w:bottom w:val="none" w:sz="0" w:space="0" w:color="auto"/>
                <w:right w:val="none" w:sz="0" w:space="0" w:color="auto"/>
              </w:divBdr>
              <w:divsChild>
                <w:div w:id="178075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959078">
      <w:bodyDiv w:val="1"/>
      <w:marLeft w:val="0"/>
      <w:marRight w:val="0"/>
      <w:marTop w:val="0"/>
      <w:marBottom w:val="0"/>
      <w:divBdr>
        <w:top w:val="none" w:sz="0" w:space="0" w:color="auto"/>
        <w:left w:val="none" w:sz="0" w:space="0" w:color="auto"/>
        <w:bottom w:val="none" w:sz="0" w:space="0" w:color="auto"/>
        <w:right w:val="none" w:sz="0" w:space="0" w:color="auto"/>
      </w:divBdr>
    </w:div>
    <w:div w:id="1149789943">
      <w:bodyDiv w:val="1"/>
      <w:marLeft w:val="0"/>
      <w:marRight w:val="0"/>
      <w:marTop w:val="0"/>
      <w:marBottom w:val="0"/>
      <w:divBdr>
        <w:top w:val="none" w:sz="0" w:space="0" w:color="auto"/>
        <w:left w:val="none" w:sz="0" w:space="0" w:color="auto"/>
        <w:bottom w:val="none" w:sz="0" w:space="0" w:color="auto"/>
        <w:right w:val="none" w:sz="0" w:space="0" w:color="auto"/>
      </w:divBdr>
    </w:div>
    <w:div w:id="1252081307">
      <w:bodyDiv w:val="1"/>
      <w:marLeft w:val="0"/>
      <w:marRight w:val="0"/>
      <w:marTop w:val="0"/>
      <w:marBottom w:val="0"/>
      <w:divBdr>
        <w:top w:val="none" w:sz="0" w:space="0" w:color="auto"/>
        <w:left w:val="none" w:sz="0" w:space="0" w:color="auto"/>
        <w:bottom w:val="none" w:sz="0" w:space="0" w:color="auto"/>
        <w:right w:val="none" w:sz="0" w:space="0" w:color="auto"/>
      </w:divBdr>
    </w:div>
    <w:div w:id="1342322050">
      <w:bodyDiv w:val="1"/>
      <w:marLeft w:val="0"/>
      <w:marRight w:val="0"/>
      <w:marTop w:val="0"/>
      <w:marBottom w:val="0"/>
      <w:divBdr>
        <w:top w:val="none" w:sz="0" w:space="0" w:color="auto"/>
        <w:left w:val="none" w:sz="0" w:space="0" w:color="auto"/>
        <w:bottom w:val="none" w:sz="0" w:space="0" w:color="auto"/>
        <w:right w:val="none" w:sz="0" w:space="0" w:color="auto"/>
      </w:divBdr>
    </w:div>
    <w:div w:id="1370450256">
      <w:bodyDiv w:val="1"/>
      <w:marLeft w:val="0"/>
      <w:marRight w:val="0"/>
      <w:marTop w:val="0"/>
      <w:marBottom w:val="0"/>
      <w:divBdr>
        <w:top w:val="none" w:sz="0" w:space="0" w:color="auto"/>
        <w:left w:val="none" w:sz="0" w:space="0" w:color="auto"/>
        <w:bottom w:val="none" w:sz="0" w:space="0" w:color="auto"/>
        <w:right w:val="none" w:sz="0" w:space="0" w:color="auto"/>
      </w:divBdr>
      <w:divsChild>
        <w:div w:id="1122571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994789">
              <w:marLeft w:val="0"/>
              <w:marRight w:val="0"/>
              <w:marTop w:val="0"/>
              <w:marBottom w:val="0"/>
              <w:divBdr>
                <w:top w:val="none" w:sz="0" w:space="0" w:color="auto"/>
                <w:left w:val="none" w:sz="0" w:space="0" w:color="auto"/>
                <w:bottom w:val="none" w:sz="0" w:space="0" w:color="auto"/>
                <w:right w:val="none" w:sz="0" w:space="0" w:color="auto"/>
              </w:divBdr>
              <w:divsChild>
                <w:div w:id="85846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56591">
      <w:bodyDiv w:val="1"/>
      <w:marLeft w:val="0"/>
      <w:marRight w:val="0"/>
      <w:marTop w:val="0"/>
      <w:marBottom w:val="0"/>
      <w:divBdr>
        <w:top w:val="none" w:sz="0" w:space="0" w:color="auto"/>
        <w:left w:val="none" w:sz="0" w:space="0" w:color="auto"/>
        <w:bottom w:val="none" w:sz="0" w:space="0" w:color="auto"/>
        <w:right w:val="none" w:sz="0" w:space="0" w:color="auto"/>
      </w:divBdr>
    </w:div>
    <w:div w:id="1500464058">
      <w:bodyDiv w:val="1"/>
      <w:marLeft w:val="0"/>
      <w:marRight w:val="0"/>
      <w:marTop w:val="0"/>
      <w:marBottom w:val="0"/>
      <w:divBdr>
        <w:top w:val="none" w:sz="0" w:space="0" w:color="auto"/>
        <w:left w:val="none" w:sz="0" w:space="0" w:color="auto"/>
        <w:bottom w:val="none" w:sz="0" w:space="0" w:color="auto"/>
        <w:right w:val="none" w:sz="0" w:space="0" w:color="auto"/>
      </w:divBdr>
    </w:div>
    <w:div w:id="1786535307">
      <w:bodyDiv w:val="1"/>
      <w:marLeft w:val="0"/>
      <w:marRight w:val="0"/>
      <w:marTop w:val="0"/>
      <w:marBottom w:val="0"/>
      <w:divBdr>
        <w:top w:val="none" w:sz="0" w:space="0" w:color="auto"/>
        <w:left w:val="none" w:sz="0" w:space="0" w:color="auto"/>
        <w:bottom w:val="none" w:sz="0" w:space="0" w:color="auto"/>
        <w:right w:val="none" w:sz="0" w:space="0" w:color="auto"/>
      </w:divBdr>
      <w:divsChild>
        <w:div w:id="1694112162">
          <w:marLeft w:val="0"/>
          <w:marRight w:val="0"/>
          <w:marTop w:val="0"/>
          <w:marBottom w:val="0"/>
          <w:divBdr>
            <w:top w:val="none" w:sz="0" w:space="0" w:color="auto"/>
            <w:left w:val="none" w:sz="0" w:space="0" w:color="auto"/>
            <w:bottom w:val="none" w:sz="0" w:space="0" w:color="auto"/>
            <w:right w:val="none" w:sz="0" w:space="0" w:color="auto"/>
          </w:divBdr>
          <w:divsChild>
            <w:div w:id="158140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b.ca.gov/" TargetMode="External"/><Relationship Id="rId18" Type="http://schemas.openxmlformats.org/officeDocument/2006/relationships/hyperlink" Target="https://www.dgs.ca.gov/PD/About/Page-Content/PD-Branch-Intro-Accordion-List/Acquisitions/Transportation-Management" TargetMode="External"/><Relationship Id="rId26" Type="http://schemas.openxmlformats.org/officeDocument/2006/relationships/hyperlink" Target="https://www.dgs.ca.gov/PD/Resources/Page-Content/Procurement-Division-Resources-List-Folder/Cloud-Computing-Policy" TargetMode="External"/><Relationship Id="rId39" Type="http://schemas.openxmlformats.org/officeDocument/2006/relationships/hyperlink" Target="https://www.dgs.ca.gov/-/media/40A0249E8A4A4161BE03FC8FE504E356.ashx" TargetMode="External"/><Relationship Id="rId3" Type="http://schemas.openxmlformats.org/officeDocument/2006/relationships/customXml" Target="../customXml/item3.xml"/><Relationship Id="rId21" Type="http://schemas.openxmlformats.org/officeDocument/2006/relationships/hyperlink" Target="https://www.dgs.ca.gov/-/media/B495FA7745BF41D9A85D19AD55CAE4B4.ashx" TargetMode="External"/><Relationship Id="rId34" Type="http://schemas.openxmlformats.org/officeDocument/2006/relationships/hyperlink" Target="https://cdt.ca.gov/policy/simm/" TargetMode="External"/><Relationship Id="rId42" Type="http://schemas.openxmlformats.org/officeDocument/2006/relationships/hyperlink" Target="https://www.dgs.ca.gov/-/media/939B0FCFF6EE47B285B21588CC8D512B.ashx"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lhr.ca.gov/state-hr-professionals/Pages/policy-memos.aspx" TargetMode="External"/><Relationship Id="rId17" Type="http://schemas.openxmlformats.org/officeDocument/2006/relationships/hyperlink" Target="https://www.dgs.ca.gov/-/media/E95C03A5D5BF47E6A7BA254BE67162C7.ashx" TargetMode="External"/><Relationship Id="rId25" Type="http://schemas.openxmlformats.org/officeDocument/2006/relationships/hyperlink" Target="https://www.dgs.ca.gov/-/media/61D0CEB0ECBD49BEAC19A1F50EE6C8A0.ashx" TargetMode="External"/><Relationship Id="rId33" Type="http://schemas.openxmlformats.org/officeDocument/2006/relationships/hyperlink" Target="http://sam.dgs.ca.gov/" TargetMode="External"/><Relationship Id="rId38" Type="http://schemas.openxmlformats.org/officeDocument/2006/relationships/hyperlink" Target="https://cdt.ca.gov/policy/simm/" TargetMode="External"/><Relationship Id="rId46" Type="http://schemas.openxmlformats.org/officeDocument/2006/relationships/hyperlink" Target="https://www.dgs.ca.gov/-/media/87F2010C03A34D3C8729FA83A74C13C1.ashx" TargetMode="External"/><Relationship Id="rId2" Type="http://schemas.openxmlformats.org/officeDocument/2006/relationships/customXml" Target="../customXml/item2.xml"/><Relationship Id="rId16" Type="http://schemas.openxmlformats.org/officeDocument/2006/relationships/hyperlink" Target="https://www.dgs.ca.gov/-/media/E95C03A5D5BF47E6A7BA254BE67162C7.ashx" TargetMode="External"/><Relationship Id="rId20" Type="http://schemas.openxmlformats.org/officeDocument/2006/relationships/hyperlink" Target="https://www.dgs.ca.gov/-/media/Divisions/PD/PTCS/OPPL/Iran-Contracting-Act-List.ashx?la=en&amp;hash=95E15BE0E8841A4AC8C2CD823C7D8EC0F1F58981" TargetMode="External"/><Relationship Id="rId29" Type="http://schemas.openxmlformats.org/officeDocument/2006/relationships/hyperlink" Target="http://www.dof.ca.gov/budget/Budget_Letters/documents/BL17-20.pdf" TargetMode="External"/><Relationship Id="rId41" Type="http://schemas.openxmlformats.org/officeDocument/2006/relationships/hyperlink" Target="https://www.dgs.ca.gov/OSP/Services/Page-Content/Office-of-State-Publishing-Services-List-Folder/Records-Stor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gs.ca.gov/PD/Services/Page-Content/Procurement-Division-Services-List-Folder/Request-Procurement-Engineering-Services" TargetMode="External"/><Relationship Id="rId24" Type="http://schemas.openxmlformats.org/officeDocument/2006/relationships/hyperlink" Target="https://www.cdtfa.ca.gov/taxes-and-fees/top500.htm" TargetMode="External"/><Relationship Id="rId32" Type="http://schemas.openxmlformats.org/officeDocument/2006/relationships/hyperlink" Target="https://www.dgs.ca.gov/OFAM/Services/Page-Content/Office-of-Fleet-and-Asset-Management-Services-List-Folder/Submit-your-Surplus-State-owned-Personal-Property" TargetMode="External"/><Relationship Id="rId37" Type="http://schemas.openxmlformats.org/officeDocument/2006/relationships/hyperlink" Target="mailto:TABFSRs@dgs.ca.gov" TargetMode="External"/><Relationship Id="rId40" Type="http://schemas.openxmlformats.org/officeDocument/2006/relationships/hyperlink" Target="http://www.spb.ca.gov/" TargetMode="External"/><Relationship Id="rId45" Type="http://schemas.openxmlformats.org/officeDocument/2006/relationships/hyperlink" Target="https://www.documents.dgs.ca.gov/dgs/fmc/pdf/std096.pdf" TargetMode="External"/><Relationship Id="rId5" Type="http://schemas.openxmlformats.org/officeDocument/2006/relationships/numbering" Target="numbering.xml"/><Relationship Id="rId15" Type="http://schemas.openxmlformats.org/officeDocument/2006/relationships/hyperlink" Target="https://www.dgs.ca.gov/-/media/48851CA3279845ACA1A814DB1CD7322A.ashx" TargetMode="External"/><Relationship Id="rId23" Type="http://schemas.openxmlformats.org/officeDocument/2006/relationships/hyperlink" Target="https://www.ftb.ca.gov/about-ftb/newsroom/top-500-past-due-balances/index.html" TargetMode="External"/><Relationship Id="rId28" Type="http://schemas.openxmlformats.org/officeDocument/2006/relationships/hyperlink" Target="https://www.dgs.ca.gov/-/media/84A092A5A4254CA39D56AC385066AF44.ashx" TargetMode="External"/><Relationship Id="rId36" Type="http://schemas.openxmlformats.org/officeDocument/2006/relationships/hyperlink" Target="https://cdt.ca.gov/project-approvals-and-oversight-contact/"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dgs.ca.gov/-/media/B1554E31CB1A4FB8A45B470C9AC5CB36.ashx" TargetMode="External"/><Relationship Id="rId31" Type="http://schemas.openxmlformats.org/officeDocument/2006/relationships/hyperlink" Target="https://www.dgs.ca.gov/OFAM/Services/Page-Content/Office-of-Fleet-and-Asset-Management-Services-List-Folder/Submit-your-Surplus-State-owned-Personal-Property" TargetMode="External"/><Relationship Id="rId44" Type="http://schemas.openxmlformats.org/officeDocument/2006/relationships/hyperlink" Target="mailto:iau@dgs.c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eginfo.legislature.ca.gov/faces/codes.xhtml" TargetMode="External"/><Relationship Id="rId22" Type="http://schemas.openxmlformats.org/officeDocument/2006/relationships/hyperlink" Target="https://www.dgs.ca.gov/-/media/8FB4E76F852F4F829CB9EB58638F318D.ashx" TargetMode="External"/><Relationship Id="rId27" Type="http://schemas.openxmlformats.org/officeDocument/2006/relationships/hyperlink" Target="https://cdt.ca.gov/technology-letters/" TargetMode="External"/><Relationship Id="rId30" Type="http://schemas.openxmlformats.org/officeDocument/2006/relationships/hyperlink" Target="mailto:contactspr@dgs.ca.gov" TargetMode="External"/><Relationship Id="rId35" Type="http://schemas.openxmlformats.org/officeDocument/2006/relationships/hyperlink" Target="https://cdt.ca.gov/technology-letters/" TargetMode="External"/><Relationship Id="rId43" Type="http://schemas.openxmlformats.org/officeDocument/2006/relationships/hyperlink" Target="http://www.documents.dgs.ca.gov/dgs/fmc/pdf/std066.pdf"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rmation%20Mapping\FS%20Pro%204.3\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4555CB3C69464C8FD80398EDFECF6B" ma:contentTypeVersion="" ma:contentTypeDescription="Create a new document." ma:contentTypeScope="" ma:versionID="008ce0c2e4ad237a3d1e429944524e9c">
  <xsd:schema xmlns:xsd="http://www.w3.org/2001/XMLSchema" xmlns:xs="http://www.w3.org/2001/XMLSchema" xmlns:p="http://schemas.microsoft.com/office/2006/metadata/properties" xmlns:ns2="0eebdf87-e1c6-46f8-8e04-deced2156cc9" targetNamespace="http://schemas.microsoft.com/office/2006/metadata/properties" ma:root="true" ma:fieldsID="cd0d9bd7c344befcee049f41e09a8a74" ns2:_="">
    <xsd:import namespace="0eebdf87-e1c6-46f8-8e04-deced2156cc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eebdf87-e1c6-46f8-8e04-deced2156cc9">P5KM5J4U6RJV-1210087948-3402</_dlc_DocId>
    <_dlc_DocIdUrl xmlns="0eebdf87-e1c6-46f8-8e04-deced2156cc9">
      <Url>http://dgssp.dgs.ca.gov/sites/DGS/ADA/_layouts/15/DocIdRedir.aspx?ID=P5KM5J4U6RJV-1210087948-3402</Url>
      <Description>P5KM5J4U6RJV-1210087948-3402</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A17DC-8283-4193-AEA7-D104DD5BBF72}">
  <ds:schemaRefs>
    <ds:schemaRef ds:uri="http://schemas.microsoft.com/sharepoint/v3/contenttype/forms"/>
  </ds:schemaRefs>
</ds:datastoreItem>
</file>

<file path=customXml/itemProps2.xml><?xml version="1.0" encoding="utf-8"?>
<ds:datastoreItem xmlns:ds="http://schemas.openxmlformats.org/officeDocument/2006/customXml" ds:itemID="{FDE4A921-D155-4479-80B1-618FBEC20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3F722E-4906-44D5-8164-52D6BBD2EB7F}">
  <ds:schemaRefs>
    <ds:schemaRef ds:uri="http://schemas.microsoft.com/office/2006/metadata/properties"/>
    <ds:schemaRef ds:uri="http://schemas.microsoft.com/office/infopath/2007/PartnerControls"/>
    <ds:schemaRef ds:uri="0eebdf87-e1c6-46f8-8e04-deced2156cc9"/>
  </ds:schemaRefs>
</ds:datastoreItem>
</file>

<file path=customXml/itemProps4.xml><?xml version="1.0" encoding="utf-8"?>
<ds:datastoreItem xmlns:ds="http://schemas.openxmlformats.org/officeDocument/2006/customXml" ds:itemID="{47E77A41-91D7-4C56-8DED-20E044A7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FSPro.dotm</Template>
  <TotalTime>182</TotalTime>
  <Pages>64</Pages>
  <Words>21698</Words>
  <Characters>123684</Characters>
  <Application>Microsoft Office Word</Application>
  <DocSecurity>0</DocSecurity>
  <Lines>1030</Lines>
  <Paragraphs>290</Paragraphs>
  <ScaleCrop>false</ScaleCrop>
  <HeadingPairs>
    <vt:vector size="2" baseType="variant">
      <vt:variant>
        <vt:lpstr>Title</vt:lpstr>
      </vt:variant>
      <vt:variant>
        <vt:i4>1</vt:i4>
      </vt:variant>
    </vt:vector>
  </HeadingPairs>
  <TitlesOfParts>
    <vt:vector size="1" baseType="lpstr">
      <vt:lpstr>Chapter 2 – Procurement Planning</vt:lpstr>
    </vt:vector>
  </TitlesOfParts>
  <Company>Infomation Mapping, Inc. - R&amp;D</Company>
  <LinksUpToDate>false</LinksUpToDate>
  <CharactersWithSpaces>145092</CharactersWithSpaces>
  <SharedDoc>false</SharedDoc>
  <HLinks>
    <vt:vector size="1578" baseType="variant">
      <vt:variant>
        <vt:i4>2031685</vt:i4>
      </vt:variant>
      <vt:variant>
        <vt:i4>1317</vt:i4>
      </vt:variant>
      <vt:variant>
        <vt:i4>0</vt:i4>
      </vt:variant>
      <vt:variant>
        <vt:i4>5</vt:i4>
      </vt:variant>
      <vt:variant>
        <vt:lpwstr>http://www.documents.dgs.ca.gov/pd/delegations/dscnfrm081108.doc</vt:lpwstr>
      </vt:variant>
      <vt:variant>
        <vt:lpwstr/>
      </vt:variant>
      <vt:variant>
        <vt:i4>3407982</vt:i4>
      </vt:variant>
      <vt:variant>
        <vt:i4>1314</vt:i4>
      </vt:variant>
      <vt:variant>
        <vt:i4>0</vt:i4>
      </vt:variant>
      <vt:variant>
        <vt:i4>5</vt:i4>
      </vt:variant>
      <vt:variant>
        <vt:lpwstr>https://www.documents.dgs.ca.gov/dgs/fmc/pdf/std096.pdf</vt:lpwstr>
      </vt:variant>
      <vt:variant>
        <vt:lpwstr/>
      </vt:variant>
      <vt:variant>
        <vt:i4>4915236</vt:i4>
      </vt:variant>
      <vt:variant>
        <vt:i4>1311</vt:i4>
      </vt:variant>
      <vt:variant>
        <vt:i4>0</vt:i4>
      </vt:variant>
      <vt:variant>
        <vt:i4>5</vt:i4>
      </vt:variant>
      <vt:variant>
        <vt:lpwstr>mailto:iau@dgs.ca.gov</vt:lpwstr>
      </vt:variant>
      <vt:variant>
        <vt:lpwstr/>
      </vt:variant>
      <vt:variant>
        <vt:i4>7733363</vt:i4>
      </vt:variant>
      <vt:variant>
        <vt:i4>1308</vt:i4>
      </vt:variant>
      <vt:variant>
        <vt:i4>0</vt:i4>
      </vt:variant>
      <vt:variant>
        <vt:i4>5</vt:i4>
      </vt:variant>
      <vt:variant>
        <vt:lpwstr>https://www.documents.dgs.ca.gov/pd/pestatus/std066.pdf</vt:lpwstr>
      </vt:variant>
      <vt:variant>
        <vt:lpwstr/>
      </vt:variant>
      <vt:variant>
        <vt:i4>917593</vt:i4>
      </vt:variant>
      <vt:variant>
        <vt:i4>1305</vt:i4>
      </vt:variant>
      <vt:variant>
        <vt:i4>0</vt:i4>
      </vt:variant>
      <vt:variant>
        <vt:i4>5</vt:i4>
      </vt:variant>
      <vt:variant>
        <vt:lpwstr>http://www.documents.dgs.ca.gov/pd/poliproc/pestatus.pdf</vt:lpwstr>
      </vt:variant>
      <vt:variant>
        <vt:lpwstr/>
      </vt:variant>
      <vt:variant>
        <vt:i4>4063291</vt:i4>
      </vt:variant>
      <vt:variant>
        <vt:i4>1302</vt:i4>
      </vt:variant>
      <vt:variant>
        <vt:i4>0</vt:i4>
      </vt:variant>
      <vt:variant>
        <vt:i4>5</vt:i4>
      </vt:variant>
      <vt:variant>
        <vt:lpwstr>http://www.dgs.ca.gov/osp/Programs/StateRecordsCenter.aspx</vt:lpwstr>
      </vt:variant>
      <vt:variant>
        <vt:lpwstr/>
      </vt:variant>
      <vt:variant>
        <vt:i4>3604606</vt:i4>
      </vt:variant>
      <vt:variant>
        <vt:i4>1299</vt:i4>
      </vt:variant>
      <vt:variant>
        <vt:i4>0</vt:i4>
      </vt:variant>
      <vt:variant>
        <vt:i4>5</vt:i4>
      </vt:variant>
      <vt:variant>
        <vt:lpwstr>http://www.spb.ca.gov/</vt:lpwstr>
      </vt:variant>
      <vt:variant>
        <vt:lpwstr/>
      </vt:variant>
      <vt:variant>
        <vt:i4>131079</vt:i4>
      </vt:variant>
      <vt:variant>
        <vt:i4>1296</vt:i4>
      </vt:variant>
      <vt:variant>
        <vt:i4>0</vt:i4>
      </vt:variant>
      <vt:variant>
        <vt:i4>5</vt:i4>
      </vt:variant>
      <vt:variant>
        <vt:lpwstr>http://www.documents.dgs.ca.gov/pd/poliproc/SCMvol3/v3Ch02100730CertofIT.doc</vt:lpwstr>
      </vt:variant>
      <vt:variant>
        <vt:lpwstr/>
      </vt:variant>
      <vt:variant>
        <vt:i4>7012473</vt:i4>
      </vt:variant>
      <vt:variant>
        <vt:i4>1293</vt:i4>
      </vt:variant>
      <vt:variant>
        <vt:i4>0</vt:i4>
      </vt:variant>
      <vt:variant>
        <vt:i4>5</vt:i4>
      </vt:variant>
      <vt:variant>
        <vt:lpwstr>http://www.documents.dgs.ca.gov/pd/poliproc/SCMVol3/v3Ch02_13_046611.doc</vt:lpwstr>
      </vt:variant>
      <vt:variant>
        <vt:lpwstr/>
      </vt:variant>
      <vt:variant>
        <vt:i4>7012473</vt:i4>
      </vt:variant>
      <vt:variant>
        <vt:i4>1290</vt:i4>
      </vt:variant>
      <vt:variant>
        <vt:i4>0</vt:i4>
      </vt:variant>
      <vt:variant>
        <vt:i4>5</vt:i4>
      </vt:variant>
      <vt:variant>
        <vt:lpwstr>http://www.documents.dgs.ca.gov/pd/poliproc/SCMVol3/v3Ch02_13_046611.doc</vt:lpwstr>
      </vt:variant>
      <vt:variant>
        <vt:lpwstr/>
      </vt:variant>
      <vt:variant>
        <vt:i4>7012473</vt:i4>
      </vt:variant>
      <vt:variant>
        <vt:i4>1287</vt:i4>
      </vt:variant>
      <vt:variant>
        <vt:i4>0</vt:i4>
      </vt:variant>
      <vt:variant>
        <vt:i4>5</vt:i4>
      </vt:variant>
      <vt:variant>
        <vt:lpwstr>http://www.documents.dgs.ca.gov/pd/poliproc/SCMVol3/v3Ch02_13_046611.doc</vt:lpwstr>
      </vt:variant>
      <vt:variant>
        <vt:lpwstr/>
      </vt:variant>
      <vt:variant>
        <vt:i4>7012473</vt:i4>
      </vt:variant>
      <vt:variant>
        <vt:i4>1284</vt:i4>
      </vt:variant>
      <vt:variant>
        <vt:i4>0</vt:i4>
      </vt:variant>
      <vt:variant>
        <vt:i4>5</vt:i4>
      </vt:variant>
      <vt:variant>
        <vt:lpwstr>http://www.documents.dgs.ca.gov/pd/poliproc/SCMVol3/v3Ch02_13_046611.doc</vt:lpwstr>
      </vt:variant>
      <vt:variant>
        <vt:lpwstr/>
      </vt:variant>
      <vt:variant>
        <vt:i4>7012473</vt:i4>
      </vt:variant>
      <vt:variant>
        <vt:i4>1281</vt:i4>
      </vt:variant>
      <vt:variant>
        <vt:i4>0</vt:i4>
      </vt:variant>
      <vt:variant>
        <vt:i4>5</vt:i4>
      </vt:variant>
      <vt:variant>
        <vt:lpwstr>http://www.documents.dgs.ca.gov/pd/poliproc/SCMVol3/v3Ch02_13_046611.doc</vt:lpwstr>
      </vt:variant>
      <vt:variant>
        <vt:lpwstr/>
      </vt:variant>
      <vt:variant>
        <vt:i4>7012473</vt:i4>
      </vt:variant>
      <vt:variant>
        <vt:i4>1278</vt:i4>
      </vt:variant>
      <vt:variant>
        <vt:i4>0</vt:i4>
      </vt:variant>
      <vt:variant>
        <vt:i4>5</vt:i4>
      </vt:variant>
      <vt:variant>
        <vt:lpwstr>http://www.documents.dgs.ca.gov/pd/poliproc/SCMVol3/v3Ch02_13_046611.doc</vt:lpwstr>
      </vt:variant>
      <vt:variant>
        <vt:lpwstr/>
      </vt:variant>
      <vt:variant>
        <vt:i4>7012473</vt:i4>
      </vt:variant>
      <vt:variant>
        <vt:i4>1275</vt:i4>
      </vt:variant>
      <vt:variant>
        <vt:i4>0</vt:i4>
      </vt:variant>
      <vt:variant>
        <vt:i4>5</vt:i4>
      </vt:variant>
      <vt:variant>
        <vt:lpwstr>http://www.documents.dgs.ca.gov/pd/poliproc/SCMVol3/v3Ch02_13_046611.doc</vt:lpwstr>
      </vt:variant>
      <vt:variant>
        <vt:lpwstr/>
      </vt:variant>
      <vt:variant>
        <vt:i4>7012473</vt:i4>
      </vt:variant>
      <vt:variant>
        <vt:i4>1272</vt:i4>
      </vt:variant>
      <vt:variant>
        <vt:i4>0</vt:i4>
      </vt:variant>
      <vt:variant>
        <vt:i4>5</vt:i4>
      </vt:variant>
      <vt:variant>
        <vt:lpwstr>http://www.documents.dgs.ca.gov/pd/poliproc/SCMVol3/v3Ch02_13_046611.doc</vt:lpwstr>
      </vt:variant>
      <vt:variant>
        <vt:lpwstr/>
      </vt:variant>
      <vt:variant>
        <vt:i4>7012473</vt:i4>
      </vt:variant>
      <vt:variant>
        <vt:i4>1269</vt:i4>
      </vt:variant>
      <vt:variant>
        <vt:i4>0</vt:i4>
      </vt:variant>
      <vt:variant>
        <vt:i4>5</vt:i4>
      </vt:variant>
      <vt:variant>
        <vt:lpwstr>http://www.documents.dgs.ca.gov/pd/poliproc/SCMVol3/v3Ch02_13_046611.doc</vt:lpwstr>
      </vt:variant>
      <vt:variant>
        <vt:lpwstr/>
      </vt:variant>
      <vt:variant>
        <vt:i4>7012473</vt:i4>
      </vt:variant>
      <vt:variant>
        <vt:i4>1266</vt:i4>
      </vt:variant>
      <vt:variant>
        <vt:i4>0</vt:i4>
      </vt:variant>
      <vt:variant>
        <vt:i4>5</vt:i4>
      </vt:variant>
      <vt:variant>
        <vt:lpwstr>http://www.documents.dgs.ca.gov/pd/poliproc/SCMVol3/v3Ch02_13_046611.doc</vt:lpwstr>
      </vt:variant>
      <vt:variant>
        <vt:lpwstr/>
      </vt:variant>
      <vt:variant>
        <vt:i4>7012473</vt:i4>
      </vt:variant>
      <vt:variant>
        <vt:i4>1263</vt:i4>
      </vt:variant>
      <vt:variant>
        <vt:i4>0</vt:i4>
      </vt:variant>
      <vt:variant>
        <vt:i4>5</vt:i4>
      </vt:variant>
      <vt:variant>
        <vt:lpwstr>http://www.documents.dgs.ca.gov/pd/poliproc/SCMVol3/v3Ch02_13_046611.doc</vt:lpwstr>
      </vt:variant>
      <vt:variant>
        <vt:lpwstr/>
      </vt:variant>
      <vt:variant>
        <vt:i4>6160402</vt:i4>
      </vt:variant>
      <vt:variant>
        <vt:i4>1260</vt:i4>
      </vt:variant>
      <vt:variant>
        <vt:i4>0</vt:i4>
      </vt:variant>
      <vt:variant>
        <vt:i4>5</vt:i4>
      </vt:variant>
      <vt:variant>
        <vt:lpwstr>http://www.documents.dgs.ca.gov/pd/poliproc/6611 Negotiations Guidebook/6611Request-Template.docx</vt:lpwstr>
      </vt:variant>
      <vt:variant>
        <vt:lpwstr/>
      </vt:variant>
      <vt:variant>
        <vt:i4>7012473</vt:i4>
      </vt:variant>
      <vt:variant>
        <vt:i4>1257</vt:i4>
      </vt:variant>
      <vt:variant>
        <vt:i4>0</vt:i4>
      </vt:variant>
      <vt:variant>
        <vt:i4>5</vt:i4>
      </vt:variant>
      <vt:variant>
        <vt:lpwstr>http://www.documents.dgs.ca.gov/pd/poliproc/SCMVol3/v3Ch02_13_046611.doc</vt:lpwstr>
      </vt:variant>
      <vt:variant>
        <vt:lpwstr/>
      </vt:variant>
      <vt:variant>
        <vt:i4>7864362</vt:i4>
      </vt:variant>
      <vt:variant>
        <vt:i4>1254</vt:i4>
      </vt:variant>
      <vt:variant>
        <vt:i4>0</vt:i4>
      </vt:variant>
      <vt:variant>
        <vt:i4>5</vt:i4>
      </vt:variant>
      <vt:variant>
        <vt:lpwstr>http://www.documents.dgs.ca.gov/pd/poliproc/6611 Negotiations Guidebook/6611 Negotiation Process Guide.docx</vt:lpwstr>
      </vt:variant>
      <vt:variant>
        <vt:lpwstr/>
      </vt:variant>
      <vt:variant>
        <vt:i4>7012473</vt:i4>
      </vt:variant>
      <vt:variant>
        <vt:i4>1251</vt:i4>
      </vt:variant>
      <vt:variant>
        <vt:i4>0</vt:i4>
      </vt:variant>
      <vt:variant>
        <vt:i4>5</vt:i4>
      </vt:variant>
      <vt:variant>
        <vt:lpwstr>http://www.documents.dgs.ca.gov/pd/poliproc/SCMVol3/v3Ch02_13_046611.doc</vt:lpwstr>
      </vt:variant>
      <vt:variant>
        <vt:lpwstr/>
      </vt:variant>
      <vt:variant>
        <vt:i4>2752548</vt:i4>
      </vt:variant>
      <vt:variant>
        <vt:i4>1248</vt:i4>
      </vt:variant>
      <vt:variant>
        <vt:i4>0</vt:i4>
      </vt:variant>
      <vt:variant>
        <vt:i4>5</vt:i4>
      </vt:variant>
      <vt:variant>
        <vt:lpwstr>https://cdt.ca.gov/wp-content/uploads/2017/02/SIMM-20-Feasibility-Study-Report-Preparation-Instructions.pdf</vt:lpwstr>
      </vt:variant>
      <vt:variant>
        <vt:lpwstr/>
      </vt:variant>
      <vt:variant>
        <vt:i4>8323131</vt:i4>
      </vt:variant>
      <vt:variant>
        <vt:i4>1245</vt:i4>
      </vt:variant>
      <vt:variant>
        <vt:i4>0</vt:i4>
      </vt:variant>
      <vt:variant>
        <vt:i4>5</vt:i4>
      </vt:variant>
      <vt:variant>
        <vt:lpwstr>https://cdt.ca.gov/policy/simm/</vt:lpwstr>
      </vt:variant>
      <vt:variant>
        <vt:lpwstr/>
      </vt:variant>
      <vt:variant>
        <vt:i4>6029391</vt:i4>
      </vt:variant>
      <vt:variant>
        <vt:i4>1242</vt:i4>
      </vt:variant>
      <vt:variant>
        <vt:i4>0</vt:i4>
      </vt:variant>
      <vt:variant>
        <vt:i4>5</vt:i4>
      </vt:variant>
      <vt:variant>
        <vt:lpwstr>http://www.documents.dgs.ca.gov/pd/poliproc/SCMvol3/v3Ch02_12_11FSR.doc</vt:lpwstr>
      </vt:variant>
      <vt:variant>
        <vt:lpwstr/>
      </vt:variant>
      <vt:variant>
        <vt:i4>6225999</vt:i4>
      </vt:variant>
      <vt:variant>
        <vt:i4>1239</vt:i4>
      </vt:variant>
      <vt:variant>
        <vt:i4>0</vt:i4>
      </vt:variant>
      <vt:variant>
        <vt:i4>5</vt:i4>
      </vt:variant>
      <vt:variant>
        <vt:lpwstr>http://www.documents.dgs.ca.gov/pd/poliproc/SCMvol3/v3Ch02_12_12FSR.doc</vt:lpwstr>
      </vt:variant>
      <vt:variant>
        <vt:lpwstr/>
      </vt:variant>
      <vt:variant>
        <vt:i4>6029391</vt:i4>
      </vt:variant>
      <vt:variant>
        <vt:i4>1236</vt:i4>
      </vt:variant>
      <vt:variant>
        <vt:i4>0</vt:i4>
      </vt:variant>
      <vt:variant>
        <vt:i4>5</vt:i4>
      </vt:variant>
      <vt:variant>
        <vt:lpwstr>http://www.documents.dgs.ca.gov/pd/poliproc/SCMvol3/v3Ch02_12_11FSR.doc</vt:lpwstr>
      </vt:variant>
      <vt:variant>
        <vt:lpwstr/>
      </vt:variant>
      <vt:variant>
        <vt:i4>4259888</vt:i4>
      </vt:variant>
      <vt:variant>
        <vt:i4>1233</vt:i4>
      </vt:variant>
      <vt:variant>
        <vt:i4>0</vt:i4>
      </vt:variant>
      <vt:variant>
        <vt:i4>5</vt:i4>
      </vt:variant>
      <vt:variant>
        <vt:lpwstr>mailto:TABFSRs@dgs.ca.gov</vt:lpwstr>
      </vt:variant>
      <vt:variant>
        <vt:lpwstr/>
      </vt:variant>
      <vt:variant>
        <vt:i4>6225999</vt:i4>
      </vt:variant>
      <vt:variant>
        <vt:i4>1230</vt:i4>
      </vt:variant>
      <vt:variant>
        <vt:i4>0</vt:i4>
      </vt:variant>
      <vt:variant>
        <vt:i4>5</vt:i4>
      </vt:variant>
      <vt:variant>
        <vt:lpwstr>http://www.documents.dgs.ca.gov/pd/poliproc/SCMvol3/v3Ch02_12_12FSR.doc</vt:lpwstr>
      </vt:variant>
      <vt:variant>
        <vt:lpwstr/>
      </vt:variant>
      <vt:variant>
        <vt:i4>6029391</vt:i4>
      </vt:variant>
      <vt:variant>
        <vt:i4>1227</vt:i4>
      </vt:variant>
      <vt:variant>
        <vt:i4>0</vt:i4>
      </vt:variant>
      <vt:variant>
        <vt:i4>5</vt:i4>
      </vt:variant>
      <vt:variant>
        <vt:lpwstr>http://www.documents.dgs.ca.gov/pd/poliproc/SCMvol3/v3Ch02_12_11FSR.doc</vt:lpwstr>
      </vt:variant>
      <vt:variant>
        <vt:lpwstr/>
      </vt:variant>
      <vt:variant>
        <vt:i4>6225999</vt:i4>
      </vt:variant>
      <vt:variant>
        <vt:i4>1224</vt:i4>
      </vt:variant>
      <vt:variant>
        <vt:i4>0</vt:i4>
      </vt:variant>
      <vt:variant>
        <vt:i4>5</vt:i4>
      </vt:variant>
      <vt:variant>
        <vt:lpwstr>http://www.documents.dgs.ca.gov/pd/poliproc/SCMvol3/v3Ch02_12_12FSR.doc</vt:lpwstr>
      </vt:variant>
      <vt:variant>
        <vt:lpwstr/>
      </vt:variant>
      <vt:variant>
        <vt:i4>6029391</vt:i4>
      </vt:variant>
      <vt:variant>
        <vt:i4>1221</vt:i4>
      </vt:variant>
      <vt:variant>
        <vt:i4>0</vt:i4>
      </vt:variant>
      <vt:variant>
        <vt:i4>5</vt:i4>
      </vt:variant>
      <vt:variant>
        <vt:lpwstr>http://www.documents.dgs.ca.gov/pd/poliproc/SCMvol3/v3Ch02_12_11FSR.doc</vt:lpwstr>
      </vt:variant>
      <vt:variant>
        <vt:lpwstr/>
      </vt:variant>
      <vt:variant>
        <vt:i4>6225999</vt:i4>
      </vt:variant>
      <vt:variant>
        <vt:i4>1218</vt:i4>
      </vt:variant>
      <vt:variant>
        <vt:i4>0</vt:i4>
      </vt:variant>
      <vt:variant>
        <vt:i4>5</vt:i4>
      </vt:variant>
      <vt:variant>
        <vt:lpwstr>http://www.documents.dgs.ca.gov/pd/poliproc/SCMvol3/v3Ch02_12_12FSR.doc</vt:lpwstr>
      </vt:variant>
      <vt:variant>
        <vt:lpwstr/>
      </vt:variant>
      <vt:variant>
        <vt:i4>6029391</vt:i4>
      </vt:variant>
      <vt:variant>
        <vt:i4>1215</vt:i4>
      </vt:variant>
      <vt:variant>
        <vt:i4>0</vt:i4>
      </vt:variant>
      <vt:variant>
        <vt:i4>5</vt:i4>
      </vt:variant>
      <vt:variant>
        <vt:lpwstr>http://www.documents.dgs.ca.gov/pd/poliproc/SCMvol3/v3Ch02_12_11FSR.doc</vt:lpwstr>
      </vt:variant>
      <vt:variant>
        <vt:lpwstr/>
      </vt:variant>
      <vt:variant>
        <vt:i4>6225999</vt:i4>
      </vt:variant>
      <vt:variant>
        <vt:i4>1212</vt:i4>
      </vt:variant>
      <vt:variant>
        <vt:i4>0</vt:i4>
      </vt:variant>
      <vt:variant>
        <vt:i4>5</vt:i4>
      </vt:variant>
      <vt:variant>
        <vt:lpwstr>http://www.documents.dgs.ca.gov/pd/poliproc/SCMvol3/v3Ch02_12_12FSR.doc</vt:lpwstr>
      </vt:variant>
      <vt:variant>
        <vt:lpwstr/>
      </vt:variant>
      <vt:variant>
        <vt:i4>6029391</vt:i4>
      </vt:variant>
      <vt:variant>
        <vt:i4>1209</vt:i4>
      </vt:variant>
      <vt:variant>
        <vt:i4>0</vt:i4>
      </vt:variant>
      <vt:variant>
        <vt:i4>5</vt:i4>
      </vt:variant>
      <vt:variant>
        <vt:lpwstr>http://www.documents.dgs.ca.gov/pd/poliproc/SCMvol3/v3Ch02_12_11FSR.doc</vt:lpwstr>
      </vt:variant>
      <vt:variant>
        <vt:lpwstr/>
      </vt:variant>
      <vt:variant>
        <vt:i4>6029391</vt:i4>
      </vt:variant>
      <vt:variant>
        <vt:i4>1206</vt:i4>
      </vt:variant>
      <vt:variant>
        <vt:i4>0</vt:i4>
      </vt:variant>
      <vt:variant>
        <vt:i4>5</vt:i4>
      </vt:variant>
      <vt:variant>
        <vt:lpwstr>http://www.documents.dgs.ca.gov/pd/poliproc/SCMvol3/v3Ch02_12_11FSR.doc</vt:lpwstr>
      </vt:variant>
      <vt:variant>
        <vt:lpwstr/>
      </vt:variant>
      <vt:variant>
        <vt:i4>6225999</vt:i4>
      </vt:variant>
      <vt:variant>
        <vt:i4>1203</vt:i4>
      </vt:variant>
      <vt:variant>
        <vt:i4>0</vt:i4>
      </vt:variant>
      <vt:variant>
        <vt:i4>5</vt:i4>
      </vt:variant>
      <vt:variant>
        <vt:lpwstr>http://www.documents.dgs.ca.gov/pd/poliproc/SCMvol3/v3Ch02_12_12FSR.doc</vt:lpwstr>
      </vt:variant>
      <vt:variant>
        <vt:lpwstr/>
      </vt:variant>
      <vt:variant>
        <vt:i4>6029391</vt:i4>
      </vt:variant>
      <vt:variant>
        <vt:i4>1200</vt:i4>
      </vt:variant>
      <vt:variant>
        <vt:i4>0</vt:i4>
      </vt:variant>
      <vt:variant>
        <vt:i4>5</vt:i4>
      </vt:variant>
      <vt:variant>
        <vt:lpwstr>http://www.documents.dgs.ca.gov/pd/poliproc/SCMvol3/v3Ch02_12_11FSR.doc</vt:lpwstr>
      </vt:variant>
      <vt:variant>
        <vt:lpwstr/>
      </vt:variant>
      <vt:variant>
        <vt:i4>4063274</vt:i4>
      </vt:variant>
      <vt:variant>
        <vt:i4>1197</vt:i4>
      </vt:variant>
      <vt:variant>
        <vt:i4>0</vt:i4>
      </vt:variant>
      <vt:variant>
        <vt:i4>5</vt:i4>
      </vt:variant>
      <vt:variant>
        <vt:lpwstr>https://cdt.ca.gov/project-approvals-and-oversight-contact/</vt:lpwstr>
      </vt:variant>
      <vt:variant>
        <vt:lpwstr/>
      </vt:variant>
      <vt:variant>
        <vt:i4>3670048</vt:i4>
      </vt:variant>
      <vt:variant>
        <vt:i4>1194</vt:i4>
      </vt:variant>
      <vt:variant>
        <vt:i4>0</vt:i4>
      </vt:variant>
      <vt:variant>
        <vt:i4>5</vt:i4>
      </vt:variant>
      <vt:variant>
        <vt:lpwstr>https://cdt.ca.gov/technology-letters/</vt:lpwstr>
      </vt:variant>
      <vt:variant>
        <vt:lpwstr/>
      </vt:variant>
      <vt:variant>
        <vt:i4>5177374</vt:i4>
      </vt:variant>
      <vt:variant>
        <vt:i4>1191</vt:i4>
      </vt:variant>
      <vt:variant>
        <vt:i4>0</vt:i4>
      </vt:variant>
      <vt:variant>
        <vt:i4>5</vt:i4>
      </vt:variant>
      <vt:variant>
        <vt:lpwstr>http://www.documents.dgs.ca.gov/pd/poliproc/SCMvol3/v3Ch02_12_07TL19130.doc</vt:lpwstr>
      </vt:variant>
      <vt:variant>
        <vt:lpwstr/>
      </vt:variant>
      <vt:variant>
        <vt:i4>8323131</vt:i4>
      </vt:variant>
      <vt:variant>
        <vt:i4>1188</vt:i4>
      </vt:variant>
      <vt:variant>
        <vt:i4>0</vt:i4>
      </vt:variant>
      <vt:variant>
        <vt:i4>5</vt:i4>
      </vt:variant>
      <vt:variant>
        <vt:lpwstr>https://cdt.ca.gov/policy/simm/</vt:lpwstr>
      </vt:variant>
      <vt:variant>
        <vt:lpwstr/>
      </vt:variant>
      <vt:variant>
        <vt:i4>3080319</vt:i4>
      </vt:variant>
      <vt:variant>
        <vt:i4>1185</vt:i4>
      </vt:variant>
      <vt:variant>
        <vt:i4>0</vt:i4>
      </vt:variant>
      <vt:variant>
        <vt:i4>5</vt:i4>
      </vt:variant>
      <vt:variant>
        <vt:lpwstr>http://sam.dgs.ca.gov/</vt:lpwstr>
      </vt:variant>
      <vt:variant>
        <vt:lpwstr/>
      </vt:variant>
      <vt:variant>
        <vt:i4>6291554</vt:i4>
      </vt:variant>
      <vt:variant>
        <vt:i4>1182</vt:i4>
      </vt:variant>
      <vt:variant>
        <vt:i4>0</vt:i4>
      </vt:variant>
      <vt:variant>
        <vt:i4>5</vt:i4>
      </vt:variant>
      <vt:variant>
        <vt:lpwstr>http://www.documents.dgs.ca.gov/pd/poliproc/SCMVol3/v3ch02100730RA.doc</vt:lpwstr>
      </vt:variant>
      <vt:variant>
        <vt:lpwstr/>
      </vt:variant>
      <vt:variant>
        <vt:i4>3407923</vt:i4>
      </vt:variant>
      <vt:variant>
        <vt:i4>1179</vt:i4>
      </vt:variant>
      <vt:variant>
        <vt:i4>0</vt:i4>
      </vt:variant>
      <vt:variant>
        <vt:i4>5</vt:i4>
      </vt:variant>
      <vt:variant>
        <vt:lpwstr>http://www.dgs.ca.gov/ofam/Programs/StSurplus.aspx</vt:lpwstr>
      </vt:variant>
      <vt:variant>
        <vt:lpwstr/>
      </vt:variant>
      <vt:variant>
        <vt:i4>3407923</vt:i4>
      </vt:variant>
      <vt:variant>
        <vt:i4>1176</vt:i4>
      </vt:variant>
      <vt:variant>
        <vt:i4>0</vt:i4>
      </vt:variant>
      <vt:variant>
        <vt:i4>5</vt:i4>
      </vt:variant>
      <vt:variant>
        <vt:lpwstr>http://www.dgs.ca.gov/ofam/Programs/StSurplus.aspx</vt:lpwstr>
      </vt:variant>
      <vt:variant>
        <vt:lpwstr/>
      </vt:variant>
      <vt:variant>
        <vt:i4>7536646</vt:i4>
      </vt:variant>
      <vt:variant>
        <vt:i4>1173</vt:i4>
      </vt:variant>
      <vt:variant>
        <vt:i4>0</vt:i4>
      </vt:variant>
      <vt:variant>
        <vt:i4>5</vt:i4>
      </vt:variant>
      <vt:variant>
        <vt:lpwstr>mailto:contactspr@dgs.ca.gov</vt:lpwstr>
      </vt:variant>
      <vt:variant>
        <vt:lpwstr/>
      </vt:variant>
      <vt:variant>
        <vt:i4>6291554</vt:i4>
      </vt:variant>
      <vt:variant>
        <vt:i4>1170</vt:i4>
      </vt:variant>
      <vt:variant>
        <vt:i4>0</vt:i4>
      </vt:variant>
      <vt:variant>
        <vt:i4>5</vt:i4>
      </vt:variant>
      <vt:variant>
        <vt:lpwstr>http://www.documents.dgs.ca.gov/pd/poliproc/SCMVol3/v3ch02100730RA.doc</vt:lpwstr>
      </vt:variant>
      <vt:variant>
        <vt:lpwstr/>
      </vt:variant>
      <vt:variant>
        <vt:i4>5177374</vt:i4>
      </vt:variant>
      <vt:variant>
        <vt:i4>1167</vt:i4>
      </vt:variant>
      <vt:variant>
        <vt:i4>0</vt:i4>
      </vt:variant>
      <vt:variant>
        <vt:i4>5</vt:i4>
      </vt:variant>
      <vt:variant>
        <vt:lpwstr>http://www.documents.dgs.ca.gov/pd/poliproc/SCMvol3/v3Ch02_12_07TL19130.doc</vt:lpwstr>
      </vt:variant>
      <vt:variant>
        <vt:lpwstr/>
      </vt:variant>
      <vt:variant>
        <vt:i4>4063284</vt:i4>
      </vt:variant>
      <vt:variant>
        <vt:i4>1164</vt:i4>
      </vt:variant>
      <vt:variant>
        <vt:i4>0</vt:i4>
      </vt:variant>
      <vt:variant>
        <vt:i4>5</vt:i4>
      </vt:variant>
      <vt:variant>
        <vt:lpwstr>http://www.documents.dgs.ca.gov/pd/poliproc/SCMVol3/v3Ch02_14_09cloud.doc</vt:lpwstr>
      </vt:variant>
      <vt:variant>
        <vt:lpwstr/>
      </vt:variant>
      <vt:variant>
        <vt:i4>3473420</vt:i4>
      </vt:variant>
      <vt:variant>
        <vt:i4>1161</vt:i4>
      </vt:variant>
      <vt:variant>
        <vt:i4>0</vt:i4>
      </vt:variant>
      <vt:variant>
        <vt:i4>5</vt:i4>
      </vt:variant>
      <vt:variant>
        <vt:lpwstr>http://www.dof.ca.gov/budget/Budget_Letters/documents/BL17-20.pdf</vt:lpwstr>
      </vt:variant>
      <vt:variant>
        <vt:lpwstr/>
      </vt:variant>
      <vt:variant>
        <vt:i4>6094879</vt:i4>
      </vt:variant>
      <vt:variant>
        <vt:i4>1158</vt:i4>
      </vt:variant>
      <vt:variant>
        <vt:i4>0</vt:i4>
      </vt:variant>
      <vt:variant>
        <vt:i4>5</vt:i4>
      </vt:variant>
      <vt:variant>
        <vt:lpwstr>../AppData/Local/Microsoft/Windows/INetCache/Content.Outlook/XDZ3W4SR/SCMVol3/v3Ch02100730Tracked.doc</vt:lpwstr>
      </vt:variant>
      <vt:variant>
        <vt:lpwstr/>
      </vt:variant>
      <vt:variant>
        <vt:i4>720925</vt:i4>
      </vt:variant>
      <vt:variant>
        <vt:i4>1155</vt:i4>
      </vt:variant>
      <vt:variant>
        <vt:i4>0</vt:i4>
      </vt:variant>
      <vt:variant>
        <vt:i4>5</vt:i4>
      </vt:variant>
      <vt:variant>
        <vt:lpwstr>http://www.documents.dgs.ca.gov/pd/poliproc/SCMvol3/v3Ch02_12_09BL1214.doc</vt:lpwstr>
      </vt:variant>
      <vt:variant>
        <vt:lpwstr/>
      </vt:variant>
      <vt:variant>
        <vt:i4>7274598</vt:i4>
      </vt:variant>
      <vt:variant>
        <vt:i4>1152</vt:i4>
      </vt:variant>
      <vt:variant>
        <vt:i4>0</vt:i4>
      </vt:variant>
      <vt:variant>
        <vt:i4>5</vt:i4>
      </vt:variant>
      <vt:variant>
        <vt:lpwstr>http://www.documents.dgs.ca.gov/pd/poliproc/SCMVol3/v3Ch02_14_12BudgetLetter.doc</vt:lpwstr>
      </vt:variant>
      <vt:variant>
        <vt:lpwstr/>
      </vt:variant>
      <vt:variant>
        <vt:i4>6225999</vt:i4>
      </vt:variant>
      <vt:variant>
        <vt:i4>1149</vt:i4>
      </vt:variant>
      <vt:variant>
        <vt:i4>0</vt:i4>
      </vt:variant>
      <vt:variant>
        <vt:i4>5</vt:i4>
      </vt:variant>
      <vt:variant>
        <vt:lpwstr>http://www.documents.dgs.ca.gov/pd/poliproc/SCMvol3/v3Ch02_12_12FSR.doc</vt:lpwstr>
      </vt:variant>
      <vt:variant>
        <vt:lpwstr/>
      </vt:variant>
      <vt:variant>
        <vt:i4>720925</vt:i4>
      </vt:variant>
      <vt:variant>
        <vt:i4>1146</vt:i4>
      </vt:variant>
      <vt:variant>
        <vt:i4>0</vt:i4>
      </vt:variant>
      <vt:variant>
        <vt:i4>5</vt:i4>
      </vt:variant>
      <vt:variant>
        <vt:lpwstr>http://www.documents.dgs.ca.gov/pd/poliproc/SCMvol3/v3Ch02_12_09BL1214.doc</vt:lpwstr>
      </vt:variant>
      <vt:variant>
        <vt:lpwstr/>
      </vt:variant>
      <vt:variant>
        <vt:i4>5832797</vt:i4>
      </vt:variant>
      <vt:variant>
        <vt:i4>1143</vt:i4>
      </vt:variant>
      <vt:variant>
        <vt:i4>0</vt:i4>
      </vt:variant>
      <vt:variant>
        <vt:i4>5</vt:i4>
      </vt:variant>
      <vt:variant>
        <vt:lpwstr>http://www.documents.dgs.ca.gov/pd/poliproc/Chapter03ModelIFB-RFPSolicitation.doc</vt:lpwstr>
      </vt:variant>
      <vt:variant>
        <vt:lpwstr/>
      </vt:variant>
      <vt:variant>
        <vt:i4>3670048</vt:i4>
      </vt:variant>
      <vt:variant>
        <vt:i4>1140</vt:i4>
      </vt:variant>
      <vt:variant>
        <vt:i4>0</vt:i4>
      </vt:variant>
      <vt:variant>
        <vt:i4>5</vt:i4>
      </vt:variant>
      <vt:variant>
        <vt:lpwstr>https://cdt.ca.gov/technology-letters/</vt:lpwstr>
      </vt:variant>
      <vt:variant>
        <vt:lpwstr/>
      </vt:variant>
      <vt:variant>
        <vt:i4>131084</vt:i4>
      </vt:variant>
      <vt:variant>
        <vt:i4>1137</vt:i4>
      </vt:variant>
      <vt:variant>
        <vt:i4>0</vt:i4>
      </vt:variant>
      <vt:variant>
        <vt:i4>5</vt:i4>
      </vt:variant>
      <vt:variant>
        <vt:lpwstr>http://www.dgs.ca.gov/pd/Home/CloudComputing.aspx</vt:lpwstr>
      </vt:variant>
      <vt:variant>
        <vt:lpwstr/>
      </vt:variant>
      <vt:variant>
        <vt:i4>2621523</vt:i4>
      </vt:variant>
      <vt:variant>
        <vt:i4>1134</vt:i4>
      </vt:variant>
      <vt:variant>
        <vt:i4>0</vt:i4>
      </vt:variant>
      <vt:variant>
        <vt:i4>5</vt:i4>
      </vt:variant>
      <vt:variant>
        <vt:lpwstr>http://www.documents.dgs.ca.gov/pd/poliproc/CloudComputingContractChecklistModified14_8025final.docx</vt:lpwstr>
      </vt:variant>
      <vt:variant>
        <vt:lpwstr/>
      </vt:variant>
      <vt:variant>
        <vt:i4>4063284</vt:i4>
      </vt:variant>
      <vt:variant>
        <vt:i4>1131</vt:i4>
      </vt:variant>
      <vt:variant>
        <vt:i4>0</vt:i4>
      </vt:variant>
      <vt:variant>
        <vt:i4>5</vt:i4>
      </vt:variant>
      <vt:variant>
        <vt:lpwstr>http://www.documents.dgs.ca.gov/pd/poliproc/SCMVol3/v3Ch02_14_09cloud.doc</vt:lpwstr>
      </vt:variant>
      <vt:variant>
        <vt:lpwstr/>
      </vt:variant>
      <vt:variant>
        <vt:i4>2949161</vt:i4>
      </vt:variant>
      <vt:variant>
        <vt:i4>1128</vt:i4>
      </vt:variant>
      <vt:variant>
        <vt:i4>0</vt:i4>
      </vt:variant>
      <vt:variant>
        <vt:i4>5</vt:i4>
      </vt:variant>
      <vt:variant>
        <vt:lpwstr>https://www.cdtfa.ca.gov/taxes-and-fees/top500.htm</vt:lpwstr>
      </vt:variant>
      <vt:variant>
        <vt:lpwstr/>
      </vt:variant>
      <vt:variant>
        <vt:i4>4128827</vt:i4>
      </vt:variant>
      <vt:variant>
        <vt:i4>1125</vt:i4>
      </vt:variant>
      <vt:variant>
        <vt:i4>0</vt:i4>
      </vt:variant>
      <vt:variant>
        <vt:i4>5</vt:i4>
      </vt:variant>
      <vt:variant>
        <vt:lpwstr>https://www.ftb.ca.gov/aboutFTB/Delinquent-Taxpayers.shtml</vt:lpwstr>
      </vt:variant>
      <vt:variant>
        <vt:lpwstr/>
      </vt:variant>
      <vt:variant>
        <vt:i4>84</vt:i4>
      </vt:variant>
      <vt:variant>
        <vt:i4>1122</vt:i4>
      </vt:variant>
      <vt:variant>
        <vt:i4>0</vt:i4>
      </vt:variant>
      <vt:variant>
        <vt:i4>5</vt:i4>
      </vt:variant>
      <vt:variant>
        <vt:lpwstr>http://www.documents.dgs.ca.gov/pd/poliproc/CALIFORNIA CIVIL RIGHTS LAWS ATTACHMENT.docx</vt:lpwstr>
      </vt:variant>
      <vt:variant>
        <vt:lpwstr/>
      </vt:variant>
      <vt:variant>
        <vt:i4>262173</vt:i4>
      </vt:variant>
      <vt:variant>
        <vt:i4>1119</vt:i4>
      </vt:variant>
      <vt:variant>
        <vt:i4>0</vt:i4>
      </vt:variant>
      <vt:variant>
        <vt:i4>5</vt:i4>
      </vt:variant>
      <vt:variant>
        <vt:lpwstr>http://www.documents.dgs.ca.gov/PD/poliproc/SCMVol3/v3Ch02_16_12AB2844.doc</vt:lpwstr>
      </vt:variant>
      <vt:variant>
        <vt:lpwstr/>
      </vt:variant>
      <vt:variant>
        <vt:i4>2162796</vt:i4>
      </vt:variant>
      <vt:variant>
        <vt:i4>1116</vt:i4>
      </vt:variant>
      <vt:variant>
        <vt:i4>0</vt:i4>
      </vt:variant>
      <vt:variant>
        <vt:i4>5</vt:i4>
      </vt:variant>
      <vt:variant>
        <vt:lpwstr>http://www.documents.dgs.ca.gov/pd/poliproc/IranActCert.doc</vt:lpwstr>
      </vt:variant>
      <vt:variant>
        <vt:lpwstr/>
      </vt:variant>
      <vt:variant>
        <vt:i4>5111878</vt:i4>
      </vt:variant>
      <vt:variant>
        <vt:i4>1113</vt:i4>
      </vt:variant>
      <vt:variant>
        <vt:i4>0</vt:i4>
      </vt:variant>
      <vt:variant>
        <vt:i4>5</vt:i4>
      </vt:variant>
      <vt:variant>
        <vt:lpwstr>http://www.dgs.ca.gov/pd/Resources/PDLegislation.aspx</vt:lpwstr>
      </vt:variant>
      <vt:variant>
        <vt:lpwstr/>
      </vt:variant>
      <vt:variant>
        <vt:i4>5832772</vt:i4>
      </vt:variant>
      <vt:variant>
        <vt:i4>1110</vt:i4>
      </vt:variant>
      <vt:variant>
        <vt:i4>0</vt:i4>
      </vt:variant>
      <vt:variant>
        <vt:i4>5</vt:i4>
      </vt:variant>
      <vt:variant>
        <vt:lpwstr>http://www.documents.dgs.ca.gov/pd/poliproc/SCMVol3/v3Ch02_11_08IranAct.doc</vt:lpwstr>
      </vt:variant>
      <vt:variant>
        <vt:lpwstr/>
      </vt:variant>
      <vt:variant>
        <vt:i4>5832783</vt:i4>
      </vt:variant>
      <vt:variant>
        <vt:i4>1107</vt:i4>
      </vt:variant>
      <vt:variant>
        <vt:i4>0</vt:i4>
      </vt:variant>
      <vt:variant>
        <vt:i4>5</vt:i4>
      </vt:variant>
      <vt:variant>
        <vt:lpwstr>http://www.documents.dgs.ca.gov/pd/poliproc/SCMVol3/v3Ch02_16_10MissionCritical.doc</vt:lpwstr>
      </vt:variant>
      <vt:variant>
        <vt:lpwstr/>
      </vt:variant>
      <vt:variant>
        <vt:i4>4849759</vt:i4>
      </vt:variant>
      <vt:variant>
        <vt:i4>1104</vt:i4>
      </vt:variant>
      <vt:variant>
        <vt:i4>0</vt:i4>
      </vt:variant>
      <vt:variant>
        <vt:i4>5</vt:i4>
      </vt:variant>
      <vt:variant>
        <vt:lpwstr>http://www.documents.dgs.ca.gov/pd/poliproc/SCMvol3/v3Ch02_13_10add.doc</vt:lpwstr>
      </vt:variant>
      <vt:variant>
        <vt:lpwstr/>
      </vt:variant>
      <vt:variant>
        <vt:i4>3997821</vt:i4>
      </vt:variant>
      <vt:variant>
        <vt:i4>1101</vt:i4>
      </vt:variant>
      <vt:variant>
        <vt:i4>0</vt:i4>
      </vt:variant>
      <vt:variant>
        <vt:i4>5</vt:i4>
      </vt:variant>
      <vt:variant>
        <vt:lpwstr>http://www.documents.dgs.ca.gov/pd/poliproc/DiscriminationIneligibleContractors.doc</vt:lpwstr>
      </vt:variant>
      <vt:variant>
        <vt:lpwstr/>
      </vt:variant>
      <vt:variant>
        <vt:i4>6357025</vt:i4>
      </vt:variant>
      <vt:variant>
        <vt:i4>1098</vt:i4>
      </vt:variant>
      <vt:variant>
        <vt:i4>0</vt:i4>
      </vt:variant>
      <vt:variant>
        <vt:i4>5</vt:i4>
      </vt:variant>
      <vt:variant>
        <vt:lpwstr>http://www.documents.dgs.ca.gov/pd/poliproc/SCMvol3/v3Ch02100730F&amp;R.doc</vt:lpwstr>
      </vt:variant>
      <vt:variant>
        <vt:lpwstr/>
      </vt:variant>
      <vt:variant>
        <vt:i4>5177374</vt:i4>
      </vt:variant>
      <vt:variant>
        <vt:i4>1095</vt:i4>
      </vt:variant>
      <vt:variant>
        <vt:i4>0</vt:i4>
      </vt:variant>
      <vt:variant>
        <vt:i4>5</vt:i4>
      </vt:variant>
      <vt:variant>
        <vt:lpwstr>http://www.documents.dgs.ca.gov/pd/poliproc/SCMvol3/v3Ch02_12_07TL19130.doc</vt:lpwstr>
      </vt:variant>
      <vt:variant>
        <vt:lpwstr/>
      </vt:variant>
      <vt:variant>
        <vt:i4>5177374</vt:i4>
      </vt:variant>
      <vt:variant>
        <vt:i4>1092</vt:i4>
      </vt:variant>
      <vt:variant>
        <vt:i4>0</vt:i4>
      </vt:variant>
      <vt:variant>
        <vt:i4>5</vt:i4>
      </vt:variant>
      <vt:variant>
        <vt:lpwstr>http://www.documents.dgs.ca.gov/pd/poliproc/SCMvol3/v3Ch02_12_07TL19130.doc</vt:lpwstr>
      </vt:variant>
      <vt:variant>
        <vt:lpwstr/>
      </vt:variant>
      <vt:variant>
        <vt:i4>1245194</vt:i4>
      </vt:variant>
      <vt:variant>
        <vt:i4>1089</vt:i4>
      </vt:variant>
      <vt:variant>
        <vt:i4>0</vt:i4>
      </vt:variant>
      <vt:variant>
        <vt:i4>5</vt:i4>
      </vt:variant>
      <vt:variant>
        <vt:lpwstr>http://www.dgs.ca.gov/pd/Programs/Transportation.aspx</vt:lpwstr>
      </vt:variant>
      <vt:variant>
        <vt:lpwstr/>
      </vt:variant>
      <vt:variant>
        <vt:i4>7340074</vt:i4>
      </vt:variant>
      <vt:variant>
        <vt:i4>1086</vt:i4>
      </vt:variant>
      <vt:variant>
        <vt:i4>0</vt:i4>
      </vt:variant>
      <vt:variant>
        <vt:i4>5</vt:i4>
      </vt:variant>
      <vt:variant>
        <vt:lpwstr>http://www.documents.dgs.ca.gov/pd/delegations/lsprsmpl.pdf</vt:lpwstr>
      </vt:variant>
      <vt:variant>
        <vt:lpwstr/>
      </vt:variant>
      <vt:variant>
        <vt:i4>7536681</vt:i4>
      </vt:variant>
      <vt:variant>
        <vt:i4>1083</vt:i4>
      </vt:variant>
      <vt:variant>
        <vt:i4>0</vt:i4>
      </vt:variant>
      <vt:variant>
        <vt:i4>5</vt:i4>
      </vt:variant>
      <vt:variant>
        <vt:lpwstr>http://www.documents.dgs.ca.gov/pd/delegations/lspranal.pdf</vt:lpwstr>
      </vt:variant>
      <vt:variant>
        <vt:lpwstr/>
      </vt:variant>
      <vt:variant>
        <vt:i4>1769557</vt:i4>
      </vt:variant>
      <vt:variant>
        <vt:i4>1080</vt:i4>
      </vt:variant>
      <vt:variant>
        <vt:i4>0</vt:i4>
      </vt:variant>
      <vt:variant>
        <vt:i4>5</vt:i4>
      </vt:variant>
      <vt:variant>
        <vt:lpwstr>http://www.documents.dgs.ca.gov/pd/delegations/lsprchanal.doc</vt:lpwstr>
      </vt:variant>
      <vt:variant>
        <vt:lpwstr/>
      </vt:variant>
      <vt:variant>
        <vt:i4>3080315</vt:i4>
      </vt:variant>
      <vt:variant>
        <vt:i4>1077</vt:i4>
      </vt:variant>
      <vt:variant>
        <vt:i4>0</vt:i4>
      </vt:variant>
      <vt:variant>
        <vt:i4>5</vt:i4>
      </vt:variant>
      <vt:variant>
        <vt:lpwstr>http://leginfo.legislature.ca.gov/faces/codes.xhtml</vt:lpwstr>
      </vt:variant>
      <vt:variant>
        <vt:lpwstr/>
      </vt:variant>
      <vt:variant>
        <vt:i4>3604606</vt:i4>
      </vt:variant>
      <vt:variant>
        <vt:i4>1074</vt:i4>
      </vt:variant>
      <vt:variant>
        <vt:i4>0</vt:i4>
      </vt:variant>
      <vt:variant>
        <vt:i4>5</vt:i4>
      </vt:variant>
      <vt:variant>
        <vt:lpwstr>http://www.spb.ca.gov/</vt:lpwstr>
      </vt:variant>
      <vt:variant>
        <vt:lpwstr/>
      </vt:variant>
      <vt:variant>
        <vt:i4>6881312</vt:i4>
      </vt:variant>
      <vt:variant>
        <vt:i4>1071</vt:i4>
      </vt:variant>
      <vt:variant>
        <vt:i4>0</vt:i4>
      </vt:variant>
      <vt:variant>
        <vt:i4>5</vt:i4>
      </vt:variant>
      <vt:variant>
        <vt:lpwstr>http://www.calhr.ca.gov/state-hr-professionals/Pages/policy-memos.aspx</vt:lpwstr>
      </vt:variant>
      <vt:variant>
        <vt:lpwstr/>
      </vt:variant>
      <vt:variant>
        <vt:i4>5177374</vt:i4>
      </vt:variant>
      <vt:variant>
        <vt:i4>1068</vt:i4>
      </vt:variant>
      <vt:variant>
        <vt:i4>0</vt:i4>
      </vt:variant>
      <vt:variant>
        <vt:i4>5</vt:i4>
      </vt:variant>
      <vt:variant>
        <vt:lpwstr>http://www.documents.dgs.ca.gov/pd/poliproc/SCMvol3/v3Ch02_12_07TL19130.doc</vt:lpwstr>
      </vt:variant>
      <vt:variant>
        <vt:lpwstr/>
      </vt:variant>
      <vt:variant>
        <vt:i4>2162727</vt:i4>
      </vt:variant>
      <vt:variant>
        <vt:i4>1065</vt:i4>
      </vt:variant>
      <vt:variant>
        <vt:i4>0</vt:i4>
      </vt:variant>
      <vt:variant>
        <vt:i4>5</vt:i4>
      </vt:variant>
      <vt:variant>
        <vt:lpwstr>http://www.dgs.ca.gov/pd/Programs/Engineering.aspx</vt:lpwstr>
      </vt:variant>
      <vt:variant>
        <vt:lpwstr/>
      </vt:variant>
      <vt:variant>
        <vt:i4>5111892</vt:i4>
      </vt:variant>
      <vt:variant>
        <vt:i4>1062</vt:i4>
      </vt:variant>
      <vt:variant>
        <vt:i4>0</vt:i4>
      </vt:variant>
      <vt:variant>
        <vt:i4>5</vt:i4>
      </vt:variant>
      <vt:variant>
        <vt:lpwstr>http://www.documents.dgs.ca.gov/pd/poliproc/SCMVol3/v3Ch02100730HybridRFP.doc</vt:lpwstr>
      </vt:variant>
      <vt:variant>
        <vt:lpwstr/>
      </vt:variant>
      <vt:variant>
        <vt:i4>6225999</vt:i4>
      </vt:variant>
      <vt:variant>
        <vt:i4>1059</vt:i4>
      </vt:variant>
      <vt:variant>
        <vt:i4>0</vt:i4>
      </vt:variant>
      <vt:variant>
        <vt:i4>5</vt:i4>
      </vt:variant>
      <vt:variant>
        <vt:lpwstr>http://www.documents.dgs.ca.gov/pd/poliproc/SCMvol3/v3Ch02_12_12FSR.doc</vt:lpwstr>
      </vt:variant>
      <vt:variant>
        <vt:lpwstr/>
      </vt:variant>
      <vt:variant>
        <vt:i4>1310773</vt:i4>
      </vt:variant>
      <vt:variant>
        <vt:i4>1052</vt:i4>
      </vt:variant>
      <vt:variant>
        <vt:i4>0</vt:i4>
      </vt:variant>
      <vt:variant>
        <vt:i4>5</vt:i4>
      </vt:variant>
      <vt:variant>
        <vt:lpwstr/>
      </vt:variant>
      <vt:variant>
        <vt:lpwstr>_Toc533172435</vt:lpwstr>
      </vt:variant>
      <vt:variant>
        <vt:i4>1310773</vt:i4>
      </vt:variant>
      <vt:variant>
        <vt:i4>1046</vt:i4>
      </vt:variant>
      <vt:variant>
        <vt:i4>0</vt:i4>
      </vt:variant>
      <vt:variant>
        <vt:i4>5</vt:i4>
      </vt:variant>
      <vt:variant>
        <vt:lpwstr/>
      </vt:variant>
      <vt:variant>
        <vt:lpwstr>_Toc533172434</vt:lpwstr>
      </vt:variant>
      <vt:variant>
        <vt:i4>1310773</vt:i4>
      </vt:variant>
      <vt:variant>
        <vt:i4>1040</vt:i4>
      </vt:variant>
      <vt:variant>
        <vt:i4>0</vt:i4>
      </vt:variant>
      <vt:variant>
        <vt:i4>5</vt:i4>
      </vt:variant>
      <vt:variant>
        <vt:lpwstr/>
      </vt:variant>
      <vt:variant>
        <vt:lpwstr>_Toc533172433</vt:lpwstr>
      </vt:variant>
      <vt:variant>
        <vt:i4>1310773</vt:i4>
      </vt:variant>
      <vt:variant>
        <vt:i4>1034</vt:i4>
      </vt:variant>
      <vt:variant>
        <vt:i4>0</vt:i4>
      </vt:variant>
      <vt:variant>
        <vt:i4>5</vt:i4>
      </vt:variant>
      <vt:variant>
        <vt:lpwstr/>
      </vt:variant>
      <vt:variant>
        <vt:lpwstr>_Toc533172432</vt:lpwstr>
      </vt:variant>
      <vt:variant>
        <vt:i4>1310773</vt:i4>
      </vt:variant>
      <vt:variant>
        <vt:i4>1028</vt:i4>
      </vt:variant>
      <vt:variant>
        <vt:i4>0</vt:i4>
      </vt:variant>
      <vt:variant>
        <vt:i4>5</vt:i4>
      </vt:variant>
      <vt:variant>
        <vt:lpwstr/>
      </vt:variant>
      <vt:variant>
        <vt:lpwstr>_Toc533172431</vt:lpwstr>
      </vt:variant>
      <vt:variant>
        <vt:i4>1310773</vt:i4>
      </vt:variant>
      <vt:variant>
        <vt:i4>1022</vt:i4>
      </vt:variant>
      <vt:variant>
        <vt:i4>0</vt:i4>
      </vt:variant>
      <vt:variant>
        <vt:i4>5</vt:i4>
      </vt:variant>
      <vt:variant>
        <vt:lpwstr/>
      </vt:variant>
      <vt:variant>
        <vt:lpwstr>_Toc533172430</vt:lpwstr>
      </vt:variant>
      <vt:variant>
        <vt:i4>1376309</vt:i4>
      </vt:variant>
      <vt:variant>
        <vt:i4>1016</vt:i4>
      </vt:variant>
      <vt:variant>
        <vt:i4>0</vt:i4>
      </vt:variant>
      <vt:variant>
        <vt:i4>5</vt:i4>
      </vt:variant>
      <vt:variant>
        <vt:lpwstr/>
      </vt:variant>
      <vt:variant>
        <vt:lpwstr>_Toc533172429</vt:lpwstr>
      </vt:variant>
      <vt:variant>
        <vt:i4>1376309</vt:i4>
      </vt:variant>
      <vt:variant>
        <vt:i4>1010</vt:i4>
      </vt:variant>
      <vt:variant>
        <vt:i4>0</vt:i4>
      </vt:variant>
      <vt:variant>
        <vt:i4>5</vt:i4>
      </vt:variant>
      <vt:variant>
        <vt:lpwstr/>
      </vt:variant>
      <vt:variant>
        <vt:lpwstr>_Toc533172428</vt:lpwstr>
      </vt:variant>
      <vt:variant>
        <vt:i4>1376309</vt:i4>
      </vt:variant>
      <vt:variant>
        <vt:i4>1004</vt:i4>
      </vt:variant>
      <vt:variant>
        <vt:i4>0</vt:i4>
      </vt:variant>
      <vt:variant>
        <vt:i4>5</vt:i4>
      </vt:variant>
      <vt:variant>
        <vt:lpwstr/>
      </vt:variant>
      <vt:variant>
        <vt:lpwstr>_Toc533172427</vt:lpwstr>
      </vt:variant>
      <vt:variant>
        <vt:i4>1376309</vt:i4>
      </vt:variant>
      <vt:variant>
        <vt:i4>998</vt:i4>
      </vt:variant>
      <vt:variant>
        <vt:i4>0</vt:i4>
      </vt:variant>
      <vt:variant>
        <vt:i4>5</vt:i4>
      </vt:variant>
      <vt:variant>
        <vt:lpwstr/>
      </vt:variant>
      <vt:variant>
        <vt:lpwstr>_Toc533172426</vt:lpwstr>
      </vt:variant>
      <vt:variant>
        <vt:i4>1376309</vt:i4>
      </vt:variant>
      <vt:variant>
        <vt:i4>992</vt:i4>
      </vt:variant>
      <vt:variant>
        <vt:i4>0</vt:i4>
      </vt:variant>
      <vt:variant>
        <vt:i4>5</vt:i4>
      </vt:variant>
      <vt:variant>
        <vt:lpwstr/>
      </vt:variant>
      <vt:variant>
        <vt:lpwstr>_Toc533172425</vt:lpwstr>
      </vt:variant>
      <vt:variant>
        <vt:i4>1376309</vt:i4>
      </vt:variant>
      <vt:variant>
        <vt:i4>986</vt:i4>
      </vt:variant>
      <vt:variant>
        <vt:i4>0</vt:i4>
      </vt:variant>
      <vt:variant>
        <vt:i4>5</vt:i4>
      </vt:variant>
      <vt:variant>
        <vt:lpwstr/>
      </vt:variant>
      <vt:variant>
        <vt:lpwstr>_Toc533172424</vt:lpwstr>
      </vt:variant>
      <vt:variant>
        <vt:i4>1376309</vt:i4>
      </vt:variant>
      <vt:variant>
        <vt:i4>980</vt:i4>
      </vt:variant>
      <vt:variant>
        <vt:i4>0</vt:i4>
      </vt:variant>
      <vt:variant>
        <vt:i4>5</vt:i4>
      </vt:variant>
      <vt:variant>
        <vt:lpwstr/>
      </vt:variant>
      <vt:variant>
        <vt:lpwstr>_Toc533172423</vt:lpwstr>
      </vt:variant>
      <vt:variant>
        <vt:i4>1376309</vt:i4>
      </vt:variant>
      <vt:variant>
        <vt:i4>974</vt:i4>
      </vt:variant>
      <vt:variant>
        <vt:i4>0</vt:i4>
      </vt:variant>
      <vt:variant>
        <vt:i4>5</vt:i4>
      </vt:variant>
      <vt:variant>
        <vt:lpwstr/>
      </vt:variant>
      <vt:variant>
        <vt:lpwstr>_Toc533172422</vt:lpwstr>
      </vt:variant>
      <vt:variant>
        <vt:i4>1376309</vt:i4>
      </vt:variant>
      <vt:variant>
        <vt:i4>968</vt:i4>
      </vt:variant>
      <vt:variant>
        <vt:i4>0</vt:i4>
      </vt:variant>
      <vt:variant>
        <vt:i4>5</vt:i4>
      </vt:variant>
      <vt:variant>
        <vt:lpwstr/>
      </vt:variant>
      <vt:variant>
        <vt:lpwstr>_Toc533172421</vt:lpwstr>
      </vt:variant>
      <vt:variant>
        <vt:i4>1376309</vt:i4>
      </vt:variant>
      <vt:variant>
        <vt:i4>962</vt:i4>
      </vt:variant>
      <vt:variant>
        <vt:i4>0</vt:i4>
      </vt:variant>
      <vt:variant>
        <vt:i4>5</vt:i4>
      </vt:variant>
      <vt:variant>
        <vt:lpwstr/>
      </vt:variant>
      <vt:variant>
        <vt:lpwstr>_Toc533172420</vt:lpwstr>
      </vt:variant>
      <vt:variant>
        <vt:i4>1441845</vt:i4>
      </vt:variant>
      <vt:variant>
        <vt:i4>956</vt:i4>
      </vt:variant>
      <vt:variant>
        <vt:i4>0</vt:i4>
      </vt:variant>
      <vt:variant>
        <vt:i4>5</vt:i4>
      </vt:variant>
      <vt:variant>
        <vt:lpwstr/>
      </vt:variant>
      <vt:variant>
        <vt:lpwstr>_Toc533172419</vt:lpwstr>
      </vt:variant>
      <vt:variant>
        <vt:i4>1441845</vt:i4>
      </vt:variant>
      <vt:variant>
        <vt:i4>950</vt:i4>
      </vt:variant>
      <vt:variant>
        <vt:i4>0</vt:i4>
      </vt:variant>
      <vt:variant>
        <vt:i4>5</vt:i4>
      </vt:variant>
      <vt:variant>
        <vt:lpwstr/>
      </vt:variant>
      <vt:variant>
        <vt:lpwstr>_Toc533172418</vt:lpwstr>
      </vt:variant>
      <vt:variant>
        <vt:i4>1441845</vt:i4>
      </vt:variant>
      <vt:variant>
        <vt:i4>944</vt:i4>
      </vt:variant>
      <vt:variant>
        <vt:i4>0</vt:i4>
      </vt:variant>
      <vt:variant>
        <vt:i4>5</vt:i4>
      </vt:variant>
      <vt:variant>
        <vt:lpwstr/>
      </vt:variant>
      <vt:variant>
        <vt:lpwstr>_Toc533172417</vt:lpwstr>
      </vt:variant>
      <vt:variant>
        <vt:i4>1441845</vt:i4>
      </vt:variant>
      <vt:variant>
        <vt:i4>938</vt:i4>
      </vt:variant>
      <vt:variant>
        <vt:i4>0</vt:i4>
      </vt:variant>
      <vt:variant>
        <vt:i4>5</vt:i4>
      </vt:variant>
      <vt:variant>
        <vt:lpwstr/>
      </vt:variant>
      <vt:variant>
        <vt:lpwstr>_Toc533172416</vt:lpwstr>
      </vt:variant>
      <vt:variant>
        <vt:i4>1441845</vt:i4>
      </vt:variant>
      <vt:variant>
        <vt:i4>932</vt:i4>
      </vt:variant>
      <vt:variant>
        <vt:i4>0</vt:i4>
      </vt:variant>
      <vt:variant>
        <vt:i4>5</vt:i4>
      </vt:variant>
      <vt:variant>
        <vt:lpwstr/>
      </vt:variant>
      <vt:variant>
        <vt:lpwstr>_Toc533172415</vt:lpwstr>
      </vt:variant>
      <vt:variant>
        <vt:i4>1441845</vt:i4>
      </vt:variant>
      <vt:variant>
        <vt:i4>926</vt:i4>
      </vt:variant>
      <vt:variant>
        <vt:i4>0</vt:i4>
      </vt:variant>
      <vt:variant>
        <vt:i4>5</vt:i4>
      </vt:variant>
      <vt:variant>
        <vt:lpwstr/>
      </vt:variant>
      <vt:variant>
        <vt:lpwstr>_Toc533172414</vt:lpwstr>
      </vt:variant>
      <vt:variant>
        <vt:i4>1441845</vt:i4>
      </vt:variant>
      <vt:variant>
        <vt:i4>920</vt:i4>
      </vt:variant>
      <vt:variant>
        <vt:i4>0</vt:i4>
      </vt:variant>
      <vt:variant>
        <vt:i4>5</vt:i4>
      </vt:variant>
      <vt:variant>
        <vt:lpwstr/>
      </vt:variant>
      <vt:variant>
        <vt:lpwstr>_Toc533172413</vt:lpwstr>
      </vt:variant>
      <vt:variant>
        <vt:i4>1441845</vt:i4>
      </vt:variant>
      <vt:variant>
        <vt:i4>914</vt:i4>
      </vt:variant>
      <vt:variant>
        <vt:i4>0</vt:i4>
      </vt:variant>
      <vt:variant>
        <vt:i4>5</vt:i4>
      </vt:variant>
      <vt:variant>
        <vt:lpwstr/>
      </vt:variant>
      <vt:variant>
        <vt:lpwstr>_Toc533172412</vt:lpwstr>
      </vt:variant>
      <vt:variant>
        <vt:i4>1441845</vt:i4>
      </vt:variant>
      <vt:variant>
        <vt:i4>908</vt:i4>
      </vt:variant>
      <vt:variant>
        <vt:i4>0</vt:i4>
      </vt:variant>
      <vt:variant>
        <vt:i4>5</vt:i4>
      </vt:variant>
      <vt:variant>
        <vt:lpwstr/>
      </vt:variant>
      <vt:variant>
        <vt:lpwstr>_Toc533172411</vt:lpwstr>
      </vt:variant>
      <vt:variant>
        <vt:i4>1441845</vt:i4>
      </vt:variant>
      <vt:variant>
        <vt:i4>902</vt:i4>
      </vt:variant>
      <vt:variant>
        <vt:i4>0</vt:i4>
      </vt:variant>
      <vt:variant>
        <vt:i4>5</vt:i4>
      </vt:variant>
      <vt:variant>
        <vt:lpwstr/>
      </vt:variant>
      <vt:variant>
        <vt:lpwstr>_Toc533172410</vt:lpwstr>
      </vt:variant>
      <vt:variant>
        <vt:i4>1507381</vt:i4>
      </vt:variant>
      <vt:variant>
        <vt:i4>896</vt:i4>
      </vt:variant>
      <vt:variant>
        <vt:i4>0</vt:i4>
      </vt:variant>
      <vt:variant>
        <vt:i4>5</vt:i4>
      </vt:variant>
      <vt:variant>
        <vt:lpwstr/>
      </vt:variant>
      <vt:variant>
        <vt:lpwstr>_Toc533172409</vt:lpwstr>
      </vt:variant>
      <vt:variant>
        <vt:i4>1507381</vt:i4>
      </vt:variant>
      <vt:variant>
        <vt:i4>890</vt:i4>
      </vt:variant>
      <vt:variant>
        <vt:i4>0</vt:i4>
      </vt:variant>
      <vt:variant>
        <vt:i4>5</vt:i4>
      </vt:variant>
      <vt:variant>
        <vt:lpwstr/>
      </vt:variant>
      <vt:variant>
        <vt:lpwstr>_Toc533172408</vt:lpwstr>
      </vt:variant>
      <vt:variant>
        <vt:i4>1507381</vt:i4>
      </vt:variant>
      <vt:variant>
        <vt:i4>884</vt:i4>
      </vt:variant>
      <vt:variant>
        <vt:i4>0</vt:i4>
      </vt:variant>
      <vt:variant>
        <vt:i4>5</vt:i4>
      </vt:variant>
      <vt:variant>
        <vt:lpwstr/>
      </vt:variant>
      <vt:variant>
        <vt:lpwstr>_Toc533172407</vt:lpwstr>
      </vt:variant>
      <vt:variant>
        <vt:i4>1507381</vt:i4>
      </vt:variant>
      <vt:variant>
        <vt:i4>878</vt:i4>
      </vt:variant>
      <vt:variant>
        <vt:i4>0</vt:i4>
      </vt:variant>
      <vt:variant>
        <vt:i4>5</vt:i4>
      </vt:variant>
      <vt:variant>
        <vt:lpwstr/>
      </vt:variant>
      <vt:variant>
        <vt:lpwstr>_Toc533172406</vt:lpwstr>
      </vt:variant>
      <vt:variant>
        <vt:i4>1507381</vt:i4>
      </vt:variant>
      <vt:variant>
        <vt:i4>872</vt:i4>
      </vt:variant>
      <vt:variant>
        <vt:i4>0</vt:i4>
      </vt:variant>
      <vt:variant>
        <vt:i4>5</vt:i4>
      </vt:variant>
      <vt:variant>
        <vt:lpwstr/>
      </vt:variant>
      <vt:variant>
        <vt:lpwstr>_Toc533172405</vt:lpwstr>
      </vt:variant>
      <vt:variant>
        <vt:i4>1507381</vt:i4>
      </vt:variant>
      <vt:variant>
        <vt:i4>866</vt:i4>
      </vt:variant>
      <vt:variant>
        <vt:i4>0</vt:i4>
      </vt:variant>
      <vt:variant>
        <vt:i4>5</vt:i4>
      </vt:variant>
      <vt:variant>
        <vt:lpwstr/>
      </vt:variant>
      <vt:variant>
        <vt:lpwstr>_Toc533172404</vt:lpwstr>
      </vt:variant>
      <vt:variant>
        <vt:i4>1507381</vt:i4>
      </vt:variant>
      <vt:variant>
        <vt:i4>860</vt:i4>
      </vt:variant>
      <vt:variant>
        <vt:i4>0</vt:i4>
      </vt:variant>
      <vt:variant>
        <vt:i4>5</vt:i4>
      </vt:variant>
      <vt:variant>
        <vt:lpwstr/>
      </vt:variant>
      <vt:variant>
        <vt:lpwstr>_Toc533172403</vt:lpwstr>
      </vt:variant>
      <vt:variant>
        <vt:i4>1507381</vt:i4>
      </vt:variant>
      <vt:variant>
        <vt:i4>854</vt:i4>
      </vt:variant>
      <vt:variant>
        <vt:i4>0</vt:i4>
      </vt:variant>
      <vt:variant>
        <vt:i4>5</vt:i4>
      </vt:variant>
      <vt:variant>
        <vt:lpwstr/>
      </vt:variant>
      <vt:variant>
        <vt:lpwstr>_Toc533172402</vt:lpwstr>
      </vt:variant>
      <vt:variant>
        <vt:i4>1507381</vt:i4>
      </vt:variant>
      <vt:variant>
        <vt:i4>848</vt:i4>
      </vt:variant>
      <vt:variant>
        <vt:i4>0</vt:i4>
      </vt:variant>
      <vt:variant>
        <vt:i4>5</vt:i4>
      </vt:variant>
      <vt:variant>
        <vt:lpwstr/>
      </vt:variant>
      <vt:variant>
        <vt:lpwstr>_Toc533172401</vt:lpwstr>
      </vt:variant>
      <vt:variant>
        <vt:i4>1507381</vt:i4>
      </vt:variant>
      <vt:variant>
        <vt:i4>842</vt:i4>
      </vt:variant>
      <vt:variant>
        <vt:i4>0</vt:i4>
      </vt:variant>
      <vt:variant>
        <vt:i4>5</vt:i4>
      </vt:variant>
      <vt:variant>
        <vt:lpwstr/>
      </vt:variant>
      <vt:variant>
        <vt:lpwstr>_Toc533172400</vt:lpwstr>
      </vt:variant>
      <vt:variant>
        <vt:i4>1966130</vt:i4>
      </vt:variant>
      <vt:variant>
        <vt:i4>836</vt:i4>
      </vt:variant>
      <vt:variant>
        <vt:i4>0</vt:i4>
      </vt:variant>
      <vt:variant>
        <vt:i4>5</vt:i4>
      </vt:variant>
      <vt:variant>
        <vt:lpwstr/>
      </vt:variant>
      <vt:variant>
        <vt:lpwstr>_Toc533172399</vt:lpwstr>
      </vt:variant>
      <vt:variant>
        <vt:i4>1966130</vt:i4>
      </vt:variant>
      <vt:variant>
        <vt:i4>830</vt:i4>
      </vt:variant>
      <vt:variant>
        <vt:i4>0</vt:i4>
      </vt:variant>
      <vt:variant>
        <vt:i4>5</vt:i4>
      </vt:variant>
      <vt:variant>
        <vt:lpwstr/>
      </vt:variant>
      <vt:variant>
        <vt:lpwstr>_Toc533172398</vt:lpwstr>
      </vt:variant>
      <vt:variant>
        <vt:i4>1966130</vt:i4>
      </vt:variant>
      <vt:variant>
        <vt:i4>824</vt:i4>
      </vt:variant>
      <vt:variant>
        <vt:i4>0</vt:i4>
      </vt:variant>
      <vt:variant>
        <vt:i4>5</vt:i4>
      </vt:variant>
      <vt:variant>
        <vt:lpwstr/>
      </vt:variant>
      <vt:variant>
        <vt:lpwstr>_Toc533172397</vt:lpwstr>
      </vt:variant>
      <vt:variant>
        <vt:i4>1966130</vt:i4>
      </vt:variant>
      <vt:variant>
        <vt:i4>818</vt:i4>
      </vt:variant>
      <vt:variant>
        <vt:i4>0</vt:i4>
      </vt:variant>
      <vt:variant>
        <vt:i4>5</vt:i4>
      </vt:variant>
      <vt:variant>
        <vt:lpwstr/>
      </vt:variant>
      <vt:variant>
        <vt:lpwstr>_Toc533172396</vt:lpwstr>
      </vt:variant>
      <vt:variant>
        <vt:i4>1966130</vt:i4>
      </vt:variant>
      <vt:variant>
        <vt:i4>812</vt:i4>
      </vt:variant>
      <vt:variant>
        <vt:i4>0</vt:i4>
      </vt:variant>
      <vt:variant>
        <vt:i4>5</vt:i4>
      </vt:variant>
      <vt:variant>
        <vt:lpwstr/>
      </vt:variant>
      <vt:variant>
        <vt:lpwstr>_Toc533172395</vt:lpwstr>
      </vt:variant>
      <vt:variant>
        <vt:i4>1966130</vt:i4>
      </vt:variant>
      <vt:variant>
        <vt:i4>806</vt:i4>
      </vt:variant>
      <vt:variant>
        <vt:i4>0</vt:i4>
      </vt:variant>
      <vt:variant>
        <vt:i4>5</vt:i4>
      </vt:variant>
      <vt:variant>
        <vt:lpwstr/>
      </vt:variant>
      <vt:variant>
        <vt:lpwstr>_Toc533172394</vt:lpwstr>
      </vt:variant>
      <vt:variant>
        <vt:i4>1966130</vt:i4>
      </vt:variant>
      <vt:variant>
        <vt:i4>800</vt:i4>
      </vt:variant>
      <vt:variant>
        <vt:i4>0</vt:i4>
      </vt:variant>
      <vt:variant>
        <vt:i4>5</vt:i4>
      </vt:variant>
      <vt:variant>
        <vt:lpwstr/>
      </vt:variant>
      <vt:variant>
        <vt:lpwstr>_Toc533172393</vt:lpwstr>
      </vt:variant>
      <vt:variant>
        <vt:i4>1966130</vt:i4>
      </vt:variant>
      <vt:variant>
        <vt:i4>794</vt:i4>
      </vt:variant>
      <vt:variant>
        <vt:i4>0</vt:i4>
      </vt:variant>
      <vt:variant>
        <vt:i4>5</vt:i4>
      </vt:variant>
      <vt:variant>
        <vt:lpwstr/>
      </vt:variant>
      <vt:variant>
        <vt:lpwstr>_Toc533172392</vt:lpwstr>
      </vt:variant>
      <vt:variant>
        <vt:i4>1966130</vt:i4>
      </vt:variant>
      <vt:variant>
        <vt:i4>788</vt:i4>
      </vt:variant>
      <vt:variant>
        <vt:i4>0</vt:i4>
      </vt:variant>
      <vt:variant>
        <vt:i4>5</vt:i4>
      </vt:variant>
      <vt:variant>
        <vt:lpwstr/>
      </vt:variant>
      <vt:variant>
        <vt:lpwstr>_Toc533172391</vt:lpwstr>
      </vt:variant>
      <vt:variant>
        <vt:i4>1966130</vt:i4>
      </vt:variant>
      <vt:variant>
        <vt:i4>782</vt:i4>
      </vt:variant>
      <vt:variant>
        <vt:i4>0</vt:i4>
      </vt:variant>
      <vt:variant>
        <vt:i4>5</vt:i4>
      </vt:variant>
      <vt:variant>
        <vt:lpwstr/>
      </vt:variant>
      <vt:variant>
        <vt:lpwstr>_Toc533172390</vt:lpwstr>
      </vt:variant>
      <vt:variant>
        <vt:i4>2031666</vt:i4>
      </vt:variant>
      <vt:variant>
        <vt:i4>776</vt:i4>
      </vt:variant>
      <vt:variant>
        <vt:i4>0</vt:i4>
      </vt:variant>
      <vt:variant>
        <vt:i4>5</vt:i4>
      </vt:variant>
      <vt:variant>
        <vt:lpwstr/>
      </vt:variant>
      <vt:variant>
        <vt:lpwstr>_Toc533172389</vt:lpwstr>
      </vt:variant>
      <vt:variant>
        <vt:i4>2031666</vt:i4>
      </vt:variant>
      <vt:variant>
        <vt:i4>770</vt:i4>
      </vt:variant>
      <vt:variant>
        <vt:i4>0</vt:i4>
      </vt:variant>
      <vt:variant>
        <vt:i4>5</vt:i4>
      </vt:variant>
      <vt:variant>
        <vt:lpwstr/>
      </vt:variant>
      <vt:variant>
        <vt:lpwstr>_Toc533172388</vt:lpwstr>
      </vt:variant>
      <vt:variant>
        <vt:i4>2031666</vt:i4>
      </vt:variant>
      <vt:variant>
        <vt:i4>764</vt:i4>
      </vt:variant>
      <vt:variant>
        <vt:i4>0</vt:i4>
      </vt:variant>
      <vt:variant>
        <vt:i4>5</vt:i4>
      </vt:variant>
      <vt:variant>
        <vt:lpwstr/>
      </vt:variant>
      <vt:variant>
        <vt:lpwstr>_Toc533172387</vt:lpwstr>
      </vt:variant>
      <vt:variant>
        <vt:i4>2031666</vt:i4>
      </vt:variant>
      <vt:variant>
        <vt:i4>758</vt:i4>
      </vt:variant>
      <vt:variant>
        <vt:i4>0</vt:i4>
      </vt:variant>
      <vt:variant>
        <vt:i4>5</vt:i4>
      </vt:variant>
      <vt:variant>
        <vt:lpwstr/>
      </vt:variant>
      <vt:variant>
        <vt:lpwstr>_Toc533172386</vt:lpwstr>
      </vt:variant>
      <vt:variant>
        <vt:i4>2031666</vt:i4>
      </vt:variant>
      <vt:variant>
        <vt:i4>752</vt:i4>
      </vt:variant>
      <vt:variant>
        <vt:i4>0</vt:i4>
      </vt:variant>
      <vt:variant>
        <vt:i4>5</vt:i4>
      </vt:variant>
      <vt:variant>
        <vt:lpwstr/>
      </vt:variant>
      <vt:variant>
        <vt:lpwstr>_Toc533172385</vt:lpwstr>
      </vt:variant>
      <vt:variant>
        <vt:i4>2031666</vt:i4>
      </vt:variant>
      <vt:variant>
        <vt:i4>746</vt:i4>
      </vt:variant>
      <vt:variant>
        <vt:i4>0</vt:i4>
      </vt:variant>
      <vt:variant>
        <vt:i4>5</vt:i4>
      </vt:variant>
      <vt:variant>
        <vt:lpwstr/>
      </vt:variant>
      <vt:variant>
        <vt:lpwstr>_Toc533172384</vt:lpwstr>
      </vt:variant>
      <vt:variant>
        <vt:i4>2031666</vt:i4>
      </vt:variant>
      <vt:variant>
        <vt:i4>740</vt:i4>
      </vt:variant>
      <vt:variant>
        <vt:i4>0</vt:i4>
      </vt:variant>
      <vt:variant>
        <vt:i4>5</vt:i4>
      </vt:variant>
      <vt:variant>
        <vt:lpwstr/>
      </vt:variant>
      <vt:variant>
        <vt:lpwstr>_Toc533172383</vt:lpwstr>
      </vt:variant>
      <vt:variant>
        <vt:i4>2031666</vt:i4>
      </vt:variant>
      <vt:variant>
        <vt:i4>734</vt:i4>
      </vt:variant>
      <vt:variant>
        <vt:i4>0</vt:i4>
      </vt:variant>
      <vt:variant>
        <vt:i4>5</vt:i4>
      </vt:variant>
      <vt:variant>
        <vt:lpwstr/>
      </vt:variant>
      <vt:variant>
        <vt:lpwstr>_Toc533172382</vt:lpwstr>
      </vt:variant>
      <vt:variant>
        <vt:i4>2031666</vt:i4>
      </vt:variant>
      <vt:variant>
        <vt:i4>728</vt:i4>
      </vt:variant>
      <vt:variant>
        <vt:i4>0</vt:i4>
      </vt:variant>
      <vt:variant>
        <vt:i4>5</vt:i4>
      </vt:variant>
      <vt:variant>
        <vt:lpwstr/>
      </vt:variant>
      <vt:variant>
        <vt:lpwstr>_Toc533172381</vt:lpwstr>
      </vt:variant>
      <vt:variant>
        <vt:i4>2031666</vt:i4>
      </vt:variant>
      <vt:variant>
        <vt:i4>722</vt:i4>
      </vt:variant>
      <vt:variant>
        <vt:i4>0</vt:i4>
      </vt:variant>
      <vt:variant>
        <vt:i4>5</vt:i4>
      </vt:variant>
      <vt:variant>
        <vt:lpwstr/>
      </vt:variant>
      <vt:variant>
        <vt:lpwstr>_Toc533172380</vt:lpwstr>
      </vt:variant>
      <vt:variant>
        <vt:i4>1048626</vt:i4>
      </vt:variant>
      <vt:variant>
        <vt:i4>716</vt:i4>
      </vt:variant>
      <vt:variant>
        <vt:i4>0</vt:i4>
      </vt:variant>
      <vt:variant>
        <vt:i4>5</vt:i4>
      </vt:variant>
      <vt:variant>
        <vt:lpwstr/>
      </vt:variant>
      <vt:variant>
        <vt:lpwstr>_Toc533172379</vt:lpwstr>
      </vt:variant>
      <vt:variant>
        <vt:i4>1048626</vt:i4>
      </vt:variant>
      <vt:variant>
        <vt:i4>710</vt:i4>
      </vt:variant>
      <vt:variant>
        <vt:i4>0</vt:i4>
      </vt:variant>
      <vt:variant>
        <vt:i4>5</vt:i4>
      </vt:variant>
      <vt:variant>
        <vt:lpwstr/>
      </vt:variant>
      <vt:variant>
        <vt:lpwstr>_Toc533172378</vt:lpwstr>
      </vt:variant>
      <vt:variant>
        <vt:i4>1048626</vt:i4>
      </vt:variant>
      <vt:variant>
        <vt:i4>704</vt:i4>
      </vt:variant>
      <vt:variant>
        <vt:i4>0</vt:i4>
      </vt:variant>
      <vt:variant>
        <vt:i4>5</vt:i4>
      </vt:variant>
      <vt:variant>
        <vt:lpwstr/>
      </vt:variant>
      <vt:variant>
        <vt:lpwstr>_Toc533172377</vt:lpwstr>
      </vt:variant>
      <vt:variant>
        <vt:i4>1048626</vt:i4>
      </vt:variant>
      <vt:variant>
        <vt:i4>698</vt:i4>
      </vt:variant>
      <vt:variant>
        <vt:i4>0</vt:i4>
      </vt:variant>
      <vt:variant>
        <vt:i4>5</vt:i4>
      </vt:variant>
      <vt:variant>
        <vt:lpwstr/>
      </vt:variant>
      <vt:variant>
        <vt:lpwstr>_Toc533172376</vt:lpwstr>
      </vt:variant>
      <vt:variant>
        <vt:i4>1048626</vt:i4>
      </vt:variant>
      <vt:variant>
        <vt:i4>692</vt:i4>
      </vt:variant>
      <vt:variant>
        <vt:i4>0</vt:i4>
      </vt:variant>
      <vt:variant>
        <vt:i4>5</vt:i4>
      </vt:variant>
      <vt:variant>
        <vt:lpwstr/>
      </vt:variant>
      <vt:variant>
        <vt:lpwstr>_Toc533172375</vt:lpwstr>
      </vt:variant>
      <vt:variant>
        <vt:i4>1048626</vt:i4>
      </vt:variant>
      <vt:variant>
        <vt:i4>686</vt:i4>
      </vt:variant>
      <vt:variant>
        <vt:i4>0</vt:i4>
      </vt:variant>
      <vt:variant>
        <vt:i4>5</vt:i4>
      </vt:variant>
      <vt:variant>
        <vt:lpwstr/>
      </vt:variant>
      <vt:variant>
        <vt:lpwstr>_Toc533172374</vt:lpwstr>
      </vt:variant>
      <vt:variant>
        <vt:i4>1048626</vt:i4>
      </vt:variant>
      <vt:variant>
        <vt:i4>680</vt:i4>
      </vt:variant>
      <vt:variant>
        <vt:i4>0</vt:i4>
      </vt:variant>
      <vt:variant>
        <vt:i4>5</vt:i4>
      </vt:variant>
      <vt:variant>
        <vt:lpwstr/>
      </vt:variant>
      <vt:variant>
        <vt:lpwstr>_Toc533172373</vt:lpwstr>
      </vt:variant>
      <vt:variant>
        <vt:i4>1048626</vt:i4>
      </vt:variant>
      <vt:variant>
        <vt:i4>674</vt:i4>
      </vt:variant>
      <vt:variant>
        <vt:i4>0</vt:i4>
      </vt:variant>
      <vt:variant>
        <vt:i4>5</vt:i4>
      </vt:variant>
      <vt:variant>
        <vt:lpwstr/>
      </vt:variant>
      <vt:variant>
        <vt:lpwstr>_Toc533172372</vt:lpwstr>
      </vt:variant>
      <vt:variant>
        <vt:i4>1048626</vt:i4>
      </vt:variant>
      <vt:variant>
        <vt:i4>668</vt:i4>
      </vt:variant>
      <vt:variant>
        <vt:i4>0</vt:i4>
      </vt:variant>
      <vt:variant>
        <vt:i4>5</vt:i4>
      </vt:variant>
      <vt:variant>
        <vt:lpwstr/>
      </vt:variant>
      <vt:variant>
        <vt:lpwstr>_Toc533172371</vt:lpwstr>
      </vt:variant>
      <vt:variant>
        <vt:i4>1048626</vt:i4>
      </vt:variant>
      <vt:variant>
        <vt:i4>662</vt:i4>
      </vt:variant>
      <vt:variant>
        <vt:i4>0</vt:i4>
      </vt:variant>
      <vt:variant>
        <vt:i4>5</vt:i4>
      </vt:variant>
      <vt:variant>
        <vt:lpwstr/>
      </vt:variant>
      <vt:variant>
        <vt:lpwstr>_Toc533172370</vt:lpwstr>
      </vt:variant>
      <vt:variant>
        <vt:i4>1114162</vt:i4>
      </vt:variant>
      <vt:variant>
        <vt:i4>656</vt:i4>
      </vt:variant>
      <vt:variant>
        <vt:i4>0</vt:i4>
      </vt:variant>
      <vt:variant>
        <vt:i4>5</vt:i4>
      </vt:variant>
      <vt:variant>
        <vt:lpwstr/>
      </vt:variant>
      <vt:variant>
        <vt:lpwstr>_Toc533172369</vt:lpwstr>
      </vt:variant>
      <vt:variant>
        <vt:i4>1114162</vt:i4>
      </vt:variant>
      <vt:variant>
        <vt:i4>650</vt:i4>
      </vt:variant>
      <vt:variant>
        <vt:i4>0</vt:i4>
      </vt:variant>
      <vt:variant>
        <vt:i4>5</vt:i4>
      </vt:variant>
      <vt:variant>
        <vt:lpwstr/>
      </vt:variant>
      <vt:variant>
        <vt:lpwstr>_Toc533172368</vt:lpwstr>
      </vt:variant>
      <vt:variant>
        <vt:i4>1114162</vt:i4>
      </vt:variant>
      <vt:variant>
        <vt:i4>644</vt:i4>
      </vt:variant>
      <vt:variant>
        <vt:i4>0</vt:i4>
      </vt:variant>
      <vt:variant>
        <vt:i4>5</vt:i4>
      </vt:variant>
      <vt:variant>
        <vt:lpwstr/>
      </vt:variant>
      <vt:variant>
        <vt:lpwstr>_Toc533172367</vt:lpwstr>
      </vt:variant>
      <vt:variant>
        <vt:i4>1114162</vt:i4>
      </vt:variant>
      <vt:variant>
        <vt:i4>638</vt:i4>
      </vt:variant>
      <vt:variant>
        <vt:i4>0</vt:i4>
      </vt:variant>
      <vt:variant>
        <vt:i4>5</vt:i4>
      </vt:variant>
      <vt:variant>
        <vt:lpwstr/>
      </vt:variant>
      <vt:variant>
        <vt:lpwstr>_Toc533172366</vt:lpwstr>
      </vt:variant>
      <vt:variant>
        <vt:i4>1114162</vt:i4>
      </vt:variant>
      <vt:variant>
        <vt:i4>632</vt:i4>
      </vt:variant>
      <vt:variant>
        <vt:i4>0</vt:i4>
      </vt:variant>
      <vt:variant>
        <vt:i4>5</vt:i4>
      </vt:variant>
      <vt:variant>
        <vt:lpwstr/>
      </vt:variant>
      <vt:variant>
        <vt:lpwstr>_Toc533172365</vt:lpwstr>
      </vt:variant>
      <vt:variant>
        <vt:i4>1114162</vt:i4>
      </vt:variant>
      <vt:variant>
        <vt:i4>626</vt:i4>
      </vt:variant>
      <vt:variant>
        <vt:i4>0</vt:i4>
      </vt:variant>
      <vt:variant>
        <vt:i4>5</vt:i4>
      </vt:variant>
      <vt:variant>
        <vt:lpwstr/>
      </vt:variant>
      <vt:variant>
        <vt:lpwstr>_Toc533172364</vt:lpwstr>
      </vt:variant>
      <vt:variant>
        <vt:i4>1114162</vt:i4>
      </vt:variant>
      <vt:variant>
        <vt:i4>620</vt:i4>
      </vt:variant>
      <vt:variant>
        <vt:i4>0</vt:i4>
      </vt:variant>
      <vt:variant>
        <vt:i4>5</vt:i4>
      </vt:variant>
      <vt:variant>
        <vt:lpwstr/>
      </vt:variant>
      <vt:variant>
        <vt:lpwstr>_Toc533172363</vt:lpwstr>
      </vt:variant>
      <vt:variant>
        <vt:i4>1114162</vt:i4>
      </vt:variant>
      <vt:variant>
        <vt:i4>614</vt:i4>
      </vt:variant>
      <vt:variant>
        <vt:i4>0</vt:i4>
      </vt:variant>
      <vt:variant>
        <vt:i4>5</vt:i4>
      </vt:variant>
      <vt:variant>
        <vt:lpwstr/>
      </vt:variant>
      <vt:variant>
        <vt:lpwstr>_Toc533172362</vt:lpwstr>
      </vt:variant>
      <vt:variant>
        <vt:i4>1114162</vt:i4>
      </vt:variant>
      <vt:variant>
        <vt:i4>608</vt:i4>
      </vt:variant>
      <vt:variant>
        <vt:i4>0</vt:i4>
      </vt:variant>
      <vt:variant>
        <vt:i4>5</vt:i4>
      </vt:variant>
      <vt:variant>
        <vt:lpwstr/>
      </vt:variant>
      <vt:variant>
        <vt:lpwstr>_Toc533172361</vt:lpwstr>
      </vt:variant>
      <vt:variant>
        <vt:i4>1114162</vt:i4>
      </vt:variant>
      <vt:variant>
        <vt:i4>602</vt:i4>
      </vt:variant>
      <vt:variant>
        <vt:i4>0</vt:i4>
      </vt:variant>
      <vt:variant>
        <vt:i4>5</vt:i4>
      </vt:variant>
      <vt:variant>
        <vt:lpwstr/>
      </vt:variant>
      <vt:variant>
        <vt:lpwstr>_Toc533172360</vt:lpwstr>
      </vt:variant>
      <vt:variant>
        <vt:i4>1179698</vt:i4>
      </vt:variant>
      <vt:variant>
        <vt:i4>596</vt:i4>
      </vt:variant>
      <vt:variant>
        <vt:i4>0</vt:i4>
      </vt:variant>
      <vt:variant>
        <vt:i4>5</vt:i4>
      </vt:variant>
      <vt:variant>
        <vt:lpwstr/>
      </vt:variant>
      <vt:variant>
        <vt:lpwstr>_Toc533172359</vt:lpwstr>
      </vt:variant>
      <vt:variant>
        <vt:i4>1179698</vt:i4>
      </vt:variant>
      <vt:variant>
        <vt:i4>590</vt:i4>
      </vt:variant>
      <vt:variant>
        <vt:i4>0</vt:i4>
      </vt:variant>
      <vt:variant>
        <vt:i4>5</vt:i4>
      </vt:variant>
      <vt:variant>
        <vt:lpwstr/>
      </vt:variant>
      <vt:variant>
        <vt:lpwstr>_Toc533172358</vt:lpwstr>
      </vt:variant>
      <vt:variant>
        <vt:i4>1179698</vt:i4>
      </vt:variant>
      <vt:variant>
        <vt:i4>584</vt:i4>
      </vt:variant>
      <vt:variant>
        <vt:i4>0</vt:i4>
      </vt:variant>
      <vt:variant>
        <vt:i4>5</vt:i4>
      </vt:variant>
      <vt:variant>
        <vt:lpwstr/>
      </vt:variant>
      <vt:variant>
        <vt:lpwstr>_Toc533172357</vt:lpwstr>
      </vt:variant>
      <vt:variant>
        <vt:i4>1179698</vt:i4>
      </vt:variant>
      <vt:variant>
        <vt:i4>578</vt:i4>
      </vt:variant>
      <vt:variant>
        <vt:i4>0</vt:i4>
      </vt:variant>
      <vt:variant>
        <vt:i4>5</vt:i4>
      </vt:variant>
      <vt:variant>
        <vt:lpwstr/>
      </vt:variant>
      <vt:variant>
        <vt:lpwstr>_Toc533172356</vt:lpwstr>
      </vt:variant>
      <vt:variant>
        <vt:i4>1179698</vt:i4>
      </vt:variant>
      <vt:variant>
        <vt:i4>572</vt:i4>
      </vt:variant>
      <vt:variant>
        <vt:i4>0</vt:i4>
      </vt:variant>
      <vt:variant>
        <vt:i4>5</vt:i4>
      </vt:variant>
      <vt:variant>
        <vt:lpwstr/>
      </vt:variant>
      <vt:variant>
        <vt:lpwstr>_Toc533172355</vt:lpwstr>
      </vt:variant>
      <vt:variant>
        <vt:i4>1179698</vt:i4>
      </vt:variant>
      <vt:variant>
        <vt:i4>566</vt:i4>
      </vt:variant>
      <vt:variant>
        <vt:i4>0</vt:i4>
      </vt:variant>
      <vt:variant>
        <vt:i4>5</vt:i4>
      </vt:variant>
      <vt:variant>
        <vt:lpwstr/>
      </vt:variant>
      <vt:variant>
        <vt:lpwstr>_Toc533172354</vt:lpwstr>
      </vt:variant>
      <vt:variant>
        <vt:i4>1179698</vt:i4>
      </vt:variant>
      <vt:variant>
        <vt:i4>560</vt:i4>
      </vt:variant>
      <vt:variant>
        <vt:i4>0</vt:i4>
      </vt:variant>
      <vt:variant>
        <vt:i4>5</vt:i4>
      </vt:variant>
      <vt:variant>
        <vt:lpwstr/>
      </vt:variant>
      <vt:variant>
        <vt:lpwstr>_Toc533172353</vt:lpwstr>
      </vt:variant>
      <vt:variant>
        <vt:i4>1179698</vt:i4>
      </vt:variant>
      <vt:variant>
        <vt:i4>554</vt:i4>
      </vt:variant>
      <vt:variant>
        <vt:i4>0</vt:i4>
      </vt:variant>
      <vt:variant>
        <vt:i4>5</vt:i4>
      </vt:variant>
      <vt:variant>
        <vt:lpwstr/>
      </vt:variant>
      <vt:variant>
        <vt:lpwstr>_Toc533172352</vt:lpwstr>
      </vt:variant>
      <vt:variant>
        <vt:i4>1179698</vt:i4>
      </vt:variant>
      <vt:variant>
        <vt:i4>548</vt:i4>
      </vt:variant>
      <vt:variant>
        <vt:i4>0</vt:i4>
      </vt:variant>
      <vt:variant>
        <vt:i4>5</vt:i4>
      </vt:variant>
      <vt:variant>
        <vt:lpwstr/>
      </vt:variant>
      <vt:variant>
        <vt:lpwstr>_Toc533172351</vt:lpwstr>
      </vt:variant>
      <vt:variant>
        <vt:i4>1179698</vt:i4>
      </vt:variant>
      <vt:variant>
        <vt:i4>542</vt:i4>
      </vt:variant>
      <vt:variant>
        <vt:i4>0</vt:i4>
      </vt:variant>
      <vt:variant>
        <vt:i4>5</vt:i4>
      </vt:variant>
      <vt:variant>
        <vt:lpwstr/>
      </vt:variant>
      <vt:variant>
        <vt:lpwstr>_Toc533172350</vt:lpwstr>
      </vt:variant>
      <vt:variant>
        <vt:i4>1245234</vt:i4>
      </vt:variant>
      <vt:variant>
        <vt:i4>536</vt:i4>
      </vt:variant>
      <vt:variant>
        <vt:i4>0</vt:i4>
      </vt:variant>
      <vt:variant>
        <vt:i4>5</vt:i4>
      </vt:variant>
      <vt:variant>
        <vt:lpwstr/>
      </vt:variant>
      <vt:variant>
        <vt:lpwstr>_Toc533172349</vt:lpwstr>
      </vt:variant>
      <vt:variant>
        <vt:i4>1245234</vt:i4>
      </vt:variant>
      <vt:variant>
        <vt:i4>530</vt:i4>
      </vt:variant>
      <vt:variant>
        <vt:i4>0</vt:i4>
      </vt:variant>
      <vt:variant>
        <vt:i4>5</vt:i4>
      </vt:variant>
      <vt:variant>
        <vt:lpwstr/>
      </vt:variant>
      <vt:variant>
        <vt:lpwstr>_Toc533172348</vt:lpwstr>
      </vt:variant>
      <vt:variant>
        <vt:i4>1245234</vt:i4>
      </vt:variant>
      <vt:variant>
        <vt:i4>524</vt:i4>
      </vt:variant>
      <vt:variant>
        <vt:i4>0</vt:i4>
      </vt:variant>
      <vt:variant>
        <vt:i4>5</vt:i4>
      </vt:variant>
      <vt:variant>
        <vt:lpwstr/>
      </vt:variant>
      <vt:variant>
        <vt:lpwstr>_Toc533172347</vt:lpwstr>
      </vt:variant>
      <vt:variant>
        <vt:i4>1245234</vt:i4>
      </vt:variant>
      <vt:variant>
        <vt:i4>518</vt:i4>
      </vt:variant>
      <vt:variant>
        <vt:i4>0</vt:i4>
      </vt:variant>
      <vt:variant>
        <vt:i4>5</vt:i4>
      </vt:variant>
      <vt:variant>
        <vt:lpwstr/>
      </vt:variant>
      <vt:variant>
        <vt:lpwstr>_Toc533172346</vt:lpwstr>
      </vt:variant>
      <vt:variant>
        <vt:i4>1245234</vt:i4>
      </vt:variant>
      <vt:variant>
        <vt:i4>512</vt:i4>
      </vt:variant>
      <vt:variant>
        <vt:i4>0</vt:i4>
      </vt:variant>
      <vt:variant>
        <vt:i4>5</vt:i4>
      </vt:variant>
      <vt:variant>
        <vt:lpwstr/>
      </vt:variant>
      <vt:variant>
        <vt:lpwstr>_Toc533172345</vt:lpwstr>
      </vt:variant>
      <vt:variant>
        <vt:i4>1245234</vt:i4>
      </vt:variant>
      <vt:variant>
        <vt:i4>506</vt:i4>
      </vt:variant>
      <vt:variant>
        <vt:i4>0</vt:i4>
      </vt:variant>
      <vt:variant>
        <vt:i4>5</vt:i4>
      </vt:variant>
      <vt:variant>
        <vt:lpwstr/>
      </vt:variant>
      <vt:variant>
        <vt:lpwstr>_Toc533172344</vt:lpwstr>
      </vt:variant>
      <vt:variant>
        <vt:i4>1245234</vt:i4>
      </vt:variant>
      <vt:variant>
        <vt:i4>500</vt:i4>
      </vt:variant>
      <vt:variant>
        <vt:i4>0</vt:i4>
      </vt:variant>
      <vt:variant>
        <vt:i4>5</vt:i4>
      </vt:variant>
      <vt:variant>
        <vt:lpwstr/>
      </vt:variant>
      <vt:variant>
        <vt:lpwstr>_Toc533172343</vt:lpwstr>
      </vt:variant>
      <vt:variant>
        <vt:i4>1245234</vt:i4>
      </vt:variant>
      <vt:variant>
        <vt:i4>494</vt:i4>
      </vt:variant>
      <vt:variant>
        <vt:i4>0</vt:i4>
      </vt:variant>
      <vt:variant>
        <vt:i4>5</vt:i4>
      </vt:variant>
      <vt:variant>
        <vt:lpwstr/>
      </vt:variant>
      <vt:variant>
        <vt:lpwstr>_Toc533172342</vt:lpwstr>
      </vt:variant>
      <vt:variant>
        <vt:i4>1245234</vt:i4>
      </vt:variant>
      <vt:variant>
        <vt:i4>488</vt:i4>
      </vt:variant>
      <vt:variant>
        <vt:i4>0</vt:i4>
      </vt:variant>
      <vt:variant>
        <vt:i4>5</vt:i4>
      </vt:variant>
      <vt:variant>
        <vt:lpwstr/>
      </vt:variant>
      <vt:variant>
        <vt:lpwstr>_Toc533172341</vt:lpwstr>
      </vt:variant>
      <vt:variant>
        <vt:i4>1245234</vt:i4>
      </vt:variant>
      <vt:variant>
        <vt:i4>482</vt:i4>
      </vt:variant>
      <vt:variant>
        <vt:i4>0</vt:i4>
      </vt:variant>
      <vt:variant>
        <vt:i4>5</vt:i4>
      </vt:variant>
      <vt:variant>
        <vt:lpwstr/>
      </vt:variant>
      <vt:variant>
        <vt:lpwstr>_Toc533172340</vt:lpwstr>
      </vt:variant>
      <vt:variant>
        <vt:i4>1310770</vt:i4>
      </vt:variant>
      <vt:variant>
        <vt:i4>476</vt:i4>
      </vt:variant>
      <vt:variant>
        <vt:i4>0</vt:i4>
      </vt:variant>
      <vt:variant>
        <vt:i4>5</vt:i4>
      </vt:variant>
      <vt:variant>
        <vt:lpwstr/>
      </vt:variant>
      <vt:variant>
        <vt:lpwstr>_Toc533172339</vt:lpwstr>
      </vt:variant>
      <vt:variant>
        <vt:i4>1310770</vt:i4>
      </vt:variant>
      <vt:variant>
        <vt:i4>470</vt:i4>
      </vt:variant>
      <vt:variant>
        <vt:i4>0</vt:i4>
      </vt:variant>
      <vt:variant>
        <vt:i4>5</vt:i4>
      </vt:variant>
      <vt:variant>
        <vt:lpwstr/>
      </vt:variant>
      <vt:variant>
        <vt:lpwstr>_Toc533172338</vt:lpwstr>
      </vt:variant>
      <vt:variant>
        <vt:i4>1310770</vt:i4>
      </vt:variant>
      <vt:variant>
        <vt:i4>464</vt:i4>
      </vt:variant>
      <vt:variant>
        <vt:i4>0</vt:i4>
      </vt:variant>
      <vt:variant>
        <vt:i4>5</vt:i4>
      </vt:variant>
      <vt:variant>
        <vt:lpwstr/>
      </vt:variant>
      <vt:variant>
        <vt:lpwstr>_Toc533172337</vt:lpwstr>
      </vt:variant>
      <vt:variant>
        <vt:i4>1310770</vt:i4>
      </vt:variant>
      <vt:variant>
        <vt:i4>458</vt:i4>
      </vt:variant>
      <vt:variant>
        <vt:i4>0</vt:i4>
      </vt:variant>
      <vt:variant>
        <vt:i4>5</vt:i4>
      </vt:variant>
      <vt:variant>
        <vt:lpwstr/>
      </vt:variant>
      <vt:variant>
        <vt:lpwstr>_Toc533172336</vt:lpwstr>
      </vt:variant>
      <vt:variant>
        <vt:i4>1310770</vt:i4>
      </vt:variant>
      <vt:variant>
        <vt:i4>452</vt:i4>
      </vt:variant>
      <vt:variant>
        <vt:i4>0</vt:i4>
      </vt:variant>
      <vt:variant>
        <vt:i4>5</vt:i4>
      </vt:variant>
      <vt:variant>
        <vt:lpwstr/>
      </vt:variant>
      <vt:variant>
        <vt:lpwstr>_Toc533172335</vt:lpwstr>
      </vt:variant>
      <vt:variant>
        <vt:i4>1310770</vt:i4>
      </vt:variant>
      <vt:variant>
        <vt:i4>446</vt:i4>
      </vt:variant>
      <vt:variant>
        <vt:i4>0</vt:i4>
      </vt:variant>
      <vt:variant>
        <vt:i4>5</vt:i4>
      </vt:variant>
      <vt:variant>
        <vt:lpwstr/>
      </vt:variant>
      <vt:variant>
        <vt:lpwstr>_Toc533172334</vt:lpwstr>
      </vt:variant>
      <vt:variant>
        <vt:i4>1310770</vt:i4>
      </vt:variant>
      <vt:variant>
        <vt:i4>440</vt:i4>
      </vt:variant>
      <vt:variant>
        <vt:i4>0</vt:i4>
      </vt:variant>
      <vt:variant>
        <vt:i4>5</vt:i4>
      </vt:variant>
      <vt:variant>
        <vt:lpwstr/>
      </vt:variant>
      <vt:variant>
        <vt:lpwstr>_Toc533172333</vt:lpwstr>
      </vt:variant>
      <vt:variant>
        <vt:i4>1310770</vt:i4>
      </vt:variant>
      <vt:variant>
        <vt:i4>434</vt:i4>
      </vt:variant>
      <vt:variant>
        <vt:i4>0</vt:i4>
      </vt:variant>
      <vt:variant>
        <vt:i4>5</vt:i4>
      </vt:variant>
      <vt:variant>
        <vt:lpwstr/>
      </vt:variant>
      <vt:variant>
        <vt:lpwstr>_Toc533172332</vt:lpwstr>
      </vt:variant>
      <vt:variant>
        <vt:i4>1310770</vt:i4>
      </vt:variant>
      <vt:variant>
        <vt:i4>428</vt:i4>
      </vt:variant>
      <vt:variant>
        <vt:i4>0</vt:i4>
      </vt:variant>
      <vt:variant>
        <vt:i4>5</vt:i4>
      </vt:variant>
      <vt:variant>
        <vt:lpwstr/>
      </vt:variant>
      <vt:variant>
        <vt:lpwstr>_Toc533172331</vt:lpwstr>
      </vt:variant>
      <vt:variant>
        <vt:i4>1310770</vt:i4>
      </vt:variant>
      <vt:variant>
        <vt:i4>422</vt:i4>
      </vt:variant>
      <vt:variant>
        <vt:i4>0</vt:i4>
      </vt:variant>
      <vt:variant>
        <vt:i4>5</vt:i4>
      </vt:variant>
      <vt:variant>
        <vt:lpwstr/>
      </vt:variant>
      <vt:variant>
        <vt:lpwstr>_Toc533172330</vt:lpwstr>
      </vt:variant>
      <vt:variant>
        <vt:i4>1376306</vt:i4>
      </vt:variant>
      <vt:variant>
        <vt:i4>416</vt:i4>
      </vt:variant>
      <vt:variant>
        <vt:i4>0</vt:i4>
      </vt:variant>
      <vt:variant>
        <vt:i4>5</vt:i4>
      </vt:variant>
      <vt:variant>
        <vt:lpwstr/>
      </vt:variant>
      <vt:variant>
        <vt:lpwstr>_Toc533172329</vt:lpwstr>
      </vt:variant>
      <vt:variant>
        <vt:i4>1376306</vt:i4>
      </vt:variant>
      <vt:variant>
        <vt:i4>410</vt:i4>
      </vt:variant>
      <vt:variant>
        <vt:i4>0</vt:i4>
      </vt:variant>
      <vt:variant>
        <vt:i4>5</vt:i4>
      </vt:variant>
      <vt:variant>
        <vt:lpwstr/>
      </vt:variant>
      <vt:variant>
        <vt:lpwstr>_Toc533172328</vt:lpwstr>
      </vt:variant>
      <vt:variant>
        <vt:i4>1376306</vt:i4>
      </vt:variant>
      <vt:variant>
        <vt:i4>404</vt:i4>
      </vt:variant>
      <vt:variant>
        <vt:i4>0</vt:i4>
      </vt:variant>
      <vt:variant>
        <vt:i4>5</vt:i4>
      </vt:variant>
      <vt:variant>
        <vt:lpwstr/>
      </vt:variant>
      <vt:variant>
        <vt:lpwstr>_Toc533172327</vt:lpwstr>
      </vt:variant>
      <vt:variant>
        <vt:i4>1376306</vt:i4>
      </vt:variant>
      <vt:variant>
        <vt:i4>398</vt:i4>
      </vt:variant>
      <vt:variant>
        <vt:i4>0</vt:i4>
      </vt:variant>
      <vt:variant>
        <vt:i4>5</vt:i4>
      </vt:variant>
      <vt:variant>
        <vt:lpwstr/>
      </vt:variant>
      <vt:variant>
        <vt:lpwstr>_Toc533172326</vt:lpwstr>
      </vt:variant>
      <vt:variant>
        <vt:i4>1376306</vt:i4>
      </vt:variant>
      <vt:variant>
        <vt:i4>392</vt:i4>
      </vt:variant>
      <vt:variant>
        <vt:i4>0</vt:i4>
      </vt:variant>
      <vt:variant>
        <vt:i4>5</vt:i4>
      </vt:variant>
      <vt:variant>
        <vt:lpwstr/>
      </vt:variant>
      <vt:variant>
        <vt:lpwstr>_Toc533172325</vt:lpwstr>
      </vt:variant>
      <vt:variant>
        <vt:i4>1376306</vt:i4>
      </vt:variant>
      <vt:variant>
        <vt:i4>386</vt:i4>
      </vt:variant>
      <vt:variant>
        <vt:i4>0</vt:i4>
      </vt:variant>
      <vt:variant>
        <vt:i4>5</vt:i4>
      </vt:variant>
      <vt:variant>
        <vt:lpwstr/>
      </vt:variant>
      <vt:variant>
        <vt:lpwstr>_Toc533172324</vt:lpwstr>
      </vt:variant>
      <vt:variant>
        <vt:i4>1376306</vt:i4>
      </vt:variant>
      <vt:variant>
        <vt:i4>380</vt:i4>
      </vt:variant>
      <vt:variant>
        <vt:i4>0</vt:i4>
      </vt:variant>
      <vt:variant>
        <vt:i4>5</vt:i4>
      </vt:variant>
      <vt:variant>
        <vt:lpwstr/>
      </vt:variant>
      <vt:variant>
        <vt:lpwstr>_Toc533172323</vt:lpwstr>
      </vt:variant>
      <vt:variant>
        <vt:i4>1376306</vt:i4>
      </vt:variant>
      <vt:variant>
        <vt:i4>374</vt:i4>
      </vt:variant>
      <vt:variant>
        <vt:i4>0</vt:i4>
      </vt:variant>
      <vt:variant>
        <vt:i4>5</vt:i4>
      </vt:variant>
      <vt:variant>
        <vt:lpwstr/>
      </vt:variant>
      <vt:variant>
        <vt:lpwstr>_Toc533172322</vt:lpwstr>
      </vt:variant>
      <vt:variant>
        <vt:i4>1376306</vt:i4>
      </vt:variant>
      <vt:variant>
        <vt:i4>368</vt:i4>
      </vt:variant>
      <vt:variant>
        <vt:i4>0</vt:i4>
      </vt:variant>
      <vt:variant>
        <vt:i4>5</vt:i4>
      </vt:variant>
      <vt:variant>
        <vt:lpwstr/>
      </vt:variant>
      <vt:variant>
        <vt:lpwstr>_Toc533172321</vt:lpwstr>
      </vt:variant>
      <vt:variant>
        <vt:i4>1376306</vt:i4>
      </vt:variant>
      <vt:variant>
        <vt:i4>362</vt:i4>
      </vt:variant>
      <vt:variant>
        <vt:i4>0</vt:i4>
      </vt:variant>
      <vt:variant>
        <vt:i4>5</vt:i4>
      </vt:variant>
      <vt:variant>
        <vt:lpwstr/>
      </vt:variant>
      <vt:variant>
        <vt:lpwstr>_Toc533172320</vt:lpwstr>
      </vt:variant>
      <vt:variant>
        <vt:i4>1441842</vt:i4>
      </vt:variant>
      <vt:variant>
        <vt:i4>356</vt:i4>
      </vt:variant>
      <vt:variant>
        <vt:i4>0</vt:i4>
      </vt:variant>
      <vt:variant>
        <vt:i4>5</vt:i4>
      </vt:variant>
      <vt:variant>
        <vt:lpwstr/>
      </vt:variant>
      <vt:variant>
        <vt:lpwstr>_Toc533172319</vt:lpwstr>
      </vt:variant>
      <vt:variant>
        <vt:i4>1441842</vt:i4>
      </vt:variant>
      <vt:variant>
        <vt:i4>350</vt:i4>
      </vt:variant>
      <vt:variant>
        <vt:i4>0</vt:i4>
      </vt:variant>
      <vt:variant>
        <vt:i4>5</vt:i4>
      </vt:variant>
      <vt:variant>
        <vt:lpwstr/>
      </vt:variant>
      <vt:variant>
        <vt:lpwstr>_Toc533172318</vt:lpwstr>
      </vt:variant>
      <vt:variant>
        <vt:i4>1441842</vt:i4>
      </vt:variant>
      <vt:variant>
        <vt:i4>344</vt:i4>
      </vt:variant>
      <vt:variant>
        <vt:i4>0</vt:i4>
      </vt:variant>
      <vt:variant>
        <vt:i4>5</vt:i4>
      </vt:variant>
      <vt:variant>
        <vt:lpwstr/>
      </vt:variant>
      <vt:variant>
        <vt:lpwstr>_Toc533172317</vt:lpwstr>
      </vt:variant>
      <vt:variant>
        <vt:i4>1441842</vt:i4>
      </vt:variant>
      <vt:variant>
        <vt:i4>338</vt:i4>
      </vt:variant>
      <vt:variant>
        <vt:i4>0</vt:i4>
      </vt:variant>
      <vt:variant>
        <vt:i4>5</vt:i4>
      </vt:variant>
      <vt:variant>
        <vt:lpwstr/>
      </vt:variant>
      <vt:variant>
        <vt:lpwstr>_Toc533172316</vt:lpwstr>
      </vt:variant>
      <vt:variant>
        <vt:i4>1441842</vt:i4>
      </vt:variant>
      <vt:variant>
        <vt:i4>332</vt:i4>
      </vt:variant>
      <vt:variant>
        <vt:i4>0</vt:i4>
      </vt:variant>
      <vt:variant>
        <vt:i4>5</vt:i4>
      </vt:variant>
      <vt:variant>
        <vt:lpwstr/>
      </vt:variant>
      <vt:variant>
        <vt:lpwstr>_Toc533172315</vt:lpwstr>
      </vt:variant>
      <vt:variant>
        <vt:i4>1441842</vt:i4>
      </vt:variant>
      <vt:variant>
        <vt:i4>326</vt:i4>
      </vt:variant>
      <vt:variant>
        <vt:i4>0</vt:i4>
      </vt:variant>
      <vt:variant>
        <vt:i4>5</vt:i4>
      </vt:variant>
      <vt:variant>
        <vt:lpwstr/>
      </vt:variant>
      <vt:variant>
        <vt:lpwstr>_Toc533172314</vt:lpwstr>
      </vt:variant>
      <vt:variant>
        <vt:i4>1441842</vt:i4>
      </vt:variant>
      <vt:variant>
        <vt:i4>320</vt:i4>
      </vt:variant>
      <vt:variant>
        <vt:i4>0</vt:i4>
      </vt:variant>
      <vt:variant>
        <vt:i4>5</vt:i4>
      </vt:variant>
      <vt:variant>
        <vt:lpwstr/>
      </vt:variant>
      <vt:variant>
        <vt:lpwstr>_Toc533172313</vt:lpwstr>
      </vt:variant>
      <vt:variant>
        <vt:i4>1441842</vt:i4>
      </vt:variant>
      <vt:variant>
        <vt:i4>314</vt:i4>
      </vt:variant>
      <vt:variant>
        <vt:i4>0</vt:i4>
      </vt:variant>
      <vt:variant>
        <vt:i4>5</vt:i4>
      </vt:variant>
      <vt:variant>
        <vt:lpwstr/>
      </vt:variant>
      <vt:variant>
        <vt:lpwstr>_Toc533172312</vt:lpwstr>
      </vt:variant>
      <vt:variant>
        <vt:i4>1441842</vt:i4>
      </vt:variant>
      <vt:variant>
        <vt:i4>308</vt:i4>
      </vt:variant>
      <vt:variant>
        <vt:i4>0</vt:i4>
      </vt:variant>
      <vt:variant>
        <vt:i4>5</vt:i4>
      </vt:variant>
      <vt:variant>
        <vt:lpwstr/>
      </vt:variant>
      <vt:variant>
        <vt:lpwstr>_Toc533172311</vt:lpwstr>
      </vt:variant>
      <vt:variant>
        <vt:i4>1441842</vt:i4>
      </vt:variant>
      <vt:variant>
        <vt:i4>302</vt:i4>
      </vt:variant>
      <vt:variant>
        <vt:i4>0</vt:i4>
      </vt:variant>
      <vt:variant>
        <vt:i4>5</vt:i4>
      </vt:variant>
      <vt:variant>
        <vt:lpwstr/>
      </vt:variant>
      <vt:variant>
        <vt:lpwstr>_Toc533172310</vt:lpwstr>
      </vt:variant>
      <vt:variant>
        <vt:i4>1507378</vt:i4>
      </vt:variant>
      <vt:variant>
        <vt:i4>296</vt:i4>
      </vt:variant>
      <vt:variant>
        <vt:i4>0</vt:i4>
      </vt:variant>
      <vt:variant>
        <vt:i4>5</vt:i4>
      </vt:variant>
      <vt:variant>
        <vt:lpwstr/>
      </vt:variant>
      <vt:variant>
        <vt:lpwstr>_Toc533172309</vt:lpwstr>
      </vt:variant>
      <vt:variant>
        <vt:i4>1507378</vt:i4>
      </vt:variant>
      <vt:variant>
        <vt:i4>290</vt:i4>
      </vt:variant>
      <vt:variant>
        <vt:i4>0</vt:i4>
      </vt:variant>
      <vt:variant>
        <vt:i4>5</vt:i4>
      </vt:variant>
      <vt:variant>
        <vt:lpwstr/>
      </vt:variant>
      <vt:variant>
        <vt:lpwstr>_Toc533172308</vt:lpwstr>
      </vt:variant>
      <vt:variant>
        <vt:i4>1507378</vt:i4>
      </vt:variant>
      <vt:variant>
        <vt:i4>284</vt:i4>
      </vt:variant>
      <vt:variant>
        <vt:i4>0</vt:i4>
      </vt:variant>
      <vt:variant>
        <vt:i4>5</vt:i4>
      </vt:variant>
      <vt:variant>
        <vt:lpwstr/>
      </vt:variant>
      <vt:variant>
        <vt:lpwstr>_Toc533172307</vt:lpwstr>
      </vt:variant>
      <vt:variant>
        <vt:i4>1507378</vt:i4>
      </vt:variant>
      <vt:variant>
        <vt:i4>278</vt:i4>
      </vt:variant>
      <vt:variant>
        <vt:i4>0</vt:i4>
      </vt:variant>
      <vt:variant>
        <vt:i4>5</vt:i4>
      </vt:variant>
      <vt:variant>
        <vt:lpwstr/>
      </vt:variant>
      <vt:variant>
        <vt:lpwstr>_Toc533172306</vt:lpwstr>
      </vt:variant>
      <vt:variant>
        <vt:i4>1507378</vt:i4>
      </vt:variant>
      <vt:variant>
        <vt:i4>272</vt:i4>
      </vt:variant>
      <vt:variant>
        <vt:i4>0</vt:i4>
      </vt:variant>
      <vt:variant>
        <vt:i4>5</vt:i4>
      </vt:variant>
      <vt:variant>
        <vt:lpwstr/>
      </vt:variant>
      <vt:variant>
        <vt:lpwstr>_Toc533172305</vt:lpwstr>
      </vt:variant>
      <vt:variant>
        <vt:i4>1507378</vt:i4>
      </vt:variant>
      <vt:variant>
        <vt:i4>266</vt:i4>
      </vt:variant>
      <vt:variant>
        <vt:i4>0</vt:i4>
      </vt:variant>
      <vt:variant>
        <vt:i4>5</vt:i4>
      </vt:variant>
      <vt:variant>
        <vt:lpwstr/>
      </vt:variant>
      <vt:variant>
        <vt:lpwstr>_Toc533172304</vt:lpwstr>
      </vt:variant>
      <vt:variant>
        <vt:i4>1507378</vt:i4>
      </vt:variant>
      <vt:variant>
        <vt:i4>260</vt:i4>
      </vt:variant>
      <vt:variant>
        <vt:i4>0</vt:i4>
      </vt:variant>
      <vt:variant>
        <vt:i4>5</vt:i4>
      </vt:variant>
      <vt:variant>
        <vt:lpwstr/>
      </vt:variant>
      <vt:variant>
        <vt:lpwstr>_Toc533172303</vt:lpwstr>
      </vt:variant>
      <vt:variant>
        <vt:i4>1507378</vt:i4>
      </vt:variant>
      <vt:variant>
        <vt:i4>254</vt:i4>
      </vt:variant>
      <vt:variant>
        <vt:i4>0</vt:i4>
      </vt:variant>
      <vt:variant>
        <vt:i4>5</vt:i4>
      </vt:variant>
      <vt:variant>
        <vt:lpwstr/>
      </vt:variant>
      <vt:variant>
        <vt:lpwstr>_Toc533172302</vt:lpwstr>
      </vt:variant>
      <vt:variant>
        <vt:i4>1507378</vt:i4>
      </vt:variant>
      <vt:variant>
        <vt:i4>248</vt:i4>
      </vt:variant>
      <vt:variant>
        <vt:i4>0</vt:i4>
      </vt:variant>
      <vt:variant>
        <vt:i4>5</vt:i4>
      </vt:variant>
      <vt:variant>
        <vt:lpwstr/>
      </vt:variant>
      <vt:variant>
        <vt:lpwstr>_Toc533172301</vt:lpwstr>
      </vt:variant>
      <vt:variant>
        <vt:i4>1507378</vt:i4>
      </vt:variant>
      <vt:variant>
        <vt:i4>242</vt:i4>
      </vt:variant>
      <vt:variant>
        <vt:i4>0</vt:i4>
      </vt:variant>
      <vt:variant>
        <vt:i4>5</vt:i4>
      </vt:variant>
      <vt:variant>
        <vt:lpwstr/>
      </vt:variant>
      <vt:variant>
        <vt:lpwstr>_Toc533172300</vt:lpwstr>
      </vt:variant>
      <vt:variant>
        <vt:i4>1966131</vt:i4>
      </vt:variant>
      <vt:variant>
        <vt:i4>236</vt:i4>
      </vt:variant>
      <vt:variant>
        <vt:i4>0</vt:i4>
      </vt:variant>
      <vt:variant>
        <vt:i4>5</vt:i4>
      </vt:variant>
      <vt:variant>
        <vt:lpwstr/>
      </vt:variant>
      <vt:variant>
        <vt:lpwstr>_Toc533172299</vt:lpwstr>
      </vt:variant>
      <vt:variant>
        <vt:i4>1966131</vt:i4>
      </vt:variant>
      <vt:variant>
        <vt:i4>230</vt:i4>
      </vt:variant>
      <vt:variant>
        <vt:i4>0</vt:i4>
      </vt:variant>
      <vt:variant>
        <vt:i4>5</vt:i4>
      </vt:variant>
      <vt:variant>
        <vt:lpwstr/>
      </vt:variant>
      <vt:variant>
        <vt:lpwstr>_Toc533172298</vt:lpwstr>
      </vt:variant>
      <vt:variant>
        <vt:i4>1966131</vt:i4>
      </vt:variant>
      <vt:variant>
        <vt:i4>224</vt:i4>
      </vt:variant>
      <vt:variant>
        <vt:i4>0</vt:i4>
      </vt:variant>
      <vt:variant>
        <vt:i4>5</vt:i4>
      </vt:variant>
      <vt:variant>
        <vt:lpwstr/>
      </vt:variant>
      <vt:variant>
        <vt:lpwstr>_Toc533172297</vt:lpwstr>
      </vt:variant>
      <vt:variant>
        <vt:i4>1966131</vt:i4>
      </vt:variant>
      <vt:variant>
        <vt:i4>218</vt:i4>
      </vt:variant>
      <vt:variant>
        <vt:i4>0</vt:i4>
      </vt:variant>
      <vt:variant>
        <vt:i4>5</vt:i4>
      </vt:variant>
      <vt:variant>
        <vt:lpwstr/>
      </vt:variant>
      <vt:variant>
        <vt:lpwstr>_Toc533172296</vt:lpwstr>
      </vt:variant>
      <vt:variant>
        <vt:i4>1966131</vt:i4>
      </vt:variant>
      <vt:variant>
        <vt:i4>212</vt:i4>
      </vt:variant>
      <vt:variant>
        <vt:i4>0</vt:i4>
      </vt:variant>
      <vt:variant>
        <vt:i4>5</vt:i4>
      </vt:variant>
      <vt:variant>
        <vt:lpwstr/>
      </vt:variant>
      <vt:variant>
        <vt:lpwstr>_Toc533172295</vt:lpwstr>
      </vt:variant>
      <vt:variant>
        <vt:i4>1966131</vt:i4>
      </vt:variant>
      <vt:variant>
        <vt:i4>206</vt:i4>
      </vt:variant>
      <vt:variant>
        <vt:i4>0</vt:i4>
      </vt:variant>
      <vt:variant>
        <vt:i4>5</vt:i4>
      </vt:variant>
      <vt:variant>
        <vt:lpwstr/>
      </vt:variant>
      <vt:variant>
        <vt:lpwstr>_Toc533172294</vt:lpwstr>
      </vt:variant>
      <vt:variant>
        <vt:i4>1966131</vt:i4>
      </vt:variant>
      <vt:variant>
        <vt:i4>200</vt:i4>
      </vt:variant>
      <vt:variant>
        <vt:i4>0</vt:i4>
      </vt:variant>
      <vt:variant>
        <vt:i4>5</vt:i4>
      </vt:variant>
      <vt:variant>
        <vt:lpwstr/>
      </vt:variant>
      <vt:variant>
        <vt:lpwstr>_Toc533172293</vt:lpwstr>
      </vt:variant>
      <vt:variant>
        <vt:i4>1966131</vt:i4>
      </vt:variant>
      <vt:variant>
        <vt:i4>194</vt:i4>
      </vt:variant>
      <vt:variant>
        <vt:i4>0</vt:i4>
      </vt:variant>
      <vt:variant>
        <vt:i4>5</vt:i4>
      </vt:variant>
      <vt:variant>
        <vt:lpwstr/>
      </vt:variant>
      <vt:variant>
        <vt:lpwstr>_Toc533172292</vt:lpwstr>
      </vt:variant>
      <vt:variant>
        <vt:i4>1966131</vt:i4>
      </vt:variant>
      <vt:variant>
        <vt:i4>188</vt:i4>
      </vt:variant>
      <vt:variant>
        <vt:i4>0</vt:i4>
      </vt:variant>
      <vt:variant>
        <vt:i4>5</vt:i4>
      </vt:variant>
      <vt:variant>
        <vt:lpwstr/>
      </vt:variant>
      <vt:variant>
        <vt:lpwstr>_Toc533172291</vt:lpwstr>
      </vt:variant>
      <vt:variant>
        <vt:i4>1966131</vt:i4>
      </vt:variant>
      <vt:variant>
        <vt:i4>182</vt:i4>
      </vt:variant>
      <vt:variant>
        <vt:i4>0</vt:i4>
      </vt:variant>
      <vt:variant>
        <vt:i4>5</vt:i4>
      </vt:variant>
      <vt:variant>
        <vt:lpwstr/>
      </vt:variant>
      <vt:variant>
        <vt:lpwstr>_Toc533172290</vt:lpwstr>
      </vt:variant>
      <vt:variant>
        <vt:i4>2031667</vt:i4>
      </vt:variant>
      <vt:variant>
        <vt:i4>176</vt:i4>
      </vt:variant>
      <vt:variant>
        <vt:i4>0</vt:i4>
      </vt:variant>
      <vt:variant>
        <vt:i4>5</vt:i4>
      </vt:variant>
      <vt:variant>
        <vt:lpwstr/>
      </vt:variant>
      <vt:variant>
        <vt:lpwstr>_Toc533172289</vt:lpwstr>
      </vt:variant>
      <vt:variant>
        <vt:i4>2031667</vt:i4>
      </vt:variant>
      <vt:variant>
        <vt:i4>170</vt:i4>
      </vt:variant>
      <vt:variant>
        <vt:i4>0</vt:i4>
      </vt:variant>
      <vt:variant>
        <vt:i4>5</vt:i4>
      </vt:variant>
      <vt:variant>
        <vt:lpwstr/>
      </vt:variant>
      <vt:variant>
        <vt:lpwstr>_Toc533172288</vt:lpwstr>
      </vt:variant>
      <vt:variant>
        <vt:i4>2031667</vt:i4>
      </vt:variant>
      <vt:variant>
        <vt:i4>164</vt:i4>
      </vt:variant>
      <vt:variant>
        <vt:i4>0</vt:i4>
      </vt:variant>
      <vt:variant>
        <vt:i4>5</vt:i4>
      </vt:variant>
      <vt:variant>
        <vt:lpwstr/>
      </vt:variant>
      <vt:variant>
        <vt:lpwstr>_Toc533172287</vt:lpwstr>
      </vt:variant>
      <vt:variant>
        <vt:i4>2031667</vt:i4>
      </vt:variant>
      <vt:variant>
        <vt:i4>158</vt:i4>
      </vt:variant>
      <vt:variant>
        <vt:i4>0</vt:i4>
      </vt:variant>
      <vt:variant>
        <vt:i4>5</vt:i4>
      </vt:variant>
      <vt:variant>
        <vt:lpwstr/>
      </vt:variant>
      <vt:variant>
        <vt:lpwstr>_Toc533172286</vt:lpwstr>
      </vt:variant>
      <vt:variant>
        <vt:i4>2031667</vt:i4>
      </vt:variant>
      <vt:variant>
        <vt:i4>152</vt:i4>
      </vt:variant>
      <vt:variant>
        <vt:i4>0</vt:i4>
      </vt:variant>
      <vt:variant>
        <vt:i4>5</vt:i4>
      </vt:variant>
      <vt:variant>
        <vt:lpwstr/>
      </vt:variant>
      <vt:variant>
        <vt:lpwstr>_Toc533172285</vt:lpwstr>
      </vt:variant>
      <vt:variant>
        <vt:i4>2031667</vt:i4>
      </vt:variant>
      <vt:variant>
        <vt:i4>146</vt:i4>
      </vt:variant>
      <vt:variant>
        <vt:i4>0</vt:i4>
      </vt:variant>
      <vt:variant>
        <vt:i4>5</vt:i4>
      </vt:variant>
      <vt:variant>
        <vt:lpwstr/>
      </vt:variant>
      <vt:variant>
        <vt:lpwstr>_Toc533172284</vt:lpwstr>
      </vt:variant>
      <vt:variant>
        <vt:i4>2031667</vt:i4>
      </vt:variant>
      <vt:variant>
        <vt:i4>140</vt:i4>
      </vt:variant>
      <vt:variant>
        <vt:i4>0</vt:i4>
      </vt:variant>
      <vt:variant>
        <vt:i4>5</vt:i4>
      </vt:variant>
      <vt:variant>
        <vt:lpwstr/>
      </vt:variant>
      <vt:variant>
        <vt:lpwstr>_Toc533172283</vt:lpwstr>
      </vt:variant>
      <vt:variant>
        <vt:i4>2031667</vt:i4>
      </vt:variant>
      <vt:variant>
        <vt:i4>134</vt:i4>
      </vt:variant>
      <vt:variant>
        <vt:i4>0</vt:i4>
      </vt:variant>
      <vt:variant>
        <vt:i4>5</vt:i4>
      </vt:variant>
      <vt:variant>
        <vt:lpwstr/>
      </vt:variant>
      <vt:variant>
        <vt:lpwstr>_Toc533172282</vt:lpwstr>
      </vt:variant>
      <vt:variant>
        <vt:i4>2031667</vt:i4>
      </vt:variant>
      <vt:variant>
        <vt:i4>128</vt:i4>
      </vt:variant>
      <vt:variant>
        <vt:i4>0</vt:i4>
      </vt:variant>
      <vt:variant>
        <vt:i4>5</vt:i4>
      </vt:variant>
      <vt:variant>
        <vt:lpwstr/>
      </vt:variant>
      <vt:variant>
        <vt:lpwstr>_Toc533172281</vt:lpwstr>
      </vt:variant>
      <vt:variant>
        <vt:i4>2031667</vt:i4>
      </vt:variant>
      <vt:variant>
        <vt:i4>122</vt:i4>
      </vt:variant>
      <vt:variant>
        <vt:i4>0</vt:i4>
      </vt:variant>
      <vt:variant>
        <vt:i4>5</vt:i4>
      </vt:variant>
      <vt:variant>
        <vt:lpwstr/>
      </vt:variant>
      <vt:variant>
        <vt:lpwstr>_Toc533172280</vt:lpwstr>
      </vt:variant>
      <vt:variant>
        <vt:i4>1048627</vt:i4>
      </vt:variant>
      <vt:variant>
        <vt:i4>116</vt:i4>
      </vt:variant>
      <vt:variant>
        <vt:i4>0</vt:i4>
      </vt:variant>
      <vt:variant>
        <vt:i4>5</vt:i4>
      </vt:variant>
      <vt:variant>
        <vt:lpwstr/>
      </vt:variant>
      <vt:variant>
        <vt:lpwstr>_Toc533172279</vt:lpwstr>
      </vt:variant>
      <vt:variant>
        <vt:i4>1048627</vt:i4>
      </vt:variant>
      <vt:variant>
        <vt:i4>110</vt:i4>
      </vt:variant>
      <vt:variant>
        <vt:i4>0</vt:i4>
      </vt:variant>
      <vt:variant>
        <vt:i4>5</vt:i4>
      </vt:variant>
      <vt:variant>
        <vt:lpwstr/>
      </vt:variant>
      <vt:variant>
        <vt:lpwstr>_Toc533172278</vt:lpwstr>
      </vt:variant>
      <vt:variant>
        <vt:i4>1048627</vt:i4>
      </vt:variant>
      <vt:variant>
        <vt:i4>104</vt:i4>
      </vt:variant>
      <vt:variant>
        <vt:i4>0</vt:i4>
      </vt:variant>
      <vt:variant>
        <vt:i4>5</vt:i4>
      </vt:variant>
      <vt:variant>
        <vt:lpwstr/>
      </vt:variant>
      <vt:variant>
        <vt:lpwstr>_Toc533172277</vt:lpwstr>
      </vt:variant>
      <vt:variant>
        <vt:i4>1048627</vt:i4>
      </vt:variant>
      <vt:variant>
        <vt:i4>98</vt:i4>
      </vt:variant>
      <vt:variant>
        <vt:i4>0</vt:i4>
      </vt:variant>
      <vt:variant>
        <vt:i4>5</vt:i4>
      </vt:variant>
      <vt:variant>
        <vt:lpwstr/>
      </vt:variant>
      <vt:variant>
        <vt:lpwstr>_Toc533172276</vt:lpwstr>
      </vt:variant>
      <vt:variant>
        <vt:i4>1048627</vt:i4>
      </vt:variant>
      <vt:variant>
        <vt:i4>92</vt:i4>
      </vt:variant>
      <vt:variant>
        <vt:i4>0</vt:i4>
      </vt:variant>
      <vt:variant>
        <vt:i4>5</vt:i4>
      </vt:variant>
      <vt:variant>
        <vt:lpwstr/>
      </vt:variant>
      <vt:variant>
        <vt:lpwstr>_Toc533172275</vt:lpwstr>
      </vt:variant>
      <vt:variant>
        <vt:i4>1048627</vt:i4>
      </vt:variant>
      <vt:variant>
        <vt:i4>86</vt:i4>
      </vt:variant>
      <vt:variant>
        <vt:i4>0</vt:i4>
      </vt:variant>
      <vt:variant>
        <vt:i4>5</vt:i4>
      </vt:variant>
      <vt:variant>
        <vt:lpwstr/>
      </vt:variant>
      <vt:variant>
        <vt:lpwstr>_Toc533172274</vt:lpwstr>
      </vt:variant>
      <vt:variant>
        <vt:i4>1048627</vt:i4>
      </vt:variant>
      <vt:variant>
        <vt:i4>80</vt:i4>
      </vt:variant>
      <vt:variant>
        <vt:i4>0</vt:i4>
      </vt:variant>
      <vt:variant>
        <vt:i4>5</vt:i4>
      </vt:variant>
      <vt:variant>
        <vt:lpwstr/>
      </vt:variant>
      <vt:variant>
        <vt:lpwstr>_Toc533172273</vt:lpwstr>
      </vt:variant>
      <vt:variant>
        <vt:i4>1048627</vt:i4>
      </vt:variant>
      <vt:variant>
        <vt:i4>74</vt:i4>
      </vt:variant>
      <vt:variant>
        <vt:i4>0</vt:i4>
      </vt:variant>
      <vt:variant>
        <vt:i4>5</vt:i4>
      </vt:variant>
      <vt:variant>
        <vt:lpwstr/>
      </vt:variant>
      <vt:variant>
        <vt:lpwstr>_Toc533172272</vt:lpwstr>
      </vt:variant>
      <vt:variant>
        <vt:i4>1048627</vt:i4>
      </vt:variant>
      <vt:variant>
        <vt:i4>68</vt:i4>
      </vt:variant>
      <vt:variant>
        <vt:i4>0</vt:i4>
      </vt:variant>
      <vt:variant>
        <vt:i4>5</vt:i4>
      </vt:variant>
      <vt:variant>
        <vt:lpwstr/>
      </vt:variant>
      <vt:variant>
        <vt:lpwstr>_Toc533172271</vt:lpwstr>
      </vt:variant>
      <vt:variant>
        <vt:i4>1048627</vt:i4>
      </vt:variant>
      <vt:variant>
        <vt:i4>62</vt:i4>
      </vt:variant>
      <vt:variant>
        <vt:i4>0</vt:i4>
      </vt:variant>
      <vt:variant>
        <vt:i4>5</vt:i4>
      </vt:variant>
      <vt:variant>
        <vt:lpwstr/>
      </vt:variant>
      <vt:variant>
        <vt:lpwstr>_Toc533172270</vt:lpwstr>
      </vt:variant>
      <vt:variant>
        <vt:i4>1114163</vt:i4>
      </vt:variant>
      <vt:variant>
        <vt:i4>56</vt:i4>
      </vt:variant>
      <vt:variant>
        <vt:i4>0</vt:i4>
      </vt:variant>
      <vt:variant>
        <vt:i4>5</vt:i4>
      </vt:variant>
      <vt:variant>
        <vt:lpwstr/>
      </vt:variant>
      <vt:variant>
        <vt:lpwstr>_Toc533172269</vt:lpwstr>
      </vt:variant>
      <vt:variant>
        <vt:i4>1114163</vt:i4>
      </vt:variant>
      <vt:variant>
        <vt:i4>50</vt:i4>
      </vt:variant>
      <vt:variant>
        <vt:i4>0</vt:i4>
      </vt:variant>
      <vt:variant>
        <vt:i4>5</vt:i4>
      </vt:variant>
      <vt:variant>
        <vt:lpwstr/>
      </vt:variant>
      <vt:variant>
        <vt:lpwstr>_Toc533172268</vt:lpwstr>
      </vt:variant>
      <vt:variant>
        <vt:i4>1114163</vt:i4>
      </vt:variant>
      <vt:variant>
        <vt:i4>44</vt:i4>
      </vt:variant>
      <vt:variant>
        <vt:i4>0</vt:i4>
      </vt:variant>
      <vt:variant>
        <vt:i4>5</vt:i4>
      </vt:variant>
      <vt:variant>
        <vt:lpwstr/>
      </vt:variant>
      <vt:variant>
        <vt:lpwstr>_Toc533172267</vt:lpwstr>
      </vt:variant>
      <vt:variant>
        <vt:i4>1114163</vt:i4>
      </vt:variant>
      <vt:variant>
        <vt:i4>38</vt:i4>
      </vt:variant>
      <vt:variant>
        <vt:i4>0</vt:i4>
      </vt:variant>
      <vt:variant>
        <vt:i4>5</vt:i4>
      </vt:variant>
      <vt:variant>
        <vt:lpwstr/>
      </vt:variant>
      <vt:variant>
        <vt:lpwstr>_Toc533172266</vt:lpwstr>
      </vt:variant>
      <vt:variant>
        <vt:i4>1114163</vt:i4>
      </vt:variant>
      <vt:variant>
        <vt:i4>32</vt:i4>
      </vt:variant>
      <vt:variant>
        <vt:i4>0</vt:i4>
      </vt:variant>
      <vt:variant>
        <vt:i4>5</vt:i4>
      </vt:variant>
      <vt:variant>
        <vt:lpwstr/>
      </vt:variant>
      <vt:variant>
        <vt:lpwstr>_Toc533172265</vt:lpwstr>
      </vt:variant>
      <vt:variant>
        <vt:i4>1114163</vt:i4>
      </vt:variant>
      <vt:variant>
        <vt:i4>26</vt:i4>
      </vt:variant>
      <vt:variant>
        <vt:i4>0</vt:i4>
      </vt:variant>
      <vt:variant>
        <vt:i4>5</vt:i4>
      </vt:variant>
      <vt:variant>
        <vt:lpwstr/>
      </vt:variant>
      <vt:variant>
        <vt:lpwstr>_Toc533172264</vt:lpwstr>
      </vt:variant>
      <vt:variant>
        <vt:i4>1114163</vt:i4>
      </vt:variant>
      <vt:variant>
        <vt:i4>20</vt:i4>
      </vt:variant>
      <vt:variant>
        <vt:i4>0</vt:i4>
      </vt:variant>
      <vt:variant>
        <vt:i4>5</vt:i4>
      </vt:variant>
      <vt:variant>
        <vt:lpwstr/>
      </vt:variant>
      <vt:variant>
        <vt:lpwstr>_Toc533172263</vt:lpwstr>
      </vt:variant>
      <vt:variant>
        <vt:i4>1114163</vt:i4>
      </vt:variant>
      <vt:variant>
        <vt:i4>14</vt:i4>
      </vt:variant>
      <vt:variant>
        <vt:i4>0</vt:i4>
      </vt:variant>
      <vt:variant>
        <vt:i4>5</vt:i4>
      </vt:variant>
      <vt:variant>
        <vt:lpwstr/>
      </vt:variant>
      <vt:variant>
        <vt:lpwstr>_Toc533172262</vt:lpwstr>
      </vt:variant>
      <vt:variant>
        <vt:i4>1114163</vt:i4>
      </vt:variant>
      <vt:variant>
        <vt:i4>8</vt:i4>
      </vt:variant>
      <vt:variant>
        <vt:i4>0</vt:i4>
      </vt:variant>
      <vt:variant>
        <vt:i4>5</vt:i4>
      </vt:variant>
      <vt:variant>
        <vt:lpwstr/>
      </vt:variant>
      <vt:variant>
        <vt:lpwstr>_Toc533172261</vt:lpwstr>
      </vt:variant>
      <vt:variant>
        <vt:i4>1114163</vt:i4>
      </vt:variant>
      <vt:variant>
        <vt:i4>2</vt:i4>
      </vt:variant>
      <vt:variant>
        <vt:i4>0</vt:i4>
      </vt:variant>
      <vt:variant>
        <vt:i4>5</vt:i4>
      </vt:variant>
      <vt:variant>
        <vt:lpwstr/>
      </vt:variant>
      <vt:variant>
        <vt:lpwstr>_Toc533172260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 Procurement Planning</dc:title>
  <dc:subject/>
  <dc:creator>mkuwamot</dc:creator>
  <cp:keywords/>
  <cp:lastModifiedBy>Reynaga, Martin@DGS</cp:lastModifiedBy>
  <cp:revision>17</cp:revision>
  <cp:lastPrinted>2014-10-28T15:26:00Z</cp:lastPrinted>
  <dcterms:created xsi:type="dcterms:W3CDTF">2019-07-01T23:21:00Z</dcterms:created>
  <dcterms:modified xsi:type="dcterms:W3CDTF">2020-01-06T23:34:00Z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0x0101002A4555CB3C69464C8FD80398EDFECF6B</vt:lpwstr>
  </property>
  <property fmtid="{D5CDD505-2E9C-101B-9397-08002B2CF9AE}" pid="3" name="_dlc_DocIdItemGuid">
    <vt:lpwstr>e1aedebc-83cd-4235-b702-43c05a98fb2b</vt:lpwstr>
  </property>
</Properties>
</file>