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67" w:rsidRPr="000349C6" w:rsidRDefault="00113E67">
      <w:pPr>
        <w:pStyle w:val="PublicationTitle"/>
        <w:rPr>
          <w:sz w:val="24"/>
          <w:szCs w:val="24"/>
        </w:rPr>
      </w:pPr>
      <w:r w:rsidRPr="000349C6">
        <w:rPr>
          <w:sz w:val="24"/>
          <w:szCs w:val="24"/>
        </w:rPr>
        <w:t>Introduction</w:t>
      </w:r>
    </w:p>
    <w:p w:rsidR="00113E67" w:rsidRPr="000349C6" w:rsidRDefault="00113E67">
      <w:pPr>
        <w:pStyle w:val="TOCTitle"/>
        <w:rPr>
          <w:sz w:val="24"/>
          <w:szCs w:val="24"/>
        </w:rPr>
      </w:pPr>
      <w:r w:rsidRPr="000349C6">
        <w:rPr>
          <w:sz w:val="24"/>
          <w:szCs w:val="24"/>
        </w:rPr>
        <w:t>Table of Contents</w:t>
      </w:r>
    </w:p>
    <w:p w:rsidR="00113E67" w:rsidRPr="000349C6" w:rsidRDefault="00113E67">
      <w:pPr>
        <w:pStyle w:val="MemoLine"/>
        <w:rPr>
          <w:sz w:val="24"/>
          <w:szCs w:val="24"/>
        </w:rPr>
      </w:pPr>
    </w:p>
    <w:p w:rsidR="00D52C20" w:rsidRPr="000349C6" w:rsidRDefault="00113E67">
      <w:pPr>
        <w:pStyle w:val="TOC4"/>
        <w:tabs>
          <w:tab w:val="right" w:leader="dot" w:pos="9350"/>
        </w:tabs>
        <w:rPr>
          <w:noProof/>
          <w:sz w:val="24"/>
          <w:szCs w:val="24"/>
        </w:rPr>
      </w:pPr>
      <w:r w:rsidRPr="000349C6">
        <w:rPr>
          <w:sz w:val="24"/>
          <w:szCs w:val="24"/>
        </w:rPr>
        <w:fldChar w:fldCharType="begin"/>
      </w:r>
      <w:r w:rsidRPr="000349C6">
        <w:rPr>
          <w:sz w:val="24"/>
          <w:szCs w:val="24"/>
        </w:rPr>
        <w:instrText xml:space="preserve"> TOC \o "1-5" \h </w:instrText>
      </w:r>
      <w:r w:rsidRPr="000349C6">
        <w:rPr>
          <w:sz w:val="24"/>
          <w:szCs w:val="24"/>
        </w:rPr>
        <w:fldChar w:fldCharType="separate"/>
      </w:r>
      <w:hyperlink w:anchor="_Toc223156253" w:history="1">
        <w:r w:rsidR="00D52C20" w:rsidRPr="000349C6">
          <w:rPr>
            <w:rStyle w:val="Hyperlink"/>
            <w:noProof/>
            <w:sz w:val="24"/>
            <w:szCs w:val="24"/>
          </w:rPr>
          <w:t>Topic 1 - Overview</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_Toc223156253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2</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54" w:history="1">
        <w:r w:rsidR="00D52C20" w:rsidRPr="000349C6">
          <w:rPr>
            <w:rStyle w:val="Hyperlink"/>
            <w:noProof/>
            <w:sz w:val="24"/>
            <w:szCs w:val="24"/>
          </w:rPr>
          <w:t>I.1.0  Welcome</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_Toc223156254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2</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55" w:history="1">
        <w:r w:rsidR="00D52C20" w:rsidRPr="000349C6">
          <w:rPr>
            <w:rStyle w:val="Hyperlink"/>
            <w:noProof/>
            <w:sz w:val="24"/>
            <w:szCs w:val="24"/>
          </w:rPr>
          <w:t>I.1.1  Purpose</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_Toc223156255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2</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56" w:history="1">
        <w:r w:rsidR="00D52C20" w:rsidRPr="000349C6">
          <w:rPr>
            <w:rStyle w:val="Hyperlink"/>
            <w:noProof/>
            <w:sz w:val="24"/>
            <w:szCs w:val="24"/>
          </w:rPr>
          <w:t>I.1.2  Scope of manual</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_Toc223156256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2</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57" w:history="1">
        <w:r w:rsidR="00D52C20" w:rsidRPr="000349C6">
          <w:rPr>
            <w:rStyle w:val="Hyperlink"/>
            <w:noProof/>
            <w:sz w:val="24"/>
            <w:szCs w:val="24"/>
          </w:rPr>
          <w:t>I.1.3  How to approach the intent of SCM, Vol 2</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_Toc223156257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3</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58" w:history="1">
        <w:r w:rsidR="00D52C20" w:rsidRPr="000349C6">
          <w:rPr>
            <w:rStyle w:val="Hyperlink"/>
            <w:noProof/>
            <w:sz w:val="24"/>
            <w:szCs w:val="24"/>
          </w:rPr>
          <w:t>I.1.4  Table of Contents</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_Toc223156258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3</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59" w:history="1">
        <w:r w:rsidR="00D52C20" w:rsidRPr="000349C6">
          <w:rPr>
            <w:rStyle w:val="Hyperlink"/>
            <w:noProof/>
            <w:sz w:val="24"/>
            <w:szCs w:val="24"/>
          </w:rPr>
          <w:t>I.1.5  Guide to SCM, Vol. 2 usage</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_Toc223156259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4</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60" w:history="1">
        <w:r w:rsidR="00D52C20" w:rsidRPr="000349C6">
          <w:rPr>
            <w:rStyle w:val="Hyperlink"/>
            <w:noProof/>
            <w:sz w:val="24"/>
            <w:szCs w:val="24"/>
          </w:rPr>
          <w:t>I.1.6  Availability of the manual</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_Toc223156260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4</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61" w:history="1">
        <w:r w:rsidR="00D52C20" w:rsidRPr="000349C6">
          <w:rPr>
            <w:rStyle w:val="Hyperlink"/>
            <w:noProof/>
            <w:sz w:val="24"/>
            <w:szCs w:val="24"/>
          </w:rPr>
          <w:t>I.1.7  Revisions to SCM, Vol 2</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_Toc223156261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4</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62" w:history="1">
        <w:r w:rsidR="00D52C20" w:rsidRPr="000349C6">
          <w:rPr>
            <w:rStyle w:val="Hyperlink"/>
            <w:noProof/>
            <w:sz w:val="24"/>
            <w:szCs w:val="24"/>
          </w:rPr>
          <w:t>I.1.8  Statutory, regulatory, policy and procedural requirements</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_Toc223156262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5</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63" w:history="1">
        <w:r w:rsidR="00D52C20" w:rsidRPr="000349C6">
          <w:rPr>
            <w:rStyle w:val="Hyperlink"/>
            <w:noProof/>
            <w:sz w:val="24"/>
            <w:szCs w:val="24"/>
          </w:rPr>
          <w:t>I.1.9  Additional reference material</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_Toc223156263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6</w:t>
        </w:r>
        <w:r w:rsidR="00D52C20" w:rsidRPr="000349C6">
          <w:rPr>
            <w:noProof/>
            <w:sz w:val="24"/>
            <w:szCs w:val="24"/>
          </w:rPr>
          <w:fldChar w:fldCharType="end"/>
        </w:r>
      </w:hyperlink>
    </w:p>
    <w:p w:rsidR="00D52C20" w:rsidRPr="000349C6" w:rsidRDefault="00D42070">
      <w:pPr>
        <w:pStyle w:val="TOC5"/>
        <w:tabs>
          <w:tab w:val="right" w:leader="dot" w:pos="9350"/>
        </w:tabs>
        <w:rPr>
          <w:noProof/>
          <w:sz w:val="24"/>
          <w:szCs w:val="24"/>
        </w:rPr>
      </w:pPr>
      <w:hyperlink w:anchor="_Toc223156264" w:history="1">
        <w:r w:rsidR="00D52C20" w:rsidRPr="000349C6">
          <w:rPr>
            <w:rStyle w:val="Hyperlink"/>
            <w:noProof/>
            <w:sz w:val="24"/>
            <w:szCs w:val="24"/>
          </w:rPr>
          <w:t>I.1.10  Resource directory</w:t>
        </w:r>
        <w:r w:rsidR="00D52C20" w:rsidRPr="000349C6">
          <w:rPr>
            <w:noProof/>
            <w:sz w:val="24"/>
            <w:szCs w:val="24"/>
          </w:rPr>
          <w:tab/>
        </w:r>
        <w:r w:rsidR="00D52C20" w:rsidRPr="000349C6">
          <w:rPr>
            <w:noProof/>
            <w:sz w:val="24"/>
            <w:szCs w:val="24"/>
          </w:rPr>
          <w:fldChar w:fldCharType="begin"/>
        </w:r>
        <w:r w:rsidR="00D52C20" w:rsidRPr="000349C6">
          <w:rPr>
            <w:noProof/>
            <w:sz w:val="24"/>
            <w:szCs w:val="24"/>
          </w:rPr>
          <w:instrText xml:space="preserve"> PAGEREF _Toc223156264 \h </w:instrText>
        </w:r>
        <w:r w:rsidR="00D52C20" w:rsidRPr="000349C6">
          <w:rPr>
            <w:noProof/>
            <w:sz w:val="24"/>
            <w:szCs w:val="24"/>
          </w:rPr>
        </w:r>
        <w:r w:rsidR="00D52C20" w:rsidRPr="000349C6">
          <w:rPr>
            <w:noProof/>
            <w:sz w:val="24"/>
            <w:szCs w:val="24"/>
          </w:rPr>
          <w:fldChar w:fldCharType="separate"/>
        </w:r>
        <w:r w:rsidR="00216CEA" w:rsidRPr="000349C6">
          <w:rPr>
            <w:noProof/>
            <w:sz w:val="24"/>
            <w:szCs w:val="24"/>
          </w:rPr>
          <w:t>6</w:t>
        </w:r>
        <w:r w:rsidR="00D52C20" w:rsidRPr="000349C6">
          <w:rPr>
            <w:noProof/>
            <w:sz w:val="24"/>
            <w:szCs w:val="24"/>
          </w:rPr>
          <w:fldChar w:fldCharType="end"/>
        </w:r>
      </w:hyperlink>
    </w:p>
    <w:p w:rsidR="00113E67" w:rsidRPr="000349C6" w:rsidRDefault="00113E67">
      <w:pPr>
        <w:pStyle w:val="MemoLine"/>
        <w:rPr>
          <w:sz w:val="24"/>
          <w:szCs w:val="24"/>
        </w:rPr>
      </w:pPr>
      <w:r w:rsidRPr="000349C6">
        <w:rPr>
          <w:sz w:val="24"/>
          <w:szCs w:val="24"/>
        </w:rPr>
        <w:fldChar w:fldCharType="end"/>
      </w:r>
    </w:p>
    <w:p w:rsidR="00113E67" w:rsidRPr="000349C6" w:rsidRDefault="00113E67">
      <w:pPr>
        <w:pStyle w:val="TOCTitle"/>
        <w:rPr>
          <w:sz w:val="24"/>
          <w:szCs w:val="24"/>
        </w:rPr>
        <w:sectPr w:rsidR="00113E67" w:rsidRPr="000349C6">
          <w:headerReference w:type="even" r:id="rId7"/>
          <w:headerReference w:type="default" r:id="rId8"/>
          <w:footerReference w:type="even" r:id="rId9"/>
          <w:footerReference w:type="default" r:id="rId10"/>
          <w:pgSz w:w="12240" w:h="15840" w:code="1"/>
          <w:pgMar w:top="1440" w:right="1440" w:bottom="1440" w:left="1440" w:header="709" w:footer="709" w:gutter="0"/>
          <w:cols w:space="720"/>
          <w:docGrid w:linePitch="326"/>
        </w:sectPr>
      </w:pPr>
    </w:p>
    <w:p w:rsidR="00113E67" w:rsidRPr="000349C6" w:rsidRDefault="00113E67">
      <w:pPr>
        <w:pStyle w:val="PublicationTitle"/>
        <w:rPr>
          <w:sz w:val="24"/>
          <w:szCs w:val="24"/>
        </w:rPr>
      </w:pPr>
      <w:r w:rsidRPr="000349C6">
        <w:rPr>
          <w:sz w:val="24"/>
          <w:szCs w:val="24"/>
        </w:rPr>
        <w:lastRenderedPageBreak/>
        <w:t>Introduction</w:t>
      </w:r>
    </w:p>
    <w:p w:rsidR="00113E67" w:rsidRPr="000349C6" w:rsidRDefault="00113E67">
      <w:pPr>
        <w:pStyle w:val="Heading4"/>
        <w:rPr>
          <w:sz w:val="24"/>
          <w:szCs w:val="24"/>
        </w:rPr>
      </w:pPr>
      <w:bookmarkStart w:id="0" w:name="_Toc83009147"/>
      <w:bookmarkStart w:id="1" w:name="_Toc223156253"/>
      <w:r w:rsidRPr="000349C6">
        <w:rPr>
          <w:sz w:val="24"/>
          <w:szCs w:val="24"/>
        </w:rPr>
        <w:t>Topic 1 - Overview</w:t>
      </w:r>
      <w:bookmarkEnd w:id="0"/>
      <w:bookmarkEnd w:id="1"/>
    </w:p>
    <w:p w:rsidR="00113E67" w:rsidRPr="000349C6" w:rsidRDefault="00113E67">
      <w:pPr>
        <w:pStyle w:val="BlockLine"/>
        <w:rPr>
          <w:sz w:val="24"/>
          <w:szCs w:val="24"/>
        </w:rPr>
      </w:pPr>
    </w:p>
    <w:p w:rsidR="000349C6" w:rsidRPr="000349C6" w:rsidRDefault="000349C6">
      <w:pPr>
        <w:pStyle w:val="Heading5"/>
        <w:rPr>
          <w:sz w:val="24"/>
          <w:szCs w:val="24"/>
        </w:rPr>
      </w:pPr>
      <w:bookmarkStart w:id="2" w:name="_Toc83009148"/>
      <w:bookmarkStart w:id="3" w:name="_Toc223156254"/>
      <w:proofErr w:type="gramStart"/>
      <w:r w:rsidRPr="000349C6">
        <w:rPr>
          <w:sz w:val="24"/>
          <w:szCs w:val="24"/>
        </w:rPr>
        <w:t>I.1.0  Welcome</w:t>
      </w:r>
      <w:bookmarkEnd w:id="2"/>
      <w:bookmarkEnd w:id="3"/>
      <w:proofErr w:type="gramEnd"/>
    </w:p>
    <w:p w:rsidR="000349C6" w:rsidRPr="000349C6" w:rsidRDefault="000349C6">
      <w:pPr>
        <w:pStyle w:val="BlockText0"/>
        <w:rPr>
          <w:sz w:val="24"/>
          <w:szCs w:val="24"/>
        </w:rPr>
      </w:pPr>
      <w:r w:rsidRPr="000349C6">
        <w:rPr>
          <w:sz w:val="24"/>
          <w:szCs w:val="24"/>
        </w:rPr>
        <w:t xml:space="preserve">Welcome to the State Contracting Manual, Vol. 2, issued by the Department of General Services, Procurement Division (DGS/PD), Office of Policies, Procedures and Legislation. </w:t>
      </w:r>
    </w:p>
    <w:p w:rsidR="00113E67" w:rsidRPr="000349C6" w:rsidRDefault="00113E67">
      <w:pPr>
        <w:pStyle w:val="BlockLine"/>
        <w:rPr>
          <w:sz w:val="24"/>
          <w:szCs w:val="24"/>
        </w:rPr>
      </w:pPr>
    </w:p>
    <w:p w:rsidR="000349C6" w:rsidRPr="000349C6" w:rsidRDefault="000349C6">
      <w:pPr>
        <w:pStyle w:val="Heading5"/>
        <w:rPr>
          <w:sz w:val="24"/>
          <w:szCs w:val="24"/>
        </w:rPr>
      </w:pPr>
      <w:bookmarkStart w:id="4" w:name="_Toc83009149"/>
      <w:bookmarkStart w:id="5" w:name="_Toc223156255"/>
      <w:proofErr w:type="gramStart"/>
      <w:r w:rsidRPr="000349C6">
        <w:rPr>
          <w:sz w:val="24"/>
          <w:szCs w:val="24"/>
        </w:rPr>
        <w:t>I.1.1  Purpose</w:t>
      </w:r>
      <w:bookmarkEnd w:id="4"/>
      <w:bookmarkEnd w:id="5"/>
      <w:proofErr w:type="gramEnd"/>
    </w:p>
    <w:p w:rsidR="000349C6" w:rsidRPr="000349C6" w:rsidRDefault="000349C6">
      <w:pPr>
        <w:pStyle w:val="BlockText0"/>
        <w:rPr>
          <w:sz w:val="24"/>
          <w:szCs w:val="24"/>
        </w:rPr>
      </w:pPr>
      <w:r w:rsidRPr="000349C6">
        <w:rPr>
          <w:sz w:val="24"/>
          <w:szCs w:val="24"/>
        </w:rPr>
        <w:t>The State Contracting Manual (SCM), Vol. 2 provides Procurement &amp; Contracting Officers (PCO) and procurement staff (exclusive of the DGS/PD procurement staff) with the requirements for obtaining and maintaining delegated purchasing authority.  It is the necessary resource to ensure the application of consistent and sound business practices in State purchasing.</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It is also a demonstration of the DGS/PD’s ongoing commitment to increasing communication with those involved in State procurement.</w:t>
      </w:r>
    </w:p>
    <w:p w:rsidR="00113E67" w:rsidRPr="000349C6" w:rsidRDefault="00113E67">
      <w:pPr>
        <w:pStyle w:val="BlockLine"/>
        <w:rPr>
          <w:sz w:val="24"/>
          <w:szCs w:val="24"/>
        </w:rPr>
      </w:pPr>
    </w:p>
    <w:p w:rsidR="000349C6" w:rsidRPr="000349C6" w:rsidRDefault="000349C6">
      <w:pPr>
        <w:pStyle w:val="Heading5"/>
        <w:rPr>
          <w:sz w:val="24"/>
          <w:szCs w:val="24"/>
        </w:rPr>
      </w:pPr>
      <w:bookmarkStart w:id="6" w:name="_Toc83009150"/>
      <w:bookmarkStart w:id="7" w:name="_Toc223156256"/>
      <w:proofErr w:type="gramStart"/>
      <w:r w:rsidRPr="000349C6">
        <w:rPr>
          <w:sz w:val="24"/>
          <w:szCs w:val="24"/>
        </w:rPr>
        <w:t>I.1.2  Scope</w:t>
      </w:r>
      <w:proofErr w:type="gramEnd"/>
      <w:r w:rsidRPr="000349C6">
        <w:rPr>
          <w:sz w:val="24"/>
          <w:szCs w:val="24"/>
        </w:rPr>
        <w:t xml:space="preserve"> of manual</w:t>
      </w:r>
      <w:bookmarkEnd w:id="6"/>
      <w:bookmarkEnd w:id="7"/>
    </w:p>
    <w:p w:rsidR="000349C6" w:rsidRPr="000349C6" w:rsidRDefault="000349C6">
      <w:pPr>
        <w:pStyle w:val="BlockText0"/>
        <w:rPr>
          <w:sz w:val="24"/>
          <w:szCs w:val="24"/>
        </w:rPr>
      </w:pPr>
      <w:r w:rsidRPr="000349C6">
        <w:rPr>
          <w:sz w:val="24"/>
          <w:szCs w:val="24"/>
        </w:rPr>
        <w:t>The SCM, Vol. 2 contains purchasing authority requirements, including statutes, regulations, policies, procedures and best practices applicable to the acquisition of non-information technology (non-IT) goods.  Also included is how departments may apply for purchasing authority, maintain compliance with the purchasing authority program and the ‘how’s and why’s” of competitive bidding, non-competitive contracting and leveraged procurement agreements (LPA).</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“Department”, for the purpose of this manual and delegated purchasing authority, refers to any entity of the executive branch of California government including, but not limited to, agency, department, board, commission, office, association or institution.</w:t>
      </w:r>
    </w:p>
    <w:p w:rsidR="00113E67" w:rsidRPr="000349C6" w:rsidRDefault="00113E67">
      <w:pPr>
        <w:pStyle w:val="ContinuedOnNextPa"/>
        <w:rPr>
          <w:sz w:val="24"/>
          <w:szCs w:val="24"/>
        </w:rPr>
      </w:pPr>
    </w:p>
    <w:p w:rsidR="00113E67" w:rsidRPr="000349C6" w:rsidRDefault="00113E67">
      <w:pPr>
        <w:pStyle w:val="MapTitleContinued"/>
        <w:rPr>
          <w:b w:val="0"/>
          <w:sz w:val="24"/>
          <w:szCs w:val="24"/>
        </w:rPr>
      </w:pPr>
      <w:r w:rsidRPr="000349C6">
        <w:rPr>
          <w:sz w:val="24"/>
          <w:szCs w:val="24"/>
        </w:rPr>
        <w:br w:type="page"/>
      </w:r>
    </w:p>
    <w:p w:rsidR="00113E67" w:rsidRPr="000349C6" w:rsidRDefault="00113E67">
      <w:pPr>
        <w:pStyle w:val="BlockLine"/>
        <w:rPr>
          <w:sz w:val="24"/>
          <w:szCs w:val="24"/>
        </w:rPr>
      </w:pPr>
    </w:p>
    <w:p w:rsidR="000349C6" w:rsidRPr="000349C6" w:rsidRDefault="000349C6">
      <w:pPr>
        <w:pStyle w:val="Heading5"/>
        <w:rPr>
          <w:sz w:val="24"/>
          <w:szCs w:val="24"/>
        </w:rPr>
      </w:pPr>
      <w:bookmarkStart w:id="8" w:name="_Toc83009151"/>
      <w:bookmarkStart w:id="9" w:name="_Toc223156257"/>
      <w:r w:rsidRPr="000349C6">
        <w:rPr>
          <w:sz w:val="24"/>
          <w:szCs w:val="24"/>
        </w:rPr>
        <w:t xml:space="preserve">I.1.3 </w:t>
      </w:r>
    </w:p>
    <w:p w:rsidR="000349C6" w:rsidRPr="000349C6" w:rsidRDefault="000349C6">
      <w:pPr>
        <w:pStyle w:val="Heading5"/>
        <w:rPr>
          <w:sz w:val="24"/>
          <w:szCs w:val="24"/>
        </w:rPr>
      </w:pPr>
      <w:r w:rsidRPr="000349C6">
        <w:rPr>
          <w:sz w:val="24"/>
          <w:szCs w:val="24"/>
        </w:rPr>
        <w:t xml:space="preserve">How to approach the intent of SCM, Vol. </w:t>
      </w:r>
      <w:proofErr w:type="gramStart"/>
      <w:r w:rsidRPr="000349C6">
        <w:rPr>
          <w:sz w:val="24"/>
          <w:szCs w:val="24"/>
        </w:rPr>
        <w:t>2</w:t>
      </w:r>
      <w:bookmarkEnd w:id="8"/>
      <w:bookmarkEnd w:id="9"/>
      <w:proofErr w:type="gramEnd"/>
    </w:p>
    <w:p w:rsidR="000349C6" w:rsidRPr="000349C6" w:rsidRDefault="000349C6" w:rsidP="007D033A">
      <w:pPr>
        <w:pStyle w:val="BlockText0"/>
        <w:rPr>
          <w:sz w:val="24"/>
          <w:szCs w:val="24"/>
        </w:rPr>
      </w:pPr>
      <w:r w:rsidRPr="000349C6">
        <w:rPr>
          <w:sz w:val="24"/>
          <w:szCs w:val="24"/>
        </w:rPr>
        <w:t>The SCM, Vol. 2 represents the minimum requirements for obtaining and maintaining purchasing authority.  If a department elects to exceed any of the minimum requirements of what is documented in the SCM, Vol. 2, then the expectation is that those additional departmental requirements will be documented within the department’s purchasing authority policies and procedures.</w:t>
      </w:r>
    </w:p>
    <w:p w:rsidR="000349C6" w:rsidRPr="000349C6" w:rsidRDefault="000349C6" w:rsidP="007D033A">
      <w:pPr>
        <w:pStyle w:val="BlockText0"/>
        <w:rPr>
          <w:sz w:val="24"/>
          <w:szCs w:val="24"/>
        </w:rPr>
      </w:pPr>
    </w:p>
    <w:p w:rsidR="000349C6" w:rsidRPr="000349C6" w:rsidRDefault="000349C6" w:rsidP="007D033A">
      <w:pPr>
        <w:pStyle w:val="BlockText0"/>
        <w:rPr>
          <w:sz w:val="24"/>
          <w:szCs w:val="24"/>
        </w:rPr>
      </w:pPr>
      <w:r w:rsidRPr="000349C6">
        <w:rPr>
          <w:sz w:val="24"/>
          <w:szCs w:val="24"/>
        </w:rPr>
        <w:t>Additionally, the SCM, Vol. 2 was written from the perspective that the department’s procurement office is the main repository of all documentation impacting its purchasing activities.  If that is not true of your department, again, this is expected to be documented within the department’s procurement policies and procedures.</w:t>
      </w:r>
    </w:p>
    <w:p w:rsidR="00113E67" w:rsidRPr="000349C6" w:rsidRDefault="00113E67">
      <w:pPr>
        <w:pStyle w:val="BlockLine"/>
        <w:rPr>
          <w:sz w:val="24"/>
          <w:szCs w:val="24"/>
        </w:rPr>
      </w:pPr>
    </w:p>
    <w:p w:rsidR="000349C6" w:rsidRPr="000349C6" w:rsidRDefault="000349C6">
      <w:pPr>
        <w:pStyle w:val="Heading5"/>
        <w:rPr>
          <w:sz w:val="24"/>
          <w:szCs w:val="24"/>
        </w:rPr>
      </w:pPr>
      <w:bookmarkStart w:id="10" w:name="_Toc83009152"/>
      <w:bookmarkStart w:id="11" w:name="_Toc223156258"/>
      <w:r w:rsidRPr="000349C6">
        <w:rPr>
          <w:sz w:val="24"/>
          <w:szCs w:val="24"/>
        </w:rPr>
        <w:t xml:space="preserve">I.1.4 </w:t>
      </w:r>
      <w:bookmarkEnd w:id="10"/>
    </w:p>
    <w:p w:rsidR="000349C6" w:rsidRPr="000349C6" w:rsidRDefault="000349C6">
      <w:pPr>
        <w:pStyle w:val="Heading5"/>
        <w:rPr>
          <w:sz w:val="24"/>
          <w:szCs w:val="24"/>
        </w:rPr>
      </w:pPr>
      <w:r w:rsidRPr="000349C6">
        <w:rPr>
          <w:sz w:val="24"/>
          <w:szCs w:val="24"/>
        </w:rPr>
        <w:t>Table of Contents</w:t>
      </w:r>
      <w:bookmarkEnd w:id="11"/>
    </w:p>
    <w:p w:rsidR="000349C6" w:rsidRPr="000349C6" w:rsidRDefault="000349C6">
      <w:pPr>
        <w:pStyle w:val="BlockText0"/>
        <w:rPr>
          <w:sz w:val="24"/>
          <w:szCs w:val="24"/>
        </w:rPr>
      </w:pPr>
      <w:r w:rsidRPr="000349C6">
        <w:rPr>
          <w:sz w:val="24"/>
          <w:szCs w:val="24"/>
        </w:rPr>
        <w:t>Each chapter of the SCM, Vol. 2 has a table of contents unique to the individual chapter.  The information below provides the reader with an overview of the manual by chapter:</w:t>
      </w:r>
    </w:p>
    <w:p w:rsidR="000349C6" w:rsidRPr="000349C6" w:rsidRDefault="000349C6">
      <w:pPr>
        <w:pStyle w:val="BlockText0"/>
        <w:ind w:left="1392" w:hanging="1392"/>
        <w:rPr>
          <w:sz w:val="24"/>
          <w:szCs w:val="24"/>
        </w:rPr>
      </w:pPr>
      <w:proofErr w:type="gramStart"/>
      <w:r w:rsidRPr="000349C6">
        <w:rPr>
          <w:sz w:val="24"/>
          <w:szCs w:val="24"/>
        </w:rPr>
        <w:t>Chapter  1</w:t>
      </w:r>
      <w:proofErr w:type="gramEnd"/>
      <w:r w:rsidRPr="000349C6">
        <w:rPr>
          <w:sz w:val="24"/>
          <w:szCs w:val="24"/>
        </w:rPr>
        <w:t xml:space="preserve"> - Purchasing Authority</w:t>
      </w:r>
    </w:p>
    <w:p w:rsidR="000349C6" w:rsidRPr="000349C6" w:rsidRDefault="000349C6">
      <w:pPr>
        <w:pStyle w:val="BlockText0"/>
        <w:ind w:left="1392" w:hanging="1392"/>
        <w:rPr>
          <w:sz w:val="24"/>
          <w:szCs w:val="24"/>
        </w:rPr>
      </w:pPr>
      <w:proofErr w:type="gramStart"/>
      <w:r w:rsidRPr="000349C6">
        <w:rPr>
          <w:sz w:val="24"/>
          <w:szCs w:val="24"/>
        </w:rPr>
        <w:t>Chapter  2</w:t>
      </w:r>
      <w:proofErr w:type="gramEnd"/>
      <w:r w:rsidRPr="000349C6">
        <w:rPr>
          <w:sz w:val="24"/>
          <w:szCs w:val="24"/>
        </w:rPr>
        <w:t xml:space="preserve"> - Procurement Planning</w:t>
      </w:r>
    </w:p>
    <w:p w:rsidR="000349C6" w:rsidRPr="000349C6" w:rsidRDefault="000349C6">
      <w:pPr>
        <w:pStyle w:val="BlockText0"/>
        <w:ind w:left="1392" w:hanging="1392"/>
        <w:rPr>
          <w:sz w:val="24"/>
          <w:szCs w:val="24"/>
        </w:rPr>
      </w:pPr>
      <w:proofErr w:type="gramStart"/>
      <w:r w:rsidRPr="000349C6">
        <w:rPr>
          <w:sz w:val="24"/>
          <w:szCs w:val="24"/>
        </w:rPr>
        <w:t>Chapter  3</w:t>
      </w:r>
      <w:proofErr w:type="gramEnd"/>
      <w:r w:rsidRPr="000349C6">
        <w:rPr>
          <w:sz w:val="24"/>
          <w:szCs w:val="24"/>
        </w:rPr>
        <w:t xml:space="preserve"> - Socioeconomic and Environmental Programs</w:t>
      </w:r>
    </w:p>
    <w:p w:rsidR="000349C6" w:rsidRPr="000349C6" w:rsidRDefault="000349C6">
      <w:pPr>
        <w:pStyle w:val="BlockText0"/>
        <w:ind w:left="1392" w:hanging="1392"/>
        <w:rPr>
          <w:sz w:val="24"/>
          <w:szCs w:val="24"/>
        </w:rPr>
      </w:pPr>
      <w:proofErr w:type="gramStart"/>
      <w:r w:rsidRPr="000349C6">
        <w:rPr>
          <w:sz w:val="24"/>
          <w:szCs w:val="24"/>
        </w:rPr>
        <w:t>Chapter  4</w:t>
      </w:r>
      <w:proofErr w:type="gramEnd"/>
      <w:r w:rsidRPr="000349C6">
        <w:rPr>
          <w:sz w:val="24"/>
          <w:szCs w:val="24"/>
        </w:rPr>
        <w:t xml:space="preserve"> - Competitive Solicitations</w:t>
      </w:r>
    </w:p>
    <w:p w:rsidR="000349C6" w:rsidRPr="000349C6" w:rsidRDefault="000349C6">
      <w:pPr>
        <w:pStyle w:val="BlockText0"/>
        <w:ind w:left="1392" w:hanging="1392"/>
        <w:rPr>
          <w:sz w:val="24"/>
          <w:szCs w:val="24"/>
        </w:rPr>
      </w:pPr>
      <w:proofErr w:type="gramStart"/>
      <w:r w:rsidRPr="000349C6">
        <w:rPr>
          <w:sz w:val="24"/>
          <w:szCs w:val="24"/>
        </w:rPr>
        <w:t>Chapter  5</w:t>
      </w:r>
      <w:proofErr w:type="gramEnd"/>
      <w:r w:rsidRPr="000349C6">
        <w:rPr>
          <w:sz w:val="24"/>
          <w:szCs w:val="24"/>
        </w:rPr>
        <w:t xml:space="preserve"> – Non-Competitively Bid (NCB) Contracts </w:t>
      </w:r>
    </w:p>
    <w:p w:rsidR="000349C6" w:rsidRPr="000349C6" w:rsidRDefault="000349C6">
      <w:pPr>
        <w:pStyle w:val="BlockText0"/>
        <w:ind w:left="1392" w:hanging="1392"/>
        <w:rPr>
          <w:sz w:val="24"/>
          <w:szCs w:val="24"/>
        </w:rPr>
      </w:pPr>
      <w:proofErr w:type="gramStart"/>
      <w:r w:rsidRPr="000349C6">
        <w:rPr>
          <w:sz w:val="24"/>
          <w:szCs w:val="24"/>
        </w:rPr>
        <w:t>Chapter  6</w:t>
      </w:r>
      <w:proofErr w:type="gramEnd"/>
      <w:r w:rsidRPr="000349C6">
        <w:rPr>
          <w:sz w:val="24"/>
          <w:szCs w:val="24"/>
        </w:rPr>
        <w:t xml:space="preserve"> - Leveraged Procurement Agreements</w:t>
      </w:r>
    </w:p>
    <w:p w:rsidR="000349C6" w:rsidRPr="000349C6" w:rsidRDefault="000349C6">
      <w:pPr>
        <w:pStyle w:val="BlockText0"/>
        <w:ind w:left="1392" w:hanging="1392"/>
        <w:rPr>
          <w:sz w:val="24"/>
          <w:szCs w:val="24"/>
        </w:rPr>
      </w:pPr>
      <w:proofErr w:type="gramStart"/>
      <w:r w:rsidRPr="000349C6">
        <w:rPr>
          <w:sz w:val="24"/>
          <w:szCs w:val="24"/>
        </w:rPr>
        <w:t>Chapter  7</w:t>
      </w:r>
      <w:proofErr w:type="gramEnd"/>
      <w:r w:rsidRPr="000349C6">
        <w:rPr>
          <w:sz w:val="24"/>
          <w:szCs w:val="24"/>
        </w:rPr>
        <w:t xml:space="preserve"> - Protest and Post Award Disputes</w:t>
      </w:r>
    </w:p>
    <w:p w:rsidR="000349C6" w:rsidRPr="000349C6" w:rsidRDefault="000349C6">
      <w:pPr>
        <w:pStyle w:val="BlockText0"/>
        <w:ind w:left="1392" w:hanging="1392"/>
        <w:rPr>
          <w:sz w:val="24"/>
          <w:szCs w:val="24"/>
        </w:rPr>
      </w:pPr>
      <w:proofErr w:type="gramStart"/>
      <w:r w:rsidRPr="000349C6">
        <w:rPr>
          <w:sz w:val="24"/>
          <w:szCs w:val="24"/>
        </w:rPr>
        <w:t>Chapter  8</w:t>
      </w:r>
      <w:proofErr w:type="gramEnd"/>
      <w:r w:rsidRPr="000349C6">
        <w:rPr>
          <w:sz w:val="24"/>
          <w:szCs w:val="24"/>
        </w:rPr>
        <w:t xml:space="preserve"> - Purchase Documents</w:t>
      </w:r>
    </w:p>
    <w:p w:rsidR="000349C6" w:rsidRPr="000349C6" w:rsidRDefault="000349C6">
      <w:pPr>
        <w:pStyle w:val="BlockText0"/>
        <w:ind w:left="1272" w:hanging="1272"/>
        <w:rPr>
          <w:sz w:val="24"/>
          <w:szCs w:val="24"/>
        </w:rPr>
      </w:pPr>
      <w:proofErr w:type="gramStart"/>
      <w:r w:rsidRPr="000349C6">
        <w:rPr>
          <w:sz w:val="24"/>
          <w:szCs w:val="24"/>
        </w:rPr>
        <w:t>Chapter  9</w:t>
      </w:r>
      <w:proofErr w:type="gramEnd"/>
      <w:r w:rsidRPr="000349C6">
        <w:rPr>
          <w:sz w:val="24"/>
          <w:szCs w:val="24"/>
        </w:rPr>
        <w:t xml:space="preserve"> - Disbursements,  Financing and Payment Programs</w:t>
      </w:r>
    </w:p>
    <w:p w:rsidR="000349C6" w:rsidRPr="000349C6" w:rsidRDefault="000349C6">
      <w:pPr>
        <w:pStyle w:val="BlockText0"/>
        <w:ind w:left="1272" w:hanging="1272"/>
        <w:rPr>
          <w:sz w:val="24"/>
          <w:szCs w:val="24"/>
        </w:rPr>
      </w:pPr>
      <w:r w:rsidRPr="000349C6">
        <w:rPr>
          <w:sz w:val="24"/>
          <w:szCs w:val="24"/>
        </w:rPr>
        <w:t xml:space="preserve">Chapter 10 -Receiving, Inspection, Acceptance Testing and Acceptance or Rejection </w:t>
      </w:r>
    </w:p>
    <w:p w:rsidR="000349C6" w:rsidRPr="000349C6" w:rsidRDefault="000349C6">
      <w:pPr>
        <w:pStyle w:val="BlockText0"/>
        <w:ind w:left="1392" w:hanging="1392"/>
        <w:rPr>
          <w:sz w:val="24"/>
          <w:szCs w:val="24"/>
        </w:rPr>
      </w:pPr>
      <w:r w:rsidRPr="000349C6">
        <w:rPr>
          <w:sz w:val="24"/>
          <w:szCs w:val="24"/>
        </w:rPr>
        <w:t>Chapter 11 - Contract Administration</w:t>
      </w:r>
    </w:p>
    <w:p w:rsidR="000349C6" w:rsidRPr="000349C6" w:rsidRDefault="000349C6">
      <w:pPr>
        <w:pStyle w:val="BlockText0"/>
        <w:ind w:left="1392" w:hanging="1392"/>
        <w:rPr>
          <w:sz w:val="24"/>
          <w:szCs w:val="24"/>
        </w:rPr>
      </w:pPr>
      <w:r w:rsidRPr="000349C6">
        <w:rPr>
          <w:sz w:val="24"/>
          <w:szCs w:val="24"/>
        </w:rPr>
        <w:t>Chapter 12 - Reporting Requirements</w:t>
      </w:r>
    </w:p>
    <w:p w:rsidR="000349C6" w:rsidRPr="000349C6" w:rsidRDefault="000349C6" w:rsidP="00CD42F9">
      <w:pPr>
        <w:pStyle w:val="BlockText0"/>
        <w:ind w:left="1392" w:hanging="1392"/>
        <w:rPr>
          <w:sz w:val="24"/>
          <w:szCs w:val="24"/>
        </w:rPr>
      </w:pPr>
    </w:p>
    <w:p w:rsidR="00113E67" w:rsidRPr="000349C6" w:rsidRDefault="00113E67">
      <w:pPr>
        <w:pStyle w:val="ContinuedOnNextPa"/>
        <w:rPr>
          <w:sz w:val="24"/>
          <w:szCs w:val="24"/>
        </w:rPr>
      </w:pPr>
    </w:p>
    <w:p w:rsidR="00113E67" w:rsidRPr="000349C6" w:rsidRDefault="00113E67">
      <w:pPr>
        <w:pStyle w:val="MapTitleContinued"/>
        <w:rPr>
          <w:b w:val="0"/>
          <w:sz w:val="24"/>
          <w:szCs w:val="24"/>
        </w:rPr>
      </w:pPr>
      <w:r w:rsidRPr="000349C6">
        <w:rPr>
          <w:sz w:val="24"/>
          <w:szCs w:val="24"/>
        </w:rPr>
        <w:br w:type="page"/>
      </w:r>
    </w:p>
    <w:p w:rsidR="00113E67" w:rsidRPr="000349C6" w:rsidRDefault="00113E67">
      <w:pPr>
        <w:pStyle w:val="BlockLine"/>
        <w:rPr>
          <w:sz w:val="24"/>
          <w:szCs w:val="24"/>
        </w:rPr>
      </w:pPr>
    </w:p>
    <w:p w:rsidR="000349C6" w:rsidRPr="000349C6" w:rsidRDefault="000349C6">
      <w:pPr>
        <w:pStyle w:val="Heading5"/>
        <w:rPr>
          <w:sz w:val="24"/>
          <w:szCs w:val="24"/>
        </w:rPr>
      </w:pPr>
      <w:bookmarkStart w:id="12" w:name="_Toc83009153"/>
      <w:bookmarkStart w:id="13" w:name="_Toc223156259"/>
      <w:proofErr w:type="gramStart"/>
      <w:r w:rsidRPr="000349C6">
        <w:rPr>
          <w:sz w:val="24"/>
          <w:szCs w:val="24"/>
        </w:rPr>
        <w:t>I.1.5  Guide</w:t>
      </w:r>
      <w:proofErr w:type="gramEnd"/>
      <w:r w:rsidRPr="000349C6">
        <w:rPr>
          <w:sz w:val="24"/>
          <w:szCs w:val="24"/>
        </w:rPr>
        <w:t xml:space="preserve"> to SCM, Vol. 2 usage</w:t>
      </w:r>
      <w:bookmarkEnd w:id="12"/>
      <w:bookmarkEnd w:id="13"/>
    </w:p>
    <w:p w:rsidR="000349C6" w:rsidRPr="000349C6" w:rsidRDefault="000349C6">
      <w:pPr>
        <w:pStyle w:val="BlockText0"/>
        <w:rPr>
          <w:sz w:val="24"/>
          <w:szCs w:val="24"/>
        </w:rPr>
      </w:pPr>
      <w:r w:rsidRPr="000349C6">
        <w:rPr>
          <w:sz w:val="24"/>
          <w:szCs w:val="24"/>
        </w:rPr>
        <w:t>The table provided below is a guide for interpreting the purchasing requirements presented in SCM, Vol. 2.</w:t>
      </w:r>
    </w:p>
    <w:p w:rsidR="00113E67" w:rsidRPr="000349C6" w:rsidRDefault="00113E67">
      <w:pPr>
        <w:rPr>
          <w:sz w:val="24"/>
          <w:szCs w:val="24"/>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uide to SCM, Vol. 2 usage"/>
        <w:tblDescription w:val="Guide to SCM, Vol. 2 usage"/>
      </w:tblPr>
      <w:tblGrid>
        <w:gridCol w:w="2340"/>
        <w:gridCol w:w="2340"/>
        <w:gridCol w:w="2340"/>
        <w:gridCol w:w="2341"/>
      </w:tblGrid>
      <w:tr w:rsidR="00113E67" w:rsidRPr="000349C6" w:rsidTr="000349C6">
        <w:trPr>
          <w:trHeight w:val="290"/>
          <w:tblHeader/>
        </w:trPr>
        <w:tc>
          <w:tcPr>
            <w:tcW w:w="2340" w:type="dxa"/>
          </w:tcPr>
          <w:p w:rsidR="00113E67" w:rsidRPr="000349C6" w:rsidRDefault="00113E67">
            <w:pPr>
              <w:pStyle w:val="TableHeaderText"/>
              <w:rPr>
                <w:sz w:val="24"/>
                <w:szCs w:val="24"/>
              </w:rPr>
            </w:pPr>
            <w:r w:rsidRPr="000349C6">
              <w:rPr>
                <w:sz w:val="24"/>
                <w:szCs w:val="24"/>
              </w:rPr>
              <w:t xml:space="preserve">In reference to </w:t>
            </w:r>
          </w:p>
        </w:tc>
        <w:tc>
          <w:tcPr>
            <w:tcW w:w="2340" w:type="dxa"/>
          </w:tcPr>
          <w:p w:rsidR="00113E67" w:rsidRPr="000349C6" w:rsidRDefault="00113E67">
            <w:pPr>
              <w:pStyle w:val="TableHeaderText"/>
              <w:rPr>
                <w:sz w:val="24"/>
                <w:szCs w:val="24"/>
              </w:rPr>
            </w:pPr>
            <w:r w:rsidRPr="000349C6">
              <w:rPr>
                <w:sz w:val="24"/>
                <w:szCs w:val="24"/>
              </w:rPr>
              <w:t>Requirements</w:t>
            </w:r>
          </w:p>
        </w:tc>
        <w:tc>
          <w:tcPr>
            <w:tcW w:w="2340" w:type="dxa"/>
          </w:tcPr>
          <w:p w:rsidR="00113E67" w:rsidRPr="000349C6" w:rsidRDefault="00113E67">
            <w:pPr>
              <w:pStyle w:val="TableHeaderText"/>
              <w:rPr>
                <w:sz w:val="24"/>
                <w:szCs w:val="24"/>
              </w:rPr>
            </w:pPr>
            <w:r w:rsidRPr="000349C6">
              <w:rPr>
                <w:sz w:val="24"/>
                <w:szCs w:val="24"/>
              </w:rPr>
              <w:t>Limited Discretion</w:t>
            </w:r>
          </w:p>
        </w:tc>
        <w:tc>
          <w:tcPr>
            <w:tcW w:w="2341" w:type="dxa"/>
          </w:tcPr>
          <w:p w:rsidR="00113E67" w:rsidRPr="000349C6" w:rsidRDefault="00113E67">
            <w:pPr>
              <w:pStyle w:val="TableHeaderText"/>
              <w:rPr>
                <w:sz w:val="24"/>
                <w:szCs w:val="24"/>
              </w:rPr>
            </w:pPr>
            <w:r w:rsidRPr="000349C6">
              <w:rPr>
                <w:sz w:val="24"/>
                <w:szCs w:val="24"/>
              </w:rPr>
              <w:t>Full Discretion</w:t>
            </w:r>
          </w:p>
        </w:tc>
      </w:tr>
      <w:tr w:rsidR="00113E67" w:rsidRPr="000349C6" w:rsidTr="000349C6">
        <w:trPr>
          <w:trHeight w:val="290"/>
        </w:trPr>
        <w:tc>
          <w:tcPr>
            <w:tcW w:w="2340" w:type="dxa"/>
          </w:tcPr>
          <w:p w:rsidR="00113E67" w:rsidRPr="000349C6" w:rsidRDefault="00113E67">
            <w:pPr>
              <w:pStyle w:val="TableText"/>
              <w:rPr>
                <w:sz w:val="24"/>
                <w:szCs w:val="24"/>
              </w:rPr>
            </w:pPr>
            <w:r w:rsidRPr="000349C6">
              <w:rPr>
                <w:sz w:val="24"/>
                <w:szCs w:val="24"/>
              </w:rPr>
              <w:t>Words</w:t>
            </w:r>
          </w:p>
        </w:tc>
        <w:tc>
          <w:tcPr>
            <w:tcW w:w="2340" w:type="dxa"/>
          </w:tcPr>
          <w:p w:rsidR="00113E67" w:rsidRPr="000349C6" w:rsidRDefault="00113E67">
            <w:pPr>
              <w:pStyle w:val="TableText"/>
              <w:rPr>
                <w:sz w:val="24"/>
                <w:szCs w:val="24"/>
              </w:rPr>
            </w:pPr>
            <w:r w:rsidRPr="000349C6">
              <w:rPr>
                <w:sz w:val="24"/>
                <w:szCs w:val="24"/>
              </w:rPr>
              <w:t>“Must”, “shall”, “mandatory” or “required”</w:t>
            </w:r>
          </w:p>
        </w:tc>
        <w:tc>
          <w:tcPr>
            <w:tcW w:w="2340" w:type="dxa"/>
          </w:tcPr>
          <w:p w:rsidR="00113E67" w:rsidRPr="000349C6" w:rsidRDefault="00113E67">
            <w:pPr>
              <w:pStyle w:val="TableText"/>
              <w:rPr>
                <w:sz w:val="24"/>
                <w:szCs w:val="24"/>
              </w:rPr>
            </w:pPr>
            <w:r w:rsidRPr="000349C6">
              <w:rPr>
                <w:sz w:val="24"/>
                <w:szCs w:val="24"/>
              </w:rPr>
              <w:t>“should”</w:t>
            </w:r>
          </w:p>
        </w:tc>
        <w:tc>
          <w:tcPr>
            <w:tcW w:w="2341" w:type="dxa"/>
          </w:tcPr>
          <w:p w:rsidR="00113E67" w:rsidRPr="000349C6" w:rsidRDefault="00113E67">
            <w:pPr>
              <w:pStyle w:val="TableText"/>
              <w:rPr>
                <w:sz w:val="24"/>
                <w:szCs w:val="24"/>
              </w:rPr>
            </w:pPr>
            <w:r w:rsidRPr="000349C6">
              <w:rPr>
                <w:sz w:val="24"/>
                <w:szCs w:val="24"/>
              </w:rPr>
              <w:t>“may”, “guidelines”, “recommended practices” or “examples”</w:t>
            </w:r>
          </w:p>
        </w:tc>
      </w:tr>
      <w:tr w:rsidR="00113E67" w:rsidRPr="000349C6" w:rsidTr="000349C6">
        <w:trPr>
          <w:trHeight w:val="290"/>
        </w:trPr>
        <w:tc>
          <w:tcPr>
            <w:tcW w:w="2340" w:type="dxa"/>
          </w:tcPr>
          <w:p w:rsidR="00113E67" w:rsidRPr="000349C6" w:rsidRDefault="00113E67">
            <w:pPr>
              <w:pStyle w:val="TableText"/>
              <w:rPr>
                <w:sz w:val="24"/>
                <w:szCs w:val="24"/>
              </w:rPr>
            </w:pPr>
            <w:r w:rsidRPr="000349C6">
              <w:rPr>
                <w:sz w:val="24"/>
                <w:szCs w:val="24"/>
              </w:rPr>
              <w:t>Source</w:t>
            </w:r>
          </w:p>
        </w:tc>
        <w:tc>
          <w:tcPr>
            <w:tcW w:w="2340" w:type="dxa"/>
          </w:tcPr>
          <w:p w:rsidR="00113E67" w:rsidRPr="000349C6" w:rsidRDefault="00113E67">
            <w:pPr>
              <w:pStyle w:val="TableText"/>
              <w:rPr>
                <w:sz w:val="24"/>
                <w:szCs w:val="24"/>
              </w:rPr>
            </w:pPr>
            <w:r w:rsidRPr="000349C6">
              <w:rPr>
                <w:sz w:val="24"/>
                <w:szCs w:val="24"/>
              </w:rPr>
              <w:t xml:space="preserve">Statutes, regulations, state policies, </w:t>
            </w:r>
            <w:r w:rsidR="00D5780D" w:rsidRPr="000349C6">
              <w:rPr>
                <w:sz w:val="24"/>
                <w:szCs w:val="24"/>
              </w:rPr>
              <w:t>the DGS</w:t>
            </w:r>
            <w:r w:rsidRPr="000349C6">
              <w:rPr>
                <w:sz w:val="24"/>
                <w:szCs w:val="24"/>
              </w:rPr>
              <w:t>/PD policies</w:t>
            </w:r>
          </w:p>
        </w:tc>
        <w:tc>
          <w:tcPr>
            <w:tcW w:w="2340" w:type="dxa"/>
          </w:tcPr>
          <w:p w:rsidR="00113E67" w:rsidRPr="000349C6" w:rsidRDefault="00D5780D">
            <w:pPr>
              <w:pStyle w:val="TableText"/>
              <w:rPr>
                <w:sz w:val="24"/>
                <w:szCs w:val="24"/>
              </w:rPr>
            </w:pPr>
            <w:r w:rsidRPr="000349C6">
              <w:rPr>
                <w:sz w:val="24"/>
                <w:szCs w:val="24"/>
              </w:rPr>
              <w:t>the DGS</w:t>
            </w:r>
            <w:r w:rsidR="00113E67" w:rsidRPr="000349C6">
              <w:rPr>
                <w:sz w:val="24"/>
                <w:szCs w:val="24"/>
              </w:rPr>
              <w:t>/PD policies related to requirements or considered to be good business practices</w:t>
            </w:r>
          </w:p>
        </w:tc>
        <w:tc>
          <w:tcPr>
            <w:tcW w:w="2341" w:type="dxa"/>
          </w:tcPr>
          <w:p w:rsidR="00113E67" w:rsidRPr="000349C6" w:rsidRDefault="00113E67">
            <w:pPr>
              <w:pStyle w:val="TableText"/>
              <w:rPr>
                <w:sz w:val="24"/>
                <w:szCs w:val="24"/>
              </w:rPr>
            </w:pPr>
            <w:r w:rsidRPr="000349C6">
              <w:rPr>
                <w:sz w:val="24"/>
                <w:szCs w:val="24"/>
              </w:rPr>
              <w:t>Policies, procedures and guidelines presented as helpful aids</w:t>
            </w:r>
          </w:p>
        </w:tc>
      </w:tr>
      <w:tr w:rsidR="00113E67" w:rsidRPr="000349C6" w:rsidTr="000349C6">
        <w:trPr>
          <w:trHeight w:val="290"/>
        </w:trPr>
        <w:tc>
          <w:tcPr>
            <w:tcW w:w="2340" w:type="dxa"/>
          </w:tcPr>
          <w:p w:rsidR="00113E67" w:rsidRPr="000349C6" w:rsidRDefault="00113E67">
            <w:pPr>
              <w:pStyle w:val="TableText"/>
              <w:rPr>
                <w:sz w:val="24"/>
                <w:szCs w:val="24"/>
              </w:rPr>
            </w:pPr>
            <w:r w:rsidRPr="000349C6">
              <w:rPr>
                <w:sz w:val="24"/>
                <w:szCs w:val="24"/>
              </w:rPr>
              <w:t>Compliance</w:t>
            </w:r>
          </w:p>
        </w:tc>
        <w:tc>
          <w:tcPr>
            <w:tcW w:w="2340" w:type="dxa"/>
          </w:tcPr>
          <w:p w:rsidR="00113E67" w:rsidRPr="000349C6" w:rsidRDefault="00113E67">
            <w:pPr>
              <w:pStyle w:val="TableText"/>
              <w:rPr>
                <w:sz w:val="24"/>
                <w:szCs w:val="24"/>
              </w:rPr>
            </w:pPr>
            <w:r w:rsidRPr="000349C6">
              <w:rPr>
                <w:sz w:val="24"/>
                <w:szCs w:val="24"/>
              </w:rPr>
              <w:t xml:space="preserve">Must be followed unless exempt by law or granted exemption by </w:t>
            </w:r>
            <w:r w:rsidR="00D5780D" w:rsidRPr="000349C6">
              <w:rPr>
                <w:sz w:val="24"/>
                <w:szCs w:val="24"/>
              </w:rPr>
              <w:t>the DGS</w:t>
            </w:r>
            <w:r w:rsidRPr="000349C6">
              <w:rPr>
                <w:sz w:val="24"/>
                <w:szCs w:val="24"/>
              </w:rPr>
              <w:t>/PD</w:t>
            </w:r>
          </w:p>
        </w:tc>
        <w:tc>
          <w:tcPr>
            <w:tcW w:w="2340" w:type="dxa"/>
          </w:tcPr>
          <w:p w:rsidR="00113E67" w:rsidRPr="000349C6" w:rsidRDefault="00113E67">
            <w:pPr>
              <w:pStyle w:val="TableText"/>
              <w:rPr>
                <w:sz w:val="24"/>
                <w:szCs w:val="24"/>
              </w:rPr>
            </w:pPr>
            <w:r w:rsidRPr="000349C6">
              <w:rPr>
                <w:sz w:val="24"/>
                <w:szCs w:val="24"/>
              </w:rPr>
              <w:t>Need to be followed unless the department has a good business reason for variance</w:t>
            </w:r>
          </w:p>
        </w:tc>
        <w:tc>
          <w:tcPr>
            <w:tcW w:w="2341" w:type="dxa"/>
          </w:tcPr>
          <w:p w:rsidR="00113E67" w:rsidRPr="000349C6" w:rsidRDefault="00113E67">
            <w:pPr>
              <w:pStyle w:val="TableText"/>
              <w:rPr>
                <w:sz w:val="24"/>
                <w:szCs w:val="24"/>
              </w:rPr>
            </w:pPr>
            <w:r w:rsidRPr="000349C6">
              <w:rPr>
                <w:sz w:val="24"/>
                <w:szCs w:val="24"/>
              </w:rPr>
              <w:t>Optional</w:t>
            </w:r>
          </w:p>
        </w:tc>
      </w:tr>
      <w:tr w:rsidR="00113E67" w:rsidRPr="000349C6" w:rsidTr="000349C6">
        <w:trPr>
          <w:trHeight w:val="290"/>
        </w:trPr>
        <w:tc>
          <w:tcPr>
            <w:tcW w:w="2340" w:type="dxa"/>
          </w:tcPr>
          <w:p w:rsidR="00113E67" w:rsidRPr="000349C6" w:rsidRDefault="00113E67">
            <w:pPr>
              <w:pStyle w:val="TableText"/>
              <w:rPr>
                <w:sz w:val="24"/>
                <w:szCs w:val="24"/>
              </w:rPr>
            </w:pPr>
            <w:r w:rsidRPr="000349C6">
              <w:rPr>
                <w:sz w:val="24"/>
                <w:szCs w:val="24"/>
              </w:rPr>
              <w:t>Documentation</w:t>
            </w:r>
          </w:p>
        </w:tc>
        <w:tc>
          <w:tcPr>
            <w:tcW w:w="2340" w:type="dxa"/>
          </w:tcPr>
          <w:p w:rsidR="00113E67" w:rsidRPr="000349C6" w:rsidRDefault="00113E67">
            <w:pPr>
              <w:pStyle w:val="TableText"/>
              <w:rPr>
                <w:sz w:val="24"/>
                <w:szCs w:val="24"/>
              </w:rPr>
            </w:pPr>
            <w:r w:rsidRPr="000349C6">
              <w:rPr>
                <w:sz w:val="24"/>
                <w:szCs w:val="24"/>
              </w:rPr>
              <w:t>Documentation required</w:t>
            </w:r>
          </w:p>
        </w:tc>
        <w:tc>
          <w:tcPr>
            <w:tcW w:w="2340" w:type="dxa"/>
          </w:tcPr>
          <w:p w:rsidR="00113E67" w:rsidRPr="000349C6" w:rsidRDefault="00113E67">
            <w:pPr>
              <w:pStyle w:val="TableText"/>
              <w:rPr>
                <w:sz w:val="24"/>
                <w:szCs w:val="24"/>
              </w:rPr>
            </w:pPr>
            <w:r w:rsidRPr="000349C6">
              <w:rPr>
                <w:sz w:val="24"/>
                <w:szCs w:val="24"/>
              </w:rPr>
              <w:t>Brief notation in file documentation sufficient</w:t>
            </w:r>
          </w:p>
        </w:tc>
        <w:tc>
          <w:tcPr>
            <w:tcW w:w="2341" w:type="dxa"/>
          </w:tcPr>
          <w:p w:rsidR="00113E67" w:rsidRPr="000349C6" w:rsidRDefault="00113E67">
            <w:pPr>
              <w:pStyle w:val="TableText"/>
              <w:rPr>
                <w:sz w:val="24"/>
                <w:szCs w:val="24"/>
              </w:rPr>
            </w:pPr>
            <w:r w:rsidRPr="000349C6">
              <w:rPr>
                <w:sz w:val="24"/>
                <w:szCs w:val="24"/>
              </w:rPr>
              <w:t>None required</w:t>
            </w:r>
          </w:p>
        </w:tc>
      </w:tr>
      <w:tr w:rsidR="00113E67" w:rsidRPr="000349C6" w:rsidTr="000349C6">
        <w:trPr>
          <w:trHeight w:val="290"/>
        </w:trPr>
        <w:tc>
          <w:tcPr>
            <w:tcW w:w="2340" w:type="dxa"/>
          </w:tcPr>
          <w:p w:rsidR="00113E67" w:rsidRPr="000349C6" w:rsidRDefault="00113E67">
            <w:pPr>
              <w:pStyle w:val="TableText"/>
              <w:rPr>
                <w:sz w:val="24"/>
                <w:szCs w:val="24"/>
              </w:rPr>
            </w:pPr>
            <w:r w:rsidRPr="000349C6">
              <w:rPr>
                <w:sz w:val="24"/>
                <w:szCs w:val="24"/>
              </w:rPr>
              <w:t>Consequence for non-compliance</w:t>
            </w:r>
          </w:p>
        </w:tc>
        <w:tc>
          <w:tcPr>
            <w:tcW w:w="2340" w:type="dxa"/>
          </w:tcPr>
          <w:p w:rsidR="00113E67" w:rsidRPr="000349C6" w:rsidRDefault="00113E67">
            <w:pPr>
              <w:pStyle w:val="TableText"/>
              <w:rPr>
                <w:sz w:val="24"/>
                <w:szCs w:val="24"/>
              </w:rPr>
            </w:pPr>
            <w:r w:rsidRPr="000349C6">
              <w:rPr>
                <w:sz w:val="24"/>
                <w:szCs w:val="24"/>
              </w:rPr>
              <w:t>Result in violation of law and/or negative impact to purchasing authority, either in reduction or termination of authority</w:t>
            </w:r>
          </w:p>
        </w:tc>
        <w:tc>
          <w:tcPr>
            <w:tcW w:w="2340" w:type="dxa"/>
          </w:tcPr>
          <w:p w:rsidR="00113E67" w:rsidRPr="000349C6" w:rsidRDefault="00113E67">
            <w:pPr>
              <w:pStyle w:val="TableText"/>
              <w:rPr>
                <w:sz w:val="24"/>
                <w:szCs w:val="24"/>
              </w:rPr>
            </w:pPr>
            <w:r w:rsidRPr="000349C6">
              <w:rPr>
                <w:sz w:val="24"/>
                <w:szCs w:val="24"/>
              </w:rPr>
              <w:t xml:space="preserve">Noncompliance may affect compliance with a requirement or the advisability of the purchase; </w:t>
            </w:r>
            <w:r w:rsidR="00D5780D" w:rsidRPr="000349C6">
              <w:rPr>
                <w:sz w:val="24"/>
                <w:szCs w:val="24"/>
              </w:rPr>
              <w:t>the DGS</w:t>
            </w:r>
            <w:r w:rsidRPr="000349C6">
              <w:rPr>
                <w:sz w:val="24"/>
                <w:szCs w:val="24"/>
              </w:rPr>
              <w:t>/PD may question and request documentation</w:t>
            </w:r>
          </w:p>
        </w:tc>
        <w:tc>
          <w:tcPr>
            <w:tcW w:w="2341" w:type="dxa"/>
          </w:tcPr>
          <w:p w:rsidR="00113E67" w:rsidRPr="000349C6" w:rsidRDefault="00113E67">
            <w:pPr>
              <w:pStyle w:val="TableText"/>
              <w:rPr>
                <w:sz w:val="24"/>
                <w:szCs w:val="24"/>
              </w:rPr>
            </w:pPr>
            <w:r w:rsidRPr="000349C6">
              <w:rPr>
                <w:sz w:val="24"/>
                <w:szCs w:val="24"/>
              </w:rPr>
              <w:t>None</w:t>
            </w:r>
          </w:p>
        </w:tc>
      </w:tr>
    </w:tbl>
    <w:p w:rsidR="00113E67" w:rsidRPr="000349C6" w:rsidRDefault="00113E67">
      <w:pPr>
        <w:pStyle w:val="BlockLine"/>
        <w:rPr>
          <w:sz w:val="24"/>
          <w:szCs w:val="24"/>
        </w:rPr>
      </w:pPr>
    </w:p>
    <w:p w:rsidR="000349C6" w:rsidRPr="000349C6" w:rsidRDefault="000349C6">
      <w:pPr>
        <w:pStyle w:val="Heading5"/>
        <w:rPr>
          <w:sz w:val="24"/>
          <w:szCs w:val="24"/>
        </w:rPr>
      </w:pPr>
      <w:bookmarkStart w:id="14" w:name="_Toc83009154"/>
      <w:bookmarkStart w:id="15" w:name="_Toc223156260"/>
      <w:proofErr w:type="gramStart"/>
      <w:r w:rsidRPr="000349C6">
        <w:rPr>
          <w:sz w:val="24"/>
          <w:szCs w:val="24"/>
        </w:rPr>
        <w:t>I.1.6  Availability</w:t>
      </w:r>
      <w:proofErr w:type="gramEnd"/>
      <w:r w:rsidRPr="000349C6">
        <w:rPr>
          <w:sz w:val="24"/>
          <w:szCs w:val="24"/>
        </w:rPr>
        <w:t xml:space="preserve"> of the manual</w:t>
      </w:r>
      <w:bookmarkEnd w:id="14"/>
      <w:bookmarkEnd w:id="15"/>
    </w:p>
    <w:p w:rsidR="000349C6" w:rsidRPr="000349C6" w:rsidRDefault="000349C6">
      <w:pPr>
        <w:pStyle w:val="BlockText0"/>
        <w:rPr>
          <w:sz w:val="24"/>
          <w:szCs w:val="24"/>
        </w:rPr>
      </w:pPr>
      <w:r w:rsidRPr="000349C6">
        <w:rPr>
          <w:sz w:val="24"/>
          <w:szCs w:val="24"/>
        </w:rPr>
        <w:t xml:space="preserve">The SCM, Vol. 2 and notices of any updates to the manual will be made available via electronic mail (e-mail) broadcasting to department prime contacts whose purchasing authority application has been reviewed and approved by the Purchase Authority Management Section. To subscribe to the (e-mail) broadcast bulletins submit your e-mail address at the bottom of this </w:t>
      </w:r>
      <w:hyperlink r:id="rId11" w:history="1">
        <w:r w:rsidRPr="000349C6">
          <w:rPr>
            <w:rStyle w:val="Hyperlink"/>
            <w:sz w:val="24"/>
            <w:szCs w:val="24"/>
          </w:rPr>
          <w:t>link</w:t>
        </w:r>
      </w:hyperlink>
      <w:r w:rsidRPr="000349C6">
        <w:rPr>
          <w:sz w:val="24"/>
          <w:szCs w:val="24"/>
        </w:rPr>
        <w:t>.</w:t>
      </w:r>
    </w:p>
    <w:p w:rsidR="00113E67" w:rsidRPr="000349C6" w:rsidRDefault="00113E67">
      <w:pPr>
        <w:pStyle w:val="ContinuedOnNextPa"/>
        <w:rPr>
          <w:sz w:val="24"/>
          <w:szCs w:val="24"/>
        </w:rPr>
      </w:pPr>
    </w:p>
    <w:p w:rsidR="000349C6" w:rsidRPr="000349C6" w:rsidRDefault="000349C6">
      <w:pPr>
        <w:pStyle w:val="Heading5"/>
        <w:rPr>
          <w:sz w:val="24"/>
          <w:szCs w:val="24"/>
        </w:rPr>
      </w:pPr>
      <w:r w:rsidRPr="000349C6">
        <w:rPr>
          <w:sz w:val="24"/>
          <w:szCs w:val="24"/>
        </w:rPr>
        <w:br w:type="page"/>
      </w:r>
      <w:bookmarkStart w:id="16" w:name="_Toc83009155"/>
      <w:bookmarkStart w:id="17" w:name="_Toc223156261"/>
      <w:proofErr w:type="gramStart"/>
      <w:r w:rsidRPr="000349C6">
        <w:rPr>
          <w:sz w:val="24"/>
          <w:szCs w:val="24"/>
        </w:rPr>
        <w:lastRenderedPageBreak/>
        <w:t>I.1.7  Revisions</w:t>
      </w:r>
      <w:proofErr w:type="gramEnd"/>
      <w:r w:rsidRPr="000349C6">
        <w:rPr>
          <w:sz w:val="24"/>
          <w:szCs w:val="24"/>
        </w:rPr>
        <w:t xml:space="preserve"> to SCM, Vol. 2</w:t>
      </w:r>
      <w:bookmarkEnd w:id="16"/>
      <w:bookmarkEnd w:id="17"/>
    </w:p>
    <w:p w:rsidR="000349C6" w:rsidRPr="000349C6" w:rsidRDefault="000349C6">
      <w:pPr>
        <w:pStyle w:val="BlockText0"/>
        <w:rPr>
          <w:sz w:val="24"/>
          <w:szCs w:val="24"/>
        </w:rPr>
      </w:pPr>
      <w:r w:rsidRPr="000349C6">
        <w:rPr>
          <w:sz w:val="24"/>
          <w:szCs w:val="24"/>
        </w:rPr>
        <w:t>The SCM, Vol. 2 will be updated as needed. Broadcast bulletins will announce each update.</w:t>
      </w:r>
    </w:p>
    <w:p w:rsidR="00113E67" w:rsidRPr="000349C6" w:rsidRDefault="00113E67">
      <w:pPr>
        <w:pStyle w:val="BlockLine"/>
        <w:rPr>
          <w:sz w:val="24"/>
          <w:szCs w:val="24"/>
        </w:rPr>
      </w:pPr>
    </w:p>
    <w:p w:rsidR="000349C6" w:rsidRPr="000349C6" w:rsidRDefault="000349C6">
      <w:pPr>
        <w:pStyle w:val="Heading5"/>
        <w:rPr>
          <w:sz w:val="24"/>
          <w:szCs w:val="24"/>
        </w:rPr>
      </w:pPr>
      <w:bookmarkStart w:id="18" w:name="_Toc83009156"/>
      <w:bookmarkStart w:id="19" w:name="_Toc223156262"/>
      <w:proofErr w:type="gramStart"/>
      <w:r w:rsidRPr="000349C6">
        <w:rPr>
          <w:sz w:val="24"/>
          <w:szCs w:val="24"/>
        </w:rPr>
        <w:t>I.1.8  Statutory</w:t>
      </w:r>
      <w:proofErr w:type="gramEnd"/>
      <w:r w:rsidRPr="000349C6">
        <w:rPr>
          <w:sz w:val="24"/>
          <w:szCs w:val="24"/>
        </w:rPr>
        <w:t>, regulatory, policy and procedural requirements</w:t>
      </w:r>
      <w:bookmarkEnd w:id="18"/>
      <w:bookmarkEnd w:id="19"/>
    </w:p>
    <w:p w:rsidR="000349C6" w:rsidRPr="000349C6" w:rsidRDefault="000349C6">
      <w:pPr>
        <w:pStyle w:val="BlockText0"/>
        <w:rPr>
          <w:sz w:val="24"/>
          <w:szCs w:val="24"/>
        </w:rPr>
      </w:pPr>
      <w:r w:rsidRPr="000349C6">
        <w:rPr>
          <w:sz w:val="24"/>
          <w:szCs w:val="24"/>
        </w:rPr>
        <w:t>In addition to the SCM, Vol. 2, departments granted purchasing authority are required to adhere to applicable provisions of State law, including, but not limited to:</w:t>
      </w:r>
    </w:p>
    <w:p w:rsidR="000349C6" w:rsidRPr="000349C6" w:rsidRDefault="000349C6">
      <w:pPr>
        <w:pStyle w:val="BlockText0"/>
        <w:rPr>
          <w:sz w:val="24"/>
          <w:szCs w:val="24"/>
        </w:rPr>
      </w:pPr>
    </w:p>
    <w:p w:rsidR="000349C6" w:rsidRPr="000349C6" w:rsidRDefault="000349C6">
      <w:pPr>
        <w:pStyle w:val="BulletText1"/>
        <w:rPr>
          <w:sz w:val="24"/>
          <w:szCs w:val="24"/>
        </w:rPr>
      </w:pPr>
      <w:r w:rsidRPr="000349C6">
        <w:rPr>
          <w:sz w:val="24"/>
          <w:szCs w:val="24"/>
        </w:rPr>
        <w:t xml:space="preserve">Public Contract Code </w:t>
      </w:r>
    </w:p>
    <w:p w:rsidR="000349C6" w:rsidRPr="000349C6" w:rsidRDefault="000349C6">
      <w:pPr>
        <w:pStyle w:val="BulletText1"/>
        <w:rPr>
          <w:sz w:val="24"/>
          <w:szCs w:val="24"/>
        </w:rPr>
      </w:pPr>
      <w:r w:rsidRPr="000349C6">
        <w:rPr>
          <w:sz w:val="24"/>
          <w:szCs w:val="24"/>
        </w:rPr>
        <w:t xml:space="preserve">Government Code </w:t>
      </w:r>
    </w:p>
    <w:p w:rsidR="000349C6" w:rsidRPr="000349C6" w:rsidRDefault="000349C6">
      <w:pPr>
        <w:pStyle w:val="BulletText1"/>
        <w:rPr>
          <w:sz w:val="24"/>
          <w:szCs w:val="24"/>
        </w:rPr>
      </w:pPr>
      <w:r w:rsidRPr="000349C6">
        <w:rPr>
          <w:sz w:val="24"/>
          <w:szCs w:val="24"/>
        </w:rPr>
        <w:t xml:space="preserve">Military and Veterans Code </w:t>
      </w:r>
    </w:p>
    <w:p w:rsidR="000349C6" w:rsidRPr="000349C6" w:rsidRDefault="000349C6">
      <w:pPr>
        <w:pStyle w:val="BulletText1"/>
        <w:rPr>
          <w:sz w:val="24"/>
          <w:szCs w:val="24"/>
        </w:rPr>
      </w:pPr>
      <w:r w:rsidRPr="000349C6">
        <w:rPr>
          <w:sz w:val="24"/>
          <w:szCs w:val="24"/>
        </w:rPr>
        <w:t>Labor Code</w:t>
      </w:r>
    </w:p>
    <w:p w:rsidR="000349C6" w:rsidRPr="000349C6" w:rsidRDefault="000349C6">
      <w:pPr>
        <w:pStyle w:val="BulletText1"/>
        <w:rPr>
          <w:sz w:val="24"/>
          <w:szCs w:val="24"/>
        </w:rPr>
      </w:pPr>
      <w:r w:rsidRPr="000349C6">
        <w:rPr>
          <w:sz w:val="24"/>
          <w:szCs w:val="24"/>
        </w:rPr>
        <w:t>Revenue and Taxation Code</w:t>
      </w:r>
    </w:p>
    <w:p w:rsidR="000349C6" w:rsidRPr="000349C6" w:rsidRDefault="000349C6">
      <w:pPr>
        <w:pStyle w:val="BulletText1"/>
        <w:rPr>
          <w:sz w:val="24"/>
          <w:szCs w:val="24"/>
        </w:rPr>
      </w:pPr>
      <w:r w:rsidRPr="000349C6">
        <w:rPr>
          <w:sz w:val="24"/>
          <w:szCs w:val="24"/>
        </w:rPr>
        <w:t>Food and Agriculture Code</w:t>
      </w:r>
    </w:p>
    <w:p w:rsidR="000349C6" w:rsidRPr="000349C6" w:rsidRDefault="000349C6">
      <w:pPr>
        <w:pStyle w:val="BlockText0"/>
        <w:rPr>
          <w:sz w:val="24"/>
          <w:szCs w:val="24"/>
        </w:rPr>
      </w:pPr>
    </w:p>
    <w:p w:rsidR="000349C6" w:rsidRPr="000349C6" w:rsidRDefault="000349C6">
      <w:pPr>
        <w:pStyle w:val="BulletText1"/>
        <w:numPr>
          <w:ilvl w:val="0"/>
          <w:numId w:val="0"/>
        </w:numPr>
        <w:rPr>
          <w:sz w:val="24"/>
          <w:szCs w:val="24"/>
        </w:rPr>
      </w:pPr>
      <w:r w:rsidRPr="000349C6">
        <w:rPr>
          <w:sz w:val="24"/>
          <w:szCs w:val="24"/>
        </w:rPr>
        <w:t>Departments granted purchasing authority are also required to adhere to applicable procurement-related regulations contained in the California Code of Regulations.</w:t>
      </w:r>
    </w:p>
    <w:p w:rsidR="000349C6" w:rsidRPr="000349C6" w:rsidRDefault="000349C6">
      <w:pPr>
        <w:pStyle w:val="BlockText0"/>
        <w:rPr>
          <w:sz w:val="24"/>
          <w:szCs w:val="24"/>
        </w:rPr>
      </w:pPr>
    </w:p>
    <w:p w:rsidR="000349C6" w:rsidRPr="000349C6" w:rsidRDefault="000349C6">
      <w:pPr>
        <w:pStyle w:val="BulletText1"/>
        <w:numPr>
          <w:ilvl w:val="0"/>
          <w:numId w:val="0"/>
        </w:numPr>
        <w:rPr>
          <w:sz w:val="24"/>
          <w:szCs w:val="24"/>
        </w:rPr>
      </w:pPr>
      <w:r w:rsidRPr="000349C6">
        <w:rPr>
          <w:sz w:val="24"/>
          <w:szCs w:val="24"/>
        </w:rPr>
        <w:t>The following manuals also provide procurement-related policies and procedures and should be referenced as applicable:</w:t>
      </w:r>
    </w:p>
    <w:p w:rsidR="00113E67" w:rsidRPr="000349C6" w:rsidRDefault="00113E67">
      <w:pPr>
        <w:pStyle w:val="BodyTextIndent"/>
        <w:rPr>
          <w:sz w:val="24"/>
          <w:szCs w:val="24"/>
        </w:rPr>
      </w:pPr>
    </w:p>
    <w:tbl>
      <w:tblPr>
        <w:tblStyle w:val="TableGridLight"/>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ist of other manuals also provide procurement-related policies and procedures"/>
        <w:tblDescription w:val="List of other manuals also provide procurement-related policies and procedures"/>
      </w:tblPr>
      <w:tblGrid>
        <w:gridCol w:w="4440"/>
        <w:gridCol w:w="4776"/>
      </w:tblGrid>
      <w:tr w:rsidR="00113E67" w:rsidRPr="000349C6" w:rsidTr="000349C6">
        <w:trPr>
          <w:trHeight w:val="271"/>
          <w:tblHeader/>
        </w:trPr>
        <w:tc>
          <w:tcPr>
            <w:tcW w:w="4440" w:type="dxa"/>
          </w:tcPr>
          <w:p w:rsidR="00113E67" w:rsidRPr="000349C6" w:rsidRDefault="00113E67">
            <w:pPr>
              <w:pStyle w:val="TableHeaderText"/>
              <w:rPr>
                <w:sz w:val="24"/>
                <w:szCs w:val="24"/>
              </w:rPr>
            </w:pPr>
            <w:r w:rsidRPr="000349C6">
              <w:rPr>
                <w:sz w:val="24"/>
                <w:szCs w:val="24"/>
              </w:rPr>
              <w:t>Manual title</w:t>
            </w:r>
          </w:p>
        </w:tc>
        <w:tc>
          <w:tcPr>
            <w:tcW w:w="4776" w:type="dxa"/>
          </w:tcPr>
          <w:p w:rsidR="00113E67" w:rsidRPr="000349C6" w:rsidRDefault="00113E67">
            <w:pPr>
              <w:pStyle w:val="TableHeaderText"/>
              <w:rPr>
                <w:sz w:val="24"/>
                <w:szCs w:val="24"/>
              </w:rPr>
            </w:pPr>
            <w:r w:rsidRPr="000349C6">
              <w:rPr>
                <w:sz w:val="24"/>
                <w:szCs w:val="24"/>
              </w:rPr>
              <w:t>Manual provides</w:t>
            </w:r>
          </w:p>
        </w:tc>
      </w:tr>
      <w:tr w:rsidR="00113E67" w:rsidRPr="000349C6" w:rsidTr="000349C6">
        <w:trPr>
          <w:trHeight w:val="272"/>
        </w:trPr>
        <w:tc>
          <w:tcPr>
            <w:tcW w:w="4440" w:type="dxa"/>
          </w:tcPr>
          <w:p w:rsidR="00113E67" w:rsidRPr="000349C6" w:rsidRDefault="00113E67">
            <w:pPr>
              <w:pStyle w:val="TableText"/>
              <w:rPr>
                <w:sz w:val="24"/>
                <w:szCs w:val="24"/>
              </w:rPr>
            </w:pPr>
            <w:r w:rsidRPr="000349C6">
              <w:rPr>
                <w:sz w:val="24"/>
                <w:szCs w:val="24"/>
              </w:rPr>
              <w:t>State Administrative Manual (SAM)</w:t>
            </w:r>
          </w:p>
          <w:p w:rsidR="00113E67" w:rsidRPr="000349C6" w:rsidRDefault="00113E67">
            <w:pPr>
              <w:pStyle w:val="TableText"/>
              <w:rPr>
                <w:sz w:val="24"/>
                <w:szCs w:val="24"/>
              </w:rPr>
            </w:pPr>
          </w:p>
          <w:p w:rsidR="00113E67" w:rsidRPr="000349C6" w:rsidRDefault="00113E67">
            <w:pPr>
              <w:pStyle w:val="TableText"/>
              <w:rPr>
                <w:sz w:val="24"/>
                <w:szCs w:val="24"/>
              </w:rPr>
            </w:pPr>
            <w:r w:rsidRPr="000349C6">
              <w:rPr>
                <w:sz w:val="24"/>
                <w:szCs w:val="24"/>
              </w:rPr>
              <w:t>Click here to access</w:t>
            </w:r>
            <w:hyperlink r:id="rId12" w:history="1">
              <w:r w:rsidRPr="000349C6">
                <w:rPr>
                  <w:rStyle w:val="Hyperlink"/>
                  <w:sz w:val="24"/>
                  <w:szCs w:val="24"/>
                </w:rPr>
                <w:t xml:space="preserve"> SAM</w:t>
              </w:r>
            </w:hyperlink>
          </w:p>
        </w:tc>
        <w:tc>
          <w:tcPr>
            <w:tcW w:w="4776" w:type="dxa"/>
          </w:tcPr>
          <w:p w:rsidR="00113E67" w:rsidRPr="000349C6" w:rsidRDefault="00113E67">
            <w:pPr>
              <w:pStyle w:val="TableText"/>
              <w:rPr>
                <w:sz w:val="24"/>
                <w:szCs w:val="24"/>
              </w:rPr>
            </w:pPr>
            <w:r w:rsidRPr="000349C6">
              <w:rPr>
                <w:sz w:val="24"/>
                <w:szCs w:val="24"/>
              </w:rPr>
              <w:t>Statewide management policies</w:t>
            </w:r>
          </w:p>
        </w:tc>
      </w:tr>
      <w:tr w:rsidR="00113E67" w:rsidRPr="000349C6" w:rsidTr="000349C6">
        <w:trPr>
          <w:trHeight w:val="272"/>
        </w:trPr>
        <w:tc>
          <w:tcPr>
            <w:tcW w:w="4440" w:type="dxa"/>
          </w:tcPr>
          <w:p w:rsidR="00113E67" w:rsidRPr="000349C6" w:rsidRDefault="00113E67">
            <w:pPr>
              <w:pStyle w:val="TableText"/>
              <w:rPr>
                <w:sz w:val="24"/>
                <w:szCs w:val="24"/>
              </w:rPr>
            </w:pPr>
            <w:r w:rsidRPr="000349C6">
              <w:rPr>
                <w:sz w:val="24"/>
                <w:szCs w:val="24"/>
              </w:rPr>
              <w:t>Statewide Information Management Manual (SIMM)</w:t>
            </w:r>
          </w:p>
          <w:p w:rsidR="00113E67" w:rsidRPr="000349C6" w:rsidRDefault="00113E67">
            <w:pPr>
              <w:pStyle w:val="TableText"/>
              <w:rPr>
                <w:sz w:val="24"/>
                <w:szCs w:val="24"/>
              </w:rPr>
            </w:pPr>
          </w:p>
          <w:p w:rsidR="00113E67" w:rsidRPr="000349C6" w:rsidRDefault="00113E67">
            <w:pPr>
              <w:pStyle w:val="TableText"/>
              <w:rPr>
                <w:sz w:val="24"/>
                <w:szCs w:val="24"/>
              </w:rPr>
            </w:pPr>
            <w:r w:rsidRPr="000349C6">
              <w:rPr>
                <w:sz w:val="24"/>
                <w:szCs w:val="24"/>
              </w:rPr>
              <w:t xml:space="preserve">Click here to access </w:t>
            </w:r>
            <w:hyperlink r:id="rId13" w:history="1">
              <w:r w:rsidRPr="000349C6">
                <w:rPr>
                  <w:rStyle w:val="Hyperlink"/>
                  <w:sz w:val="24"/>
                  <w:szCs w:val="24"/>
                </w:rPr>
                <w:t>SIMM</w:t>
              </w:r>
            </w:hyperlink>
          </w:p>
        </w:tc>
        <w:tc>
          <w:tcPr>
            <w:tcW w:w="4776" w:type="dxa"/>
          </w:tcPr>
          <w:p w:rsidR="00113E67" w:rsidRPr="000349C6" w:rsidRDefault="00113E67">
            <w:pPr>
              <w:pStyle w:val="TableText"/>
              <w:rPr>
                <w:sz w:val="24"/>
                <w:szCs w:val="24"/>
              </w:rPr>
            </w:pPr>
            <w:r w:rsidRPr="000349C6">
              <w:rPr>
                <w:sz w:val="24"/>
                <w:szCs w:val="24"/>
              </w:rPr>
              <w:t>Instruction and guidelines, samples and model forms, and certification and transmittal letters related to IT policy.</w:t>
            </w:r>
          </w:p>
        </w:tc>
      </w:tr>
      <w:tr w:rsidR="00113E67" w:rsidRPr="000349C6" w:rsidTr="000349C6">
        <w:trPr>
          <w:trHeight w:val="272"/>
        </w:trPr>
        <w:tc>
          <w:tcPr>
            <w:tcW w:w="4440" w:type="dxa"/>
          </w:tcPr>
          <w:p w:rsidR="00113E67" w:rsidRPr="000349C6" w:rsidRDefault="00113E67">
            <w:pPr>
              <w:pStyle w:val="TableText"/>
              <w:rPr>
                <w:sz w:val="24"/>
                <w:szCs w:val="24"/>
              </w:rPr>
            </w:pPr>
            <w:r w:rsidRPr="000349C6">
              <w:rPr>
                <w:sz w:val="24"/>
                <w:szCs w:val="24"/>
              </w:rPr>
              <w:t>State Telecommunications Management Manual (STMM)</w:t>
            </w:r>
          </w:p>
          <w:p w:rsidR="00113E67" w:rsidRPr="000349C6" w:rsidRDefault="00113E67">
            <w:pPr>
              <w:pStyle w:val="TableText"/>
              <w:rPr>
                <w:sz w:val="24"/>
                <w:szCs w:val="24"/>
              </w:rPr>
            </w:pPr>
          </w:p>
          <w:p w:rsidR="00113E67" w:rsidRPr="000349C6" w:rsidRDefault="00113E67">
            <w:pPr>
              <w:pStyle w:val="TableText"/>
              <w:rPr>
                <w:sz w:val="24"/>
                <w:szCs w:val="24"/>
              </w:rPr>
            </w:pPr>
            <w:r w:rsidRPr="000349C6">
              <w:rPr>
                <w:sz w:val="24"/>
                <w:szCs w:val="24"/>
              </w:rPr>
              <w:t xml:space="preserve">Click here to access </w:t>
            </w:r>
            <w:hyperlink r:id="rId14" w:history="1">
              <w:r w:rsidRPr="000349C6">
                <w:rPr>
                  <w:rStyle w:val="Hyperlink"/>
                  <w:sz w:val="24"/>
                  <w:szCs w:val="24"/>
                </w:rPr>
                <w:t>STMM</w:t>
              </w:r>
            </w:hyperlink>
          </w:p>
        </w:tc>
        <w:tc>
          <w:tcPr>
            <w:tcW w:w="4776" w:type="dxa"/>
          </w:tcPr>
          <w:p w:rsidR="00113E67" w:rsidRPr="000349C6" w:rsidRDefault="00113E67">
            <w:pPr>
              <w:pStyle w:val="TableText"/>
              <w:rPr>
                <w:sz w:val="24"/>
                <w:szCs w:val="24"/>
              </w:rPr>
            </w:pPr>
            <w:r w:rsidRPr="000349C6">
              <w:rPr>
                <w:sz w:val="24"/>
                <w:szCs w:val="24"/>
              </w:rPr>
              <w:t>Guidelines, directives, procedures and service information to assist departments with telecommunications management.</w:t>
            </w:r>
          </w:p>
        </w:tc>
      </w:tr>
      <w:tr w:rsidR="00113E67" w:rsidRPr="000349C6" w:rsidTr="000349C6">
        <w:trPr>
          <w:trHeight w:val="272"/>
        </w:trPr>
        <w:tc>
          <w:tcPr>
            <w:tcW w:w="4440" w:type="dxa"/>
          </w:tcPr>
          <w:p w:rsidR="00113E67" w:rsidRPr="000349C6" w:rsidRDefault="00113E67">
            <w:pPr>
              <w:pStyle w:val="TableText"/>
              <w:rPr>
                <w:sz w:val="24"/>
                <w:szCs w:val="24"/>
              </w:rPr>
            </w:pPr>
            <w:r w:rsidRPr="000349C6">
              <w:rPr>
                <w:sz w:val="24"/>
                <w:szCs w:val="24"/>
              </w:rPr>
              <w:t>State Contracting Manual (SCM), Vol. 1</w:t>
            </w:r>
          </w:p>
          <w:p w:rsidR="00113E67" w:rsidRPr="000349C6" w:rsidRDefault="00113E67">
            <w:pPr>
              <w:pStyle w:val="TableText"/>
              <w:rPr>
                <w:sz w:val="24"/>
                <w:szCs w:val="24"/>
              </w:rPr>
            </w:pPr>
          </w:p>
          <w:p w:rsidR="00113E67" w:rsidRPr="000349C6" w:rsidRDefault="00113E67">
            <w:pPr>
              <w:pStyle w:val="TableText"/>
              <w:rPr>
                <w:sz w:val="24"/>
                <w:szCs w:val="24"/>
              </w:rPr>
            </w:pPr>
            <w:r w:rsidRPr="000349C6">
              <w:rPr>
                <w:sz w:val="24"/>
                <w:szCs w:val="24"/>
              </w:rPr>
              <w:t xml:space="preserve">Click here to access </w:t>
            </w:r>
            <w:hyperlink r:id="rId15" w:history="1">
              <w:r w:rsidRPr="000349C6">
                <w:rPr>
                  <w:rStyle w:val="Hyperlink"/>
                  <w:sz w:val="24"/>
                  <w:szCs w:val="24"/>
                </w:rPr>
                <w:t>SCM, Vol. 1</w:t>
              </w:r>
            </w:hyperlink>
          </w:p>
          <w:p w:rsidR="005C0484" w:rsidRPr="000349C6" w:rsidRDefault="005C0484">
            <w:pPr>
              <w:pStyle w:val="TableText"/>
              <w:rPr>
                <w:sz w:val="24"/>
                <w:szCs w:val="24"/>
              </w:rPr>
            </w:pPr>
          </w:p>
        </w:tc>
        <w:tc>
          <w:tcPr>
            <w:tcW w:w="4776" w:type="dxa"/>
          </w:tcPr>
          <w:p w:rsidR="00113E67" w:rsidRPr="000349C6" w:rsidRDefault="00113E67">
            <w:pPr>
              <w:pStyle w:val="TableText"/>
              <w:rPr>
                <w:sz w:val="24"/>
                <w:szCs w:val="24"/>
              </w:rPr>
            </w:pPr>
            <w:r w:rsidRPr="000349C6">
              <w:rPr>
                <w:sz w:val="24"/>
                <w:szCs w:val="24"/>
              </w:rPr>
              <w:t>Policies, procedures and guidelines related to the state’s contracting process for non-IT services including consultant service contracts and interagency agreements.  Also includes information relating to public works, architectural &amp; engineering and legal services contracting.</w:t>
            </w:r>
          </w:p>
        </w:tc>
      </w:tr>
      <w:tr w:rsidR="00583FDA" w:rsidRPr="000349C6" w:rsidTr="000349C6">
        <w:trPr>
          <w:trHeight w:val="272"/>
        </w:trPr>
        <w:tc>
          <w:tcPr>
            <w:tcW w:w="4440" w:type="dxa"/>
          </w:tcPr>
          <w:p w:rsidR="00583FDA" w:rsidRPr="000349C6" w:rsidRDefault="00583FDA" w:rsidP="00583FDA">
            <w:pPr>
              <w:pStyle w:val="TableText"/>
              <w:rPr>
                <w:sz w:val="24"/>
                <w:szCs w:val="24"/>
              </w:rPr>
            </w:pPr>
            <w:r w:rsidRPr="000349C6">
              <w:rPr>
                <w:sz w:val="24"/>
                <w:szCs w:val="24"/>
              </w:rPr>
              <w:t>State Contracting Manual (SCM), Vol. 3</w:t>
            </w:r>
          </w:p>
          <w:p w:rsidR="00583FDA" w:rsidRPr="000349C6" w:rsidRDefault="00583FDA" w:rsidP="00583FDA">
            <w:pPr>
              <w:pStyle w:val="TableText"/>
              <w:rPr>
                <w:sz w:val="24"/>
                <w:szCs w:val="24"/>
              </w:rPr>
            </w:pPr>
          </w:p>
          <w:p w:rsidR="00583FDA" w:rsidRPr="000349C6" w:rsidRDefault="00583FDA">
            <w:pPr>
              <w:pStyle w:val="TableText"/>
              <w:rPr>
                <w:sz w:val="24"/>
                <w:szCs w:val="24"/>
              </w:rPr>
            </w:pPr>
            <w:r w:rsidRPr="000349C6">
              <w:rPr>
                <w:sz w:val="24"/>
                <w:szCs w:val="24"/>
              </w:rPr>
              <w:t xml:space="preserve">Click here to access </w:t>
            </w:r>
            <w:hyperlink r:id="rId16" w:history="1">
              <w:r w:rsidRPr="000349C6">
                <w:rPr>
                  <w:rStyle w:val="Hyperlink"/>
                  <w:sz w:val="24"/>
                  <w:szCs w:val="24"/>
                </w:rPr>
                <w:t>SCM, Vol. 3</w:t>
              </w:r>
            </w:hyperlink>
          </w:p>
        </w:tc>
        <w:tc>
          <w:tcPr>
            <w:tcW w:w="4776" w:type="dxa"/>
          </w:tcPr>
          <w:p w:rsidR="00583FDA" w:rsidRPr="000349C6" w:rsidRDefault="00583FDA">
            <w:pPr>
              <w:pStyle w:val="TableText"/>
              <w:rPr>
                <w:sz w:val="24"/>
                <w:szCs w:val="24"/>
              </w:rPr>
            </w:pPr>
            <w:r w:rsidRPr="000349C6">
              <w:rPr>
                <w:sz w:val="24"/>
                <w:szCs w:val="24"/>
              </w:rPr>
              <w:t>Policies, procedures and guidelines related to the state’s contracting process for IT goods and services.</w:t>
            </w:r>
          </w:p>
        </w:tc>
      </w:tr>
    </w:tbl>
    <w:p w:rsidR="00113E67" w:rsidRPr="000349C6" w:rsidRDefault="00113E67">
      <w:pPr>
        <w:pStyle w:val="BlockLine"/>
        <w:rPr>
          <w:sz w:val="24"/>
          <w:szCs w:val="24"/>
        </w:rPr>
      </w:pPr>
    </w:p>
    <w:p w:rsidR="000349C6" w:rsidRPr="000349C6" w:rsidRDefault="000349C6">
      <w:pPr>
        <w:pStyle w:val="Heading5"/>
        <w:rPr>
          <w:sz w:val="24"/>
          <w:szCs w:val="24"/>
        </w:rPr>
      </w:pPr>
      <w:bookmarkStart w:id="20" w:name="_Toc83009157"/>
      <w:bookmarkStart w:id="21" w:name="_Toc223156263"/>
      <w:proofErr w:type="gramStart"/>
      <w:r w:rsidRPr="000349C6">
        <w:rPr>
          <w:sz w:val="24"/>
          <w:szCs w:val="24"/>
        </w:rPr>
        <w:t>I.1.9  Additional</w:t>
      </w:r>
      <w:proofErr w:type="gramEnd"/>
      <w:r w:rsidRPr="000349C6">
        <w:rPr>
          <w:sz w:val="24"/>
          <w:szCs w:val="24"/>
        </w:rPr>
        <w:t xml:space="preserve"> reference material</w:t>
      </w:r>
      <w:bookmarkEnd w:id="20"/>
      <w:bookmarkEnd w:id="21"/>
    </w:p>
    <w:p w:rsidR="000349C6" w:rsidRPr="000349C6" w:rsidRDefault="000349C6">
      <w:pPr>
        <w:pStyle w:val="BlockText0"/>
        <w:rPr>
          <w:sz w:val="24"/>
          <w:szCs w:val="24"/>
        </w:rPr>
      </w:pPr>
      <w:r w:rsidRPr="000349C6">
        <w:rPr>
          <w:sz w:val="24"/>
          <w:szCs w:val="24"/>
        </w:rPr>
        <w:t>The following DGS/PD publications are provided as reference summaries of State and federal statutes and State regulations relevant to State procurement practices:</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 xml:space="preserve">Click here to find </w:t>
      </w:r>
      <w:hyperlink r:id="rId17" w:history="1">
        <w:r w:rsidRPr="000349C6">
          <w:rPr>
            <w:rStyle w:val="Hyperlink"/>
            <w:sz w:val="24"/>
            <w:szCs w:val="24"/>
          </w:rPr>
          <w:t>California Codes</w:t>
        </w:r>
      </w:hyperlink>
      <w:r w:rsidRPr="000349C6">
        <w:rPr>
          <w:sz w:val="24"/>
          <w:szCs w:val="24"/>
        </w:rPr>
        <w:t>.</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 xml:space="preserve">Click here to find </w:t>
      </w:r>
      <w:hyperlink r:id="rId18" w:history="1">
        <w:r w:rsidRPr="000349C6">
          <w:rPr>
            <w:rStyle w:val="Hyperlink"/>
            <w:sz w:val="24"/>
            <w:szCs w:val="24"/>
          </w:rPr>
          <w:t>California Code of Regulations</w:t>
        </w:r>
      </w:hyperlink>
      <w:r w:rsidRPr="000349C6">
        <w:rPr>
          <w:sz w:val="24"/>
          <w:szCs w:val="24"/>
        </w:rPr>
        <w:t>.</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 xml:space="preserve">Click here to access the </w:t>
      </w:r>
      <w:hyperlink r:id="rId19" w:history="1">
        <w:r w:rsidRPr="000349C6">
          <w:rPr>
            <w:rStyle w:val="Hyperlink"/>
            <w:sz w:val="24"/>
            <w:szCs w:val="24"/>
          </w:rPr>
          <w:t>California Acquisition Glossary</w:t>
        </w:r>
      </w:hyperlink>
      <w:r w:rsidRPr="000349C6">
        <w:rPr>
          <w:sz w:val="24"/>
          <w:szCs w:val="24"/>
        </w:rPr>
        <w:t>.</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 xml:space="preserve">Click here to access a </w:t>
      </w:r>
      <w:hyperlink r:id="rId20" w:history="1">
        <w:r w:rsidRPr="000349C6">
          <w:rPr>
            <w:rStyle w:val="Hyperlink"/>
            <w:sz w:val="24"/>
            <w:szCs w:val="24"/>
          </w:rPr>
          <w:t>List of Acronyms</w:t>
        </w:r>
      </w:hyperlink>
      <w:r w:rsidRPr="000349C6">
        <w:rPr>
          <w:sz w:val="24"/>
          <w:szCs w:val="24"/>
        </w:rPr>
        <w:t>.</w:t>
      </w:r>
    </w:p>
    <w:p w:rsidR="00113E67" w:rsidRPr="000349C6" w:rsidRDefault="00113E67">
      <w:pPr>
        <w:pStyle w:val="BlockLine"/>
        <w:rPr>
          <w:sz w:val="24"/>
          <w:szCs w:val="24"/>
        </w:rPr>
      </w:pPr>
    </w:p>
    <w:p w:rsidR="000349C6" w:rsidRPr="000349C6" w:rsidRDefault="000349C6">
      <w:pPr>
        <w:pStyle w:val="Heading5"/>
        <w:rPr>
          <w:sz w:val="24"/>
          <w:szCs w:val="24"/>
        </w:rPr>
      </w:pPr>
      <w:bookmarkStart w:id="22" w:name="_Toc83009158"/>
      <w:bookmarkStart w:id="23" w:name="_Toc223156264"/>
      <w:proofErr w:type="gramStart"/>
      <w:r w:rsidRPr="000349C6">
        <w:rPr>
          <w:sz w:val="24"/>
          <w:szCs w:val="24"/>
        </w:rPr>
        <w:t>I.1.10  Resource</w:t>
      </w:r>
      <w:proofErr w:type="gramEnd"/>
      <w:r w:rsidRPr="000349C6">
        <w:rPr>
          <w:sz w:val="24"/>
          <w:szCs w:val="24"/>
        </w:rPr>
        <w:t xml:space="preserve"> directory</w:t>
      </w:r>
      <w:bookmarkEnd w:id="22"/>
      <w:bookmarkEnd w:id="23"/>
    </w:p>
    <w:p w:rsidR="000349C6" w:rsidRPr="000349C6" w:rsidRDefault="000349C6">
      <w:pPr>
        <w:pStyle w:val="BlockText0"/>
        <w:rPr>
          <w:sz w:val="24"/>
          <w:szCs w:val="24"/>
        </w:rPr>
      </w:pPr>
      <w:r w:rsidRPr="000349C6">
        <w:rPr>
          <w:sz w:val="24"/>
          <w:szCs w:val="24"/>
        </w:rPr>
        <w:t>The DGS/PD has compiled a resource directory providing phone numbers and Internet sites associated with procurement activities.</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Click</w:t>
      </w:r>
      <w:bookmarkStart w:id="24" w:name="_GoBack"/>
      <w:bookmarkEnd w:id="24"/>
      <w:r w:rsidRPr="000349C6">
        <w:rPr>
          <w:sz w:val="24"/>
          <w:szCs w:val="24"/>
        </w:rPr>
        <w:t xml:space="preserve"> here to access the </w:t>
      </w:r>
      <w:hyperlink r:id="rId21" w:history="1">
        <w:r w:rsidRPr="000349C6">
          <w:rPr>
            <w:rStyle w:val="Hyperlink"/>
            <w:sz w:val="24"/>
            <w:szCs w:val="24"/>
          </w:rPr>
          <w:t>Procurement R</w:t>
        </w:r>
        <w:r w:rsidRPr="000349C6">
          <w:rPr>
            <w:rStyle w:val="Hyperlink"/>
            <w:sz w:val="24"/>
            <w:szCs w:val="24"/>
          </w:rPr>
          <w:t>e</w:t>
        </w:r>
        <w:r w:rsidRPr="000349C6">
          <w:rPr>
            <w:rStyle w:val="Hyperlink"/>
            <w:sz w:val="24"/>
            <w:szCs w:val="24"/>
          </w:rPr>
          <w:t>lated Resources Directory</w:t>
        </w:r>
      </w:hyperlink>
      <w:r w:rsidRPr="000349C6">
        <w:rPr>
          <w:sz w:val="24"/>
          <w:szCs w:val="24"/>
        </w:rPr>
        <w:t>.</w:t>
      </w:r>
    </w:p>
    <w:p w:rsidR="000349C6" w:rsidRPr="000349C6" w:rsidRDefault="000349C6">
      <w:pPr>
        <w:pStyle w:val="BlockText0"/>
        <w:rPr>
          <w:sz w:val="24"/>
          <w:szCs w:val="24"/>
        </w:rPr>
      </w:pPr>
    </w:p>
    <w:p w:rsidR="000349C6" w:rsidRPr="000349C6" w:rsidRDefault="000349C6">
      <w:pPr>
        <w:pStyle w:val="BlockText0"/>
        <w:rPr>
          <w:sz w:val="24"/>
          <w:szCs w:val="24"/>
        </w:rPr>
      </w:pPr>
      <w:r w:rsidRPr="000349C6">
        <w:rPr>
          <w:sz w:val="24"/>
          <w:szCs w:val="24"/>
        </w:rPr>
        <w:t xml:space="preserve">Click here to learn more </w:t>
      </w:r>
      <w:hyperlink r:id="rId22" w:history="1">
        <w:r w:rsidRPr="000349C6">
          <w:rPr>
            <w:rStyle w:val="Hyperlink"/>
            <w:sz w:val="24"/>
            <w:szCs w:val="24"/>
          </w:rPr>
          <w:t>Abo</w:t>
        </w:r>
        <w:r w:rsidRPr="000349C6">
          <w:rPr>
            <w:rStyle w:val="Hyperlink"/>
            <w:sz w:val="24"/>
            <w:szCs w:val="24"/>
          </w:rPr>
          <w:t>u</w:t>
        </w:r>
        <w:r w:rsidRPr="000349C6">
          <w:rPr>
            <w:rStyle w:val="Hyperlink"/>
            <w:sz w:val="24"/>
            <w:szCs w:val="24"/>
          </w:rPr>
          <w:t>t Us.</w:t>
        </w:r>
      </w:hyperlink>
    </w:p>
    <w:p w:rsidR="00113E67" w:rsidRPr="000349C6" w:rsidRDefault="00113E67">
      <w:pPr>
        <w:pStyle w:val="BlockLine"/>
        <w:rPr>
          <w:sz w:val="24"/>
          <w:szCs w:val="24"/>
        </w:rPr>
      </w:pPr>
    </w:p>
    <w:sectPr w:rsidR="00113E67" w:rsidRPr="000349C6">
      <w:pgSz w:w="12240" w:h="15840" w:code="1"/>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70" w:rsidRDefault="00D42070">
      <w:r>
        <w:separator/>
      </w:r>
    </w:p>
  </w:endnote>
  <w:endnote w:type="continuationSeparator" w:id="0">
    <w:p w:rsidR="00D42070" w:rsidRDefault="00D4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B" w:rsidRDefault="00335E3B">
    <w:pPr>
      <w:pStyle w:val="Footer"/>
    </w:pPr>
  </w:p>
  <w:p w:rsidR="00335E3B" w:rsidRDefault="00335E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B" w:rsidRDefault="00335E3B">
    <w:pPr>
      <w:pStyle w:val="Footer"/>
      <w:tabs>
        <w:tab w:val="clear" w:pos="4320"/>
        <w:tab w:val="clear" w:pos="8640"/>
        <w:tab w:val="center" w:pos="4674"/>
        <w:tab w:val="right" w:pos="9348"/>
      </w:tabs>
      <w:rPr>
        <w:sz w:val="18"/>
      </w:rPr>
    </w:pPr>
    <w:r>
      <w:rPr>
        <w:sz w:val="18"/>
      </w:rPr>
      <w:t>Introduction</w:t>
    </w:r>
    <w:r>
      <w:rPr>
        <w:sz w:val="18"/>
      </w:rPr>
      <w:tab/>
    </w:r>
    <w:r>
      <w:rPr>
        <w:sz w:val="18"/>
      </w:rPr>
      <w:tab/>
    </w:r>
    <w:r w:rsidR="00FC2103">
      <w:rPr>
        <w:sz w:val="18"/>
      </w:rPr>
      <w:t>Ju</w:t>
    </w:r>
    <w:r w:rsidR="00D01000">
      <w:rPr>
        <w:sz w:val="18"/>
      </w:rPr>
      <w:t>ly</w:t>
    </w:r>
    <w:r w:rsidR="00FC2103">
      <w:rPr>
        <w:sz w:val="18"/>
      </w:rPr>
      <w:t xml:space="preserve"> 2010</w:t>
    </w:r>
  </w:p>
  <w:p w:rsidR="00335E3B" w:rsidRDefault="00335E3B">
    <w:pPr>
      <w:pStyle w:val="Footer"/>
      <w:tabs>
        <w:tab w:val="clear" w:pos="4320"/>
        <w:tab w:val="clear" w:pos="8640"/>
        <w:tab w:val="center" w:pos="4674"/>
        <w:tab w:val="right" w:pos="9348"/>
      </w:tabs>
      <w:rPr>
        <w:sz w:val="18"/>
      </w:rPr>
    </w:pPr>
    <w:r>
      <w:rPr>
        <w:sz w:val="18"/>
      </w:rPr>
      <w:t>SCM, Vol. 2</w:t>
    </w:r>
    <w:r w:rsidR="000443CA">
      <w:rPr>
        <w:sz w:val="18"/>
      </w:rPr>
      <w:t xml:space="preserve">, </w:t>
    </w:r>
    <w:r>
      <w:rPr>
        <w:sz w:val="18"/>
      </w:rPr>
      <w:t>Revision 4</w:t>
    </w:r>
  </w:p>
  <w:p w:rsidR="00335E3B" w:rsidRDefault="00335E3B">
    <w:pPr>
      <w:pStyle w:val="Footer"/>
      <w:tabs>
        <w:tab w:val="clear" w:pos="4320"/>
        <w:tab w:val="clear" w:pos="8640"/>
        <w:tab w:val="center" w:pos="4674"/>
        <w:tab w:val="right" w:pos="9348"/>
      </w:tabs>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E212F5">
      <w:rPr>
        <w:noProof/>
        <w:sz w:val="18"/>
      </w:rPr>
      <w:t>6</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E212F5">
      <w:rPr>
        <w:noProof/>
        <w:sz w:val="18"/>
      </w:rPr>
      <w:t>6</w:t>
    </w:r>
    <w:r>
      <w:rPr>
        <w:sz w:val="18"/>
      </w:rPr>
      <w:fldChar w:fldCharType="end"/>
    </w:r>
  </w:p>
  <w:p w:rsidR="00335E3B" w:rsidRDefault="00335E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70" w:rsidRDefault="00D42070">
      <w:r>
        <w:separator/>
      </w:r>
    </w:p>
  </w:footnote>
  <w:footnote w:type="continuationSeparator" w:id="0">
    <w:p w:rsidR="00D42070" w:rsidRDefault="00D4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B" w:rsidRDefault="00335E3B">
    <w:pPr>
      <w:pStyle w:val="Header"/>
    </w:pPr>
  </w:p>
  <w:p w:rsidR="00335E3B" w:rsidRDefault="00335E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B" w:rsidRDefault="00335E3B">
    <w:pPr>
      <w:pStyle w:val="Header"/>
      <w:tabs>
        <w:tab w:val="clear" w:pos="4320"/>
        <w:tab w:val="clear" w:pos="8640"/>
        <w:tab w:val="center" w:pos="4674"/>
        <w:tab w:val="right" w:pos="9348"/>
      </w:tabs>
    </w:pPr>
  </w:p>
  <w:p w:rsidR="00335E3B" w:rsidRDefault="00335E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3"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13"/>
  </w:num>
  <w:num w:numId="2">
    <w:abstractNumId w:val="12"/>
  </w:num>
  <w:num w:numId="3">
    <w:abstractNumId w:val="1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FC"/>
    <w:rsid w:val="00002151"/>
    <w:rsid w:val="00012903"/>
    <w:rsid w:val="00015B15"/>
    <w:rsid w:val="000349C6"/>
    <w:rsid w:val="000443CA"/>
    <w:rsid w:val="00071B2B"/>
    <w:rsid w:val="000F3D2C"/>
    <w:rsid w:val="001027E0"/>
    <w:rsid w:val="00113E67"/>
    <w:rsid w:val="00147F3F"/>
    <w:rsid w:val="00156A17"/>
    <w:rsid w:val="00216CEA"/>
    <w:rsid w:val="002940E8"/>
    <w:rsid w:val="002A2D6A"/>
    <w:rsid w:val="002B4ABB"/>
    <w:rsid w:val="002C7798"/>
    <w:rsid w:val="00335E3B"/>
    <w:rsid w:val="00366B09"/>
    <w:rsid w:val="00382B07"/>
    <w:rsid w:val="003912AA"/>
    <w:rsid w:val="003B272B"/>
    <w:rsid w:val="003B27D6"/>
    <w:rsid w:val="003C41E2"/>
    <w:rsid w:val="003D5FC0"/>
    <w:rsid w:val="003E2BFC"/>
    <w:rsid w:val="00404F19"/>
    <w:rsid w:val="005102A0"/>
    <w:rsid w:val="00520EF6"/>
    <w:rsid w:val="00557D2B"/>
    <w:rsid w:val="00583FDA"/>
    <w:rsid w:val="005A09CB"/>
    <w:rsid w:val="005B40D9"/>
    <w:rsid w:val="005C0484"/>
    <w:rsid w:val="00652F46"/>
    <w:rsid w:val="006571BA"/>
    <w:rsid w:val="00680B6D"/>
    <w:rsid w:val="006C4231"/>
    <w:rsid w:val="006E30B7"/>
    <w:rsid w:val="006E48EC"/>
    <w:rsid w:val="00710BF0"/>
    <w:rsid w:val="00716186"/>
    <w:rsid w:val="007255D7"/>
    <w:rsid w:val="00735457"/>
    <w:rsid w:val="007928B0"/>
    <w:rsid w:val="007B4DAC"/>
    <w:rsid w:val="007D033A"/>
    <w:rsid w:val="007E1A08"/>
    <w:rsid w:val="00813564"/>
    <w:rsid w:val="00813A09"/>
    <w:rsid w:val="00827C8F"/>
    <w:rsid w:val="008431FB"/>
    <w:rsid w:val="008475A1"/>
    <w:rsid w:val="008753D9"/>
    <w:rsid w:val="008829C5"/>
    <w:rsid w:val="008E785B"/>
    <w:rsid w:val="00917D90"/>
    <w:rsid w:val="00933C76"/>
    <w:rsid w:val="009478CB"/>
    <w:rsid w:val="00960D23"/>
    <w:rsid w:val="00980E75"/>
    <w:rsid w:val="009A281F"/>
    <w:rsid w:val="00A46043"/>
    <w:rsid w:val="00A67FF8"/>
    <w:rsid w:val="00A957E3"/>
    <w:rsid w:val="00AB3211"/>
    <w:rsid w:val="00AF2214"/>
    <w:rsid w:val="00B02586"/>
    <w:rsid w:val="00B034FF"/>
    <w:rsid w:val="00B12674"/>
    <w:rsid w:val="00B42D53"/>
    <w:rsid w:val="00B61D74"/>
    <w:rsid w:val="00B70286"/>
    <w:rsid w:val="00B83439"/>
    <w:rsid w:val="00BA56C6"/>
    <w:rsid w:val="00BB033B"/>
    <w:rsid w:val="00BE71C0"/>
    <w:rsid w:val="00C20089"/>
    <w:rsid w:val="00C23CDD"/>
    <w:rsid w:val="00C60322"/>
    <w:rsid w:val="00C63E91"/>
    <w:rsid w:val="00CB1BE2"/>
    <w:rsid w:val="00CB7E09"/>
    <w:rsid w:val="00CC6533"/>
    <w:rsid w:val="00CD0633"/>
    <w:rsid w:val="00CD42F9"/>
    <w:rsid w:val="00D01000"/>
    <w:rsid w:val="00D064DC"/>
    <w:rsid w:val="00D12BBD"/>
    <w:rsid w:val="00D15997"/>
    <w:rsid w:val="00D42070"/>
    <w:rsid w:val="00D52C20"/>
    <w:rsid w:val="00D5780D"/>
    <w:rsid w:val="00D967FB"/>
    <w:rsid w:val="00DC213E"/>
    <w:rsid w:val="00DD4CDF"/>
    <w:rsid w:val="00E0136B"/>
    <w:rsid w:val="00E212F5"/>
    <w:rsid w:val="00E32672"/>
    <w:rsid w:val="00E32F44"/>
    <w:rsid w:val="00E61645"/>
    <w:rsid w:val="00E71649"/>
    <w:rsid w:val="00EE4AB5"/>
    <w:rsid w:val="00EF1A86"/>
    <w:rsid w:val="00F02CB1"/>
    <w:rsid w:val="00F46D16"/>
    <w:rsid w:val="00F67D05"/>
    <w:rsid w:val="00F75068"/>
    <w:rsid w:val="00F85524"/>
    <w:rsid w:val="00F9072B"/>
    <w:rsid w:val="00F96240"/>
    <w:rsid w:val="00FA0A32"/>
    <w:rsid w:val="00FC2103"/>
    <w:rsid w:val="00FD18D8"/>
    <w:rsid w:val="00FD5527"/>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5D28EC-8750-4460-9633-0DEA255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68"/>
    <w:rPr>
      <w:rFonts w:ascii="Arial" w:hAnsi="Arial" w:cs="Arial"/>
      <w:sz w:val="22"/>
      <w:szCs w:val="32"/>
    </w:rPr>
  </w:style>
  <w:style w:type="paragraph" w:styleId="Heading1">
    <w:name w:val="heading 1"/>
    <w:aliases w:val="Part Title"/>
    <w:basedOn w:val="Normal"/>
    <w:next w:val="Heading4"/>
    <w:qFormat/>
    <w:rsid w:val="00F75068"/>
    <w:pPr>
      <w:spacing w:after="240"/>
      <w:jc w:val="center"/>
      <w:outlineLvl w:val="0"/>
    </w:pPr>
    <w:rPr>
      <w:b/>
      <w:sz w:val="32"/>
    </w:rPr>
  </w:style>
  <w:style w:type="paragraph" w:styleId="Heading2">
    <w:name w:val="heading 2"/>
    <w:aliases w:val="Chapter Title"/>
    <w:basedOn w:val="Normal"/>
    <w:next w:val="Heading4"/>
    <w:qFormat/>
    <w:rsid w:val="00F75068"/>
    <w:pPr>
      <w:spacing w:after="240"/>
      <w:jc w:val="center"/>
      <w:outlineLvl w:val="1"/>
    </w:pPr>
    <w:rPr>
      <w:b/>
      <w:sz w:val="32"/>
    </w:rPr>
  </w:style>
  <w:style w:type="paragraph" w:styleId="Heading3">
    <w:name w:val="heading 3"/>
    <w:aliases w:val="Section Title"/>
    <w:basedOn w:val="Normal"/>
    <w:next w:val="Heading4"/>
    <w:qFormat/>
    <w:rsid w:val="00F75068"/>
    <w:pPr>
      <w:spacing w:after="240"/>
      <w:jc w:val="center"/>
      <w:outlineLvl w:val="2"/>
    </w:pPr>
    <w:rPr>
      <w:b/>
      <w:sz w:val="32"/>
    </w:rPr>
  </w:style>
  <w:style w:type="paragraph" w:styleId="Heading4">
    <w:name w:val="heading 4"/>
    <w:aliases w:val="Map Title"/>
    <w:basedOn w:val="Normal"/>
    <w:next w:val="Normal"/>
    <w:qFormat/>
    <w:rsid w:val="00F75068"/>
    <w:pPr>
      <w:spacing w:after="240"/>
      <w:outlineLvl w:val="3"/>
    </w:pPr>
    <w:rPr>
      <w:b/>
      <w:sz w:val="32"/>
    </w:rPr>
  </w:style>
  <w:style w:type="paragraph" w:styleId="Heading5">
    <w:name w:val="heading 5"/>
    <w:aliases w:val="Block Label"/>
    <w:basedOn w:val="Normal"/>
    <w:qFormat/>
    <w:rsid w:val="00F75068"/>
    <w:pPr>
      <w:outlineLvl w:val="4"/>
    </w:pPr>
    <w:rPr>
      <w:b/>
    </w:rPr>
  </w:style>
  <w:style w:type="paragraph" w:styleId="Heading6">
    <w:name w:val="heading 6"/>
    <w:aliases w:val="Sub Label"/>
    <w:basedOn w:val="Heading5"/>
    <w:next w:val="Normal"/>
    <w:qFormat/>
    <w:rsid w:val="00F75068"/>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Pr>
      <w:sz w:val="24"/>
    </w:rPr>
  </w:style>
  <w:style w:type="paragraph" w:customStyle="1" w:styleId="BlockLine">
    <w:name w:val="Block Line"/>
    <w:basedOn w:val="Normal"/>
    <w:next w:val="Normal"/>
    <w:rsid w:val="00F75068"/>
    <w:pPr>
      <w:pBdr>
        <w:top w:val="single" w:sz="6" w:space="1" w:color="auto"/>
        <w:between w:val="single" w:sz="6" w:space="1" w:color="auto"/>
      </w:pBdr>
      <w:spacing w:before="240"/>
      <w:ind w:left="1728"/>
    </w:pPr>
  </w:style>
  <w:style w:type="paragraph" w:customStyle="1" w:styleId="BulletText1">
    <w:name w:val="Bullet Text 1"/>
    <w:basedOn w:val="Normal"/>
    <w:rsid w:val="00F75068"/>
    <w:pPr>
      <w:numPr>
        <w:numId w:val="1"/>
      </w:numPr>
    </w:pPr>
  </w:style>
  <w:style w:type="paragraph" w:customStyle="1" w:styleId="BulletText2">
    <w:name w:val="Bullet Text 2"/>
    <w:basedOn w:val="Normal"/>
    <w:rsid w:val="00F75068"/>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F75068"/>
    <w:rPr>
      <w:b/>
    </w:rPr>
  </w:style>
  <w:style w:type="paragraph" w:customStyle="1" w:styleId="ContinuedOnNextPa">
    <w:name w:val="Continued On Next Pa"/>
    <w:basedOn w:val="Normal"/>
    <w:next w:val="Normal"/>
    <w:rsid w:val="00F75068"/>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F75068"/>
    <w:rPr>
      <w:b/>
    </w:rPr>
  </w:style>
  <w:style w:type="paragraph" w:customStyle="1" w:styleId="TableText">
    <w:name w:val="Table Text"/>
    <w:basedOn w:val="Normal"/>
    <w:rsid w:val="00F75068"/>
  </w:style>
  <w:style w:type="paragraph" w:customStyle="1" w:styleId="EmbeddedText">
    <w:name w:val="Embedded Text"/>
    <w:basedOn w:val="Normal"/>
    <w:rsid w:val="00F75068"/>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F75068"/>
    <w:rPr>
      <w:sz w:val="24"/>
    </w:rPr>
  </w:style>
  <w:style w:type="paragraph" w:styleId="TOC4">
    <w:name w:val="toc 4"/>
    <w:basedOn w:val="Normal"/>
    <w:next w:val="Normal"/>
    <w:autoRedefine/>
    <w:semiHidden/>
    <w:pPr>
      <w:ind w:left="720"/>
    </w:pPr>
  </w:style>
  <w:style w:type="paragraph" w:customStyle="1" w:styleId="MapTitleContinued">
    <w:name w:val="Map Title. Continued"/>
    <w:basedOn w:val="Normal"/>
    <w:rsid w:val="00F75068"/>
    <w:pPr>
      <w:spacing w:after="240"/>
    </w:pPr>
    <w:rPr>
      <w:b/>
      <w:sz w:val="32"/>
    </w:rPr>
  </w:style>
  <w:style w:type="paragraph" w:customStyle="1" w:styleId="MemoLine">
    <w:name w:val="Memo Line"/>
    <w:basedOn w:val="BlockLine"/>
    <w:next w:val="Normal"/>
    <w:rsid w:val="00F75068"/>
    <w:pPr>
      <w:ind w:left="0"/>
    </w:pPr>
  </w:style>
  <w:style w:type="paragraph" w:customStyle="1" w:styleId="NoteText">
    <w:name w:val="Note Text"/>
    <w:basedOn w:val="Normal"/>
    <w:rsid w:val="00F75068"/>
  </w:style>
  <w:style w:type="character" w:styleId="PageNumber">
    <w:name w:val="page number"/>
    <w:basedOn w:val="DefaultParagraphFont"/>
  </w:style>
  <w:style w:type="paragraph" w:customStyle="1" w:styleId="PublicationTitle">
    <w:name w:val="Publication Title"/>
    <w:basedOn w:val="Normal"/>
    <w:next w:val="Heading4"/>
    <w:rsid w:val="00F75068"/>
    <w:pPr>
      <w:spacing w:after="240"/>
      <w:jc w:val="center"/>
    </w:pPr>
    <w:rPr>
      <w:b/>
      <w:sz w:val="32"/>
    </w:rPr>
  </w:style>
  <w:style w:type="paragraph" w:customStyle="1" w:styleId="TableHeaderText">
    <w:name w:val="Table Header Text"/>
    <w:basedOn w:val="Normal"/>
    <w:rsid w:val="00F75068"/>
    <w:pPr>
      <w:jc w:val="center"/>
    </w:pPr>
    <w:rPr>
      <w:b/>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semiHidden/>
    <w:pPr>
      <w:tabs>
        <w:tab w:val="right" w:leader="dot" w:pos="7348"/>
        <w:tab w:val="right" w:leader="dot" w:pos="9050"/>
      </w:tabs>
      <w:spacing w:before="240"/>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F75068"/>
    <w:pPr>
      <w:widowControl w:val="0"/>
    </w:pPr>
    <w:rPr>
      <w:b/>
      <w:sz w:val="32"/>
    </w:rPr>
  </w:style>
  <w:style w:type="paragraph" w:customStyle="1" w:styleId="TOCItem">
    <w:name w:val="TOCItem"/>
    <w:basedOn w:val="Normal"/>
    <w:rsid w:val="00F75068"/>
    <w:pPr>
      <w:tabs>
        <w:tab w:val="left" w:leader="dot" w:pos="7061"/>
        <w:tab w:val="right" w:pos="7524"/>
      </w:tabs>
      <w:spacing w:before="60" w:after="60"/>
      <w:ind w:right="465"/>
    </w:pPr>
  </w:style>
  <w:style w:type="paragraph" w:customStyle="1" w:styleId="TOCStem">
    <w:name w:val="TOCStem"/>
    <w:basedOn w:val="Normal"/>
    <w:rsid w:val="00F75068"/>
  </w:style>
  <w:style w:type="paragraph" w:styleId="BodyTextIndent">
    <w:name w:val="Body Text Indent"/>
    <w:basedOn w:val="Normal"/>
    <w:pPr>
      <w:ind w:left="1680"/>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F75068"/>
  </w:style>
  <w:style w:type="paragraph" w:customStyle="1" w:styleId="BlockText0">
    <w:name w:val="Block_Text"/>
    <w:basedOn w:val="Normal"/>
    <w:rsid w:val="00F75068"/>
  </w:style>
  <w:style w:type="paragraph" w:customStyle="1" w:styleId="BulletText3">
    <w:name w:val="Bullet Text 3"/>
    <w:basedOn w:val="Normal"/>
    <w:rsid w:val="00F75068"/>
    <w:pPr>
      <w:numPr>
        <w:numId w:val="15"/>
      </w:numPr>
    </w:pPr>
  </w:style>
  <w:style w:type="paragraph" w:styleId="TOC5">
    <w:name w:val="toc 5"/>
    <w:basedOn w:val="Normal"/>
    <w:next w:val="Normal"/>
    <w:autoRedefine/>
    <w:semiHidden/>
    <w:pPr>
      <w:ind w:left="880"/>
    </w:pPr>
  </w:style>
  <w:style w:type="paragraph" w:styleId="BalloonText">
    <w:name w:val="Balloon Text"/>
    <w:basedOn w:val="Normal"/>
    <w:semiHidden/>
    <w:rsid w:val="00716186"/>
    <w:rPr>
      <w:rFonts w:ascii="Tahoma" w:hAnsi="Tahoma" w:cs="Tahoma"/>
      <w:sz w:val="16"/>
      <w:szCs w:val="16"/>
    </w:rPr>
  </w:style>
  <w:style w:type="table" w:styleId="TableGridLight">
    <w:name w:val="Grid Table Light"/>
    <w:basedOn w:val="TableNormal"/>
    <w:uiPriority w:val="40"/>
    <w:rsid w:val="00034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dt.ca.gov/policy/simm/" TargetMode="External"/><Relationship Id="rId18" Type="http://schemas.openxmlformats.org/officeDocument/2006/relationships/hyperlink" Target="http://ccr.oal.ca.gov/" TargetMode="External"/><Relationship Id="rId3" Type="http://schemas.openxmlformats.org/officeDocument/2006/relationships/settings" Target="settings.xml"/><Relationship Id="rId21" Type="http://schemas.openxmlformats.org/officeDocument/2006/relationships/hyperlink" Target="https://www.dgs.ca.gov/PD/Resources" TargetMode="External"/><Relationship Id="rId7" Type="http://schemas.openxmlformats.org/officeDocument/2006/relationships/header" Target="header1.xml"/><Relationship Id="rId12" Type="http://schemas.openxmlformats.org/officeDocument/2006/relationships/hyperlink" Target="https://www.dgs.ca.gov/Resources/SAM" TargetMode="External"/><Relationship Id="rId17" Type="http://schemas.openxmlformats.org/officeDocument/2006/relationships/hyperlink" Target="http://leginfo.legislature.ca.gov/faces/codes.xhtml" TargetMode="External"/><Relationship Id="rId2" Type="http://schemas.openxmlformats.org/officeDocument/2006/relationships/styles" Target="styles.xml"/><Relationship Id="rId16" Type="http://schemas.openxmlformats.org/officeDocument/2006/relationships/hyperlink" Target="https://www.dgs.ca.gov/PD/Resources/Page-Content/Procurement-Division-Resources-List-Folder/State-Contracting-Manual-Volume-2-3-FI$Cal" TargetMode="External"/><Relationship Id="rId20" Type="http://schemas.openxmlformats.org/officeDocument/2006/relationships/hyperlink" Target="https://www.dgs.ca.gov/-/media/50FF3AB153414F19A1CE98C374C561B2.ash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gs.ca.gov/PD/Resources/Page-Content/Procurement-Division-Resources-List-Folder/Broadcast-Bulleti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gs.ca.gov/OLS/Resources/Page-Content/Office-of-Legal-Services-Resources-List-Folder/State-Contractin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dgs.ca.gov/-/media/2E9ECBA34C6542AFB9683776A450E1A5.ash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dt.ca.gov/services/calnet-stmm/" TargetMode="External"/><Relationship Id="rId22" Type="http://schemas.openxmlformats.org/officeDocument/2006/relationships/hyperlink" Target="https://www.dgs.ca.gov/PD/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infomappro.dot</Template>
  <TotalTime>40</TotalTime>
  <Pages>1</Pages>
  <Words>1311</Words>
  <Characters>7819</Characters>
  <Application>Microsoft Office Word</Application>
  <DocSecurity>0</DocSecurity>
  <Lines>312</Lines>
  <Paragraphs>160</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8970</CharactersWithSpaces>
  <SharedDoc>false</SharedDoc>
  <HLinks>
    <vt:vector size="144" baseType="variant">
      <vt:variant>
        <vt:i4>5046281</vt:i4>
      </vt:variant>
      <vt:variant>
        <vt:i4>108</vt:i4>
      </vt:variant>
      <vt:variant>
        <vt:i4>0</vt:i4>
      </vt:variant>
      <vt:variant>
        <vt:i4>5</vt:i4>
      </vt:variant>
      <vt:variant>
        <vt:lpwstr>http://www.dgs.ca.gov/pd/AboutUs.aspx</vt:lpwstr>
      </vt:variant>
      <vt:variant>
        <vt:lpwstr/>
      </vt:variant>
      <vt:variant>
        <vt:i4>2097270</vt:i4>
      </vt:variant>
      <vt:variant>
        <vt:i4>105</vt:i4>
      </vt:variant>
      <vt:variant>
        <vt:i4>0</vt:i4>
      </vt:variant>
      <vt:variant>
        <vt:i4>5</vt:i4>
      </vt:variant>
      <vt:variant>
        <vt:lpwstr>http://www.dgs.ca.gov/pd/Resources.aspx</vt:lpwstr>
      </vt:variant>
      <vt:variant>
        <vt:lpwstr/>
      </vt:variant>
      <vt:variant>
        <vt:i4>8323116</vt:i4>
      </vt:variant>
      <vt:variant>
        <vt:i4>102</vt:i4>
      </vt:variant>
      <vt:variant>
        <vt:i4>0</vt:i4>
      </vt:variant>
      <vt:variant>
        <vt:i4>5</vt:i4>
      </vt:variant>
      <vt:variant>
        <vt:lpwstr>http://www.documents.dgs.ca.gov/pd/delegations/acronyms.pdf</vt:lpwstr>
      </vt:variant>
      <vt:variant>
        <vt:lpwstr/>
      </vt:variant>
      <vt:variant>
        <vt:i4>6815775</vt:i4>
      </vt:variant>
      <vt:variant>
        <vt:i4>99</vt:i4>
      </vt:variant>
      <vt:variant>
        <vt:i4>0</vt:i4>
      </vt:variant>
      <vt:variant>
        <vt:i4>5</vt:i4>
      </vt:variant>
      <vt:variant>
        <vt:lpwstr>http://www.documents.dgs.ca.gov/PD/Poliproc/CaliforniaAcquisitionGlossary13_1213.pdf</vt:lpwstr>
      </vt:variant>
      <vt:variant>
        <vt:lpwstr/>
      </vt:variant>
      <vt:variant>
        <vt:i4>3407995</vt:i4>
      </vt:variant>
      <vt:variant>
        <vt:i4>96</vt:i4>
      </vt:variant>
      <vt:variant>
        <vt:i4>0</vt:i4>
      </vt:variant>
      <vt:variant>
        <vt:i4>5</vt:i4>
      </vt:variant>
      <vt:variant>
        <vt:lpwstr>http://ccr.oal.ca.gov/</vt:lpwstr>
      </vt:variant>
      <vt:variant>
        <vt:lpwstr/>
      </vt:variant>
      <vt:variant>
        <vt:i4>3080315</vt:i4>
      </vt:variant>
      <vt:variant>
        <vt:i4>93</vt:i4>
      </vt:variant>
      <vt:variant>
        <vt:i4>0</vt:i4>
      </vt:variant>
      <vt:variant>
        <vt:i4>5</vt:i4>
      </vt:variant>
      <vt:variant>
        <vt:lpwstr>http://leginfo.legislature.ca.gov/faces/codes.xhtml</vt:lpwstr>
      </vt:variant>
      <vt:variant>
        <vt:lpwstr/>
      </vt:variant>
      <vt:variant>
        <vt:i4>4325461</vt:i4>
      </vt:variant>
      <vt:variant>
        <vt:i4>90</vt:i4>
      </vt:variant>
      <vt:variant>
        <vt:i4>0</vt:i4>
      </vt:variant>
      <vt:variant>
        <vt:i4>5</vt:i4>
      </vt:variant>
      <vt:variant>
        <vt:lpwstr>http://www.dgs.ca.gov/pd/Resources/publications/SCM3.aspx</vt:lpwstr>
      </vt:variant>
      <vt:variant>
        <vt:lpwstr/>
      </vt:variant>
      <vt:variant>
        <vt:i4>1769473</vt:i4>
      </vt:variant>
      <vt:variant>
        <vt:i4>87</vt:i4>
      </vt:variant>
      <vt:variant>
        <vt:i4>0</vt:i4>
      </vt:variant>
      <vt:variant>
        <vt:i4>5</vt:i4>
      </vt:variant>
      <vt:variant>
        <vt:lpwstr>http://www.dgs.ca.gov/ols/Resources/StateContractManual.aspx</vt:lpwstr>
      </vt:variant>
      <vt:variant>
        <vt:lpwstr/>
      </vt:variant>
      <vt:variant>
        <vt:i4>4390919</vt:i4>
      </vt:variant>
      <vt:variant>
        <vt:i4>84</vt:i4>
      </vt:variant>
      <vt:variant>
        <vt:i4>0</vt:i4>
      </vt:variant>
      <vt:variant>
        <vt:i4>5</vt:i4>
      </vt:variant>
      <vt:variant>
        <vt:lpwstr>https://cdt.ca.gov/services/calnet-stmm/</vt:lpwstr>
      </vt:variant>
      <vt:variant>
        <vt:lpwstr/>
      </vt:variant>
      <vt:variant>
        <vt:i4>8323131</vt:i4>
      </vt:variant>
      <vt:variant>
        <vt:i4>81</vt:i4>
      </vt:variant>
      <vt:variant>
        <vt:i4>0</vt:i4>
      </vt:variant>
      <vt:variant>
        <vt:i4>5</vt:i4>
      </vt:variant>
      <vt:variant>
        <vt:lpwstr>https://cdt.ca.gov/policy/simm/</vt:lpwstr>
      </vt:variant>
      <vt:variant>
        <vt:lpwstr/>
      </vt:variant>
      <vt:variant>
        <vt:i4>3080319</vt:i4>
      </vt:variant>
      <vt:variant>
        <vt:i4>78</vt:i4>
      </vt:variant>
      <vt:variant>
        <vt:i4>0</vt:i4>
      </vt:variant>
      <vt:variant>
        <vt:i4>5</vt:i4>
      </vt:variant>
      <vt:variant>
        <vt:lpwstr>http://sam.dgs.ca.gov/</vt:lpwstr>
      </vt:variant>
      <vt:variant>
        <vt:lpwstr/>
      </vt:variant>
      <vt:variant>
        <vt:i4>7012455</vt:i4>
      </vt:variant>
      <vt:variant>
        <vt:i4>75</vt:i4>
      </vt:variant>
      <vt:variant>
        <vt:i4>0</vt:i4>
      </vt:variant>
      <vt:variant>
        <vt:i4>5</vt:i4>
      </vt:variant>
      <vt:variant>
        <vt:lpwstr>http://www.dgs.ca.gov/pd/Resources/BroadcastBulletins.aspx</vt:lpwstr>
      </vt:variant>
      <vt:variant>
        <vt:lpwstr/>
      </vt:variant>
      <vt:variant>
        <vt:i4>1310774</vt:i4>
      </vt:variant>
      <vt:variant>
        <vt:i4>68</vt:i4>
      </vt:variant>
      <vt:variant>
        <vt:i4>0</vt:i4>
      </vt:variant>
      <vt:variant>
        <vt:i4>5</vt:i4>
      </vt:variant>
      <vt:variant>
        <vt:lpwstr/>
      </vt:variant>
      <vt:variant>
        <vt:lpwstr>_Toc223156264</vt:lpwstr>
      </vt:variant>
      <vt:variant>
        <vt:i4>1310774</vt:i4>
      </vt:variant>
      <vt:variant>
        <vt:i4>62</vt:i4>
      </vt:variant>
      <vt:variant>
        <vt:i4>0</vt:i4>
      </vt:variant>
      <vt:variant>
        <vt:i4>5</vt:i4>
      </vt:variant>
      <vt:variant>
        <vt:lpwstr/>
      </vt:variant>
      <vt:variant>
        <vt:lpwstr>_Toc223156263</vt:lpwstr>
      </vt:variant>
      <vt:variant>
        <vt:i4>1310774</vt:i4>
      </vt:variant>
      <vt:variant>
        <vt:i4>56</vt:i4>
      </vt:variant>
      <vt:variant>
        <vt:i4>0</vt:i4>
      </vt:variant>
      <vt:variant>
        <vt:i4>5</vt:i4>
      </vt:variant>
      <vt:variant>
        <vt:lpwstr/>
      </vt:variant>
      <vt:variant>
        <vt:lpwstr>_Toc223156262</vt:lpwstr>
      </vt:variant>
      <vt:variant>
        <vt:i4>1310774</vt:i4>
      </vt:variant>
      <vt:variant>
        <vt:i4>50</vt:i4>
      </vt:variant>
      <vt:variant>
        <vt:i4>0</vt:i4>
      </vt:variant>
      <vt:variant>
        <vt:i4>5</vt:i4>
      </vt:variant>
      <vt:variant>
        <vt:lpwstr/>
      </vt:variant>
      <vt:variant>
        <vt:lpwstr>_Toc223156261</vt:lpwstr>
      </vt:variant>
      <vt:variant>
        <vt:i4>1310774</vt:i4>
      </vt:variant>
      <vt:variant>
        <vt:i4>44</vt:i4>
      </vt:variant>
      <vt:variant>
        <vt:i4>0</vt:i4>
      </vt:variant>
      <vt:variant>
        <vt:i4>5</vt:i4>
      </vt:variant>
      <vt:variant>
        <vt:lpwstr/>
      </vt:variant>
      <vt:variant>
        <vt:lpwstr>_Toc223156260</vt:lpwstr>
      </vt:variant>
      <vt:variant>
        <vt:i4>1507382</vt:i4>
      </vt:variant>
      <vt:variant>
        <vt:i4>38</vt:i4>
      </vt:variant>
      <vt:variant>
        <vt:i4>0</vt:i4>
      </vt:variant>
      <vt:variant>
        <vt:i4>5</vt:i4>
      </vt:variant>
      <vt:variant>
        <vt:lpwstr/>
      </vt:variant>
      <vt:variant>
        <vt:lpwstr>_Toc223156259</vt:lpwstr>
      </vt:variant>
      <vt:variant>
        <vt:i4>1507382</vt:i4>
      </vt:variant>
      <vt:variant>
        <vt:i4>32</vt:i4>
      </vt:variant>
      <vt:variant>
        <vt:i4>0</vt:i4>
      </vt:variant>
      <vt:variant>
        <vt:i4>5</vt:i4>
      </vt:variant>
      <vt:variant>
        <vt:lpwstr/>
      </vt:variant>
      <vt:variant>
        <vt:lpwstr>_Toc223156258</vt:lpwstr>
      </vt:variant>
      <vt:variant>
        <vt:i4>1507382</vt:i4>
      </vt:variant>
      <vt:variant>
        <vt:i4>26</vt:i4>
      </vt:variant>
      <vt:variant>
        <vt:i4>0</vt:i4>
      </vt:variant>
      <vt:variant>
        <vt:i4>5</vt:i4>
      </vt:variant>
      <vt:variant>
        <vt:lpwstr/>
      </vt:variant>
      <vt:variant>
        <vt:lpwstr>_Toc223156257</vt:lpwstr>
      </vt:variant>
      <vt:variant>
        <vt:i4>1507382</vt:i4>
      </vt:variant>
      <vt:variant>
        <vt:i4>20</vt:i4>
      </vt:variant>
      <vt:variant>
        <vt:i4>0</vt:i4>
      </vt:variant>
      <vt:variant>
        <vt:i4>5</vt:i4>
      </vt:variant>
      <vt:variant>
        <vt:lpwstr/>
      </vt:variant>
      <vt:variant>
        <vt:lpwstr>_Toc223156256</vt:lpwstr>
      </vt:variant>
      <vt:variant>
        <vt:i4>1507382</vt:i4>
      </vt:variant>
      <vt:variant>
        <vt:i4>14</vt:i4>
      </vt:variant>
      <vt:variant>
        <vt:i4>0</vt:i4>
      </vt:variant>
      <vt:variant>
        <vt:i4>5</vt:i4>
      </vt:variant>
      <vt:variant>
        <vt:lpwstr/>
      </vt:variant>
      <vt:variant>
        <vt:lpwstr>_Toc223156255</vt:lpwstr>
      </vt:variant>
      <vt:variant>
        <vt:i4>1507382</vt:i4>
      </vt:variant>
      <vt:variant>
        <vt:i4>8</vt:i4>
      </vt:variant>
      <vt:variant>
        <vt:i4>0</vt:i4>
      </vt:variant>
      <vt:variant>
        <vt:i4>5</vt:i4>
      </vt:variant>
      <vt:variant>
        <vt:lpwstr/>
      </vt:variant>
      <vt:variant>
        <vt:lpwstr>_Toc223156254</vt:lpwstr>
      </vt:variant>
      <vt:variant>
        <vt:i4>1507382</vt:i4>
      </vt:variant>
      <vt:variant>
        <vt:i4>2</vt:i4>
      </vt:variant>
      <vt:variant>
        <vt:i4>0</vt:i4>
      </vt:variant>
      <vt:variant>
        <vt:i4>5</vt:i4>
      </vt:variant>
      <vt:variant>
        <vt:lpwstr/>
      </vt:variant>
      <vt:variant>
        <vt:lpwstr>_Toc223156253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cp:lastModifiedBy>Reynaga, Martin@DGS</cp:lastModifiedBy>
  <cp:revision>8</cp:revision>
  <cp:lastPrinted>2005-10-04T14:20:00Z</cp:lastPrinted>
  <dcterms:created xsi:type="dcterms:W3CDTF">2019-07-01T19:07:00Z</dcterms:created>
  <dcterms:modified xsi:type="dcterms:W3CDTF">2020-01-01T02:34:00Z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ies>
</file>