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3B" w:rsidRPr="00663F23" w:rsidRDefault="00FD103B" w:rsidP="005837CC">
      <w:pPr>
        <w:pStyle w:val="PublicationTitle"/>
      </w:pPr>
      <w:bookmarkStart w:id="0" w:name="_fs_a9Qm6YUFgX02j9rKxNn5i3w"/>
      <w:r w:rsidRPr="00663F23">
        <w:t>Chapter 5</w:t>
      </w:r>
    </w:p>
    <w:p w:rsidR="00FD103B" w:rsidRPr="00663F23" w:rsidRDefault="00287133" w:rsidP="00287133">
      <w:pPr>
        <w:pStyle w:val="PublicationTitle"/>
        <w:tabs>
          <w:tab w:val="center" w:pos="4680"/>
          <w:tab w:val="right" w:pos="9360"/>
        </w:tabs>
        <w:jc w:val="left"/>
      </w:pPr>
      <w:bookmarkStart w:id="1" w:name="_Toc218912068"/>
      <w:bookmarkStart w:id="2" w:name="_Toc223315927"/>
      <w:bookmarkStart w:id="3" w:name="_Toc228251291"/>
      <w:bookmarkStart w:id="4" w:name="_Toc228251362"/>
      <w:bookmarkStart w:id="5" w:name="_Toc233598345"/>
      <w:bookmarkStart w:id="6" w:name="_Toc236545360"/>
      <w:bookmarkStart w:id="7" w:name="_Toc250629385"/>
      <w:bookmarkStart w:id="8" w:name="_Toc223414610"/>
      <w:bookmarkStart w:id="9" w:name="_fs_PwYMhciYgUC53dyrlM24lg"/>
      <w:bookmarkEnd w:id="0"/>
      <w:r w:rsidRPr="00663F23">
        <w:tab/>
      </w:r>
      <w:r w:rsidR="00FD103B" w:rsidRPr="00663F23">
        <w:t>Non-Competitively Bi</w:t>
      </w:r>
      <w:r w:rsidR="00714F9F" w:rsidRPr="00663F23">
        <w:t>d</w:t>
      </w:r>
      <w:r w:rsidR="00FD103B" w:rsidRPr="00663F23">
        <w:t xml:space="preserve"> (NCB) </w:t>
      </w:r>
      <w:r w:rsidR="00B63E45" w:rsidRPr="00663F23">
        <w:t>Purchase</w:t>
      </w:r>
      <w:r w:rsidR="00FD103B" w:rsidRPr="00663F23">
        <w:t>s</w:t>
      </w:r>
      <w:bookmarkEnd w:id="1"/>
      <w:bookmarkEnd w:id="2"/>
      <w:bookmarkEnd w:id="3"/>
      <w:bookmarkEnd w:id="4"/>
      <w:bookmarkEnd w:id="5"/>
      <w:bookmarkEnd w:id="6"/>
      <w:bookmarkEnd w:id="7"/>
      <w:r w:rsidR="00FD103B" w:rsidRPr="00663F23">
        <w:t xml:space="preserve"> </w:t>
      </w:r>
      <w:bookmarkEnd w:id="8"/>
      <w:r w:rsidRPr="00663F23">
        <w:tab/>
      </w:r>
    </w:p>
    <w:bookmarkEnd w:id="9"/>
    <w:p w:rsidR="00FD103B" w:rsidRPr="00663F23" w:rsidRDefault="00FD103B" w:rsidP="005837CC">
      <w:pPr>
        <w:pStyle w:val="TOCTitle"/>
      </w:pPr>
      <w:r w:rsidRPr="00663F23">
        <w:t>Table of Contents</w:t>
      </w:r>
    </w:p>
    <w:p w:rsidR="00FD103B" w:rsidRPr="00663F23" w:rsidRDefault="00FD103B" w:rsidP="005837CC">
      <w:pPr>
        <w:pStyle w:val="MemoLine"/>
      </w:pPr>
    </w:p>
    <w:p w:rsidR="00087C56" w:rsidRPr="00663F23" w:rsidRDefault="00FD103B">
      <w:pPr>
        <w:pStyle w:val="TOC2"/>
        <w:rPr>
          <w:rFonts w:asciiTheme="minorHAnsi" w:eastAsiaTheme="minorEastAsia" w:hAnsiTheme="minorHAnsi" w:cstheme="minorBidi"/>
          <w:noProof/>
          <w:sz w:val="22"/>
          <w:szCs w:val="22"/>
        </w:rPr>
      </w:pPr>
      <w:r w:rsidRPr="00663F23">
        <w:fldChar w:fldCharType="begin"/>
      </w:r>
      <w:r w:rsidRPr="00663F23">
        <w:instrText xml:space="preserve"> TOC \o "1-5" \h </w:instrText>
      </w:r>
      <w:r w:rsidRPr="00663F23">
        <w:fldChar w:fldCharType="separate"/>
      </w:r>
      <w:hyperlink w:anchor="_Toc12963714" w:history="1">
        <w:r w:rsidR="00087C56" w:rsidRPr="00663F23">
          <w:rPr>
            <w:rStyle w:val="Hyperlink"/>
            <w:noProof/>
          </w:rPr>
          <w:t>Chapter 5</w:t>
        </w:r>
        <w:r w:rsidR="00087C56" w:rsidRPr="00663F23">
          <w:rPr>
            <w:noProof/>
          </w:rPr>
          <w:tab/>
        </w:r>
        <w:r w:rsidR="00087C56" w:rsidRPr="00663F23">
          <w:rPr>
            <w:noProof/>
          </w:rPr>
          <w:fldChar w:fldCharType="begin"/>
        </w:r>
        <w:r w:rsidR="00087C56" w:rsidRPr="00663F23">
          <w:rPr>
            <w:noProof/>
          </w:rPr>
          <w:instrText xml:space="preserve"> PAGEREF _Toc12963714 \h </w:instrText>
        </w:r>
        <w:r w:rsidR="00087C56" w:rsidRPr="00663F23">
          <w:rPr>
            <w:noProof/>
          </w:rPr>
        </w:r>
        <w:r w:rsidR="00087C56" w:rsidRPr="00663F23">
          <w:rPr>
            <w:noProof/>
          </w:rPr>
          <w:fldChar w:fldCharType="separate"/>
        </w:r>
        <w:r w:rsidR="00087C56" w:rsidRPr="00663F23">
          <w:rPr>
            <w:noProof/>
          </w:rPr>
          <w:t>3</w:t>
        </w:r>
        <w:r w:rsidR="00087C56" w:rsidRPr="00663F23">
          <w:rPr>
            <w:noProof/>
          </w:rPr>
          <w:fldChar w:fldCharType="end"/>
        </w:r>
      </w:hyperlink>
    </w:p>
    <w:p w:rsidR="00087C56" w:rsidRPr="00663F23" w:rsidRDefault="00051065">
      <w:pPr>
        <w:pStyle w:val="TOC4"/>
        <w:tabs>
          <w:tab w:val="right" w:leader="dot" w:pos="9350"/>
        </w:tabs>
        <w:rPr>
          <w:rFonts w:asciiTheme="minorHAnsi" w:eastAsiaTheme="minorEastAsia" w:hAnsiTheme="minorHAnsi" w:cstheme="minorBidi"/>
          <w:noProof/>
          <w:sz w:val="22"/>
          <w:szCs w:val="22"/>
        </w:rPr>
      </w:pPr>
      <w:hyperlink w:anchor="_Toc12963715" w:history="1">
        <w:r w:rsidR="00087C56" w:rsidRPr="00663F23">
          <w:rPr>
            <w:rStyle w:val="Hyperlink"/>
            <w:noProof/>
          </w:rPr>
          <w:t>Non-Competitively Bid (NCB) Purchases</w:t>
        </w:r>
        <w:r w:rsidR="00087C56" w:rsidRPr="00663F23">
          <w:rPr>
            <w:noProof/>
          </w:rPr>
          <w:tab/>
        </w:r>
        <w:r w:rsidR="00087C56" w:rsidRPr="00663F23">
          <w:rPr>
            <w:noProof/>
          </w:rPr>
          <w:fldChar w:fldCharType="begin"/>
        </w:r>
        <w:r w:rsidR="00087C56" w:rsidRPr="00663F23">
          <w:rPr>
            <w:noProof/>
          </w:rPr>
          <w:instrText xml:space="preserve"> PAGEREF _Toc12963715 \h </w:instrText>
        </w:r>
        <w:r w:rsidR="00087C56" w:rsidRPr="00663F23">
          <w:rPr>
            <w:noProof/>
          </w:rPr>
        </w:r>
        <w:r w:rsidR="00087C56" w:rsidRPr="00663F23">
          <w:rPr>
            <w:noProof/>
          </w:rPr>
          <w:fldChar w:fldCharType="separate"/>
        </w:r>
        <w:r w:rsidR="00087C56" w:rsidRPr="00663F23">
          <w:rPr>
            <w:noProof/>
          </w:rPr>
          <w:t>3</w:t>
        </w:r>
        <w:r w:rsidR="00087C56" w:rsidRPr="00663F23">
          <w:rPr>
            <w:noProof/>
          </w:rPr>
          <w:fldChar w:fldCharType="end"/>
        </w:r>
      </w:hyperlink>
    </w:p>
    <w:p w:rsidR="00087C56" w:rsidRPr="00663F23" w:rsidRDefault="00051065">
      <w:pPr>
        <w:pStyle w:val="TOC4"/>
        <w:tabs>
          <w:tab w:val="right" w:leader="dot" w:pos="9350"/>
        </w:tabs>
        <w:rPr>
          <w:rFonts w:asciiTheme="minorHAnsi" w:eastAsiaTheme="minorEastAsia" w:hAnsiTheme="minorHAnsi" w:cstheme="minorBidi"/>
          <w:noProof/>
          <w:sz w:val="22"/>
          <w:szCs w:val="22"/>
        </w:rPr>
      </w:pPr>
      <w:hyperlink w:anchor="_Toc12963716" w:history="1">
        <w:r w:rsidR="00087C56" w:rsidRPr="00663F23">
          <w:rPr>
            <w:rStyle w:val="Hyperlink"/>
            <w:noProof/>
          </w:rPr>
          <w:t>Overview</w:t>
        </w:r>
        <w:r w:rsidR="00087C56" w:rsidRPr="00663F23">
          <w:rPr>
            <w:noProof/>
          </w:rPr>
          <w:tab/>
        </w:r>
        <w:r w:rsidR="00087C56" w:rsidRPr="00663F23">
          <w:rPr>
            <w:noProof/>
          </w:rPr>
          <w:fldChar w:fldCharType="begin"/>
        </w:r>
        <w:r w:rsidR="00087C56" w:rsidRPr="00663F23">
          <w:rPr>
            <w:noProof/>
          </w:rPr>
          <w:instrText xml:space="preserve"> PAGEREF _Toc12963716 \h </w:instrText>
        </w:r>
        <w:r w:rsidR="00087C56" w:rsidRPr="00663F23">
          <w:rPr>
            <w:noProof/>
          </w:rPr>
        </w:r>
        <w:r w:rsidR="00087C56" w:rsidRPr="00663F23">
          <w:rPr>
            <w:noProof/>
          </w:rPr>
          <w:fldChar w:fldCharType="separate"/>
        </w:r>
        <w:r w:rsidR="00087C56" w:rsidRPr="00663F23">
          <w:rPr>
            <w:noProof/>
          </w:rPr>
          <w:t>3</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17" w:history="1">
        <w:r w:rsidR="00087C56" w:rsidRPr="00663F23">
          <w:rPr>
            <w:rStyle w:val="Hyperlink"/>
            <w:noProof/>
          </w:rPr>
          <w:t>Introduction</w:t>
        </w:r>
        <w:r w:rsidR="00087C56" w:rsidRPr="00663F23">
          <w:rPr>
            <w:noProof/>
          </w:rPr>
          <w:tab/>
        </w:r>
        <w:r w:rsidR="00087C56" w:rsidRPr="00663F23">
          <w:rPr>
            <w:noProof/>
          </w:rPr>
          <w:fldChar w:fldCharType="begin"/>
        </w:r>
        <w:r w:rsidR="00087C56" w:rsidRPr="00663F23">
          <w:rPr>
            <w:noProof/>
          </w:rPr>
          <w:instrText xml:space="preserve"> PAGEREF _Toc12963717 \h </w:instrText>
        </w:r>
        <w:r w:rsidR="00087C56" w:rsidRPr="00663F23">
          <w:rPr>
            <w:noProof/>
          </w:rPr>
        </w:r>
        <w:r w:rsidR="00087C56" w:rsidRPr="00663F23">
          <w:rPr>
            <w:noProof/>
          </w:rPr>
          <w:fldChar w:fldCharType="separate"/>
        </w:r>
        <w:r w:rsidR="00087C56" w:rsidRPr="00663F23">
          <w:rPr>
            <w:noProof/>
          </w:rPr>
          <w:t>3</w:t>
        </w:r>
        <w:r w:rsidR="00087C56" w:rsidRPr="00663F23">
          <w:rPr>
            <w:noProof/>
          </w:rPr>
          <w:fldChar w:fldCharType="end"/>
        </w:r>
      </w:hyperlink>
    </w:p>
    <w:p w:rsidR="00087C56" w:rsidRPr="00663F23" w:rsidRDefault="00051065">
      <w:pPr>
        <w:pStyle w:val="TOC4"/>
        <w:tabs>
          <w:tab w:val="right" w:leader="dot" w:pos="9350"/>
        </w:tabs>
        <w:rPr>
          <w:rFonts w:asciiTheme="minorHAnsi" w:eastAsiaTheme="minorEastAsia" w:hAnsiTheme="minorHAnsi" w:cstheme="minorBidi"/>
          <w:noProof/>
          <w:sz w:val="22"/>
          <w:szCs w:val="22"/>
        </w:rPr>
      </w:pPr>
      <w:hyperlink w:anchor="_Toc12963718" w:history="1">
        <w:r w:rsidR="00087C56" w:rsidRPr="00663F23">
          <w:rPr>
            <w:rStyle w:val="Hyperlink"/>
            <w:noProof/>
          </w:rPr>
          <w:t>Topic 1- Non-Competitively Bid (NCB) Purchases and Purchasing Authority</w:t>
        </w:r>
        <w:r w:rsidR="00087C56" w:rsidRPr="00663F23">
          <w:rPr>
            <w:noProof/>
          </w:rPr>
          <w:tab/>
        </w:r>
        <w:r w:rsidR="00087C56" w:rsidRPr="00663F23">
          <w:rPr>
            <w:noProof/>
          </w:rPr>
          <w:fldChar w:fldCharType="begin"/>
        </w:r>
        <w:r w:rsidR="00087C56" w:rsidRPr="00663F23">
          <w:rPr>
            <w:noProof/>
          </w:rPr>
          <w:instrText xml:space="preserve"> PAGEREF _Toc12963718 \h </w:instrText>
        </w:r>
        <w:r w:rsidR="00087C56" w:rsidRPr="00663F23">
          <w:rPr>
            <w:noProof/>
          </w:rPr>
        </w:r>
        <w:r w:rsidR="00087C56" w:rsidRPr="00663F23">
          <w:rPr>
            <w:noProof/>
          </w:rPr>
          <w:fldChar w:fldCharType="separate"/>
        </w:r>
        <w:r w:rsidR="00087C56" w:rsidRPr="00663F23">
          <w:rPr>
            <w:noProof/>
          </w:rPr>
          <w:t>4</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19" w:history="1">
        <w:r w:rsidR="00087C56" w:rsidRPr="00663F23">
          <w:rPr>
            <w:rStyle w:val="Hyperlink"/>
            <w:noProof/>
          </w:rPr>
          <w:t>5.1.0 NCB Purchasing</w:t>
        </w:r>
        <w:r w:rsidR="00087C56" w:rsidRPr="00663F23">
          <w:rPr>
            <w:noProof/>
          </w:rPr>
          <w:tab/>
        </w:r>
        <w:r w:rsidR="00087C56" w:rsidRPr="00663F23">
          <w:rPr>
            <w:noProof/>
          </w:rPr>
          <w:fldChar w:fldCharType="begin"/>
        </w:r>
        <w:r w:rsidR="00087C56" w:rsidRPr="00663F23">
          <w:rPr>
            <w:noProof/>
          </w:rPr>
          <w:instrText xml:space="preserve"> PAGEREF _Toc12963719 \h </w:instrText>
        </w:r>
        <w:r w:rsidR="00087C56" w:rsidRPr="00663F23">
          <w:rPr>
            <w:noProof/>
          </w:rPr>
        </w:r>
        <w:r w:rsidR="00087C56" w:rsidRPr="00663F23">
          <w:rPr>
            <w:noProof/>
          </w:rPr>
          <w:fldChar w:fldCharType="separate"/>
        </w:r>
        <w:r w:rsidR="00087C56" w:rsidRPr="00663F23">
          <w:rPr>
            <w:noProof/>
          </w:rPr>
          <w:t>4</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20" w:history="1">
        <w:r w:rsidR="00087C56" w:rsidRPr="00663F23">
          <w:rPr>
            <w:rStyle w:val="Hyperlink"/>
            <w:noProof/>
          </w:rPr>
          <w:t>5.1.1 NCB Purchasing Authority</w:t>
        </w:r>
        <w:r w:rsidR="00087C56" w:rsidRPr="00663F23">
          <w:rPr>
            <w:noProof/>
          </w:rPr>
          <w:tab/>
        </w:r>
        <w:r w:rsidR="00087C56" w:rsidRPr="00663F23">
          <w:rPr>
            <w:noProof/>
          </w:rPr>
          <w:fldChar w:fldCharType="begin"/>
        </w:r>
        <w:r w:rsidR="00087C56" w:rsidRPr="00663F23">
          <w:rPr>
            <w:noProof/>
          </w:rPr>
          <w:instrText xml:space="preserve"> PAGEREF _Toc12963720 \h </w:instrText>
        </w:r>
        <w:r w:rsidR="00087C56" w:rsidRPr="00663F23">
          <w:rPr>
            <w:noProof/>
          </w:rPr>
        </w:r>
        <w:r w:rsidR="00087C56" w:rsidRPr="00663F23">
          <w:rPr>
            <w:noProof/>
          </w:rPr>
          <w:fldChar w:fldCharType="separate"/>
        </w:r>
        <w:r w:rsidR="00087C56" w:rsidRPr="00663F23">
          <w:rPr>
            <w:noProof/>
          </w:rPr>
          <w:t>4</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21" w:history="1">
        <w:r w:rsidR="00087C56" w:rsidRPr="00663F23">
          <w:rPr>
            <w:rStyle w:val="Hyperlink"/>
            <w:noProof/>
          </w:rPr>
          <w:t>5.1.2 NCB Purchasing Authority Threshold</w:t>
        </w:r>
        <w:r w:rsidR="00087C56" w:rsidRPr="00663F23">
          <w:rPr>
            <w:noProof/>
          </w:rPr>
          <w:tab/>
        </w:r>
        <w:r w:rsidR="00087C56" w:rsidRPr="00663F23">
          <w:rPr>
            <w:noProof/>
          </w:rPr>
          <w:fldChar w:fldCharType="begin"/>
        </w:r>
        <w:r w:rsidR="00087C56" w:rsidRPr="00663F23">
          <w:rPr>
            <w:noProof/>
          </w:rPr>
          <w:instrText xml:space="preserve"> PAGEREF _Toc12963721 \h </w:instrText>
        </w:r>
        <w:r w:rsidR="00087C56" w:rsidRPr="00663F23">
          <w:rPr>
            <w:noProof/>
          </w:rPr>
        </w:r>
        <w:r w:rsidR="00087C56" w:rsidRPr="00663F23">
          <w:rPr>
            <w:noProof/>
          </w:rPr>
          <w:fldChar w:fldCharType="separate"/>
        </w:r>
        <w:r w:rsidR="00087C56" w:rsidRPr="00663F23">
          <w:rPr>
            <w:noProof/>
          </w:rPr>
          <w:t>4</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22" w:history="1">
        <w:r w:rsidR="00087C56" w:rsidRPr="00663F23">
          <w:rPr>
            <w:rStyle w:val="Hyperlink"/>
            <w:noProof/>
          </w:rPr>
          <w:t>5.1.3 Purchases Under $10,000</w:t>
        </w:r>
        <w:r w:rsidR="00087C56" w:rsidRPr="00663F23">
          <w:rPr>
            <w:noProof/>
          </w:rPr>
          <w:tab/>
        </w:r>
        <w:r w:rsidR="00087C56" w:rsidRPr="00663F23">
          <w:rPr>
            <w:noProof/>
          </w:rPr>
          <w:fldChar w:fldCharType="begin"/>
        </w:r>
        <w:r w:rsidR="00087C56" w:rsidRPr="00663F23">
          <w:rPr>
            <w:noProof/>
          </w:rPr>
          <w:instrText xml:space="preserve"> PAGEREF _Toc12963722 \h </w:instrText>
        </w:r>
        <w:r w:rsidR="00087C56" w:rsidRPr="00663F23">
          <w:rPr>
            <w:noProof/>
          </w:rPr>
        </w:r>
        <w:r w:rsidR="00087C56" w:rsidRPr="00663F23">
          <w:rPr>
            <w:noProof/>
          </w:rPr>
          <w:fldChar w:fldCharType="separate"/>
        </w:r>
        <w:r w:rsidR="00087C56" w:rsidRPr="00663F23">
          <w:rPr>
            <w:noProof/>
          </w:rPr>
          <w:t>5</w:t>
        </w:r>
        <w:r w:rsidR="00087C56" w:rsidRPr="00663F23">
          <w:rPr>
            <w:noProof/>
          </w:rPr>
          <w:fldChar w:fldCharType="end"/>
        </w:r>
      </w:hyperlink>
    </w:p>
    <w:p w:rsidR="00087C56" w:rsidRPr="00663F23" w:rsidRDefault="00051065">
      <w:pPr>
        <w:pStyle w:val="TOC4"/>
        <w:tabs>
          <w:tab w:val="right" w:leader="dot" w:pos="9350"/>
        </w:tabs>
        <w:rPr>
          <w:rFonts w:asciiTheme="minorHAnsi" w:eastAsiaTheme="minorEastAsia" w:hAnsiTheme="minorHAnsi" w:cstheme="minorBidi"/>
          <w:noProof/>
          <w:sz w:val="22"/>
          <w:szCs w:val="22"/>
        </w:rPr>
      </w:pPr>
      <w:hyperlink w:anchor="_Toc12963723" w:history="1">
        <w:r w:rsidR="00087C56" w:rsidRPr="00663F23">
          <w:rPr>
            <w:rStyle w:val="Hyperlink"/>
            <w:noProof/>
          </w:rPr>
          <w:t>Topic 2 – NCB Justification Process</w:t>
        </w:r>
        <w:r w:rsidR="00087C56" w:rsidRPr="00663F23">
          <w:rPr>
            <w:noProof/>
          </w:rPr>
          <w:tab/>
        </w:r>
        <w:r w:rsidR="00087C56" w:rsidRPr="00663F23">
          <w:rPr>
            <w:noProof/>
          </w:rPr>
          <w:fldChar w:fldCharType="begin"/>
        </w:r>
        <w:r w:rsidR="00087C56" w:rsidRPr="00663F23">
          <w:rPr>
            <w:noProof/>
          </w:rPr>
          <w:instrText xml:space="preserve"> PAGEREF _Toc12963723 \h </w:instrText>
        </w:r>
        <w:r w:rsidR="00087C56" w:rsidRPr="00663F23">
          <w:rPr>
            <w:noProof/>
          </w:rPr>
        </w:r>
        <w:r w:rsidR="00087C56" w:rsidRPr="00663F23">
          <w:rPr>
            <w:noProof/>
          </w:rPr>
          <w:fldChar w:fldCharType="separate"/>
        </w:r>
        <w:r w:rsidR="00087C56" w:rsidRPr="00663F23">
          <w:rPr>
            <w:noProof/>
          </w:rPr>
          <w:t>6</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24" w:history="1">
        <w:r w:rsidR="00087C56" w:rsidRPr="00663F23">
          <w:rPr>
            <w:rStyle w:val="Hyperlink"/>
            <w:noProof/>
          </w:rPr>
          <w:t>5.2.0 NCB Justification Methods</w:t>
        </w:r>
        <w:r w:rsidR="00087C56" w:rsidRPr="00663F23">
          <w:rPr>
            <w:noProof/>
          </w:rPr>
          <w:tab/>
        </w:r>
        <w:r w:rsidR="00087C56" w:rsidRPr="00663F23">
          <w:rPr>
            <w:noProof/>
          </w:rPr>
          <w:fldChar w:fldCharType="begin"/>
        </w:r>
        <w:r w:rsidR="00087C56" w:rsidRPr="00663F23">
          <w:rPr>
            <w:noProof/>
          </w:rPr>
          <w:instrText xml:space="preserve"> PAGEREF _Toc12963724 \h </w:instrText>
        </w:r>
        <w:r w:rsidR="00087C56" w:rsidRPr="00663F23">
          <w:rPr>
            <w:noProof/>
          </w:rPr>
        </w:r>
        <w:r w:rsidR="00087C56" w:rsidRPr="00663F23">
          <w:rPr>
            <w:noProof/>
          </w:rPr>
          <w:fldChar w:fldCharType="separate"/>
        </w:r>
        <w:r w:rsidR="00087C56" w:rsidRPr="00663F23">
          <w:rPr>
            <w:noProof/>
          </w:rPr>
          <w:t>6</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25" w:history="1">
        <w:r w:rsidR="00087C56" w:rsidRPr="00663F23">
          <w:rPr>
            <w:rStyle w:val="Hyperlink"/>
            <w:noProof/>
          </w:rPr>
          <w:t>5.2.1 NCB Justification Documents</w:t>
        </w:r>
        <w:r w:rsidR="00087C56" w:rsidRPr="00663F23">
          <w:rPr>
            <w:noProof/>
          </w:rPr>
          <w:tab/>
        </w:r>
        <w:r w:rsidR="00087C56" w:rsidRPr="00663F23">
          <w:rPr>
            <w:noProof/>
          </w:rPr>
          <w:fldChar w:fldCharType="begin"/>
        </w:r>
        <w:r w:rsidR="00087C56" w:rsidRPr="00663F23">
          <w:rPr>
            <w:noProof/>
          </w:rPr>
          <w:instrText xml:space="preserve"> PAGEREF _Toc12963725 \h </w:instrText>
        </w:r>
        <w:r w:rsidR="00087C56" w:rsidRPr="00663F23">
          <w:rPr>
            <w:noProof/>
          </w:rPr>
        </w:r>
        <w:r w:rsidR="00087C56" w:rsidRPr="00663F23">
          <w:rPr>
            <w:noProof/>
          </w:rPr>
          <w:fldChar w:fldCharType="separate"/>
        </w:r>
        <w:r w:rsidR="00087C56" w:rsidRPr="00663F23">
          <w:rPr>
            <w:noProof/>
          </w:rPr>
          <w:t>6</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26" w:history="1">
        <w:r w:rsidR="00087C56" w:rsidRPr="00663F23">
          <w:rPr>
            <w:rStyle w:val="Hyperlink"/>
            <w:noProof/>
          </w:rPr>
          <w:t>5.2.2 Signature Authority</w:t>
        </w:r>
        <w:r w:rsidR="00087C56" w:rsidRPr="00663F23">
          <w:rPr>
            <w:noProof/>
          </w:rPr>
          <w:tab/>
        </w:r>
        <w:r w:rsidR="00087C56" w:rsidRPr="00663F23">
          <w:rPr>
            <w:noProof/>
          </w:rPr>
          <w:fldChar w:fldCharType="begin"/>
        </w:r>
        <w:r w:rsidR="00087C56" w:rsidRPr="00663F23">
          <w:rPr>
            <w:noProof/>
          </w:rPr>
          <w:instrText xml:space="preserve"> PAGEREF _Toc12963726 \h </w:instrText>
        </w:r>
        <w:r w:rsidR="00087C56" w:rsidRPr="00663F23">
          <w:rPr>
            <w:noProof/>
          </w:rPr>
        </w:r>
        <w:r w:rsidR="00087C56" w:rsidRPr="00663F23">
          <w:rPr>
            <w:noProof/>
          </w:rPr>
          <w:fldChar w:fldCharType="separate"/>
        </w:r>
        <w:r w:rsidR="00087C56" w:rsidRPr="00663F23">
          <w:rPr>
            <w:noProof/>
          </w:rPr>
          <w:t>7</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27" w:history="1">
        <w:r w:rsidR="00087C56" w:rsidRPr="00663F23">
          <w:rPr>
            <w:rStyle w:val="Hyperlink"/>
            <w:noProof/>
          </w:rPr>
          <w:t>5.2.3 File documentation</w:t>
        </w:r>
        <w:r w:rsidR="00087C56" w:rsidRPr="00663F23">
          <w:rPr>
            <w:noProof/>
          </w:rPr>
          <w:tab/>
        </w:r>
        <w:r w:rsidR="00087C56" w:rsidRPr="00663F23">
          <w:rPr>
            <w:noProof/>
          </w:rPr>
          <w:fldChar w:fldCharType="begin"/>
        </w:r>
        <w:r w:rsidR="00087C56" w:rsidRPr="00663F23">
          <w:rPr>
            <w:noProof/>
          </w:rPr>
          <w:instrText xml:space="preserve"> PAGEREF _Toc12963727 \h </w:instrText>
        </w:r>
        <w:r w:rsidR="00087C56" w:rsidRPr="00663F23">
          <w:rPr>
            <w:noProof/>
          </w:rPr>
        </w:r>
        <w:r w:rsidR="00087C56" w:rsidRPr="00663F23">
          <w:rPr>
            <w:noProof/>
          </w:rPr>
          <w:fldChar w:fldCharType="separate"/>
        </w:r>
        <w:r w:rsidR="00087C56" w:rsidRPr="00663F23">
          <w:rPr>
            <w:noProof/>
          </w:rPr>
          <w:t>7</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28" w:history="1">
        <w:r w:rsidR="00087C56" w:rsidRPr="00663F23">
          <w:rPr>
            <w:rStyle w:val="Hyperlink"/>
            <w:noProof/>
          </w:rPr>
          <w:t>5.2.4 NCB Submission Timeline</w:t>
        </w:r>
        <w:r w:rsidR="00087C56" w:rsidRPr="00663F23">
          <w:rPr>
            <w:noProof/>
          </w:rPr>
          <w:tab/>
        </w:r>
        <w:r w:rsidR="00087C56" w:rsidRPr="00663F23">
          <w:rPr>
            <w:noProof/>
          </w:rPr>
          <w:fldChar w:fldCharType="begin"/>
        </w:r>
        <w:r w:rsidR="00087C56" w:rsidRPr="00663F23">
          <w:rPr>
            <w:noProof/>
          </w:rPr>
          <w:instrText xml:space="preserve"> PAGEREF _Toc12963728 \h </w:instrText>
        </w:r>
        <w:r w:rsidR="00087C56" w:rsidRPr="00663F23">
          <w:rPr>
            <w:noProof/>
          </w:rPr>
        </w:r>
        <w:r w:rsidR="00087C56" w:rsidRPr="00663F23">
          <w:rPr>
            <w:noProof/>
          </w:rPr>
          <w:fldChar w:fldCharType="separate"/>
        </w:r>
        <w:r w:rsidR="00087C56" w:rsidRPr="00663F23">
          <w:rPr>
            <w:noProof/>
          </w:rPr>
          <w:t>7</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29" w:history="1">
        <w:r w:rsidR="00087C56" w:rsidRPr="00663F23">
          <w:rPr>
            <w:rStyle w:val="Hyperlink"/>
            <w:noProof/>
          </w:rPr>
          <w:t>5.2.5 Examples of Appropriate and Inappropriate Justifications</w:t>
        </w:r>
        <w:r w:rsidR="00087C56" w:rsidRPr="00663F23">
          <w:rPr>
            <w:noProof/>
          </w:rPr>
          <w:tab/>
        </w:r>
        <w:r w:rsidR="00087C56" w:rsidRPr="00663F23">
          <w:rPr>
            <w:noProof/>
          </w:rPr>
          <w:fldChar w:fldCharType="begin"/>
        </w:r>
        <w:r w:rsidR="00087C56" w:rsidRPr="00663F23">
          <w:rPr>
            <w:noProof/>
          </w:rPr>
          <w:instrText xml:space="preserve"> PAGEREF _Toc12963729 \h </w:instrText>
        </w:r>
        <w:r w:rsidR="00087C56" w:rsidRPr="00663F23">
          <w:rPr>
            <w:noProof/>
          </w:rPr>
        </w:r>
        <w:r w:rsidR="00087C56" w:rsidRPr="00663F23">
          <w:rPr>
            <w:noProof/>
          </w:rPr>
          <w:fldChar w:fldCharType="separate"/>
        </w:r>
        <w:r w:rsidR="00087C56" w:rsidRPr="00663F23">
          <w:rPr>
            <w:noProof/>
          </w:rPr>
          <w:t>8</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30" w:history="1">
        <w:r w:rsidR="00087C56" w:rsidRPr="00663F23">
          <w:rPr>
            <w:rStyle w:val="Hyperlink"/>
            <w:noProof/>
          </w:rPr>
          <w:t>5.2.6 NCB Submission Exceptions</w:t>
        </w:r>
        <w:r w:rsidR="00087C56" w:rsidRPr="00663F23">
          <w:rPr>
            <w:noProof/>
          </w:rPr>
          <w:tab/>
        </w:r>
        <w:r w:rsidR="00087C56" w:rsidRPr="00663F23">
          <w:rPr>
            <w:noProof/>
          </w:rPr>
          <w:fldChar w:fldCharType="begin"/>
        </w:r>
        <w:r w:rsidR="00087C56" w:rsidRPr="00663F23">
          <w:rPr>
            <w:noProof/>
          </w:rPr>
          <w:instrText xml:space="preserve"> PAGEREF _Toc12963730 \h </w:instrText>
        </w:r>
        <w:r w:rsidR="00087C56" w:rsidRPr="00663F23">
          <w:rPr>
            <w:noProof/>
          </w:rPr>
        </w:r>
        <w:r w:rsidR="00087C56" w:rsidRPr="00663F23">
          <w:rPr>
            <w:noProof/>
          </w:rPr>
          <w:fldChar w:fldCharType="separate"/>
        </w:r>
        <w:r w:rsidR="00087C56" w:rsidRPr="00663F23">
          <w:rPr>
            <w:noProof/>
          </w:rPr>
          <w:t>9</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31" w:history="1">
        <w:r w:rsidR="00087C56" w:rsidRPr="00663F23">
          <w:rPr>
            <w:rStyle w:val="Hyperlink"/>
            <w:noProof/>
          </w:rPr>
          <w:t>5.2.7 NCB Fiscal Year Deadline Dates</w:t>
        </w:r>
        <w:r w:rsidR="00087C56" w:rsidRPr="00663F23">
          <w:rPr>
            <w:noProof/>
          </w:rPr>
          <w:tab/>
        </w:r>
        <w:r w:rsidR="00087C56" w:rsidRPr="00663F23">
          <w:rPr>
            <w:noProof/>
          </w:rPr>
          <w:fldChar w:fldCharType="begin"/>
        </w:r>
        <w:r w:rsidR="00087C56" w:rsidRPr="00663F23">
          <w:rPr>
            <w:noProof/>
          </w:rPr>
          <w:instrText xml:space="preserve"> PAGEREF _Toc12963731 \h </w:instrText>
        </w:r>
        <w:r w:rsidR="00087C56" w:rsidRPr="00663F23">
          <w:rPr>
            <w:noProof/>
          </w:rPr>
        </w:r>
        <w:r w:rsidR="00087C56" w:rsidRPr="00663F23">
          <w:rPr>
            <w:noProof/>
          </w:rPr>
          <w:fldChar w:fldCharType="separate"/>
        </w:r>
        <w:r w:rsidR="00087C56" w:rsidRPr="00663F23">
          <w:rPr>
            <w:noProof/>
          </w:rPr>
          <w:t>9</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32" w:history="1">
        <w:r w:rsidR="00087C56" w:rsidRPr="00663F23">
          <w:rPr>
            <w:rStyle w:val="Hyperlink"/>
            <w:noProof/>
          </w:rPr>
          <w:t>5.2.8 NCB Process</w:t>
        </w:r>
        <w:r w:rsidR="00087C56" w:rsidRPr="00663F23">
          <w:rPr>
            <w:noProof/>
          </w:rPr>
          <w:tab/>
        </w:r>
        <w:r w:rsidR="00087C56" w:rsidRPr="00663F23">
          <w:rPr>
            <w:noProof/>
          </w:rPr>
          <w:fldChar w:fldCharType="begin"/>
        </w:r>
        <w:r w:rsidR="00087C56" w:rsidRPr="00663F23">
          <w:rPr>
            <w:noProof/>
          </w:rPr>
          <w:instrText xml:space="preserve"> PAGEREF _Toc12963732 \h </w:instrText>
        </w:r>
        <w:r w:rsidR="00087C56" w:rsidRPr="00663F23">
          <w:rPr>
            <w:noProof/>
          </w:rPr>
        </w:r>
        <w:r w:rsidR="00087C56" w:rsidRPr="00663F23">
          <w:rPr>
            <w:noProof/>
          </w:rPr>
          <w:fldChar w:fldCharType="separate"/>
        </w:r>
        <w:r w:rsidR="00087C56" w:rsidRPr="00663F23">
          <w:rPr>
            <w:noProof/>
          </w:rPr>
          <w:t>10</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33" w:history="1">
        <w:r w:rsidR="00087C56" w:rsidRPr="00663F23">
          <w:rPr>
            <w:rStyle w:val="Hyperlink"/>
            <w:noProof/>
          </w:rPr>
          <w:t>5.2.9 NCB Denied</w:t>
        </w:r>
        <w:r w:rsidR="00087C56" w:rsidRPr="00663F23">
          <w:rPr>
            <w:noProof/>
          </w:rPr>
          <w:tab/>
        </w:r>
        <w:r w:rsidR="00087C56" w:rsidRPr="00663F23">
          <w:rPr>
            <w:noProof/>
          </w:rPr>
          <w:fldChar w:fldCharType="begin"/>
        </w:r>
        <w:r w:rsidR="00087C56" w:rsidRPr="00663F23">
          <w:rPr>
            <w:noProof/>
          </w:rPr>
          <w:instrText xml:space="preserve"> PAGEREF _Toc12963733 \h </w:instrText>
        </w:r>
        <w:r w:rsidR="00087C56" w:rsidRPr="00663F23">
          <w:rPr>
            <w:noProof/>
          </w:rPr>
        </w:r>
        <w:r w:rsidR="00087C56" w:rsidRPr="00663F23">
          <w:rPr>
            <w:noProof/>
          </w:rPr>
          <w:fldChar w:fldCharType="separate"/>
        </w:r>
        <w:r w:rsidR="00087C56" w:rsidRPr="00663F23">
          <w:rPr>
            <w:noProof/>
          </w:rPr>
          <w:t>10</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34" w:history="1">
        <w:r w:rsidR="00087C56" w:rsidRPr="00663F23">
          <w:rPr>
            <w:rStyle w:val="Hyperlink"/>
            <w:noProof/>
          </w:rPr>
          <w:t>5.2.10 NCB Corrective Action Plan</w:t>
        </w:r>
        <w:r w:rsidR="00087C56" w:rsidRPr="00663F23">
          <w:rPr>
            <w:noProof/>
          </w:rPr>
          <w:tab/>
        </w:r>
        <w:r w:rsidR="00087C56" w:rsidRPr="00663F23">
          <w:rPr>
            <w:noProof/>
          </w:rPr>
          <w:fldChar w:fldCharType="begin"/>
        </w:r>
        <w:r w:rsidR="00087C56" w:rsidRPr="00663F23">
          <w:rPr>
            <w:noProof/>
          </w:rPr>
          <w:instrText xml:space="preserve"> PAGEREF _Toc12963734 \h </w:instrText>
        </w:r>
        <w:r w:rsidR="00087C56" w:rsidRPr="00663F23">
          <w:rPr>
            <w:noProof/>
          </w:rPr>
        </w:r>
        <w:r w:rsidR="00087C56" w:rsidRPr="00663F23">
          <w:rPr>
            <w:noProof/>
          </w:rPr>
          <w:fldChar w:fldCharType="separate"/>
        </w:r>
        <w:r w:rsidR="00087C56" w:rsidRPr="00663F23">
          <w:rPr>
            <w:noProof/>
          </w:rPr>
          <w:t>10</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35" w:history="1">
        <w:r w:rsidR="00087C56" w:rsidRPr="00663F23">
          <w:rPr>
            <w:rStyle w:val="Hyperlink"/>
            <w:noProof/>
          </w:rPr>
          <w:t>5.2.11 Escalation Process</w:t>
        </w:r>
        <w:r w:rsidR="00087C56" w:rsidRPr="00663F23">
          <w:rPr>
            <w:noProof/>
          </w:rPr>
          <w:tab/>
        </w:r>
        <w:r w:rsidR="00087C56" w:rsidRPr="00663F23">
          <w:rPr>
            <w:noProof/>
          </w:rPr>
          <w:fldChar w:fldCharType="begin"/>
        </w:r>
        <w:r w:rsidR="00087C56" w:rsidRPr="00663F23">
          <w:rPr>
            <w:noProof/>
          </w:rPr>
          <w:instrText xml:space="preserve"> PAGEREF _Toc12963735 \h </w:instrText>
        </w:r>
        <w:r w:rsidR="00087C56" w:rsidRPr="00663F23">
          <w:rPr>
            <w:noProof/>
          </w:rPr>
        </w:r>
        <w:r w:rsidR="00087C56" w:rsidRPr="00663F23">
          <w:rPr>
            <w:noProof/>
          </w:rPr>
          <w:fldChar w:fldCharType="separate"/>
        </w:r>
        <w:r w:rsidR="00087C56" w:rsidRPr="00663F23">
          <w:rPr>
            <w:noProof/>
          </w:rPr>
          <w:t>11</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36" w:history="1">
        <w:r w:rsidR="00087C56" w:rsidRPr="00663F23">
          <w:rPr>
            <w:rStyle w:val="Hyperlink"/>
            <w:noProof/>
          </w:rPr>
          <w:t>5.2.12 LPA Transactions and NCB</w:t>
        </w:r>
        <w:r w:rsidR="00087C56" w:rsidRPr="00663F23">
          <w:rPr>
            <w:noProof/>
          </w:rPr>
          <w:tab/>
        </w:r>
        <w:r w:rsidR="00087C56" w:rsidRPr="00663F23">
          <w:rPr>
            <w:noProof/>
          </w:rPr>
          <w:fldChar w:fldCharType="begin"/>
        </w:r>
        <w:r w:rsidR="00087C56" w:rsidRPr="00663F23">
          <w:rPr>
            <w:noProof/>
          </w:rPr>
          <w:instrText xml:space="preserve"> PAGEREF _Toc12963736 \h </w:instrText>
        </w:r>
        <w:r w:rsidR="00087C56" w:rsidRPr="00663F23">
          <w:rPr>
            <w:noProof/>
          </w:rPr>
        </w:r>
        <w:r w:rsidR="00087C56" w:rsidRPr="00663F23">
          <w:rPr>
            <w:noProof/>
          </w:rPr>
          <w:fldChar w:fldCharType="separate"/>
        </w:r>
        <w:r w:rsidR="00087C56" w:rsidRPr="00663F23">
          <w:rPr>
            <w:noProof/>
          </w:rPr>
          <w:t>12</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37" w:history="1">
        <w:r w:rsidR="00087C56" w:rsidRPr="00663F23">
          <w:rPr>
            <w:rStyle w:val="Hyperlink"/>
            <w:noProof/>
          </w:rPr>
          <w:t>5.2.13 Known Suppliers Outside LPAs</w:t>
        </w:r>
        <w:r w:rsidR="00087C56" w:rsidRPr="00663F23">
          <w:rPr>
            <w:noProof/>
          </w:rPr>
          <w:tab/>
        </w:r>
        <w:r w:rsidR="00087C56" w:rsidRPr="00663F23">
          <w:rPr>
            <w:noProof/>
          </w:rPr>
          <w:fldChar w:fldCharType="begin"/>
        </w:r>
        <w:r w:rsidR="00087C56" w:rsidRPr="00663F23">
          <w:rPr>
            <w:noProof/>
          </w:rPr>
          <w:instrText xml:space="preserve"> PAGEREF _Toc12963737 \h </w:instrText>
        </w:r>
        <w:r w:rsidR="00087C56" w:rsidRPr="00663F23">
          <w:rPr>
            <w:noProof/>
          </w:rPr>
        </w:r>
        <w:r w:rsidR="00087C56" w:rsidRPr="00663F23">
          <w:rPr>
            <w:noProof/>
          </w:rPr>
          <w:fldChar w:fldCharType="separate"/>
        </w:r>
        <w:r w:rsidR="00087C56" w:rsidRPr="00663F23">
          <w:rPr>
            <w:noProof/>
          </w:rPr>
          <w:t>12</w:t>
        </w:r>
        <w:r w:rsidR="00087C56" w:rsidRPr="00663F23">
          <w:rPr>
            <w:noProof/>
          </w:rPr>
          <w:fldChar w:fldCharType="end"/>
        </w:r>
      </w:hyperlink>
    </w:p>
    <w:p w:rsidR="00087C56" w:rsidRPr="00663F23" w:rsidRDefault="00051065">
      <w:pPr>
        <w:pStyle w:val="TOC4"/>
        <w:tabs>
          <w:tab w:val="right" w:leader="dot" w:pos="9350"/>
        </w:tabs>
        <w:rPr>
          <w:rFonts w:asciiTheme="minorHAnsi" w:eastAsiaTheme="minorEastAsia" w:hAnsiTheme="minorHAnsi" w:cstheme="minorBidi"/>
          <w:noProof/>
          <w:sz w:val="22"/>
          <w:szCs w:val="22"/>
        </w:rPr>
      </w:pPr>
      <w:hyperlink w:anchor="_Toc12963738" w:history="1">
        <w:r w:rsidR="00087C56" w:rsidRPr="00663F23">
          <w:rPr>
            <w:rStyle w:val="Hyperlink"/>
            <w:noProof/>
          </w:rPr>
          <w:t>Topic 3 – Purchase Document Amendments and the NCB Justification</w:t>
        </w:r>
        <w:r w:rsidR="00087C56" w:rsidRPr="00663F23">
          <w:rPr>
            <w:noProof/>
          </w:rPr>
          <w:tab/>
        </w:r>
        <w:r w:rsidR="00087C56" w:rsidRPr="00663F23">
          <w:rPr>
            <w:noProof/>
          </w:rPr>
          <w:fldChar w:fldCharType="begin"/>
        </w:r>
        <w:r w:rsidR="00087C56" w:rsidRPr="00663F23">
          <w:rPr>
            <w:noProof/>
          </w:rPr>
          <w:instrText xml:space="preserve"> PAGEREF _Toc12963738 \h </w:instrText>
        </w:r>
        <w:r w:rsidR="00087C56" w:rsidRPr="00663F23">
          <w:rPr>
            <w:noProof/>
          </w:rPr>
        </w:r>
        <w:r w:rsidR="00087C56" w:rsidRPr="00663F23">
          <w:rPr>
            <w:noProof/>
          </w:rPr>
          <w:fldChar w:fldCharType="separate"/>
        </w:r>
        <w:r w:rsidR="00087C56" w:rsidRPr="00663F23">
          <w:rPr>
            <w:noProof/>
          </w:rPr>
          <w:t>13</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39" w:history="1">
        <w:r w:rsidR="00087C56" w:rsidRPr="00663F23">
          <w:rPr>
            <w:rStyle w:val="Hyperlink"/>
            <w:noProof/>
          </w:rPr>
          <w:t>5.3.0 When NCB Process is Applicable</w:t>
        </w:r>
        <w:r w:rsidR="00087C56" w:rsidRPr="00663F23">
          <w:rPr>
            <w:noProof/>
          </w:rPr>
          <w:tab/>
        </w:r>
        <w:r w:rsidR="00087C56" w:rsidRPr="00663F23">
          <w:rPr>
            <w:noProof/>
          </w:rPr>
          <w:fldChar w:fldCharType="begin"/>
        </w:r>
        <w:r w:rsidR="00087C56" w:rsidRPr="00663F23">
          <w:rPr>
            <w:noProof/>
          </w:rPr>
          <w:instrText xml:space="preserve"> PAGEREF _Toc12963739 \h </w:instrText>
        </w:r>
        <w:r w:rsidR="00087C56" w:rsidRPr="00663F23">
          <w:rPr>
            <w:noProof/>
          </w:rPr>
        </w:r>
        <w:r w:rsidR="00087C56" w:rsidRPr="00663F23">
          <w:rPr>
            <w:noProof/>
          </w:rPr>
          <w:fldChar w:fldCharType="separate"/>
        </w:r>
        <w:r w:rsidR="00087C56" w:rsidRPr="00663F23">
          <w:rPr>
            <w:noProof/>
          </w:rPr>
          <w:t>13</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40" w:history="1">
        <w:r w:rsidR="00087C56" w:rsidRPr="00663F23">
          <w:rPr>
            <w:rStyle w:val="Hyperlink"/>
            <w:noProof/>
          </w:rPr>
          <w:t>5.3.1 When an Amendment Does Not Require an NCB</w:t>
        </w:r>
        <w:r w:rsidR="00087C56" w:rsidRPr="00663F23">
          <w:rPr>
            <w:noProof/>
          </w:rPr>
          <w:tab/>
        </w:r>
        <w:r w:rsidR="00087C56" w:rsidRPr="00663F23">
          <w:rPr>
            <w:noProof/>
          </w:rPr>
          <w:fldChar w:fldCharType="begin"/>
        </w:r>
        <w:r w:rsidR="00087C56" w:rsidRPr="00663F23">
          <w:rPr>
            <w:noProof/>
          </w:rPr>
          <w:instrText xml:space="preserve"> PAGEREF _Toc12963740 \h </w:instrText>
        </w:r>
        <w:r w:rsidR="00087C56" w:rsidRPr="00663F23">
          <w:rPr>
            <w:noProof/>
          </w:rPr>
        </w:r>
        <w:r w:rsidR="00087C56" w:rsidRPr="00663F23">
          <w:rPr>
            <w:noProof/>
          </w:rPr>
          <w:fldChar w:fldCharType="separate"/>
        </w:r>
        <w:r w:rsidR="00087C56" w:rsidRPr="00663F23">
          <w:rPr>
            <w:noProof/>
          </w:rPr>
          <w:t>13</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41" w:history="1">
        <w:r w:rsidR="00087C56" w:rsidRPr="00663F23">
          <w:rPr>
            <w:rStyle w:val="Hyperlink"/>
            <w:noProof/>
          </w:rPr>
          <w:t>5.3.2 Amendment Requirements Based on Cumulative Dollar Value</w:t>
        </w:r>
        <w:r w:rsidR="00087C56" w:rsidRPr="00663F23">
          <w:rPr>
            <w:noProof/>
          </w:rPr>
          <w:tab/>
        </w:r>
        <w:r w:rsidR="00087C56" w:rsidRPr="00663F23">
          <w:rPr>
            <w:noProof/>
          </w:rPr>
          <w:fldChar w:fldCharType="begin"/>
        </w:r>
        <w:r w:rsidR="00087C56" w:rsidRPr="00663F23">
          <w:rPr>
            <w:noProof/>
          </w:rPr>
          <w:instrText xml:space="preserve"> PAGEREF _Toc12963741 \h </w:instrText>
        </w:r>
        <w:r w:rsidR="00087C56" w:rsidRPr="00663F23">
          <w:rPr>
            <w:noProof/>
          </w:rPr>
        </w:r>
        <w:r w:rsidR="00087C56" w:rsidRPr="00663F23">
          <w:rPr>
            <w:noProof/>
          </w:rPr>
          <w:fldChar w:fldCharType="separate"/>
        </w:r>
        <w:r w:rsidR="00087C56" w:rsidRPr="00663F23">
          <w:rPr>
            <w:noProof/>
          </w:rPr>
          <w:t>13</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42" w:history="1">
        <w:r w:rsidR="00087C56" w:rsidRPr="00663F23">
          <w:rPr>
            <w:rStyle w:val="Hyperlink"/>
            <w:noProof/>
          </w:rPr>
          <w:t>5.3.3 Exceeding the Fair &amp; Reasonable Acquisition Method Dollar Threshold</w:t>
        </w:r>
        <w:r w:rsidR="00087C56" w:rsidRPr="00663F23">
          <w:rPr>
            <w:noProof/>
          </w:rPr>
          <w:tab/>
        </w:r>
        <w:r w:rsidR="00087C56" w:rsidRPr="00663F23">
          <w:rPr>
            <w:noProof/>
          </w:rPr>
          <w:fldChar w:fldCharType="begin"/>
        </w:r>
        <w:r w:rsidR="00087C56" w:rsidRPr="00663F23">
          <w:rPr>
            <w:noProof/>
          </w:rPr>
          <w:instrText xml:space="preserve"> PAGEREF _Toc12963742 \h </w:instrText>
        </w:r>
        <w:r w:rsidR="00087C56" w:rsidRPr="00663F23">
          <w:rPr>
            <w:noProof/>
          </w:rPr>
        </w:r>
        <w:r w:rsidR="00087C56" w:rsidRPr="00663F23">
          <w:rPr>
            <w:noProof/>
          </w:rPr>
          <w:fldChar w:fldCharType="separate"/>
        </w:r>
        <w:r w:rsidR="00087C56" w:rsidRPr="00663F23">
          <w:rPr>
            <w:noProof/>
          </w:rPr>
          <w:t>14</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43" w:history="1">
        <w:r w:rsidR="00087C56" w:rsidRPr="00663F23">
          <w:rPr>
            <w:rStyle w:val="Hyperlink"/>
            <w:noProof/>
          </w:rPr>
          <w:t xml:space="preserve">5.3.4 </w:t>
        </w:r>
        <w:r w:rsidR="00087C56" w:rsidRPr="00663F23">
          <w:rPr>
            <w:rStyle w:val="Hyperlink"/>
            <w:bCs/>
            <w:noProof/>
          </w:rPr>
          <w:t>SCPRS Reporting Responsibilities</w:t>
        </w:r>
        <w:r w:rsidR="00087C56" w:rsidRPr="00663F23">
          <w:rPr>
            <w:noProof/>
          </w:rPr>
          <w:tab/>
        </w:r>
        <w:r w:rsidR="00087C56" w:rsidRPr="00663F23">
          <w:rPr>
            <w:noProof/>
          </w:rPr>
          <w:fldChar w:fldCharType="begin"/>
        </w:r>
        <w:r w:rsidR="00087C56" w:rsidRPr="00663F23">
          <w:rPr>
            <w:noProof/>
          </w:rPr>
          <w:instrText xml:space="preserve"> PAGEREF _Toc12963743 \h </w:instrText>
        </w:r>
        <w:r w:rsidR="00087C56" w:rsidRPr="00663F23">
          <w:rPr>
            <w:noProof/>
          </w:rPr>
        </w:r>
        <w:r w:rsidR="00087C56" w:rsidRPr="00663F23">
          <w:rPr>
            <w:noProof/>
          </w:rPr>
          <w:fldChar w:fldCharType="separate"/>
        </w:r>
        <w:r w:rsidR="00087C56" w:rsidRPr="00663F23">
          <w:rPr>
            <w:noProof/>
          </w:rPr>
          <w:t>14</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44" w:history="1">
        <w:r w:rsidR="00087C56" w:rsidRPr="00663F23">
          <w:rPr>
            <w:rStyle w:val="Hyperlink"/>
            <w:bCs/>
            <w:noProof/>
          </w:rPr>
          <w:t>5.3.5 Reporting Amendments in SCPRS</w:t>
        </w:r>
        <w:r w:rsidR="00087C56" w:rsidRPr="00663F23">
          <w:rPr>
            <w:noProof/>
          </w:rPr>
          <w:tab/>
        </w:r>
        <w:r w:rsidR="00087C56" w:rsidRPr="00663F23">
          <w:rPr>
            <w:noProof/>
          </w:rPr>
          <w:fldChar w:fldCharType="begin"/>
        </w:r>
        <w:r w:rsidR="00087C56" w:rsidRPr="00663F23">
          <w:rPr>
            <w:noProof/>
          </w:rPr>
          <w:instrText xml:space="preserve"> PAGEREF _Toc12963744 \h </w:instrText>
        </w:r>
        <w:r w:rsidR="00087C56" w:rsidRPr="00663F23">
          <w:rPr>
            <w:noProof/>
          </w:rPr>
        </w:r>
        <w:r w:rsidR="00087C56" w:rsidRPr="00663F23">
          <w:rPr>
            <w:noProof/>
          </w:rPr>
          <w:fldChar w:fldCharType="separate"/>
        </w:r>
        <w:r w:rsidR="00087C56" w:rsidRPr="00663F23">
          <w:rPr>
            <w:noProof/>
          </w:rPr>
          <w:t>14</w:t>
        </w:r>
        <w:r w:rsidR="00087C56" w:rsidRPr="00663F23">
          <w:rPr>
            <w:noProof/>
          </w:rPr>
          <w:fldChar w:fldCharType="end"/>
        </w:r>
      </w:hyperlink>
    </w:p>
    <w:p w:rsidR="00087C56" w:rsidRPr="00663F23" w:rsidRDefault="00051065">
      <w:pPr>
        <w:pStyle w:val="TOC4"/>
        <w:tabs>
          <w:tab w:val="right" w:leader="dot" w:pos="9350"/>
        </w:tabs>
        <w:rPr>
          <w:rFonts w:asciiTheme="minorHAnsi" w:eastAsiaTheme="minorEastAsia" w:hAnsiTheme="minorHAnsi" w:cstheme="minorBidi"/>
          <w:noProof/>
          <w:sz w:val="22"/>
          <w:szCs w:val="22"/>
        </w:rPr>
      </w:pPr>
      <w:hyperlink w:anchor="_Toc12963745" w:history="1">
        <w:r w:rsidR="00087C56" w:rsidRPr="00663F23">
          <w:rPr>
            <w:rStyle w:val="Hyperlink"/>
            <w:noProof/>
          </w:rPr>
          <w:t>Topic 4 – Special Category NCB Request (SCR)</w:t>
        </w:r>
        <w:r w:rsidR="00087C56" w:rsidRPr="00663F23">
          <w:rPr>
            <w:noProof/>
          </w:rPr>
          <w:tab/>
        </w:r>
        <w:r w:rsidR="00087C56" w:rsidRPr="00663F23">
          <w:rPr>
            <w:noProof/>
          </w:rPr>
          <w:fldChar w:fldCharType="begin"/>
        </w:r>
        <w:r w:rsidR="00087C56" w:rsidRPr="00663F23">
          <w:rPr>
            <w:noProof/>
          </w:rPr>
          <w:instrText xml:space="preserve"> PAGEREF _Toc12963745 \h </w:instrText>
        </w:r>
        <w:r w:rsidR="00087C56" w:rsidRPr="00663F23">
          <w:rPr>
            <w:noProof/>
          </w:rPr>
        </w:r>
        <w:r w:rsidR="00087C56" w:rsidRPr="00663F23">
          <w:rPr>
            <w:noProof/>
          </w:rPr>
          <w:fldChar w:fldCharType="separate"/>
        </w:r>
        <w:r w:rsidR="00087C56" w:rsidRPr="00663F23">
          <w:rPr>
            <w:noProof/>
          </w:rPr>
          <w:t>16</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46" w:history="1">
        <w:r w:rsidR="00087C56" w:rsidRPr="00663F23">
          <w:rPr>
            <w:rStyle w:val="Hyperlink"/>
            <w:noProof/>
          </w:rPr>
          <w:t>5.4.0 Special Category NCB Request Definition</w:t>
        </w:r>
        <w:r w:rsidR="00087C56" w:rsidRPr="00663F23">
          <w:rPr>
            <w:noProof/>
          </w:rPr>
          <w:tab/>
        </w:r>
        <w:r w:rsidR="00087C56" w:rsidRPr="00663F23">
          <w:rPr>
            <w:noProof/>
          </w:rPr>
          <w:fldChar w:fldCharType="begin"/>
        </w:r>
        <w:r w:rsidR="00087C56" w:rsidRPr="00663F23">
          <w:rPr>
            <w:noProof/>
          </w:rPr>
          <w:instrText xml:space="preserve"> PAGEREF _Toc12963746 \h </w:instrText>
        </w:r>
        <w:r w:rsidR="00087C56" w:rsidRPr="00663F23">
          <w:rPr>
            <w:noProof/>
          </w:rPr>
        </w:r>
        <w:r w:rsidR="00087C56" w:rsidRPr="00663F23">
          <w:rPr>
            <w:noProof/>
          </w:rPr>
          <w:fldChar w:fldCharType="separate"/>
        </w:r>
        <w:r w:rsidR="00087C56" w:rsidRPr="00663F23">
          <w:rPr>
            <w:noProof/>
          </w:rPr>
          <w:t>16</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47" w:history="1">
        <w:r w:rsidR="00087C56" w:rsidRPr="00663F23">
          <w:rPr>
            <w:rStyle w:val="Hyperlink"/>
            <w:noProof/>
          </w:rPr>
          <w:t>5.4.1 Individual SCR for Each Category</w:t>
        </w:r>
        <w:r w:rsidR="00087C56" w:rsidRPr="00663F23">
          <w:rPr>
            <w:noProof/>
          </w:rPr>
          <w:tab/>
        </w:r>
        <w:r w:rsidR="00087C56" w:rsidRPr="00663F23">
          <w:rPr>
            <w:noProof/>
          </w:rPr>
          <w:fldChar w:fldCharType="begin"/>
        </w:r>
        <w:r w:rsidR="00087C56" w:rsidRPr="00663F23">
          <w:rPr>
            <w:noProof/>
          </w:rPr>
          <w:instrText xml:space="preserve"> PAGEREF _Toc12963747 \h </w:instrText>
        </w:r>
        <w:r w:rsidR="00087C56" w:rsidRPr="00663F23">
          <w:rPr>
            <w:noProof/>
          </w:rPr>
        </w:r>
        <w:r w:rsidR="00087C56" w:rsidRPr="00663F23">
          <w:rPr>
            <w:noProof/>
          </w:rPr>
          <w:fldChar w:fldCharType="separate"/>
        </w:r>
        <w:r w:rsidR="00087C56" w:rsidRPr="00663F23">
          <w:rPr>
            <w:noProof/>
          </w:rPr>
          <w:t>16</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48" w:history="1">
        <w:r w:rsidR="00087C56" w:rsidRPr="00663F23">
          <w:rPr>
            <w:rStyle w:val="Hyperlink"/>
            <w:noProof/>
          </w:rPr>
          <w:t>5.4.2 SCR Dollar Threshold and Duration</w:t>
        </w:r>
        <w:r w:rsidR="00087C56" w:rsidRPr="00663F23">
          <w:rPr>
            <w:noProof/>
          </w:rPr>
          <w:tab/>
        </w:r>
        <w:r w:rsidR="00087C56" w:rsidRPr="00663F23">
          <w:rPr>
            <w:noProof/>
          </w:rPr>
          <w:fldChar w:fldCharType="begin"/>
        </w:r>
        <w:r w:rsidR="00087C56" w:rsidRPr="00663F23">
          <w:rPr>
            <w:noProof/>
          </w:rPr>
          <w:instrText xml:space="preserve"> PAGEREF _Toc12963748 \h </w:instrText>
        </w:r>
        <w:r w:rsidR="00087C56" w:rsidRPr="00663F23">
          <w:rPr>
            <w:noProof/>
          </w:rPr>
        </w:r>
        <w:r w:rsidR="00087C56" w:rsidRPr="00663F23">
          <w:rPr>
            <w:noProof/>
          </w:rPr>
          <w:fldChar w:fldCharType="separate"/>
        </w:r>
        <w:r w:rsidR="00087C56" w:rsidRPr="00663F23">
          <w:rPr>
            <w:noProof/>
          </w:rPr>
          <w:t>16</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49" w:history="1">
        <w:r w:rsidR="00087C56" w:rsidRPr="00663F23">
          <w:rPr>
            <w:rStyle w:val="Hyperlink"/>
            <w:noProof/>
          </w:rPr>
          <w:t>5.4.3 SCR Reference Number Assigned</w:t>
        </w:r>
        <w:r w:rsidR="00087C56" w:rsidRPr="00663F23">
          <w:rPr>
            <w:noProof/>
          </w:rPr>
          <w:tab/>
        </w:r>
        <w:r w:rsidR="00087C56" w:rsidRPr="00663F23">
          <w:rPr>
            <w:noProof/>
          </w:rPr>
          <w:fldChar w:fldCharType="begin"/>
        </w:r>
        <w:r w:rsidR="00087C56" w:rsidRPr="00663F23">
          <w:rPr>
            <w:noProof/>
          </w:rPr>
          <w:instrText xml:space="preserve"> PAGEREF _Toc12963749 \h </w:instrText>
        </w:r>
        <w:r w:rsidR="00087C56" w:rsidRPr="00663F23">
          <w:rPr>
            <w:noProof/>
          </w:rPr>
        </w:r>
        <w:r w:rsidR="00087C56" w:rsidRPr="00663F23">
          <w:rPr>
            <w:noProof/>
          </w:rPr>
          <w:fldChar w:fldCharType="separate"/>
        </w:r>
        <w:r w:rsidR="00087C56" w:rsidRPr="00663F23">
          <w:rPr>
            <w:noProof/>
          </w:rPr>
          <w:t>17</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50" w:history="1">
        <w:r w:rsidR="00087C56" w:rsidRPr="00663F23">
          <w:rPr>
            <w:rStyle w:val="Hyperlink"/>
            <w:noProof/>
          </w:rPr>
          <w:t>5.4.4 Executing the Purchase</w:t>
        </w:r>
        <w:r w:rsidR="00087C56" w:rsidRPr="00663F23">
          <w:rPr>
            <w:noProof/>
          </w:rPr>
          <w:tab/>
        </w:r>
        <w:r w:rsidR="00087C56" w:rsidRPr="00663F23">
          <w:rPr>
            <w:noProof/>
          </w:rPr>
          <w:fldChar w:fldCharType="begin"/>
        </w:r>
        <w:r w:rsidR="00087C56" w:rsidRPr="00663F23">
          <w:rPr>
            <w:noProof/>
          </w:rPr>
          <w:instrText xml:space="preserve"> PAGEREF _Toc12963750 \h </w:instrText>
        </w:r>
        <w:r w:rsidR="00087C56" w:rsidRPr="00663F23">
          <w:rPr>
            <w:noProof/>
          </w:rPr>
        </w:r>
        <w:r w:rsidR="00087C56" w:rsidRPr="00663F23">
          <w:rPr>
            <w:noProof/>
          </w:rPr>
          <w:fldChar w:fldCharType="separate"/>
        </w:r>
        <w:r w:rsidR="00087C56" w:rsidRPr="00663F23">
          <w:rPr>
            <w:noProof/>
          </w:rPr>
          <w:t>17</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51" w:history="1">
        <w:r w:rsidR="00087C56" w:rsidRPr="00663F23">
          <w:rPr>
            <w:rStyle w:val="Hyperlink"/>
            <w:noProof/>
          </w:rPr>
          <w:t>5.4.5 Tracking Purchases</w:t>
        </w:r>
        <w:r w:rsidR="00087C56" w:rsidRPr="00663F23">
          <w:rPr>
            <w:noProof/>
          </w:rPr>
          <w:tab/>
        </w:r>
        <w:r w:rsidR="00087C56" w:rsidRPr="00663F23">
          <w:rPr>
            <w:noProof/>
          </w:rPr>
          <w:fldChar w:fldCharType="begin"/>
        </w:r>
        <w:r w:rsidR="00087C56" w:rsidRPr="00663F23">
          <w:rPr>
            <w:noProof/>
          </w:rPr>
          <w:instrText xml:space="preserve"> PAGEREF _Toc12963751 \h </w:instrText>
        </w:r>
        <w:r w:rsidR="00087C56" w:rsidRPr="00663F23">
          <w:rPr>
            <w:noProof/>
          </w:rPr>
        </w:r>
        <w:r w:rsidR="00087C56" w:rsidRPr="00663F23">
          <w:rPr>
            <w:noProof/>
          </w:rPr>
          <w:fldChar w:fldCharType="separate"/>
        </w:r>
        <w:r w:rsidR="00087C56" w:rsidRPr="00663F23">
          <w:rPr>
            <w:noProof/>
          </w:rPr>
          <w:t>17</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52" w:history="1">
        <w:r w:rsidR="00087C56" w:rsidRPr="00663F23">
          <w:rPr>
            <w:rStyle w:val="Hyperlink"/>
            <w:noProof/>
          </w:rPr>
          <w:t>5.4.6 SCR Usage Oversight</w:t>
        </w:r>
        <w:r w:rsidR="00087C56" w:rsidRPr="00663F23">
          <w:rPr>
            <w:noProof/>
          </w:rPr>
          <w:tab/>
        </w:r>
        <w:r w:rsidR="00087C56" w:rsidRPr="00663F23">
          <w:rPr>
            <w:noProof/>
          </w:rPr>
          <w:fldChar w:fldCharType="begin"/>
        </w:r>
        <w:r w:rsidR="00087C56" w:rsidRPr="00663F23">
          <w:rPr>
            <w:noProof/>
          </w:rPr>
          <w:instrText xml:space="preserve"> PAGEREF _Toc12963752 \h </w:instrText>
        </w:r>
        <w:r w:rsidR="00087C56" w:rsidRPr="00663F23">
          <w:rPr>
            <w:noProof/>
          </w:rPr>
        </w:r>
        <w:r w:rsidR="00087C56" w:rsidRPr="00663F23">
          <w:rPr>
            <w:noProof/>
          </w:rPr>
          <w:fldChar w:fldCharType="separate"/>
        </w:r>
        <w:r w:rsidR="00087C56" w:rsidRPr="00663F23">
          <w:rPr>
            <w:noProof/>
          </w:rPr>
          <w:t>17</w:t>
        </w:r>
        <w:r w:rsidR="00087C56" w:rsidRPr="00663F23">
          <w:rPr>
            <w:noProof/>
          </w:rPr>
          <w:fldChar w:fldCharType="end"/>
        </w:r>
      </w:hyperlink>
    </w:p>
    <w:p w:rsidR="00087C56" w:rsidRPr="00663F23" w:rsidRDefault="00051065">
      <w:pPr>
        <w:pStyle w:val="TOC4"/>
        <w:tabs>
          <w:tab w:val="right" w:leader="dot" w:pos="9350"/>
        </w:tabs>
        <w:rPr>
          <w:rFonts w:asciiTheme="minorHAnsi" w:eastAsiaTheme="minorEastAsia" w:hAnsiTheme="minorHAnsi" w:cstheme="minorBidi"/>
          <w:noProof/>
          <w:sz w:val="22"/>
          <w:szCs w:val="22"/>
        </w:rPr>
      </w:pPr>
      <w:hyperlink w:anchor="_Toc12963753" w:history="1">
        <w:r w:rsidR="00087C56" w:rsidRPr="00663F23">
          <w:rPr>
            <w:rStyle w:val="Hyperlink"/>
            <w:noProof/>
          </w:rPr>
          <w:t>Topic 5 – Purchases Exempt from the NCB Process</w:t>
        </w:r>
        <w:r w:rsidR="00087C56" w:rsidRPr="00663F23">
          <w:rPr>
            <w:noProof/>
          </w:rPr>
          <w:tab/>
        </w:r>
        <w:r w:rsidR="00087C56" w:rsidRPr="00663F23">
          <w:rPr>
            <w:noProof/>
          </w:rPr>
          <w:fldChar w:fldCharType="begin"/>
        </w:r>
        <w:r w:rsidR="00087C56" w:rsidRPr="00663F23">
          <w:rPr>
            <w:noProof/>
          </w:rPr>
          <w:instrText xml:space="preserve"> PAGEREF _Toc12963753 \h </w:instrText>
        </w:r>
        <w:r w:rsidR="00087C56" w:rsidRPr="00663F23">
          <w:rPr>
            <w:noProof/>
          </w:rPr>
        </w:r>
        <w:r w:rsidR="00087C56" w:rsidRPr="00663F23">
          <w:rPr>
            <w:noProof/>
          </w:rPr>
          <w:fldChar w:fldCharType="separate"/>
        </w:r>
        <w:r w:rsidR="00087C56" w:rsidRPr="00663F23">
          <w:rPr>
            <w:noProof/>
          </w:rPr>
          <w:t>18</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54" w:history="1">
        <w:r w:rsidR="00087C56" w:rsidRPr="00663F23">
          <w:rPr>
            <w:rStyle w:val="Hyperlink"/>
            <w:noProof/>
          </w:rPr>
          <w:t>5.5.0 Purchases Exempt by Statute</w:t>
        </w:r>
        <w:r w:rsidR="00087C56" w:rsidRPr="00663F23">
          <w:rPr>
            <w:noProof/>
          </w:rPr>
          <w:tab/>
        </w:r>
        <w:r w:rsidR="00087C56" w:rsidRPr="00663F23">
          <w:rPr>
            <w:noProof/>
          </w:rPr>
          <w:fldChar w:fldCharType="begin"/>
        </w:r>
        <w:r w:rsidR="00087C56" w:rsidRPr="00663F23">
          <w:rPr>
            <w:noProof/>
          </w:rPr>
          <w:instrText xml:space="preserve"> PAGEREF _Toc12963754 \h </w:instrText>
        </w:r>
        <w:r w:rsidR="00087C56" w:rsidRPr="00663F23">
          <w:rPr>
            <w:noProof/>
          </w:rPr>
        </w:r>
        <w:r w:rsidR="00087C56" w:rsidRPr="00663F23">
          <w:rPr>
            <w:noProof/>
          </w:rPr>
          <w:fldChar w:fldCharType="separate"/>
        </w:r>
        <w:r w:rsidR="00087C56" w:rsidRPr="00663F23">
          <w:rPr>
            <w:noProof/>
          </w:rPr>
          <w:t>18</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55" w:history="1">
        <w:r w:rsidR="00087C56" w:rsidRPr="00663F23">
          <w:rPr>
            <w:rStyle w:val="Hyperlink"/>
            <w:noProof/>
          </w:rPr>
          <w:t>5.5.1 Purchases Exempt by DGS policy</w:t>
        </w:r>
        <w:r w:rsidR="00087C56" w:rsidRPr="00663F23">
          <w:rPr>
            <w:noProof/>
          </w:rPr>
          <w:tab/>
        </w:r>
        <w:r w:rsidR="00087C56" w:rsidRPr="00663F23">
          <w:rPr>
            <w:noProof/>
          </w:rPr>
          <w:fldChar w:fldCharType="begin"/>
        </w:r>
        <w:r w:rsidR="00087C56" w:rsidRPr="00663F23">
          <w:rPr>
            <w:noProof/>
          </w:rPr>
          <w:instrText xml:space="preserve"> PAGEREF _Toc12963755 \h </w:instrText>
        </w:r>
        <w:r w:rsidR="00087C56" w:rsidRPr="00663F23">
          <w:rPr>
            <w:noProof/>
          </w:rPr>
        </w:r>
        <w:r w:rsidR="00087C56" w:rsidRPr="00663F23">
          <w:rPr>
            <w:noProof/>
          </w:rPr>
          <w:fldChar w:fldCharType="separate"/>
        </w:r>
        <w:r w:rsidR="00087C56" w:rsidRPr="00663F23">
          <w:rPr>
            <w:noProof/>
          </w:rPr>
          <w:t>18</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56" w:history="1">
        <w:r w:rsidR="00087C56" w:rsidRPr="00663F23">
          <w:rPr>
            <w:rStyle w:val="Hyperlink"/>
            <w:noProof/>
          </w:rPr>
          <w:t>5.5.2 Amendments Exempt from Advertising and Competitive Bidding by DGS Policy</w:t>
        </w:r>
        <w:r w:rsidR="00087C56" w:rsidRPr="00663F23">
          <w:rPr>
            <w:noProof/>
          </w:rPr>
          <w:tab/>
        </w:r>
        <w:r w:rsidR="00087C56" w:rsidRPr="00663F23">
          <w:rPr>
            <w:noProof/>
          </w:rPr>
          <w:fldChar w:fldCharType="begin"/>
        </w:r>
        <w:r w:rsidR="00087C56" w:rsidRPr="00663F23">
          <w:rPr>
            <w:noProof/>
          </w:rPr>
          <w:instrText xml:space="preserve"> PAGEREF _Toc12963756 \h </w:instrText>
        </w:r>
        <w:r w:rsidR="00087C56" w:rsidRPr="00663F23">
          <w:rPr>
            <w:noProof/>
          </w:rPr>
        </w:r>
        <w:r w:rsidR="00087C56" w:rsidRPr="00663F23">
          <w:rPr>
            <w:noProof/>
          </w:rPr>
          <w:fldChar w:fldCharType="separate"/>
        </w:r>
        <w:r w:rsidR="00087C56" w:rsidRPr="00663F23">
          <w:rPr>
            <w:noProof/>
          </w:rPr>
          <w:t>19</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57" w:history="1">
        <w:r w:rsidR="00087C56" w:rsidRPr="00663F23">
          <w:rPr>
            <w:rStyle w:val="Hyperlink"/>
            <w:noProof/>
          </w:rPr>
          <w:t>5.5.3 Purchasing Authority Thresholds</w:t>
        </w:r>
        <w:r w:rsidR="00087C56" w:rsidRPr="00663F23">
          <w:rPr>
            <w:noProof/>
          </w:rPr>
          <w:tab/>
        </w:r>
        <w:r w:rsidR="00087C56" w:rsidRPr="00663F23">
          <w:rPr>
            <w:noProof/>
          </w:rPr>
          <w:fldChar w:fldCharType="begin"/>
        </w:r>
        <w:r w:rsidR="00087C56" w:rsidRPr="00663F23">
          <w:rPr>
            <w:noProof/>
          </w:rPr>
          <w:instrText xml:space="preserve"> PAGEREF _Toc12963757 \h </w:instrText>
        </w:r>
        <w:r w:rsidR="00087C56" w:rsidRPr="00663F23">
          <w:rPr>
            <w:noProof/>
          </w:rPr>
        </w:r>
        <w:r w:rsidR="00087C56" w:rsidRPr="00663F23">
          <w:rPr>
            <w:noProof/>
          </w:rPr>
          <w:fldChar w:fldCharType="separate"/>
        </w:r>
        <w:r w:rsidR="00087C56" w:rsidRPr="00663F23">
          <w:rPr>
            <w:noProof/>
          </w:rPr>
          <w:t>19</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58" w:history="1">
        <w:r w:rsidR="00087C56" w:rsidRPr="00663F23">
          <w:rPr>
            <w:rStyle w:val="Hyperlink"/>
            <w:noProof/>
          </w:rPr>
          <w:t>5.5.4 Supporting Statement</w:t>
        </w:r>
        <w:r w:rsidR="00087C56" w:rsidRPr="00663F23">
          <w:rPr>
            <w:noProof/>
          </w:rPr>
          <w:tab/>
        </w:r>
        <w:r w:rsidR="00087C56" w:rsidRPr="00663F23">
          <w:rPr>
            <w:noProof/>
          </w:rPr>
          <w:fldChar w:fldCharType="begin"/>
        </w:r>
        <w:r w:rsidR="00087C56" w:rsidRPr="00663F23">
          <w:rPr>
            <w:noProof/>
          </w:rPr>
          <w:instrText xml:space="preserve"> PAGEREF _Toc12963758 \h </w:instrText>
        </w:r>
        <w:r w:rsidR="00087C56" w:rsidRPr="00663F23">
          <w:rPr>
            <w:noProof/>
          </w:rPr>
        </w:r>
        <w:r w:rsidR="00087C56" w:rsidRPr="00663F23">
          <w:rPr>
            <w:noProof/>
          </w:rPr>
          <w:fldChar w:fldCharType="separate"/>
        </w:r>
        <w:r w:rsidR="00087C56" w:rsidRPr="00663F23">
          <w:rPr>
            <w:noProof/>
          </w:rPr>
          <w:t>19</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59" w:history="1">
        <w:r w:rsidR="00087C56" w:rsidRPr="00663F23">
          <w:rPr>
            <w:rStyle w:val="Hyperlink"/>
            <w:noProof/>
          </w:rPr>
          <w:t>5.5.5 Cost Reasonableness</w:t>
        </w:r>
        <w:r w:rsidR="00087C56" w:rsidRPr="00663F23">
          <w:rPr>
            <w:noProof/>
          </w:rPr>
          <w:tab/>
        </w:r>
        <w:r w:rsidR="00087C56" w:rsidRPr="00663F23">
          <w:rPr>
            <w:noProof/>
          </w:rPr>
          <w:fldChar w:fldCharType="begin"/>
        </w:r>
        <w:r w:rsidR="00087C56" w:rsidRPr="00663F23">
          <w:rPr>
            <w:noProof/>
          </w:rPr>
          <w:instrText xml:space="preserve"> PAGEREF _Toc12963759 \h </w:instrText>
        </w:r>
        <w:r w:rsidR="00087C56" w:rsidRPr="00663F23">
          <w:rPr>
            <w:noProof/>
          </w:rPr>
        </w:r>
        <w:r w:rsidR="00087C56" w:rsidRPr="00663F23">
          <w:rPr>
            <w:noProof/>
          </w:rPr>
          <w:fldChar w:fldCharType="separate"/>
        </w:r>
        <w:r w:rsidR="00087C56" w:rsidRPr="00663F23">
          <w:rPr>
            <w:noProof/>
          </w:rPr>
          <w:t>19</w:t>
        </w:r>
        <w:r w:rsidR="00087C56" w:rsidRPr="00663F23">
          <w:rPr>
            <w:noProof/>
          </w:rPr>
          <w:fldChar w:fldCharType="end"/>
        </w:r>
      </w:hyperlink>
    </w:p>
    <w:p w:rsidR="00087C56" w:rsidRPr="00663F23" w:rsidRDefault="00051065">
      <w:pPr>
        <w:pStyle w:val="TOC4"/>
        <w:tabs>
          <w:tab w:val="right" w:leader="dot" w:pos="9350"/>
        </w:tabs>
        <w:rPr>
          <w:rFonts w:asciiTheme="minorHAnsi" w:eastAsiaTheme="minorEastAsia" w:hAnsiTheme="minorHAnsi" w:cstheme="minorBidi"/>
          <w:noProof/>
          <w:sz w:val="22"/>
          <w:szCs w:val="22"/>
        </w:rPr>
      </w:pPr>
      <w:hyperlink w:anchor="_Toc12963760" w:history="1">
        <w:r w:rsidR="00087C56" w:rsidRPr="00663F23">
          <w:rPr>
            <w:rStyle w:val="Hyperlink"/>
            <w:bCs/>
            <w:noProof/>
          </w:rPr>
          <w:t>Topic 6 – Procurement Approach for Exempt and NCB Contract Activities</w:t>
        </w:r>
        <w:r w:rsidR="00087C56" w:rsidRPr="00663F23">
          <w:rPr>
            <w:noProof/>
          </w:rPr>
          <w:tab/>
        </w:r>
        <w:r w:rsidR="00087C56" w:rsidRPr="00663F23">
          <w:rPr>
            <w:noProof/>
          </w:rPr>
          <w:fldChar w:fldCharType="begin"/>
        </w:r>
        <w:r w:rsidR="00087C56" w:rsidRPr="00663F23">
          <w:rPr>
            <w:noProof/>
          </w:rPr>
          <w:instrText xml:space="preserve"> PAGEREF _Toc12963760 \h </w:instrText>
        </w:r>
        <w:r w:rsidR="00087C56" w:rsidRPr="00663F23">
          <w:rPr>
            <w:noProof/>
          </w:rPr>
        </w:r>
        <w:r w:rsidR="00087C56" w:rsidRPr="00663F23">
          <w:rPr>
            <w:noProof/>
          </w:rPr>
          <w:fldChar w:fldCharType="separate"/>
        </w:r>
        <w:r w:rsidR="00087C56" w:rsidRPr="00663F23">
          <w:rPr>
            <w:noProof/>
          </w:rPr>
          <w:t>20</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61" w:history="1">
        <w:r w:rsidR="00087C56" w:rsidRPr="00663F23">
          <w:rPr>
            <w:rStyle w:val="Hyperlink"/>
            <w:noProof/>
          </w:rPr>
          <w:t>5.6.0 Acceptance of State Terms and Conditions</w:t>
        </w:r>
        <w:r w:rsidR="00087C56" w:rsidRPr="00663F23">
          <w:rPr>
            <w:noProof/>
          </w:rPr>
          <w:tab/>
        </w:r>
        <w:r w:rsidR="00087C56" w:rsidRPr="00663F23">
          <w:rPr>
            <w:noProof/>
          </w:rPr>
          <w:fldChar w:fldCharType="begin"/>
        </w:r>
        <w:r w:rsidR="00087C56" w:rsidRPr="00663F23">
          <w:rPr>
            <w:noProof/>
          </w:rPr>
          <w:instrText xml:space="preserve"> PAGEREF _Toc12963761 \h </w:instrText>
        </w:r>
        <w:r w:rsidR="00087C56" w:rsidRPr="00663F23">
          <w:rPr>
            <w:noProof/>
          </w:rPr>
        </w:r>
        <w:r w:rsidR="00087C56" w:rsidRPr="00663F23">
          <w:rPr>
            <w:noProof/>
          </w:rPr>
          <w:fldChar w:fldCharType="separate"/>
        </w:r>
        <w:r w:rsidR="00087C56" w:rsidRPr="00663F23">
          <w:rPr>
            <w:noProof/>
          </w:rPr>
          <w:t>20</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62" w:history="1">
        <w:r w:rsidR="00087C56" w:rsidRPr="00663F23">
          <w:rPr>
            <w:rStyle w:val="Hyperlink"/>
            <w:noProof/>
          </w:rPr>
          <w:t>5.6.1 Creating a Solicitation</w:t>
        </w:r>
        <w:r w:rsidR="00087C56" w:rsidRPr="00663F23">
          <w:rPr>
            <w:noProof/>
          </w:rPr>
          <w:tab/>
        </w:r>
        <w:r w:rsidR="00087C56" w:rsidRPr="00663F23">
          <w:rPr>
            <w:noProof/>
          </w:rPr>
          <w:fldChar w:fldCharType="begin"/>
        </w:r>
        <w:r w:rsidR="00087C56" w:rsidRPr="00663F23">
          <w:rPr>
            <w:noProof/>
          </w:rPr>
          <w:instrText xml:space="preserve"> PAGEREF _Toc12963762 \h </w:instrText>
        </w:r>
        <w:r w:rsidR="00087C56" w:rsidRPr="00663F23">
          <w:rPr>
            <w:noProof/>
          </w:rPr>
        </w:r>
        <w:r w:rsidR="00087C56" w:rsidRPr="00663F23">
          <w:rPr>
            <w:noProof/>
          </w:rPr>
          <w:fldChar w:fldCharType="separate"/>
        </w:r>
        <w:r w:rsidR="00087C56" w:rsidRPr="00663F23">
          <w:rPr>
            <w:noProof/>
          </w:rPr>
          <w:t>20</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63" w:history="1">
        <w:r w:rsidR="00087C56" w:rsidRPr="00663F23">
          <w:rPr>
            <w:rStyle w:val="Hyperlink"/>
            <w:noProof/>
          </w:rPr>
          <w:t>5.6.2 Supplier Contracts and Forms</w:t>
        </w:r>
        <w:r w:rsidR="00087C56" w:rsidRPr="00663F23">
          <w:rPr>
            <w:noProof/>
          </w:rPr>
          <w:tab/>
        </w:r>
        <w:r w:rsidR="00087C56" w:rsidRPr="00663F23">
          <w:rPr>
            <w:noProof/>
          </w:rPr>
          <w:fldChar w:fldCharType="begin"/>
        </w:r>
        <w:r w:rsidR="00087C56" w:rsidRPr="00663F23">
          <w:rPr>
            <w:noProof/>
          </w:rPr>
          <w:instrText xml:space="preserve"> PAGEREF _Toc12963763 \h </w:instrText>
        </w:r>
        <w:r w:rsidR="00087C56" w:rsidRPr="00663F23">
          <w:rPr>
            <w:noProof/>
          </w:rPr>
        </w:r>
        <w:r w:rsidR="00087C56" w:rsidRPr="00663F23">
          <w:rPr>
            <w:noProof/>
          </w:rPr>
          <w:fldChar w:fldCharType="separate"/>
        </w:r>
        <w:r w:rsidR="00087C56" w:rsidRPr="00663F23">
          <w:rPr>
            <w:noProof/>
          </w:rPr>
          <w:t>20</w:t>
        </w:r>
        <w:r w:rsidR="00087C56" w:rsidRPr="00663F23">
          <w:rPr>
            <w:noProof/>
          </w:rPr>
          <w:fldChar w:fldCharType="end"/>
        </w:r>
      </w:hyperlink>
    </w:p>
    <w:p w:rsidR="00087C56" w:rsidRPr="00663F23" w:rsidRDefault="00051065">
      <w:pPr>
        <w:pStyle w:val="TOC4"/>
        <w:tabs>
          <w:tab w:val="right" w:leader="dot" w:pos="9350"/>
        </w:tabs>
        <w:rPr>
          <w:rFonts w:asciiTheme="minorHAnsi" w:eastAsiaTheme="minorEastAsia" w:hAnsiTheme="minorHAnsi" w:cstheme="minorBidi"/>
          <w:noProof/>
          <w:sz w:val="22"/>
          <w:szCs w:val="22"/>
        </w:rPr>
      </w:pPr>
      <w:hyperlink w:anchor="_Toc12963764" w:history="1">
        <w:r w:rsidR="00087C56" w:rsidRPr="00663F23">
          <w:rPr>
            <w:rStyle w:val="Hyperlink"/>
            <w:bCs/>
            <w:noProof/>
          </w:rPr>
          <w:t>Topic 7 – Fair and Reasonable (F&amp;R) Acquisition Method Purchases</w:t>
        </w:r>
        <w:r w:rsidR="00087C56" w:rsidRPr="00663F23">
          <w:rPr>
            <w:noProof/>
          </w:rPr>
          <w:tab/>
        </w:r>
        <w:r w:rsidR="00087C56" w:rsidRPr="00663F23">
          <w:rPr>
            <w:noProof/>
          </w:rPr>
          <w:fldChar w:fldCharType="begin"/>
        </w:r>
        <w:r w:rsidR="00087C56" w:rsidRPr="00663F23">
          <w:rPr>
            <w:noProof/>
          </w:rPr>
          <w:instrText xml:space="preserve"> PAGEREF _Toc12963764 \h </w:instrText>
        </w:r>
        <w:r w:rsidR="00087C56" w:rsidRPr="00663F23">
          <w:rPr>
            <w:noProof/>
          </w:rPr>
        </w:r>
        <w:r w:rsidR="00087C56" w:rsidRPr="00663F23">
          <w:rPr>
            <w:noProof/>
          </w:rPr>
          <w:fldChar w:fldCharType="separate"/>
        </w:r>
        <w:r w:rsidR="00087C56" w:rsidRPr="00663F23">
          <w:rPr>
            <w:noProof/>
          </w:rPr>
          <w:t>21</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65" w:history="1">
        <w:r w:rsidR="00087C56" w:rsidRPr="00663F23">
          <w:rPr>
            <w:rStyle w:val="Hyperlink"/>
            <w:noProof/>
          </w:rPr>
          <w:t>5.7.0 Fair and Reasonable Acquisition Method</w:t>
        </w:r>
        <w:r w:rsidR="00087C56" w:rsidRPr="00663F23">
          <w:rPr>
            <w:noProof/>
          </w:rPr>
          <w:tab/>
        </w:r>
        <w:r w:rsidR="00087C56" w:rsidRPr="00663F23">
          <w:rPr>
            <w:noProof/>
          </w:rPr>
          <w:fldChar w:fldCharType="begin"/>
        </w:r>
        <w:r w:rsidR="00087C56" w:rsidRPr="00663F23">
          <w:rPr>
            <w:noProof/>
          </w:rPr>
          <w:instrText xml:space="preserve"> PAGEREF _Toc12963765 \h </w:instrText>
        </w:r>
        <w:r w:rsidR="00087C56" w:rsidRPr="00663F23">
          <w:rPr>
            <w:noProof/>
          </w:rPr>
        </w:r>
        <w:r w:rsidR="00087C56" w:rsidRPr="00663F23">
          <w:rPr>
            <w:noProof/>
          </w:rPr>
          <w:fldChar w:fldCharType="separate"/>
        </w:r>
        <w:r w:rsidR="00087C56" w:rsidRPr="00663F23">
          <w:rPr>
            <w:noProof/>
          </w:rPr>
          <w:t>21</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66" w:history="1">
        <w:r w:rsidR="00087C56" w:rsidRPr="00663F23">
          <w:rPr>
            <w:rStyle w:val="Hyperlink"/>
            <w:noProof/>
          </w:rPr>
          <w:t>5.7.1 Techniques to Determine Fair and Reasonable Pricing</w:t>
        </w:r>
        <w:r w:rsidR="00087C56" w:rsidRPr="00663F23">
          <w:rPr>
            <w:noProof/>
          </w:rPr>
          <w:tab/>
        </w:r>
        <w:r w:rsidR="00087C56" w:rsidRPr="00663F23">
          <w:rPr>
            <w:noProof/>
          </w:rPr>
          <w:fldChar w:fldCharType="begin"/>
        </w:r>
        <w:r w:rsidR="00087C56" w:rsidRPr="00663F23">
          <w:rPr>
            <w:noProof/>
          </w:rPr>
          <w:instrText xml:space="preserve"> PAGEREF _Toc12963766 \h </w:instrText>
        </w:r>
        <w:r w:rsidR="00087C56" w:rsidRPr="00663F23">
          <w:rPr>
            <w:noProof/>
          </w:rPr>
        </w:r>
        <w:r w:rsidR="00087C56" w:rsidRPr="00663F23">
          <w:rPr>
            <w:noProof/>
          </w:rPr>
          <w:fldChar w:fldCharType="separate"/>
        </w:r>
        <w:r w:rsidR="00087C56" w:rsidRPr="00663F23">
          <w:rPr>
            <w:noProof/>
          </w:rPr>
          <w:t>21</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67" w:history="1">
        <w:r w:rsidR="00087C56" w:rsidRPr="00663F23">
          <w:rPr>
            <w:rStyle w:val="Hyperlink"/>
            <w:noProof/>
          </w:rPr>
          <w:t>5.7.2 Compare Identical Situations</w:t>
        </w:r>
        <w:r w:rsidR="00087C56" w:rsidRPr="00663F23">
          <w:rPr>
            <w:noProof/>
          </w:rPr>
          <w:tab/>
        </w:r>
        <w:r w:rsidR="00087C56" w:rsidRPr="00663F23">
          <w:rPr>
            <w:noProof/>
          </w:rPr>
          <w:fldChar w:fldCharType="begin"/>
        </w:r>
        <w:r w:rsidR="00087C56" w:rsidRPr="00663F23">
          <w:rPr>
            <w:noProof/>
          </w:rPr>
          <w:instrText xml:space="preserve"> PAGEREF _Toc12963767 \h </w:instrText>
        </w:r>
        <w:r w:rsidR="00087C56" w:rsidRPr="00663F23">
          <w:rPr>
            <w:noProof/>
          </w:rPr>
        </w:r>
        <w:r w:rsidR="00087C56" w:rsidRPr="00663F23">
          <w:rPr>
            <w:noProof/>
          </w:rPr>
          <w:fldChar w:fldCharType="separate"/>
        </w:r>
        <w:r w:rsidR="00087C56" w:rsidRPr="00663F23">
          <w:rPr>
            <w:noProof/>
          </w:rPr>
          <w:t>22</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68" w:history="1">
        <w:r w:rsidR="00087C56" w:rsidRPr="00663F23">
          <w:rPr>
            <w:rStyle w:val="Hyperlink"/>
            <w:noProof/>
          </w:rPr>
          <w:t>5.7.3 Exceptions</w:t>
        </w:r>
        <w:r w:rsidR="00087C56" w:rsidRPr="00663F23">
          <w:rPr>
            <w:noProof/>
          </w:rPr>
          <w:tab/>
        </w:r>
        <w:r w:rsidR="00087C56" w:rsidRPr="00663F23">
          <w:rPr>
            <w:noProof/>
          </w:rPr>
          <w:fldChar w:fldCharType="begin"/>
        </w:r>
        <w:r w:rsidR="00087C56" w:rsidRPr="00663F23">
          <w:rPr>
            <w:noProof/>
          </w:rPr>
          <w:instrText xml:space="preserve"> PAGEREF _Toc12963768 \h </w:instrText>
        </w:r>
        <w:r w:rsidR="00087C56" w:rsidRPr="00663F23">
          <w:rPr>
            <w:noProof/>
          </w:rPr>
        </w:r>
        <w:r w:rsidR="00087C56" w:rsidRPr="00663F23">
          <w:rPr>
            <w:noProof/>
          </w:rPr>
          <w:fldChar w:fldCharType="separate"/>
        </w:r>
        <w:r w:rsidR="00087C56" w:rsidRPr="00663F23">
          <w:rPr>
            <w:noProof/>
          </w:rPr>
          <w:t>22</w:t>
        </w:r>
        <w:r w:rsidR="00087C56" w:rsidRPr="00663F23">
          <w:rPr>
            <w:noProof/>
          </w:rPr>
          <w:fldChar w:fldCharType="end"/>
        </w:r>
      </w:hyperlink>
    </w:p>
    <w:p w:rsidR="00087C56" w:rsidRPr="00663F23" w:rsidRDefault="00051065">
      <w:pPr>
        <w:pStyle w:val="TOC5"/>
        <w:tabs>
          <w:tab w:val="right" w:leader="dot" w:pos="9350"/>
        </w:tabs>
        <w:rPr>
          <w:rFonts w:asciiTheme="minorHAnsi" w:eastAsiaTheme="minorEastAsia" w:hAnsiTheme="minorHAnsi" w:cstheme="minorBidi"/>
          <w:noProof/>
          <w:sz w:val="22"/>
          <w:szCs w:val="22"/>
        </w:rPr>
      </w:pPr>
      <w:hyperlink w:anchor="_Toc12963769" w:history="1">
        <w:r w:rsidR="00087C56" w:rsidRPr="00663F23">
          <w:rPr>
            <w:rStyle w:val="Hyperlink"/>
            <w:noProof/>
          </w:rPr>
          <w:t>5.7.4 File Documentation</w:t>
        </w:r>
        <w:r w:rsidR="00087C56" w:rsidRPr="00663F23">
          <w:rPr>
            <w:noProof/>
          </w:rPr>
          <w:tab/>
        </w:r>
        <w:r w:rsidR="00087C56" w:rsidRPr="00663F23">
          <w:rPr>
            <w:noProof/>
          </w:rPr>
          <w:fldChar w:fldCharType="begin"/>
        </w:r>
        <w:r w:rsidR="00087C56" w:rsidRPr="00663F23">
          <w:rPr>
            <w:noProof/>
          </w:rPr>
          <w:instrText xml:space="preserve"> PAGEREF _Toc12963769 \h </w:instrText>
        </w:r>
        <w:r w:rsidR="00087C56" w:rsidRPr="00663F23">
          <w:rPr>
            <w:noProof/>
          </w:rPr>
        </w:r>
        <w:r w:rsidR="00087C56" w:rsidRPr="00663F23">
          <w:rPr>
            <w:noProof/>
          </w:rPr>
          <w:fldChar w:fldCharType="separate"/>
        </w:r>
        <w:r w:rsidR="00087C56" w:rsidRPr="00663F23">
          <w:rPr>
            <w:noProof/>
          </w:rPr>
          <w:t>22</w:t>
        </w:r>
        <w:r w:rsidR="00087C56" w:rsidRPr="00663F23">
          <w:rPr>
            <w:noProof/>
          </w:rPr>
          <w:fldChar w:fldCharType="end"/>
        </w:r>
      </w:hyperlink>
    </w:p>
    <w:p w:rsidR="000E7319" w:rsidRPr="00663F23" w:rsidRDefault="00FD103B" w:rsidP="0090640C">
      <w:pPr>
        <w:pStyle w:val="TOC5"/>
        <w:tabs>
          <w:tab w:val="right" w:leader="dot" w:pos="9350"/>
        </w:tabs>
      </w:pPr>
      <w:r w:rsidRPr="00663F23">
        <w:fldChar w:fldCharType="end"/>
      </w:r>
      <w:bookmarkStart w:id="10" w:name="_Toc218912069"/>
      <w:bookmarkStart w:id="11" w:name="_Toc223315928"/>
      <w:bookmarkStart w:id="12" w:name="_Toc223414611"/>
      <w:bookmarkStart w:id="13" w:name="_Toc228251292"/>
      <w:bookmarkStart w:id="14" w:name="_Toc228251363"/>
      <w:bookmarkStart w:id="15" w:name="_Toc233598346"/>
      <w:bookmarkStart w:id="16" w:name="_Toc236545361"/>
      <w:bookmarkStart w:id="17" w:name="_Toc250629386"/>
      <w:bookmarkStart w:id="18" w:name="_fs_a4BPo3lxB8EGn93nHond5wA"/>
    </w:p>
    <w:p w:rsidR="0090640C" w:rsidRPr="00663F23" w:rsidRDefault="0090640C">
      <w:pPr>
        <w:rPr>
          <w:b/>
          <w:sz w:val="32"/>
        </w:rPr>
      </w:pPr>
      <w:bookmarkStart w:id="19" w:name="_Toc514420294"/>
      <w:r w:rsidRPr="00663F23">
        <w:br w:type="page"/>
      </w:r>
    </w:p>
    <w:p w:rsidR="00FD103B" w:rsidRPr="00663F23" w:rsidRDefault="00FD103B" w:rsidP="005837CC">
      <w:pPr>
        <w:pStyle w:val="Heading2"/>
        <w:rPr>
          <w:sz w:val="24"/>
          <w:szCs w:val="24"/>
        </w:rPr>
      </w:pPr>
      <w:bookmarkStart w:id="20" w:name="_Toc12963714"/>
      <w:r w:rsidRPr="00663F23">
        <w:rPr>
          <w:sz w:val="24"/>
          <w:szCs w:val="24"/>
        </w:rPr>
        <w:lastRenderedPageBreak/>
        <w:t>Chapter 5</w:t>
      </w:r>
      <w:bookmarkEnd w:id="10"/>
      <w:bookmarkEnd w:id="11"/>
      <w:bookmarkEnd w:id="12"/>
      <w:bookmarkEnd w:id="13"/>
      <w:bookmarkEnd w:id="14"/>
      <w:bookmarkEnd w:id="15"/>
      <w:bookmarkEnd w:id="16"/>
      <w:bookmarkEnd w:id="17"/>
      <w:bookmarkEnd w:id="19"/>
      <w:bookmarkEnd w:id="20"/>
    </w:p>
    <w:p w:rsidR="00FD103B" w:rsidRPr="00663F23" w:rsidRDefault="00FD103B" w:rsidP="00CA090E">
      <w:pPr>
        <w:pStyle w:val="Heading2"/>
        <w:rPr>
          <w:sz w:val="24"/>
          <w:szCs w:val="24"/>
        </w:rPr>
      </w:pPr>
      <w:bookmarkStart w:id="21" w:name="_Toc514420295"/>
      <w:bookmarkStart w:id="22" w:name="_Toc12963715"/>
      <w:bookmarkStart w:id="23" w:name="_fs_a778j1LOz0utGsA5u23Aag"/>
      <w:bookmarkEnd w:id="18"/>
      <w:r w:rsidRPr="00663F23">
        <w:rPr>
          <w:sz w:val="24"/>
          <w:szCs w:val="24"/>
        </w:rPr>
        <w:t xml:space="preserve">Non-Competitively Bid (NCB) </w:t>
      </w:r>
      <w:r w:rsidR="000B2C72" w:rsidRPr="00663F23">
        <w:rPr>
          <w:sz w:val="24"/>
          <w:szCs w:val="24"/>
        </w:rPr>
        <w:t>Purchases</w:t>
      </w:r>
      <w:bookmarkEnd w:id="21"/>
      <w:bookmarkEnd w:id="22"/>
    </w:p>
    <w:p w:rsidR="00CA090E" w:rsidRPr="00663F23" w:rsidRDefault="00CA090E" w:rsidP="00CA090E">
      <w:pPr>
        <w:pStyle w:val="Heading4"/>
        <w:rPr>
          <w:sz w:val="24"/>
          <w:szCs w:val="24"/>
        </w:rPr>
      </w:pPr>
    </w:p>
    <w:p w:rsidR="00FD103B" w:rsidRPr="00663F23" w:rsidRDefault="00FD103B" w:rsidP="00CA090E">
      <w:pPr>
        <w:pStyle w:val="Heading4"/>
        <w:spacing w:before="120" w:after="120"/>
        <w:jc w:val="center"/>
        <w:rPr>
          <w:sz w:val="24"/>
          <w:szCs w:val="24"/>
        </w:rPr>
      </w:pPr>
      <w:bookmarkStart w:id="24" w:name="_Toc514420296"/>
      <w:bookmarkStart w:id="25" w:name="_Toc12963716"/>
      <w:bookmarkStart w:id="26" w:name="_fs_lmEv9RoM8kW9QTqAfLsPvQ"/>
      <w:bookmarkEnd w:id="23"/>
      <w:r w:rsidRPr="00663F23">
        <w:rPr>
          <w:sz w:val="24"/>
          <w:szCs w:val="24"/>
        </w:rPr>
        <w:t>Overview</w:t>
      </w:r>
      <w:bookmarkEnd w:id="24"/>
      <w:bookmarkEnd w:id="25"/>
    </w:p>
    <w:p w:rsidR="009A7CFF" w:rsidRPr="00663F23" w:rsidRDefault="009A7CFF" w:rsidP="009A7CFF">
      <w:pPr>
        <w:pStyle w:val="Heading5"/>
        <w:pBdr>
          <w:top w:val="single" w:sz="4" w:space="1" w:color="auto"/>
        </w:pBdr>
        <w:spacing w:before="120" w:after="120"/>
        <w:rPr>
          <w:szCs w:val="24"/>
        </w:rPr>
      </w:pPr>
      <w:bookmarkStart w:id="27" w:name="_Toc514420297"/>
      <w:bookmarkStart w:id="28" w:name="_fs_AvouWP2fVEWu5NQiJXAA" w:colFirst="0" w:colLast="0"/>
      <w:bookmarkEnd w:id="26"/>
    </w:p>
    <w:p w:rsidR="0090640C" w:rsidRPr="00663F23" w:rsidRDefault="009A7CFF" w:rsidP="009A7CFF">
      <w:pPr>
        <w:pStyle w:val="Heading5"/>
        <w:pBdr>
          <w:top w:val="single" w:sz="4" w:space="1" w:color="auto"/>
        </w:pBdr>
        <w:spacing w:before="120" w:after="120"/>
      </w:pPr>
      <w:bookmarkStart w:id="29" w:name="_Toc12963717"/>
      <w:r w:rsidRPr="00663F23">
        <w:t>I</w:t>
      </w:r>
      <w:r w:rsidR="0090640C" w:rsidRPr="00663F23">
        <w:t>ntroduction</w:t>
      </w:r>
      <w:bookmarkEnd w:id="29"/>
      <w:r w:rsidR="00087C56" w:rsidRPr="00663F23">
        <w:t xml:space="preserve"> </w:t>
      </w:r>
      <w:bookmarkEnd w:id="27"/>
    </w:p>
    <w:p w:rsidR="0090640C" w:rsidRPr="00663F23" w:rsidRDefault="0090640C" w:rsidP="005837CC">
      <w:pPr>
        <w:pStyle w:val="BulletText1"/>
        <w:numPr>
          <w:ilvl w:val="0"/>
          <w:numId w:val="0"/>
        </w:numPr>
        <w:rPr>
          <w:szCs w:val="22"/>
        </w:rPr>
      </w:pPr>
      <w:r w:rsidRPr="00663F23">
        <w:rPr>
          <w:szCs w:val="22"/>
        </w:rPr>
        <w:t>The state is committed to a policy of competitive procurement and contracting that promotes and provides for open and fair competition when competition is known to exist. This chapter describes the process that must be followed when executing a transaction where no known competition exists, i.e., an NCB transaction.</w:t>
      </w:r>
    </w:p>
    <w:p w:rsidR="0090640C" w:rsidRPr="00663F23" w:rsidRDefault="0090640C" w:rsidP="005837CC">
      <w:pPr>
        <w:pStyle w:val="BulletText1"/>
        <w:numPr>
          <w:ilvl w:val="0"/>
          <w:numId w:val="0"/>
        </w:numPr>
        <w:rPr>
          <w:szCs w:val="22"/>
        </w:rPr>
      </w:pPr>
    </w:p>
    <w:p w:rsidR="0090640C" w:rsidRPr="00663F23" w:rsidRDefault="0090640C" w:rsidP="005837CC">
      <w:pPr>
        <w:rPr>
          <w:szCs w:val="22"/>
        </w:rPr>
      </w:pPr>
      <w:r w:rsidRPr="00663F23">
        <w:rPr>
          <w:szCs w:val="22"/>
        </w:rPr>
        <w:t xml:space="preserve">Also described is the purchasing authority necessary before executing an NCB purchase, the requirements that shall be followed, the necessary forms, and </w:t>
      </w:r>
      <w:r w:rsidRPr="00663F23">
        <w:t>potential consequences</w:t>
      </w:r>
      <w:r w:rsidRPr="00663F23" w:rsidDel="005837CC">
        <w:rPr>
          <w:szCs w:val="22"/>
        </w:rPr>
        <w:t xml:space="preserve"> </w:t>
      </w:r>
      <w:r w:rsidRPr="00663F23">
        <w:rPr>
          <w:szCs w:val="22"/>
        </w:rPr>
        <w:t xml:space="preserve">when a department has a significant number of repeat NCB purchases. </w:t>
      </w:r>
    </w:p>
    <w:p w:rsidR="0090640C" w:rsidRPr="00663F23" w:rsidRDefault="0090640C" w:rsidP="005837CC">
      <w:pPr>
        <w:rPr>
          <w:szCs w:val="22"/>
        </w:rPr>
      </w:pPr>
    </w:p>
    <w:p w:rsidR="0090640C" w:rsidRPr="00663F23" w:rsidRDefault="0090640C" w:rsidP="0090640C">
      <w:r w:rsidRPr="00663F23">
        <w:t>When executing a transaction that limits competitive bidding to a specified brand or trade name (LTB) and more than one supplier is available, departments are required to follow the LTB process in Chapter 4, Section 4.C3.0.et seq.</w:t>
      </w:r>
      <w:r w:rsidR="00834079" w:rsidRPr="00663F23">
        <w:t xml:space="preserve"> </w:t>
      </w:r>
      <w:bookmarkStart w:id="30" w:name="_Toc514420299"/>
      <w:bookmarkStart w:id="31" w:name="_fs_FfxsUm2bRkqCIEW2jHfh4g"/>
      <w:bookmarkEnd w:id="28"/>
    </w:p>
    <w:p w:rsidR="0090640C" w:rsidRPr="00663F23" w:rsidRDefault="0090640C" w:rsidP="0090640C">
      <w:pPr>
        <w:pBdr>
          <w:bottom w:val="single" w:sz="4" w:space="1" w:color="auto"/>
        </w:pBdr>
      </w:pPr>
    </w:p>
    <w:p w:rsidR="0090640C" w:rsidRPr="00663F23" w:rsidRDefault="0090640C" w:rsidP="0090640C">
      <w:pPr>
        <w:pBdr>
          <w:bottom w:val="single" w:sz="4" w:space="1" w:color="auto"/>
        </w:pBdr>
        <w:rPr>
          <w:szCs w:val="22"/>
        </w:rPr>
      </w:pPr>
      <w:r w:rsidRPr="00663F23">
        <w:br w:type="page"/>
      </w:r>
    </w:p>
    <w:p w:rsidR="00FD103B" w:rsidRPr="00663F23" w:rsidRDefault="00FD103B" w:rsidP="005837CC">
      <w:pPr>
        <w:pStyle w:val="Heading4"/>
      </w:pPr>
      <w:bookmarkStart w:id="32" w:name="_Toc12963718"/>
      <w:r w:rsidRPr="00663F23">
        <w:lastRenderedPageBreak/>
        <w:t xml:space="preserve">Topic 1- Non-Competitively Bid (NCB) </w:t>
      </w:r>
      <w:r w:rsidR="00D709EB" w:rsidRPr="00663F23">
        <w:t>Purchases</w:t>
      </w:r>
      <w:r w:rsidRPr="00663F23">
        <w:t xml:space="preserve"> and Purchasing Authority</w:t>
      </w:r>
      <w:bookmarkEnd w:id="30"/>
      <w:bookmarkEnd w:id="32"/>
    </w:p>
    <w:bookmarkEnd w:id="31"/>
    <w:p w:rsidR="00FD103B" w:rsidRPr="00663F23" w:rsidRDefault="00FD103B" w:rsidP="00B2405D">
      <w:pPr>
        <w:pStyle w:val="BlockLine"/>
        <w:ind w:left="0"/>
      </w:pPr>
    </w:p>
    <w:p w:rsidR="00B16D24" w:rsidRPr="00663F23" w:rsidRDefault="00B16D24" w:rsidP="00C6075C">
      <w:pPr>
        <w:pStyle w:val="Heading5"/>
        <w:spacing w:after="120"/>
        <w:rPr>
          <w:szCs w:val="24"/>
        </w:rPr>
      </w:pPr>
      <w:bookmarkStart w:id="33" w:name="_Toc514420300"/>
      <w:bookmarkStart w:id="34" w:name="_Toc12963719"/>
      <w:bookmarkStart w:id="35" w:name="_fs_BBouk48KYEiUsGwaydMhg" w:colFirst="0" w:colLast="0"/>
      <w:r w:rsidRPr="00663F23">
        <w:rPr>
          <w:szCs w:val="24"/>
        </w:rPr>
        <w:t>5.1.0</w:t>
      </w:r>
      <w:r w:rsidR="00834079" w:rsidRPr="00663F23">
        <w:rPr>
          <w:szCs w:val="24"/>
        </w:rPr>
        <w:t xml:space="preserve"> </w:t>
      </w:r>
      <w:r w:rsidRPr="00663F23">
        <w:rPr>
          <w:szCs w:val="24"/>
        </w:rPr>
        <w:t>NCB Purchasing</w:t>
      </w:r>
      <w:bookmarkEnd w:id="33"/>
      <w:bookmarkEnd w:id="34"/>
    </w:p>
    <w:p w:rsidR="00B16D24" w:rsidRPr="00663F23" w:rsidRDefault="00B16D24" w:rsidP="005837CC">
      <w:pPr>
        <w:pStyle w:val="BlockText"/>
        <w:rPr>
          <w:szCs w:val="24"/>
        </w:rPr>
      </w:pPr>
      <w:r w:rsidRPr="00663F23">
        <w:rPr>
          <w:szCs w:val="24"/>
        </w:rPr>
        <w:t>NCB purchases are limited by statute in accordance with PCC section 10301 and 10302 for goods to the following conditions:</w:t>
      </w:r>
    </w:p>
    <w:p w:rsidR="00B16D24" w:rsidRPr="00663F23" w:rsidRDefault="00B16D24" w:rsidP="008F5ADA">
      <w:pPr>
        <w:pStyle w:val="BulletText1"/>
        <w:ind w:left="346"/>
        <w:rPr>
          <w:szCs w:val="24"/>
        </w:rPr>
      </w:pPr>
      <w:r w:rsidRPr="00663F23">
        <w:rPr>
          <w:szCs w:val="24"/>
        </w:rPr>
        <w:t>Proposed acquisition of goods and services are the only goods and services that meet the state’s need, or;</w:t>
      </w:r>
    </w:p>
    <w:p w:rsidR="00B16D24" w:rsidRPr="00663F23" w:rsidRDefault="00B16D24" w:rsidP="00B2405D">
      <w:pPr>
        <w:pStyle w:val="BulletText1"/>
        <w:ind w:left="346"/>
        <w:rPr>
          <w:szCs w:val="24"/>
        </w:rPr>
      </w:pPr>
      <w:r w:rsidRPr="00663F23">
        <w:rPr>
          <w:szCs w:val="24"/>
        </w:rPr>
        <w:t>Emergencies, where immediate acquisition is necessary for the protection of the public health, welfare, or safety.</w:t>
      </w:r>
    </w:p>
    <w:p w:rsidR="00B16D24" w:rsidRPr="00663F23" w:rsidRDefault="00B16D24" w:rsidP="00B16D24">
      <w:pPr>
        <w:pStyle w:val="BlockLine"/>
        <w:ind w:left="0"/>
        <w:rPr>
          <w:color w:val="FF0000"/>
          <w:szCs w:val="24"/>
        </w:rPr>
      </w:pPr>
    </w:p>
    <w:p w:rsidR="00B16D24" w:rsidRPr="00663F23" w:rsidRDefault="00B16D24" w:rsidP="00C6075C">
      <w:pPr>
        <w:pStyle w:val="Heading5"/>
        <w:spacing w:after="120"/>
        <w:rPr>
          <w:szCs w:val="24"/>
        </w:rPr>
      </w:pPr>
      <w:bookmarkStart w:id="36" w:name="_Toc514420301"/>
      <w:bookmarkStart w:id="37" w:name="_Toc12963720"/>
      <w:bookmarkEnd w:id="35"/>
      <w:r w:rsidRPr="00663F23">
        <w:rPr>
          <w:szCs w:val="24"/>
        </w:rPr>
        <w:t>5.1.1 NCB Purchasing Authority</w:t>
      </w:r>
      <w:bookmarkEnd w:id="36"/>
      <w:bookmarkEnd w:id="37"/>
    </w:p>
    <w:p w:rsidR="00B16D24" w:rsidRPr="00663F23" w:rsidRDefault="00B16D24" w:rsidP="00CE14A4">
      <w:pPr>
        <w:pStyle w:val="BlockText"/>
        <w:rPr>
          <w:szCs w:val="24"/>
        </w:rPr>
      </w:pPr>
      <w:r w:rsidRPr="00663F23">
        <w:rPr>
          <w:szCs w:val="24"/>
        </w:rPr>
        <w:t>Departments are granted purchasing authority on acquisition methods for which they have applied. If a department elects to apply for Non-IT Goods purchasing authority, NCB authority will be granted only for Non-IT Goods and Leveraged Procurement Agreement (LPA) Non-IT Goods and Non-IT Services.</w:t>
      </w:r>
    </w:p>
    <w:p w:rsidR="00B16D24" w:rsidRPr="00663F23" w:rsidRDefault="00B16D24" w:rsidP="00CE14A4">
      <w:pPr>
        <w:pStyle w:val="BlockText"/>
        <w:rPr>
          <w:szCs w:val="24"/>
        </w:rPr>
      </w:pPr>
    </w:p>
    <w:p w:rsidR="00B16D24" w:rsidRPr="00663F23" w:rsidRDefault="00B16D24" w:rsidP="00CE14A4">
      <w:pPr>
        <w:pStyle w:val="BlockText"/>
        <w:rPr>
          <w:szCs w:val="24"/>
        </w:rPr>
      </w:pPr>
      <w:r w:rsidRPr="00663F23">
        <w:rPr>
          <w:szCs w:val="24"/>
        </w:rPr>
        <w:t>A department’s Purchasing Authority Approval Letter (PAAL) designates NCB thresholds for both the justification and contract. There is a distinction between both, since the justification must be approved prior to a contract being approved and executed.</w:t>
      </w:r>
    </w:p>
    <w:p w:rsidR="00B16D24" w:rsidRPr="00663F23" w:rsidRDefault="00B16D24" w:rsidP="00ED63D0">
      <w:pPr>
        <w:pStyle w:val="BlockText"/>
        <w:rPr>
          <w:szCs w:val="24"/>
        </w:rPr>
      </w:pPr>
    </w:p>
    <w:p w:rsidR="00B16D24" w:rsidRPr="00663F23" w:rsidRDefault="00B16D24" w:rsidP="00ED63D0">
      <w:pPr>
        <w:pStyle w:val="BlockText"/>
        <w:rPr>
          <w:szCs w:val="24"/>
        </w:rPr>
      </w:pPr>
      <w:r w:rsidRPr="00663F23">
        <w:rPr>
          <w:szCs w:val="24"/>
        </w:rPr>
        <w:t>Departments should reference their PAAL</w:t>
      </w:r>
      <w:r w:rsidRPr="00663F23" w:rsidDel="00CE14A4">
        <w:rPr>
          <w:szCs w:val="24"/>
        </w:rPr>
        <w:t xml:space="preserve"> </w:t>
      </w:r>
      <w:r w:rsidRPr="00663F23">
        <w:rPr>
          <w:szCs w:val="24"/>
        </w:rPr>
        <w:t xml:space="preserve">for pre-procurement requirements. </w:t>
      </w:r>
    </w:p>
    <w:p w:rsidR="00FD103B" w:rsidRPr="00663F23" w:rsidRDefault="00FD103B" w:rsidP="00B16D24">
      <w:pPr>
        <w:pStyle w:val="BlockLine"/>
        <w:ind w:left="0"/>
        <w:rPr>
          <w:color w:val="FF0000"/>
          <w:szCs w:val="24"/>
        </w:rPr>
      </w:pPr>
    </w:p>
    <w:p w:rsidR="00B16D24" w:rsidRPr="00663F23" w:rsidRDefault="00B16D24" w:rsidP="00C6075C">
      <w:pPr>
        <w:pStyle w:val="Heading5"/>
        <w:spacing w:after="120"/>
        <w:rPr>
          <w:szCs w:val="24"/>
        </w:rPr>
      </w:pPr>
      <w:bookmarkStart w:id="38" w:name="_Toc514420302"/>
      <w:bookmarkStart w:id="39" w:name="_Toc12963721"/>
      <w:bookmarkStart w:id="40" w:name="_fs_NSC38sjbDEKZhOR2aTecg" w:colFirst="0" w:colLast="0"/>
      <w:r w:rsidRPr="00663F23">
        <w:rPr>
          <w:szCs w:val="24"/>
        </w:rPr>
        <w:t>5.1.2</w:t>
      </w:r>
      <w:r w:rsidR="00834079" w:rsidRPr="00663F23">
        <w:rPr>
          <w:szCs w:val="24"/>
        </w:rPr>
        <w:t xml:space="preserve"> </w:t>
      </w:r>
      <w:r w:rsidRPr="00663F23">
        <w:rPr>
          <w:szCs w:val="24"/>
        </w:rPr>
        <w:t xml:space="preserve">NCB Purchasing Authority </w:t>
      </w:r>
      <w:bookmarkEnd w:id="38"/>
      <w:r w:rsidRPr="00663F23">
        <w:rPr>
          <w:szCs w:val="24"/>
        </w:rPr>
        <w:t>Threshold</w:t>
      </w:r>
      <w:bookmarkEnd w:id="39"/>
    </w:p>
    <w:p w:rsidR="00B16D24" w:rsidRPr="00663F23" w:rsidRDefault="00B16D24" w:rsidP="00D709EB">
      <w:pPr>
        <w:pStyle w:val="TableParagraph"/>
        <w:ind w:left="28" w:right="149"/>
        <w:rPr>
          <w:rFonts w:ascii="Arial" w:hAnsi="Arial" w:cs="Arial"/>
        </w:rPr>
      </w:pPr>
      <w:r w:rsidRPr="00663F23">
        <w:rPr>
          <w:rFonts w:ascii="Arial" w:hAnsi="Arial" w:cs="Arial"/>
        </w:rPr>
        <w:t>A department’s NCB purchasing authority will typically have a maximum dollar threshold not to exceed $25,000.00 for an NCB Justification (per transaction excluding sales and use tax, finance charges, postage, shipping and</w:t>
      </w:r>
      <w:r w:rsidRPr="00663F23">
        <w:rPr>
          <w:rFonts w:ascii="Arial" w:hAnsi="Arial" w:cs="Arial"/>
          <w:spacing w:val="-25"/>
        </w:rPr>
        <w:t xml:space="preserve"> </w:t>
      </w:r>
      <w:r w:rsidRPr="00663F23">
        <w:rPr>
          <w:rFonts w:ascii="Arial" w:hAnsi="Arial" w:cs="Arial"/>
        </w:rPr>
        <w:t>handling). While this threshold is for the pre-procurement requirement, it is not necessarily the same threshold for execution of the contract. To that end, the contract threshold for NCBs will always be identical to the department’s Non-IT Goods competitive threshold. See the example below.</w:t>
      </w:r>
    </w:p>
    <w:p w:rsidR="00B16D24" w:rsidRPr="00663F23" w:rsidRDefault="00B16D24" w:rsidP="00D709EB">
      <w:pPr>
        <w:pStyle w:val="TableParagraph"/>
        <w:ind w:left="28" w:right="149"/>
        <w:rPr>
          <w:rFonts w:ascii="Arial" w:hAnsi="Arial" w:cs="Arial"/>
        </w:rPr>
      </w:pPr>
    </w:p>
    <w:p w:rsidR="00B16D24" w:rsidRPr="00663F23" w:rsidRDefault="00B16D24" w:rsidP="00D709EB">
      <w:pPr>
        <w:pStyle w:val="TableParagraph"/>
        <w:ind w:left="28" w:right="149"/>
        <w:rPr>
          <w:rFonts w:ascii="Arial" w:hAnsi="Arial" w:cs="Arial"/>
        </w:rPr>
      </w:pPr>
      <w:r w:rsidRPr="00663F23">
        <w:rPr>
          <w:rFonts w:ascii="Arial" w:hAnsi="Arial" w:cs="Arial"/>
        </w:rPr>
        <w:t>Example: Department of Horse Racing has $25,000 threshold for NCB Justification and $100,000 threshold for Non-IT Goods for an NCB contract. The department could execute a contract on their own up to the contract threshold ($100K); however, any contract over $25,000 would require an NCB justification to be submitted to and approved by DGS. A contract up to $25,000 would require the department to complete an NCB Justification and retain it in the procurement file; it would not need to be submitted to and approved by DGS.</w:t>
      </w:r>
      <w:r w:rsidR="00834079" w:rsidRPr="00663F23">
        <w:rPr>
          <w:rFonts w:ascii="Arial" w:hAnsi="Arial" w:cs="Arial"/>
        </w:rPr>
        <w:t xml:space="preserve"> </w:t>
      </w:r>
    </w:p>
    <w:p w:rsidR="00B16D24" w:rsidRPr="00663F23" w:rsidRDefault="00B16D24" w:rsidP="00D709EB">
      <w:pPr>
        <w:pStyle w:val="TableParagraph"/>
        <w:ind w:left="0" w:right="149"/>
        <w:rPr>
          <w:rFonts w:ascii="Arial" w:hAnsi="Arial" w:cs="Arial"/>
        </w:rPr>
      </w:pPr>
    </w:p>
    <w:p w:rsidR="00B16D24" w:rsidRPr="00663F23" w:rsidRDefault="00B16D24" w:rsidP="00D709EB">
      <w:pPr>
        <w:pStyle w:val="TableParagraph"/>
        <w:ind w:left="28" w:right="389"/>
        <w:rPr>
          <w:rFonts w:ascii="Arial" w:hAnsi="Arial" w:cs="Arial"/>
        </w:rPr>
      </w:pPr>
      <w:r w:rsidRPr="00663F23">
        <w:rPr>
          <w:rFonts w:ascii="Arial" w:hAnsi="Arial"/>
        </w:rPr>
        <w:lastRenderedPageBreak/>
        <w:t xml:space="preserve">Departments without approved purchasing authority for </w:t>
      </w:r>
      <w:r w:rsidRPr="00663F23">
        <w:rPr>
          <w:rFonts w:ascii="Arial" w:hAnsi="Arial" w:cs="Arial"/>
        </w:rPr>
        <w:t>Non-IT Goods must submit the required NCB request forms and purchase documents to DGS/PD for processing.</w:t>
      </w:r>
    </w:p>
    <w:p w:rsidR="00B16D24" w:rsidRPr="00663F23" w:rsidRDefault="00B16D24" w:rsidP="00D709EB">
      <w:pPr>
        <w:pStyle w:val="TableParagraph"/>
        <w:spacing w:before="11"/>
        <w:ind w:left="0"/>
        <w:rPr>
          <w:rFonts w:ascii="Arial" w:hAnsi="Arial" w:cs="Arial"/>
          <w:b/>
        </w:rPr>
      </w:pPr>
    </w:p>
    <w:p w:rsidR="00B16D24" w:rsidRPr="00663F23" w:rsidRDefault="00B16D24" w:rsidP="00D709EB">
      <w:pPr>
        <w:pStyle w:val="TableParagraph"/>
        <w:ind w:left="28" w:right="548"/>
        <w:rPr>
          <w:rFonts w:ascii="Arial" w:hAnsi="Arial" w:cs="Arial"/>
        </w:rPr>
      </w:pPr>
      <w:r w:rsidRPr="00663F23">
        <w:rPr>
          <w:rFonts w:ascii="Arial" w:hAnsi="Arial" w:cs="Arial"/>
        </w:rPr>
        <w:t>NCB request forms and purchase documents for purchases exceeding the department’s approved NCB purchasing authority for a justification and contract must be submitted to DGS/PD for review and approval.</w:t>
      </w:r>
    </w:p>
    <w:p w:rsidR="00B16D24" w:rsidRPr="00663F23" w:rsidRDefault="00B16D24" w:rsidP="00D709EB">
      <w:pPr>
        <w:pStyle w:val="TableParagraph"/>
        <w:spacing w:before="10"/>
        <w:ind w:left="0"/>
        <w:rPr>
          <w:rFonts w:ascii="Arial" w:hAnsi="Arial"/>
          <w:b/>
        </w:rPr>
      </w:pPr>
    </w:p>
    <w:p w:rsidR="00B16D24" w:rsidRPr="00663F23" w:rsidRDefault="00B16D24" w:rsidP="00D709EB">
      <w:pPr>
        <w:pStyle w:val="BlockText"/>
        <w:rPr>
          <w:szCs w:val="24"/>
        </w:rPr>
      </w:pPr>
      <w:r w:rsidRPr="00663F23">
        <w:rPr>
          <w:b/>
          <w:szCs w:val="24"/>
        </w:rPr>
        <w:t xml:space="preserve">Note: </w:t>
      </w:r>
      <w:r w:rsidRPr="00663F23">
        <w:rPr>
          <w:szCs w:val="24"/>
        </w:rPr>
        <w:t>See Chapter 1 for the requirements of applying for IT purchasing authority.</w:t>
      </w:r>
    </w:p>
    <w:bookmarkEnd w:id="40"/>
    <w:p w:rsidR="00FD103B" w:rsidRPr="00663F23" w:rsidRDefault="00FD103B" w:rsidP="00B16D24">
      <w:pPr>
        <w:pStyle w:val="BlockLine"/>
        <w:ind w:left="0"/>
        <w:rPr>
          <w:szCs w:val="24"/>
        </w:rPr>
      </w:pPr>
    </w:p>
    <w:p w:rsidR="00B16D24" w:rsidRPr="00663F23" w:rsidRDefault="00B16D24" w:rsidP="00C6075C">
      <w:pPr>
        <w:pStyle w:val="Heading5"/>
        <w:spacing w:after="120"/>
        <w:rPr>
          <w:szCs w:val="24"/>
        </w:rPr>
      </w:pPr>
      <w:bookmarkStart w:id="41" w:name="_Toc514420303"/>
      <w:bookmarkStart w:id="42" w:name="_Toc12963722"/>
      <w:bookmarkStart w:id="43" w:name="_fs_a30VT7BpC5Uecy83iL8DE2w" w:colFirst="0" w:colLast="0"/>
      <w:r w:rsidRPr="00663F23">
        <w:rPr>
          <w:szCs w:val="24"/>
        </w:rPr>
        <w:t>5.1.3 Purchases Under $10,000</w:t>
      </w:r>
      <w:bookmarkEnd w:id="41"/>
      <w:bookmarkEnd w:id="42"/>
    </w:p>
    <w:p w:rsidR="00B16D24" w:rsidRPr="00663F23" w:rsidRDefault="00B16D24" w:rsidP="00B16D24">
      <w:pPr>
        <w:pStyle w:val="BlockText"/>
        <w:rPr>
          <w:szCs w:val="24"/>
        </w:rPr>
      </w:pPr>
      <w:r w:rsidRPr="00663F23">
        <w:rPr>
          <w:szCs w:val="24"/>
        </w:rPr>
        <w:t>Departments with purchasing authority may solicit a bid from a single source for transactions under $10,000 when pricing is determined to be fair and reasonable. In this case, no NCB justification is required if fair and reasonable pricing is established and documented. Examples of fair and reasonable pricing methods are described in Topic 7 of this Chapter. Documentation to support fair and reasonable pricing must be retained in the procurement file.</w:t>
      </w:r>
    </w:p>
    <w:p w:rsidR="00B16D24" w:rsidRPr="00663F23" w:rsidRDefault="00B16D24" w:rsidP="00B16D24">
      <w:pPr>
        <w:pStyle w:val="BlockLine"/>
        <w:ind w:left="0"/>
        <w:rPr>
          <w:color w:val="FF0000"/>
        </w:rPr>
      </w:pPr>
    </w:p>
    <w:bookmarkEnd w:id="43"/>
    <w:p w:rsidR="000E7319" w:rsidRPr="00663F23" w:rsidRDefault="000E7319" w:rsidP="000E7319"/>
    <w:p w:rsidR="00B16D24" w:rsidRPr="00663F23" w:rsidRDefault="00B16D24">
      <w:pPr>
        <w:rPr>
          <w:b/>
          <w:sz w:val="32"/>
        </w:rPr>
      </w:pPr>
      <w:bookmarkStart w:id="44" w:name="_Toc514420304"/>
      <w:bookmarkStart w:id="45" w:name="_fs_a4dZQTKpUuUesYe3INUbOg"/>
      <w:r w:rsidRPr="00663F23">
        <w:br w:type="page"/>
      </w:r>
    </w:p>
    <w:p w:rsidR="00FD103B" w:rsidRPr="00663F23" w:rsidRDefault="00FD103B" w:rsidP="005837CC">
      <w:pPr>
        <w:pStyle w:val="Heading4"/>
      </w:pPr>
      <w:bookmarkStart w:id="46" w:name="_Toc12963723"/>
      <w:r w:rsidRPr="00663F23">
        <w:lastRenderedPageBreak/>
        <w:t>Topic 2 – NCB Justification Process</w:t>
      </w:r>
      <w:bookmarkEnd w:id="44"/>
      <w:bookmarkEnd w:id="46"/>
    </w:p>
    <w:bookmarkEnd w:id="45"/>
    <w:p w:rsidR="00FD103B" w:rsidRPr="00663F23" w:rsidRDefault="00FD103B" w:rsidP="00817BB9">
      <w:pPr>
        <w:pStyle w:val="BlockLine"/>
        <w:ind w:left="0"/>
      </w:pPr>
    </w:p>
    <w:p w:rsidR="00052D64" w:rsidRPr="00663F23" w:rsidRDefault="00052D64" w:rsidP="00817BB9">
      <w:pPr>
        <w:pStyle w:val="Heading5"/>
        <w:spacing w:after="120"/>
        <w:rPr>
          <w:szCs w:val="24"/>
        </w:rPr>
      </w:pPr>
      <w:bookmarkStart w:id="47" w:name="_Toc514420305"/>
      <w:bookmarkStart w:id="48" w:name="_Toc12963724"/>
      <w:r w:rsidRPr="00663F23">
        <w:rPr>
          <w:szCs w:val="24"/>
        </w:rPr>
        <w:t>5.2.0 NCB Justification Methods</w:t>
      </w:r>
      <w:bookmarkEnd w:id="47"/>
      <w:bookmarkEnd w:id="48"/>
    </w:p>
    <w:p w:rsidR="00052D64" w:rsidRPr="00663F23" w:rsidRDefault="00052D64" w:rsidP="00817BB9">
      <w:pPr>
        <w:pStyle w:val="TableParagraph"/>
        <w:spacing w:line="248" w:lineRule="exact"/>
        <w:ind w:left="0"/>
        <w:rPr>
          <w:rFonts w:ascii="Arial" w:hAnsi="Arial" w:cs="Arial"/>
        </w:rPr>
      </w:pPr>
      <w:r w:rsidRPr="00663F23">
        <w:rPr>
          <w:rFonts w:ascii="Arial" w:hAnsi="Arial" w:cs="Arial"/>
        </w:rPr>
        <w:t>There are two methods for justifying NCB purchases as follows:</w:t>
      </w:r>
    </w:p>
    <w:p w:rsidR="00052D64" w:rsidRPr="00663F23" w:rsidRDefault="00052D64" w:rsidP="00817BB9">
      <w:pPr>
        <w:pStyle w:val="TableParagraph"/>
        <w:spacing w:line="248" w:lineRule="exact"/>
        <w:ind w:left="0"/>
        <w:rPr>
          <w:rFonts w:ascii="Arial" w:hAnsi="Arial" w:cs="Arial"/>
        </w:rPr>
      </w:pPr>
    </w:p>
    <w:p w:rsidR="00052D64" w:rsidRPr="00663F23" w:rsidRDefault="00052D64" w:rsidP="00817BB9">
      <w:pPr>
        <w:pStyle w:val="TableParagraph"/>
        <w:numPr>
          <w:ilvl w:val="0"/>
          <w:numId w:val="18"/>
        </w:numPr>
        <w:spacing w:line="248" w:lineRule="exact"/>
        <w:ind w:left="360"/>
        <w:rPr>
          <w:rFonts w:ascii="Arial" w:hAnsi="Arial" w:cs="Arial"/>
        </w:rPr>
      </w:pPr>
      <w:r w:rsidRPr="00663F23">
        <w:rPr>
          <w:rFonts w:ascii="Arial" w:hAnsi="Arial" w:cs="Arial"/>
        </w:rPr>
        <w:t>NCB justifications executed on an individual</w:t>
      </w:r>
      <w:r w:rsidRPr="00663F23">
        <w:rPr>
          <w:rFonts w:ascii="Arial" w:hAnsi="Arial" w:cs="Arial"/>
          <w:spacing w:val="-26"/>
        </w:rPr>
        <w:t xml:space="preserve"> </w:t>
      </w:r>
      <w:r w:rsidRPr="00663F23">
        <w:rPr>
          <w:rFonts w:ascii="Arial" w:hAnsi="Arial" w:cs="Arial"/>
        </w:rPr>
        <w:t>basis.</w:t>
      </w:r>
    </w:p>
    <w:p w:rsidR="00052D64" w:rsidRPr="00663F23" w:rsidRDefault="00052D64" w:rsidP="00817BB9">
      <w:pPr>
        <w:pStyle w:val="TableParagraph"/>
        <w:numPr>
          <w:ilvl w:val="0"/>
          <w:numId w:val="18"/>
        </w:numPr>
        <w:spacing w:line="248" w:lineRule="exact"/>
        <w:ind w:left="360"/>
        <w:rPr>
          <w:rFonts w:ascii="Arial" w:hAnsi="Arial" w:cs="Arial"/>
        </w:rPr>
      </w:pPr>
      <w:r w:rsidRPr="00663F23">
        <w:rPr>
          <w:rFonts w:ascii="Arial" w:hAnsi="Arial" w:cs="Arial"/>
        </w:rPr>
        <w:t>Special Category NCB Request (SCR), where a department determines that a significant number of repeat NCB purchases for a particular category of goods and/or services will occur during a specified period of</w:t>
      </w:r>
      <w:r w:rsidRPr="00663F23">
        <w:rPr>
          <w:rFonts w:ascii="Arial" w:hAnsi="Arial" w:cs="Arial"/>
          <w:spacing w:val="-27"/>
        </w:rPr>
        <w:t xml:space="preserve"> </w:t>
      </w:r>
      <w:r w:rsidRPr="00663F23">
        <w:rPr>
          <w:rFonts w:ascii="Arial" w:hAnsi="Arial" w:cs="Arial"/>
        </w:rPr>
        <w:t>time.</w:t>
      </w:r>
    </w:p>
    <w:p w:rsidR="00052D64" w:rsidRPr="00663F23" w:rsidRDefault="00052D64" w:rsidP="00817BB9">
      <w:pPr>
        <w:pStyle w:val="TableParagraph"/>
        <w:spacing w:before="1"/>
        <w:ind w:left="0"/>
        <w:rPr>
          <w:rFonts w:ascii="Arial" w:hAnsi="Arial" w:cs="Arial"/>
          <w:b/>
        </w:rPr>
      </w:pPr>
    </w:p>
    <w:p w:rsidR="00052D64" w:rsidRPr="00663F23" w:rsidRDefault="00052D64" w:rsidP="00817BB9">
      <w:pPr>
        <w:pStyle w:val="BlockText"/>
        <w:rPr>
          <w:szCs w:val="24"/>
        </w:rPr>
      </w:pPr>
      <w:r w:rsidRPr="00663F23">
        <w:rPr>
          <w:szCs w:val="24"/>
        </w:rPr>
        <w:t>Refer to Topic 4 of this chapter for additional details regarding SCR.</w:t>
      </w:r>
    </w:p>
    <w:p w:rsidR="00817BB9" w:rsidRPr="00663F23" w:rsidRDefault="00817BB9" w:rsidP="00817BB9">
      <w:pPr>
        <w:pStyle w:val="BlockLine"/>
        <w:ind w:left="0"/>
        <w:rPr>
          <w:szCs w:val="24"/>
        </w:rPr>
      </w:pPr>
    </w:p>
    <w:p w:rsidR="00052D64" w:rsidRPr="00663F23" w:rsidRDefault="00052D64" w:rsidP="00817BB9">
      <w:pPr>
        <w:pStyle w:val="Heading5"/>
        <w:spacing w:after="120"/>
        <w:rPr>
          <w:szCs w:val="24"/>
        </w:rPr>
      </w:pPr>
      <w:bookmarkStart w:id="49" w:name="_Toc514420306"/>
      <w:bookmarkStart w:id="50" w:name="_Toc12963725"/>
      <w:r w:rsidRPr="00663F23">
        <w:rPr>
          <w:szCs w:val="24"/>
        </w:rPr>
        <w:t>5.2.1 NCB Justification Documents</w:t>
      </w:r>
      <w:bookmarkEnd w:id="49"/>
      <w:bookmarkEnd w:id="50"/>
    </w:p>
    <w:p w:rsidR="00834079" w:rsidRPr="00663F23" w:rsidRDefault="00052D64" w:rsidP="00817BB9">
      <w:pPr>
        <w:pStyle w:val="TableParagraph"/>
        <w:ind w:left="0" w:right="180"/>
        <w:rPr>
          <w:rFonts w:ascii="Arial" w:hAnsi="Arial" w:cs="Arial"/>
        </w:rPr>
      </w:pPr>
      <w:r w:rsidRPr="00663F23">
        <w:rPr>
          <w:rFonts w:ascii="Arial" w:hAnsi="Arial" w:cs="Arial"/>
        </w:rPr>
        <w:t>Departments must use the following DGS/PD-approved form when submitting NCB justification documents. Click here to access the NCB Justification</w:t>
      </w:r>
      <w:r w:rsidR="00834079" w:rsidRPr="00663F23">
        <w:rPr>
          <w:rFonts w:ascii="Arial" w:hAnsi="Arial" w:cs="Arial"/>
        </w:rPr>
        <w:t>:</w:t>
      </w:r>
    </w:p>
    <w:p w:rsidR="00052D64" w:rsidRPr="00DC354D" w:rsidRDefault="00051065" w:rsidP="00DC354D">
      <w:pPr>
        <w:pStyle w:val="TableParagraph"/>
        <w:spacing w:before="240"/>
        <w:ind w:left="0" w:right="180"/>
        <w:rPr>
          <w:rFonts w:ascii="Arial" w:hAnsi="Arial" w:cs="Arial"/>
          <w:color w:val="0000FF"/>
          <w:u w:val="single" w:color="0000FF"/>
        </w:rPr>
      </w:pPr>
      <w:hyperlink r:id="rId8">
        <w:r w:rsidR="00052D64" w:rsidRPr="00663F23">
          <w:rPr>
            <w:rFonts w:ascii="Arial" w:hAnsi="Arial" w:cs="Arial"/>
            <w:color w:val="0000FF"/>
            <w:u w:val="single" w:color="0000FF"/>
          </w:rPr>
          <w:t>Word</w:t>
        </w:r>
      </w:hyperlink>
      <w:r w:rsidR="00834079" w:rsidRPr="00663F23">
        <w:rPr>
          <w:rFonts w:ascii="Arial" w:hAnsi="Arial" w:cs="Arial"/>
          <w:color w:val="auto"/>
          <w:u w:color="0000FF"/>
        </w:rPr>
        <w:t xml:space="preserve"> </w:t>
      </w:r>
    </w:p>
    <w:p w:rsidR="00834079" w:rsidRPr="00663F23" w:rsidRDefault="00834079" w:rsidP="00817BB9">
      <w:pPr>
        <w:pStyle w:val="TableParagraph"/>
        <w:ind w:left="0"/>
        <w:rPr>
          <w:rFonts w:ascii="Arial" w:hAnsi="Arial" w:cs="Arial"/>
        </w:rPr>
      </w:pPr>
    </w:p>
    <w:p w:rsidR="00052D64" w:rsidRPr="00663F23" w:rsidRDefault="00052D64" w:rsidP="00817BB9">
      <w:pPr>
        <w:pStyle w:val="TableParagraph"/>
        <w:ind w:left="0"/>
        <w:rPr>
          <w:rFonts w:ascii="Arial" w:hAnsi="Arial" w:cs="Arial"/>
        </w:rPr>
      </w:pPr>
      <w:r w:rsidRPr="00663F23">
        <w:rPr>
          <w:rFonts w:ascii="Arial" w:hAnsi="Arial" w:cs="Arial"/>
        </w:rPr>
        <w:t xml:space="preserve">Click here to search for the </w:t>
      </w:r>
      <w:hyperlink r:id="rId9" w:history="1">
        <w:r w:rsidRPr="00663F23">
          <w:rPr>
            <w:rStyle w:val="Hyperlink"/>
            <w:rFonts w:ascii="Arial" w:hAnsi="Arial" w:cs="Arial"/>
          </w:rPr>
          <w:t>Contract Advertising Exemption Request (STD.821)</w:t>
        </w:r>
      </w:hyperlink>
      <w:r w:rsidRPr="00663F23">
        <w:rPr>
          <w:rFonts w:ascii="Arial" w:hAnsi="Arial" w:cs="Arial"/>
        </w:rPr>
        <w:t>.</w:t>
      </w:r>
      <w:r w:rsidR="00087C56" w:rsidRPr="00663F23">
        <w:rPr>
          <w:rFonts w:ascii="Arial" w:hAnsi="Arial" w:cs="Arial"/>
        </w:rPr>
        <w:t xml:space="preserve"> (https://www.dgsapps.dgs.ca.gov/osp/StatewideFormsWeb/Forms.aspx)</w:t>
      </w:r>
    </w:p>
    <w:p w:rsidR="00052D64" w:rsidRPr="00663F23" w:rsidRDefault="00052D64" w:rsidP="00817BB9">
      <w:pPr>
        <w:pStyle w:val="TableParagraph"/>
        <w:ind w:left="0"/>
        <w:rPr>
          <w:rFonts w:ascii="Arial" w:hAnsi="Arial" w:cs="Arial"/>
        </w:rPr>
      </w:pPr>
    </w:p>
    <w:p w:rsidR="00052D64" w:rsidRPr="00663F23" w:rsidRDefault="00052D64" w:rsidP="00817BB9">
      <w:pPr>
        <w:rPr>
          <w:szCs w:val="24"/>
        </w:rPr>
      </w:pPr>
      <w:r w:rsidRPr="00663F23">
        <w:rPr>
          <w:szCs w:val="24"/>
        </w:rPr>
        <w:t>When completing the NCB Justification form, departments must respond to all questions clearly and concisely and must fully justify:</w:t>
      </w:r>
    </w:p>
    <w:p w:rsidR="00052D64" w:rsidRPr="00663F23" w:rsidRDefault="00052D64" w:rsidP="00817BB9">
      <w:pPr>
        <w:rPr>
          <w:szCs w:val="24"/>
        </w:rPr>
      </w:pPr>
    </w:p>
    <w:p w:rsidR="00052D64" w:rsidRPr="00663F23" w:rsidRDefault="00052D64" w:rsidP="00817BB9">
      <w:pPr>
        <w:numPr>
          <w:ilvl w:val="0"/>
          <w:numId w:val="42"/>
        </w:numPr>
        <w:ind w:left="360"/>
        <w:rPr>
          <w:szCs w:val="24"/>
        </w:rPr>
      </w:pPr>
      <w:r w:rsidRPr="00663F23">
        <w:rPr>
          <w:szCs w:val="24"/>
        </w:rPr>
        <w:t xml:space="preserve">why a particular good is restricted/unique </w:t>
      </w:r>
    </w:p>
    <w:p w:rsidR="00052D64" w:rsidRPr="00663F23" w:rsidRDefault="00052D64" w:rsidP="00817BB9">
      <w:pPr>
        <w:numPr>
          <w:ilvl w:val="0"/>
          <w:numId w:val="42"/>
        </w:numPr>
        <w:ind w:left="360"/>
        <w:rPr>
          <w:szCs w:val="24"/>
        </w:rPr>
      </w:pPr>
      <w:r w:rsidRPr="00663F23">
        <w:rPr>
          <w:szCs w:val="24"/>
        </w:rPr>
        <w:t xml:space="preserve">how the background of events prompted the </w:t>
      </w:r>
      <w:proofErr w:type="gramStart"/>
      <w:r w:rsidRPr="00663F23">
        <w:rPr>
          <w:szCs w:val="24"/>
        </w:rPr>
        <w:t>request</w:t>
      </w:r>
      <w:proofErr w:type="gramEnd"/>
    </w:p>
    <w:p w:rsidR="00052D64" w:rsidRPr="00663F23" w:rsidRDefault="00052D64" w:rsidP="00817BB9">
      <w:pPr>
        <w:numPr>
          <w:ilvl w:val="0"/>
          <w:numId w:val="42"/>
        </w:numPr>
        <w:ind w:left="360"/>
        <w:rPr>
          <w:szCs w:val="24"/>
        </w:rPr>
      </w:pPr>
      <w:r w:rsidRPr="00663F23">
        <w:rPr>
          <w:szCs w:val="24"/>
        </w:rPr>
        <w:t>what the consequences are if the good is not purchased</w:t>
      </w:r>
    </w:p>
    <w:p w:rsidR="00052D64" w:rsidRPr="00663F23" w:rsidRDefault="00052D64" w:rsidP="00817BB9">
      <w:pPr>
        <w:numPr>
          <w:ilvl w:val="0"/>
          <w:numId w:val="42"/>
        </w:numPr>
        <w:ind w:left="360"/>
        <w:rPr>
          <w:szCs w:val="24"/>
        </w:rPr>
      </w:pPr>
      <w:r w:rsidRPr="00663F23">
        <w:rPr>
          <w:szCs w:val="24"/>
        </w:rPr>
        <w:t>that no competition exists, based on market research efforts</w:t>
      </w:r>
    </w:p>
    <w:p w:rsidR="00052D64" w:rsidRPr="00663F23" w:rsidRDefault="00052D64" w:rsidP="00817BB9">
      <w:pPr>
        <w:rPr>
          <w:szCs w:val="24"/>
        </w:rPr>
      </w:pPr>
    </w:p>
    <w:p w:rsidR="00052D64" w:rsidRPr="00663F23" w:rsidRDefault="00052D64" w:rsidP="00817BB9">
      <w:pPr>
        <w:rPr>
          <w:szCs w:val="24"/>
        </w:rPr>
      </w:pPr>
      <w:r w:rsidRPr="00663F23">
        <w:rPr>
          <w:szCs w:val="24"/>
        </w:rPr>
        <w:t>In addition, departments must document how the price is fair and reasonable. This includes providing a basis of the comparison used such as current market rates, historical pricing, LPA pricing, contracts for similar services, etc. Examples of fair and reasonable pricing methods are described in Topic 7 of this Chapter.</w:t>
      </w:r>
    </w:p>
    <w:p w:rsidR="00052D64" w:rsidRPr="00663F23" w:rsidRDefault="00052D64" w:rsidP="00817BB9">
      <w:pPr>
        <w:rPr>
          <w:szCs w:val="24"/>
        </w:rPr>
      </w:pPr>
    </w:p>
    <w:p w:rsidR="00052D64" w:rsidRPr="00663F23" w:rsidRDefault="00052D64" w:rsidP="00817BB9">
      <w:pPr>
        <w:pStyle w:val="BlockText"/>
        <w:rPr>
          <w:szCs w:val="24"/>
        </w:rPr>
      </w:pPr>
      <w:r w:rsidRPr="00663F23">
        <w:rPr>
          <w:szCs w:val="24"/>
        </w:rPr>
        <w:t>Finally, departments must describe any cost savings realized or avoided when selecting a particular good. Departments must quantify and substantiate their response.</w:t>
      </w:r>
    </w:p>
    <w:p w:rsidR="00052D64" w:rsidRPr="00663F23" w:rsidRDefault="00052D64" w:rsidP="00817BB9">
      <w:pPr>
        <w:pStyle w:val="BlockText"/>
        <w:rPr>
          <w:szCs w:val="24"/>
        </w:rPr>
      </w:pPr>
    </w:p>
    <w:p w:rsidR="00052D64" w:rsidRPr="00663F23" w:rsidRDefault="00052D64" w:rsidP="00817BB9">
      <w:pPr>
        <w:pStyle w:val="BlockText"/>
        <w:rPr>
          <w:szCs w:val="24"/>
        </w:rPr>
      </w:pPr>
      <w:r w:rsidRPr="00663F23">
        <w:rPr>
          <w:szCs w:val="24"/>
        </w:rPr>
        <w:t>The NCB Justification form is a set of consistent questions required for all NCBs, however, DGS reserves the right to ask additional questions that would serve to strengthen and clarify the unique circumstance, which has prompted the NCB. Additional questions may not always be consistent since no NCB is identical.</w:t>
      </w:r>
    </w:p>
    <w:p w:rsidR="00052D64" w:rsidRPr="00663F23" w:rsidRDefault="00052D64" w:rsidP="00817BB9">
      <w:pPr>
        <w:pStyle w:val="BlockText"/>
        <w:rPr>
          <w:szCs w:val="24"/>
        </w:rPr>
      </w:pPr>
    </w:p>
    <w:p w:rsidR="00052D64" w:rsidRPr="00663F23" w:rsidRDefault="00052D64" w:rsidP="00817BB9">
      <w:pPr>
        <w:pStyle w:val="BlockText"/>
        <w:rPr>
          <w:szCs w:val="24"/>
        </w:rPr>
      </w:pPr>
      <w:r w:rsidRPr="00663F23">
        <w:rPr>
          <w:szCs w:val="24"/>
        </w:rPr>
        <w:t>Example: An NCB for a Non-IT Good will generate different questions from an NCB for IT Goods or Non-IT Services. All three (3) will have very unique characteristics, therefore requiring additional questions depending on the circumstance.</w:t>
      </w:r>
    </w:p>
    <w:p w:rsidR="00817BB9" w:rsidRPr="00663F23" w:rsidRDefault="00817BB9" w:rsidP="00817BB9">
      <w:pPr>
        <w:pStyle w:val="BlockLine"/>
        <w:ind w:left="0"/>
        <w:rPr>
          <w:szCs w:val="24"/>
        </w:rPr>
      </w:pPr>
    </w:p>
    <w:p w:rsidR="00817BB9" w:rsidRPr="00663F23" w:rsidRDefault="00817BB9" w:rsidP="00817BB9">
      <w:pPr>
        <w:pStyle w:val="BlockText"/>
        <w:rPr>
          <w:szCs w:val="24"/>
        </w:rPr>
      </w:pPr>
    </w:p>
    <w:p w:rsidR="00052D64" w:rsidRPr="00663F23" w:rsidRDefault="00052D64" w:rsidP="00817BB9">
      <w:pPr>
        <w:pStyle w:val="Heading5"/>
        <w:spacing w:after="120"/>
        <w:rPr>
          <w:szCs w:val="24"/>
        </w:rPr>
      </w:pPr>
      <w:bookmarkStart w:id="51" w:name="_Toc514420307"/>
      <w:bookmarkStart w:id="52" w:name="_Toc12963726"/>
      <w:r w:rsidRPr="00663F23">
        <w:rPr>
          <w:szCs w:val="24"/>
        </w:rPr>
        <w:t>5.2.2 Signature Authority</w:t>
      </w:r>
      <w:bookmarkEnd w:id="51"/>
      <w:bookmarkEnd w:id="52"/>
    </w:p>
    <w:p w:rsidR="00087C56" w:rsidRPr="00663F23" w:rsidRDefault="00052D64" w:rsidP="00817BB9">
      <w:pPr>
        <w:pStyle w:val="BulletText1"/>
        <w:numPr>
          <w:ilvl w:val="0"/>
          <w:numId w:val="0"/>
        </w:numPr>
        <w:tabs>
          <w:tab w:val="left" w:pos="0"/>
        </w:tabs>
        <w:rPr>
          <w:szCs w:val="24"/>
        </w:rPr>
      </w:pPr>
      <w:r w:rsidRPr="00663F23">
        <w:rPr>
          <w:szCs w:val="24"/>
        </w:rPr>
        <w:t>Buyers must secure the proper signature approvals on the NCB Justification. The NCB Justification requires the specified signatures(s) regardless of whether or not the justification is submitted to DGS/PD for approval. All signatures must be originals.</w:t>
      </w:r>
    </w:p>
    <w:p w:rsidR="00052D64" w:rsidRPr="00663F23" w:rsidRDefault="00087C56" w:rsidP="00817BB9">
      <w:pPr>
        <w:pStyle w:val="BulletText1"/>
        <w:numPr>
          <w:ilvl w:val="0"/>
          <w:numId w:val="0"/>
        </w:numPr>
        <w:tabs>
          <w:tab w:val="left" w:pos="0"/>
        </w:tabs>
        <w:rPr>
          <w:szCs w:val="24"/>
        </w:rPr>
      </w:pPr>
      <w:r w:rsidRPr="00663F23">
        <w:rPr>
          <w:szCs w:val="24"/>
        </w:rPr>
        <w:t xml:space="preserve"> </w:t>
      </w:r>
    </w:p>
    <w:p w:rsidR="00052D64" w:rsidRPr="00663F23" w:rsidRDefault="00052D64" w:rsidP="00817BB9">
      <w:pPr>
        <w:numPr>
          <w:ilvl w:val="0"/>
          <w:numId w:val="15"/>
        </w:numPr>
        <w:ind w:left="0" w:firstLine="0"/>
        <w:rPr>
          <w:b/>
          <w:szCs w:val="24"/>
        </w:rPr>
      </w:pPr>
      <w:r w:rsidRPr="00663F23">
        <w:rPr>
          <w:b/>
          <w:szCs w:val="24"/>
        </w:rPr>
        <w:t>Signature Instructions for Agencies with an Agency Secretary</w:t>
      </w:r>
    </w:p>
    <w:p w:rsidR="00052D64" w:rsidRPr="00663F23" w:rsidRDefault="00052D64" w:rsidP="00817BB9">
      <w:pPr>
        <w:rPr>
          <w:szCs w:val="24"/>
        </w:rPr>
      </w:pPr>
      <w:r w:rsidRPr="00663F23">
        <w:rPr>
          <w:szCs w:val="24"/>
        </w:rPr>
        <w:t>The NCB Justification form requires approval by Agency Secretary or Agency Undersecretary and the department director or designee. The Agency Secretary may designate one person, in addition to Agency Undersecretary, to sign on his/her behalf, of cabinet officer level (e.g., Assistant Undersecretary, Deputy Secretary, etc., the actual title is dependent upon the Agency’s organizational structure). The department director may delegate review and approval authority to his/her deputy directors and/or the Procurement and Contracting Officer. The director’s designee shall send ratification notification to their director upon the designee’s approval of the NCB transaction. The typed name and signature must match for both signatures.</w:t>
      </w:r>
    </w:p>
    <w:p w:rsidR="00052D64" w:rsidRPr="00663F23" w:rsidRDefault="00052D64" w:rsidP="00817BB9">
      <w:pPr>
        <w:rPr>
          <w:szCs w:val="24"/>
        </w:rPr>
      </w:pPr>
    </w:p>
    <w:p w:rsidR="00052D64" w:rsidRPr="00663F23" w:rsidRDefault="00052D64" w:rsidP="00817BB9">
      <w:pPr>
        <w:numPr>
          <w:ilvl w:val="0"/>
          <w:numId w:val="15"/>
        </w:numPr>
        <w:ind w:left="0" w:firstLine="0"/>
        <w:rPr>
          <w:b/>
          <w:szCs w:val="24"/>
        </w:rPr>
      </w:pPr>
      <w:r w:rsidRPr="00663F23">
        <w:rPr>
          <w:b/>
          <w:szCs w:val="24"/>
        </w:rPr>
        <w:t>Signature Instructions for Agencies that do not have an Agency Secretary</w:t>
      </w:r>
    </w:p>
    <w:p w:rsidR="00052D64" w:rsidRPr="00663F23" w:rsidRDefault="00052D64" w:rsidP="00817BB9">
      <w:pPr>
        <w:rPr>
          <w:szCs w:val="24"/>
        </w:rPr>
      </w:pPr>
      <w:r w:rsidRPr="00663F23">
        <w:rPr>
          <w:szCs w:val="24"/>
        </w:rPr>
        <w:t>This form requires approval by the highest-ranking executive officer or designee. The highest-ranking officer may designate one person to sign on his/her behalf subject to DGS approval. The highest-ranking officer may delegate review and approval authority to his/her deputy directors and/or the Procurement and Contracting Officer. The designee shall send ratification notification to their highest-ranking executive officer upon their approval of the NCB. The typed name and signature must match.</w:t>
      </w:r>
    </w:p>
    <w:p w:rsidR="00052D64" w:rsidRPr="00663F23" w:rsidRDefault="00052D64" w:rsidP="00817BB9">
      <w:pPr>
        <w:rPr>
          <w:szCs w:val="24"/>
        </w:rPr>
      </w:pPr>
    </w:p>
    <w:p w:rsidR="00992BB4" w:rsidRPr="00663F23" w:rsidRDefault="00052D64" w:rsidP="00992BB4">
      <w:pPr>
        <w:pStyle w:val="BlockText"/>
        <w:rPr>
          <w:szCs w:val="24"/>
        </w:rPr>
      </w:pPr>
      <w:r w:rsidRPr="00663F23">
        <w:rPr>
          <w:szCs w:val="24"/>
        </w:rPr>
        <w:t>DGS/PD will maintain a file of the names and titles of designees.</w:t>
      </w:r>
    </w:p>
    <w:p w:rsidR="00992BB4" w:rsidRPr="00663F23" w:rsidRDefault="00992BB4" w:rsidP="00992BB4">
      <w:pPr>
        <w:pStyle w:val="BlockLine"/>
        <w:ind w:left="0"/>
        <w:rPr>
          <w:szCs w:val="24"/>
        </w:rPr>
      </w:pPr>
    </w:p>
    <w:p w:rsidR="00052D64" w:rsidRPr="00663F23" w:rsidRDefault="00052D64" w:rsidP="00992BB4">
      <w:pPr>
        <w:pStyle w:val="Heading5"/>
        <w:spacing w:after="120"/>
        <w:rPr>
          <w:szCs w:val="24"/>
        </w:rPr>
      </w:pPr>
      <w:bookmarkStart w:id="53" w:name="_Toc12963727"/>
      <w:r w:rsidRPr="00663F23">
        <w:rPr>
          <w:szCs w:val="24"/>
        </w:rPr>
        <w:t>5.2.3 File documentation</w:t>
      </w:r>
      <w:bookmarkEnd w:id="53"/>
      <w:r w:rsidRPr="00663F23">
        <w:rPr>
          <w:szCs w:val="24"/>
        </w:rPr>
        <w:t xml:space="preserve"> </w:t>
      </w:r>
    </w:p>
    <w:p w:rsidR="00052D64" w:rsidRPr="00663F23" w:rsidRDefault="00052D64" w:rsidP="00817BB9">
      <w:pPr>
        <w:pStyle w:val="BulletText1"/>
        <w:numPr>
          <w:ilvl w:val="0"/>
          <w:numId w:val="0"/>
        </w:numPr>
        <w:tabs>
          <w:tab w:val="left" w:pos="0"/>
        </w:tabs>
        <w:rPr>
          <w:szCs w:val="24"/>
        </w:rPr>
      </w:pPr>
      <w:r w:rsidRPr="00663F23">
        <w:rPr>
          <w:szCs w:val="24"/>
        </w:rPr>
        <w:t xml:space="preserve">Click here to access the </w:t>
      </w:r>
      <w:hyperlink r:id="rId10" w:history="1">
        <w:r w:rsidRPr="00663F23">
          <w:rPr>
            <w:rStyle w:val="Hyperlink"/>
            <w:szCs w:val="24"/>
          </w:rPr>
          <w:t>file documentation list for NCB contracts</w:t>
        </w:r>
      </w:hyperlink>
      <w:r w:rsidR="00087C56" w:rsidRPr="00663F23">
        <w:rPr>
          <w:szCs w:val="24"/>
        </w:rPr>
        <w:t xml:space="preserve"> </w:t>
      </w:r>
    </w:p>
    <w:p w:rsidR="00CC2D39" w:rsidRPr="00663F23" w:rsidRDefault="00CC2D39" w:rsidP="00817BB9">
      <w:pPr>
        <w:pStyle w:val="BlockLine"/>
        <w:ind w:left="0"/>
        <w:rPr>
          <w:color w:val="FF0000"/>
          <w:szCs w:val="24"/>
        </w:rPr>
      </w:pPr>
    </w:p>
    <w:p w:rsidR="00052D64" w:rsidRPr="00663F23" w:rsidRDefault="00052D64" w:rsidP="00992BB4">
      <w:pPr>
        <w:pStyle w:val="Heading5"/>
        <w:spacing w:after="120"/>
        <w:rPr>
          <w:szCs w:val="24"/>
        </w:rPr>
      </w:pPr>
      <w:bookmarkStart w:id="54" w:name="_Toc514420308"/>
      <w:bookmarkStart w:id="55" w:name="_Toc12963728"/>
      <w:r w:rsidRPr="00663F23">
        <w:rPr>
          <w:szCs w:val="24"/>
        </w:rPr>
        <w:t>5.2.4 NCB Submission Timeline</w:t>
      </w:r>
      <w:bookmarkEnd w:id="54"/>
      <w:bookmarkEnd w:id="55"/>
    </w:p>
    <w:p w:rsidR="00052D64" w:rsidRPr="00663F23" w:rsidRDefault="00052D64" w:rsidP="00817BB9">
      <w:pPr>
        <w:adjustRightInd w:val="0"/>
        <w:rPr>
          <w:rFonts w:eastAsia="Calibri"/>
          <w:szCs w:val="24"/>
        </w:rPr>
      </w:pPr>
      <w:r w:rsidRPr="00663F23">
        <w:rPr>
          <w:rFonts w:eastAsia="Calibri"/>
          <w:szCs w:val="24"/>
        </w:rPr>
        <w:t>NCB’s require thorough review and analysis and as such, require a minimum of 45 days to process (justification portion only). If an NCB is received by DGS less than the minimum 45 days for review and approval, the submitting agency or department will be notified that goods are not to be purchased prior to determination of NCB approval or non-approval. Any goods purchased prior to the approval or non-approval date will require a claim to be submitted to the DGS Government Claims Program.</w:t>
      </w:r>
    </w:p>
    <w:p w:rsidR="00052D64" w:rsidRPr="00663F23" w:rsidRDefault="00052D64" w:rsidP="00817BB9">
      <w:pPr>
        <w:adjustRightInd w:val="0"/>
        <w:jc w:val="center"/>
        <w:rPr>
          <w:rFonts w:eastAsia="Calibri"/>
          <w:szCs w:val="24"/>
        </w:rPr>
      </w:pPr>
    </w:p>
    <w:p w:rsidR="00052D64" w:rsidRPr="00663F23" w:rsidRDefault="00052D64" w:rsidP="00817BB9">
      <w:pPr>
        <w:adjustRightInd w:val="0"/>
        <w:rPr>
          <w:rFonts w:eastAsia="Calibri"/>
          <w:szCs w:val="24"/>
        </w:rPr>
      </w:pPr>
      <w:r w:rsidRPr="00663F23">
        <w:rPr>
          <w:rFonts w:eastAsia="Calibri"/>
          <w:szCs w:val="24"/>
        </w:rPr>
        <w:t>In addition, to ensure the state’s interests are adequately protected, NCBs</w:t>
      </w:r>
    </w:p>
    <w:p w:rsidR="00052D64" w:rsidRPr="00663F23" w:rsidRDefault="00052D64" w:rsidP="00817BB9">
      <w:pPr>
        <w:adjustRightInd w:val="0"/>
        <w:rPr>
          <w:rFonts w:eastAsia="Calibri"/>
          <w:szCs w:val="24"/>
        </w:rPr>
      </w:pPr>
      <w:r w:rsidRPr="00663F23">
        <w:rPr>
          <w:rFonts w:eastAsia="Calibri"/>
          <w:szCs w:val="24"/>
        </w:rPr>
        <w:t>are not to be approved when the identified start date of the contract or</w:t>
      </w:r>
    </w:p>
    <w:p w:rsidR="00052D64" w:rsidRPr="00663F23" w:rsidRDefault="00052D64" w:rsidP="00817BB9">
      <w:pPr>
        <w:adjustRightInd w:val="0"/>
        <w:rPr>
          <w:rFonts w:eastAsia="Calibri"/>
          <w:szCs w:val="24"/>
        </w:rPr>
      </w:pPr>
      <w:r w:rsidRPr="00663F23">
        <w:rPr>
          <w:rFonts w:eastAsia="Calibri"/>
          <w:szCs w:val="24"/>
        </w:rPr>
        <w:t>effective date of the amendment has passed, except under exceptional</w:t>
      </w:r>
    </w:p>
    <w:p w:rsidR="00052D64" w:rsidRPr="00663F23" w:rsidRDefault="00052D64" w:rsidP="00817BB9">
      <w:pPr>
        <w:adjustRightInd w:val="0"/>
        <w:rPr>
          <w:rFonts w:eastAsia="Calibri"/>
          <w:szCs w:val="24"/>
        </w:rPr>
      </w:pPr>
      <w:r w:rsidRPr="00663F23">
        <w:rPr>
          <w:rFonts w:eastAsia="Calibri"/>
          <w:szCs w:val="24"/>
        </w:rPr>
        <w:t xml:space="preserve">circumstances as described below (Section 5.2.5). If there is no exceptional circumstance, the agency or department will be advised to notify the business entity to </w:t>
      </w:r>
      <w:r w:rsidRPr="00663F23">
        <w:rPr>
          <w:rFonts w:eastAsia="Calibri"/>
          <w:szCs w:val="24"/>
        </w:rPr>
        <w:lastRenderedPageBreak/>
        <w:t>file a claim with the DGS Government Claims Program for compensation for goods already received.</w:t>
      </w:r>
    </w:p>
    <w:p w:rsidR="00992BB4" w:rsidRPr="00663F23" w:rsidRDefault="00992BB4" w:rsidP="00992BB4">
      <w:pPr>
        <w:pStyle w:val="BlockLine"/>
        <w:ind w:left="0"/>
        <w:rPr>
          <w:szCs w:val="24"/>
        </w:rPr>
      </w:pPr>
    </w:p>
    <w:p w:rsidR="00052D64" w:rsidRPr="00663F23" w:rsidRDefault="00052D64" w:rsidP="00992BB4">
      <w:pPr>
        <w:pStyle w:val="Heading5"/>
        <w:spacing w:after="120"/>
        <w:rPr>
          <w:b w:val="0"/>
          <w:szCs w:val="24"/>
        </w:rPr>
      </w:pPr>
      <w:bookmarkStart w:id="56" w:name="_Toc513624160"/>
      <w:bookmarkStart w:id="57" w:name="_Toc514420309"/>
      <w:bookmarkStart w:id="58" w:name="_Toc12963729"/>
      <w:r w:rsidRPr="00663F23">
        <w:rPr>
          <w:szCs w:val="24"/>
        </w:rPr>
        <w:t>5.2.5 Examples of Appropriate and Inappropriate Justifications</w:t>
      </w:r>
      <w:bookmarkEnd w:id="56"/>
      <w:bookmarkEnd w:id="57"/>
      <w:bookmarkEnd w:id="58"/>
    </w:p>
    <w:p w:rsidR="00052D64" w:rsidRPr="00663F23" w:rsidRDefault="00052D64" w:rsidP="00817BB9">
      <w:pPr>
        <w:widowControl w:val="0"/>
        <w:autoSpaceDE w:val="0"/>
        <w:autoSpaceDN w:val="0"/>
        <w:ind w:right="195"/>
        <w:rPr>
          <w:rFonts w:eastAsia="Arial"/>
          <w:szCs w:val="24"/>
        </w:rPr>
      </w:pPr>
      <w:r w:rsidRPr="00663F23">
        <w:rPr>
          <w:rFonts w:eastAsia="Arial"/>
          <w:szCs w:val="24"/>
        </w:rPr>
        <w:t>Departments should refer to the examples below when submitting an NCB Justification request.</w:t>
      </w:r>
    </w:p>
    <w:p w:rsidR="00992BB4" w:rsidRPr="00663F23" w:rsidRDefault="00992BB4" w:rsidP="00817BB9">
      <w:pPr>
        <w:widowControl w:val="0"/>
        <w:autoSpaceDE w:val="0"/>
        <w:autoSpaceDN w:val="0"/>
        <w:ind w:right="195"/>
        <w:rPr>
          <w:rFonts w:eastAsia="Arial"/>
          <w:szCs w:val="24"/>
        </w:rPr>
      </w:pPr>
    </w:p>
    <w:p w:rsidR="00992BB4" w:rsidRPr="00663F23" w:rsidRDefault="00992BB4" w:rsidP="00992BB4">
      <w:pPr>
        <w:widowControl w:val="0"/>
        <w:autoSpaceDE w:val="0"/>
        <w:autoSpaceDN w:val="0"/>
        <w:spacing w:after="120"/>
        <w:ind w:right="195"/>
        <w:rPr>
          <w:rFonts w:eastAsia="Arial"/>
          <w:szCs w:val="24"/>
        </w:rPr>
      </w:pPr>
      <w:r w:rsidRPr="00663F23">
        <w:rPr>
          <w:rFonts w:eastAsia="Arial"/>
          <w:szCs w:val="24"/>
        </w:rPr>
        <w:t>A department has identified during their quarterly review that a specific good is needed:</w:t>
      </w:r>
    </w:p>
    <w:tbl>
      <w:tblPr>
        <w:tblStyle w:val="TableGridLight"/>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Justification examples"/>
      </w:tblPr>
      <w:tblGrid>
        <w:gridCol w:w="4197"/>
        <w:gridCol w:w="4860"/>
      </w:tblGrid>
      <w:tr w:rsidR="00052D64" w:rsidRPr="00663F23" w:rsidTr="00FC002E">
        <w:trPr>
          <w:tblHeader/>
        </w:trPr>
        <w:tc>
          <w:tcPr>
            <w:tcW w:w="4197" w:type="dxa"/>
          </w:tcPr>
          <w:p w:rsidR="00052D64" w:rsidRPr="00663F23" w:rsidRDefault="00052D64" w:rsidP="00817BB9">
            <w:pPr>
              <w:widowControl w:val="0"/>
              <w:autoSpaceDE w:val="0"/>
              <w:autoSpaceDN w:val="0"/>
              <w:ind w:right="195"/>
              <w:jc w:val="center"/>
              <w:rPr>
                <w:rFonts w:eastAsia="Arial"/>
                <w:szCs w:val="24"/>
              </w:rPr>
            </w:pPr>
            <w:r w:rsidRPr="00663F23">
              <w:rPr>
                <w:rFonts w:eastAsia="Arial"/>
                <w:szCs w:val="24"/>
              </w:rPr>
              <w:t>Appropriate</w:t>
            </w:r>
          </w:p>
        </w:tc>
        <w:tc>
          <w:tcPr>
            <w:tcW w:w="4860" w:type="dxa"/>
          </w:tcPr>
          <w:p w:rsidR="00052D64" w:rsidRPr="00663F23" w:rsidRDefault="00052D64" w:rsidP="00817BB9">
            <w:pPr>
              <w:widowControl w:val="0"/>
              <w:autoSpaceDE w:val="0"/>
              <w:autoSpaceDN w:val="0"/>
              <w:ind w:right="195"/>
              <w:jc w:val="center"/>
              <w:rPr>
                <w:rFonts w:eastAsia="Arial"/>
                <w:szCs w:val="24"/>
              </w:rPr>
            </w:pPr>
            <w:r w:rsidRPr="00663F23">
              <w:rPr>
                <w:rFonts w:eastAsia="Arial"/>
                <w:szCs w:val="24"/>
              </w:rPr>
              <w:t>Inappropriate</w:t>
            </w:r>
          </w:p>
        </w:tc>
      </w:tr>
      <w:tr w:rsidR="00052D64" w:rsidRPr="00663F23" w:rsidTr="00FC002E">
        <w:trPr>
          <w:trHeight w:val="2717"/>
        </w:trPr>
        <w:tc>
          <w:tcPr>
            <w:tcW w:w="4197" w:type="dxa"/>
          </w:tcPr>
          <w:p w:rsidR="00052D64" w:rsidRPr="00663F23" w:rsidRDefault="00052D64" w:rsidP="00992BB4">
            <w:pPr>
              <w:widowControl w:val="0"/>
              <w:numPr>
                <w:ilvl w:val="0"/>
                <w:numId w:val="20"/>
              </w:numPr>
              <w:autoSpaceDE w:val="0"/>
              <w:autoSpaceDN w:val="0"/>
              <w:ind w:left="311" w:right="195" w:hanging="311"/>
              <w:rPr>
                <w:rFonts w:eastAsia="Arial"/>
                <w:szCs w:val="24"/>
              </w:rPr>
            </w:pPr>
            <w:r w:rsidRPr="00663F23">
              <w:rPr>
                <w:rFonts w:eastAsia="Arial"/>
                <w:szCs w:val="24"/>
              </w:rPr>
              <w:t>Needs are clearly identified well in advance.</w:t>
            </w:r>
          </w:p>
          <w:p w:rsidR="00052D64" w:rsidRPr="00663F23" w:rsidRDefault="00052D64" w:rsidP="00992BB4">
            <w:pPr>
              <w:widowControl w:val="0"/>
              <w:numPr>
                <w:ilvl w:val="0"/>
                <w:numId w:val="20"/>
              </w:numPr>
              <w:autoSpaceDE w:val="0"/>
              <w:autoSpaceDN w:val="0"/>
              <w:ind w:left="311" w:right="195" w:hanging="311"/>
              <w:rPr>
                <w:rFonts w:eastAsia="Arial"/>
                <w:szCs w:val="24"/>
              </w:rPr>
            </w:pPr>
            <w:r w:rsidRPr="00663F23">
              <w:rPr>
                <w:rFonts w:eastAsia="Arial"/>
                <w:szCs w:val="24"/>
              </w:rPr>
              <w:t>Market survey reveals no competition other than a single vendor.</w:t>
            </w:r>
          </w:p>
          <w:p w:rsidR="00052D64" w:rsidRPr="00663F23" w:rsidRDefault="00052D64" w:rsidP="00992BB4">
            <w:pPr>
              <w:widowControl w:val="0"/>
              <w:numPr>
                <w:ilvl w:val="0"/>
                <w:numId w:val="20"/>
              </w:numPr>
              <w:autoSpaceDE w:val="0"/>
              <w:autoSpaceDN w:val="0"/>
              <w:ind w:left="311" w:right="195" w:hanging="311"/>
              <w:rPr>
                <w:rFonts w:eastAsia="Arial"/>
                <w:szCs w:val="24"/>
              </w:rPr>
            </w:pPr>
            <w:r w:rsidRPr="00663F23">
              <w:rPr>
                <w:rFonts w:eastAsia="Arial"/>
                <w:szCs w:val="24"/>
              </w:rPr>
              <w:t>NCB is submitted to DGS no less than 45</w:t>
            </w:r>
            <w:r w:rsidR="00C80944" w:rsidRPr="00663F23">
              <w:rPr>
                <w:rFonts w:eastAsia="Arial"/>
                <w:szCs w:val="24"/>
              </w:rPr>
              <w:t xml:space="preserve"> days</w:t>
            </w:r>
            <w:r w:rsidRPr="00663F23">
              <w:rPr>
                <w:rFonts w:eastAsia="Arial"/>
                <w:szCs w:val="24"/>
              </w:rPr>
              <w:t xml:space="preserve"> in advance of the contract start date.</w:t>
            </w:r>
          </w:p>
          <w:p w:rsidR="00052D64" w:rsidRPr="00663F23" w:rsidRDefault="00052D64" w:rsidP="00992BB4">
            <w:pPr>
              <w:widowControl w:val="0"/>
              <w:numPr>
                <w:ilvl w:val="0"/>
                <w:numId w:val="20"/>
              </w:numPr>
              <w:autoSpaceDE w:val="0"/>
              <w:autoSpaceDN w:val="0"/>
              <w:ind w:left="311" w:right="195" w:hanging="311"/>
              <w:rPr>
                <w:rFonts w:eastAsia="Arial"/>
                <w:szCs w:val="24"/>
              </w:rPr>
            </w:pPr>
            <w:r w:rsidRPr="00663F23">
              <w:rPr>
                <w:rFonts w:eastAsia="Arial"/>
                <w:szCs w:val="24"/>
              </w:rPr>
              <w:t>Consequences are fully explained and impacts identified if unable to contract with proposed supplier.</w:t>
            </w:r>
          </w:p>
          <w:p w:rsidR="00052D64" w:rsidRPr="00663F23" w:rsidRDefault="00052D64" w:rsidP="00992BB4">
            <w:pPr>
              <w:widowControl w:val="0"/>
              <w:numPr>
                <w:ilvl w:val="0"/>
                <w:numId w:val="20"/>
              </w:numPr>
              <w:autoSpaceDE w:val="0"/>
              <w:autoSpaceDN w:val="0"/>
              <w:ind w:left="311" w:right="195" w:hanging="311"/>
              <w:rPr>
                <w:rFonts w:eastAsia="Arial"/>
                <w:szCs w:val="24"/>
              </w:rPr>
            </w:pPr>
            <w:r w:rsidRPr="00663F23">
              <w:rPr>
                <w:rFonts w:eastAsia="Arial"/>
                <w:szCs w:val="24"/>
              </w:rPr>
              <w:t>Respond to the questions in the NCB Justification with clarity and detailed responses.</w:t>
            </w:r>
          </w:p>
          <w:p w:rsidR="00052D64" w:rsidRPr="00663F23" w:rsidRDefault="00052D64" w:rsidP="00992BB4">
            <w:pPr>
              <w:widowControl w:val="0"/>
              <w:numPr>
                <w:ilvl w:val="0"/>
                <w:numId w:val="20"/>
              </w:numPr>
              <w:autoSpaceDE w:val="0"/>
              <w:autoSpaceDN w:val="0"/>
              <w:ind w:left="311" w:right="195" w:hanging="311"/>
              <w:rPr>
                <w:rFonts w:eastAsia="Arial"/>
                <w:szCs w:val="24"/>
              </w:rPr>
            </w:pPr>
            <w:r w:rsidRPr="00663F23">
              <w:rPr>
                <w:rFonts w:eastAsia="Arial"/>
                <w:szCs w:val="24"/>
              </w:rPr>
              <w:t xml:space="preserve">Cost breakdown with deliverables are clearly identified and explained on how funds will be expended. </w:t>
            </w:r>
          </w:p>
        </w:tc>
        <w:tc>
          <w:tcPr>
            <w:tcW w:w="4860" w:type="dxa"/>
          </w:tcPr>
          <w:p w:rsidR="00052D64" w:rsidRPr="00663F23" w:rsidRDefault="00052D64" w:rsidP="00992BB4">
            <w:pPr>
              <w:widowControl w:val="0"/>
              <w:numPr>
                <w:ilvl w:val="0"/>
                <w:numId w:val="21"/>
              </w:numPr>
              <w:autoSpaceDE w:val="0"/>
              <w:autoSpaceDN w:val="0"/>
              <w:ind w:left="436" w:right="195" w:hanging="436"/>
              <w:rPr>
                <w:rFonts w:eastAsia="Arial"/>
                <w:szCs w:val="24"/>
              </w:rPr>
            </w:pPr>
            <w:r w:rsidRPr="00663F23">
              <w:rPr>
                <w:rFonts w:eastAsia="Arial"/>
                <w:szCs w:val="24"/>
              </w:rPr>
              <w:t>Inadequate contract planning that would prevent competition. For example: A contract expiring in 15 days.</w:t>
            </w:r>
          </w:p>
          <w:p w:rsidR="00052D64" w:rsidRPr="00663F23" w:rsidRDefault="00052D64" w:rsidP="00992BB4">
            <w:pPr>
              <w:widowControl w:val="0"/>
              <w:numPr>
                <w:ilvl w:val="0"/>
                <w:numId w:val="21"/>
              </w:numPr>
              <w:autoSpaceDE w:val="0"/>
              <w:autoSpaceDN w:val="0"/>
              <w:ind w:left="436" w:right="195" w:hanging="436"/>
              <w:rPr>
                <w:rFonts w:eastAsia="Arial"/>
                <w:szCs w:val="24"/>
              </w:rPr>
            </w:pPr>
            <w:r w:rsidRPr="00663F23">
              <w:rPr>
                <w:rFonts w:eastAsia="Arial"/>
                <w:szCs w:val="24"/>
              </w:rPr>
              <w:t>Justification responses lack enough detail to substantiate request.</w:t>
            </w:r>
          </w:p>
          <w:p w:rsidR="00052D64" w:rsidRPr="00663F23" w:rsidRDefault="00052D64" w:rsidP="00992BB4">
            <w:pPr>
              <w:widowControl w:val="0"/>
              <w:numPr>
                <w:ilvl w:val="0"/>
                <w:numId w:val="21"/>
              </w:numPr>
              <w:autoSpaceDE w:val="0"/>
              <w:autoSpaceDN w:val="0"/>
              <w:ind w:left="436" w:right="195" w:hanging="436"/>
              <w:rPr>
                <w:rFonts w:eastAsia="Arial"/>
                <w:szCs w:val="24"/>
              </w:rPr>
            </w:pPr>
            <w:r w:rsidRPr="00663F23">
              <w:rPr>
                <w:rFonts w:eastAsia="Arial"/>
                <w:szCs w:val="24"/>
              </w:rPr>
              <w:t xml:space="preserve">NCB submittal to DGS is less than 45 days of the contract start date. </w:t>
            </w:r>
          </w:p>
          <w:p w:rsidR="00052D64" w:rsidRPr="00663F23" w:rsidRDefault="00052D64" w:rsidP="00992BB4">
            <w:pPr>
              <w:widowControl w:val="0"/>
              <w:numPr>
                <w:ilvl w:val="0"/>
                <w:numId w:val="21"/>
              </w:numPr>
              <w:autoSpaceDE w:val="0"/>
              <w:autoSpaceDN w:val="0"/>
              <w:ind w:left="436" w:right="195" w:hanging="436"/>
              <w:rPr>
                <w:rFonts w:eastAsia="Arial"/>
                <w:szCs w:val="24"/>
              </w:rPr>
            </w:pPr>
            <w:r w:rsidRPr="00663F23">
              <w:rPr>
                <w:rFonts w:eastAsia="Arial"/>
                <w:szCs w:val="24"/>
              </w:rPr>
              <w:t>Insufficient information to establish cost reasonableness.</w:t>
            </w:r>
          </w:p>
          <w:p w:rsidR="00052D64" w:rsidRPr="00663F23" w:rsidRDefault="00052D64" w:rsidP="00992BB4">
            <w:pPr>
              <w:widowControl w:val="0"/>
              <w:numPr>
                <w:ilvl w:val="0"/>
                <w:numId w:val="21"/>
              </w:numPr>
              <w:autoSpaceDE w:val="0"/>
              <w:autoSpaceDN w:val="0"/>
              <w:ind w:left="436" w:right="195" w:hanging="436"/>
              <w:rPr>
                <w:rFonts w:eastAsia="Arial"/>
                <w:szCs w:val="24"/>
              </w:rPr>
            </w:pPr>
            <w:r w:rsidRPr="00663F23">
              <w:rPr>
                <w:rFonts w:eastAsia="Arial"/>
                <w:szCs w:val="24"/>
              </w:rPr>
              <w:t>Unwillingness to provide clarification to substantiate the request.</w:t>
            </w:r>
          </w:p>
          <w:p w:rsidR="00052D64" w:rsidRPr="00663F23" w:rsidRDefault="00052D64" w:rsidP="00817BB9">
            <w:pPr>
              <w:widowControl w:val="0"/>
              <w:autoSpaceDE w:val="0"/>
              <w:autoSpaceDN w:val="0"/>
              <w:ind w:right="195"/>
              <w:rPr>
                <w:rFonts w:eastAsia="Arial"/>
                <w:szCs w:val="24"/>
              </w:rPr>
            </w:pPr>
          </w:p>
          <w:p w:rsidR="00052D64" w:rsidRPr="00663F23" w:rsidRDefault="00052D64" w:rsidP="00817BB9">
            <w:pPr>
              <w:widowControl w:val="0"/>
              <w:autoSpaceDE w:val="0"/>
              <w:autoSpaceDN w:val="0"/>
              <w:ind w:right="195"/>
              <w:rPr>
                <w:rFonts w:eastAsia="Arial"/>
                <w:szCs w:val="24"/>
              </w:rPr>
            </w:pPr>
          </w:p>
        </w:tc>
      </w:tr>
    </w:tbl>
    <w:p w:rsidR="00052D64" w:rsidRPr="00663F23" w:rsidRDefault="00052D64" w:rsidP="00817BB9">
      <w:pPr>
        <w:widowControl w:val="0"/>
        <w:autoSpaceDE w:val="0"/>
        <w:autoSpaceDN w:val="0"/>
        <w:ind w:right="195"/>
        <w:rPr>
          <w:rFonts w:eastAsia="Arial"/>
          <w:szCs w:val="24"/>
        </w:rPr>
      </w:pPr>
    </w:p>
    <w:p w:rsidR="00052D64" w:rsidRPr="00663F23" w:rsidRDefault="00052D64" w:rsidP="00817BB9">
      <w:pPr>
        <w:pStyle w:val="BlockText"/>
        <w:rPr>
          <w:rFonts w:eastAsia="Arial"/>
          <w:szCs w:val="24"/>
        </w:rPr>
      </w:pPr>
      <w:r w:rsidRPr="00663F23">
        <w:rPr>
          <w:rFonts w:eastAsia="Arial"/>
          <w:szCs w:val="24"/>
        </w:rPr>
        <w:t xml:space="preserve">Departments are reminded that poor procurement planning </w:t>
      </w:r>
      <w:r w:rsidRPr="00663F23">
        <w:rPr>
          <w:rFonts w:eastAsia="Arial"/>
          <w:b/>
          <w:szCs w:val="24"/>
          <w:u w:val="single"/>
        </w:rPr>
        <w:t>does not</w:t>
      </w:r>
      <w:r w:rsidRPr="00663F23">
        <w:rPr>
          <w:rFonts w:eastAsia="Arial"/>
          <w:szCs w:val="24"/>
        </w:rPr>
        <w:t xml:space="preserve"> justify an NCB request.</w:t>
      </w:r>
    </w:p>
    <w:p w:rsidR="00052D64" w:rsidRPr="00663F23" w:rsidRDefault="00052D64" w:rsidP="00817BB9">
      <w:pPr>
        <w:pStyle w:val="BlockText"/>
        <w:rPr>
          <w:rFonts w:eastAsia="Arial"/>
          <w:szCs w:val="24"/>
        </w:rPr>
      </w:pPr>
    </w:p>
    <w:p w:rsidR="00992BB4" w:rsidRPr="00663F23" w:rsidRDefault="00052D64" w:rsidP="00992BB4">
      <w:pPr>
        <w:pStyle w:val="BulletText1"/>
        <w:numPr>
          <w:ilvl w:val="0"/>
          <w:numId w:val="0"/>
        </w:numPr>
        <w:tabs>
          <w:tab w:val="left" w:pos="0"/>
        </w:tabs>
        <w:rPr>
          <w:szCs w:val="24"/>
        </w:rPr>
      </w:pPr>
      <w:r w:rsidRPr="00663F23">
        <w:rPr>
          <w:rFonts w:eastAsia="Arial"/>
          <w:szCs w:val="24"/>
        </w:rPr>
        <w:t>Repetitive submission of NCBs for products and services by a department (particularly within a condensed time period) is highly discouraged. Such a practice could indicate a serious flaw in the department’s ability to properly manage contracts and acquisitions; thus, potentially putting at risk their purchasing authority and triggering an escalation process to alert their leadership. Repetitive submission of NCBs should not be confused with the Special Category Request, which is an approved acquisition method.</w:t>
      </w:r>
    </w:p>
    <w:p w:rsidR="00992BB4" w:rsidRPr="00663F23" w:rsidRDefault="00992BB4" w:rsidP="00992BB4">
      <w:pPr>
        <w:pStyle w:val="BlockLine"/>
        <w:ind w:left="0"/>
        <w:rPr>
          <w:szCs w:val="24"/>
        </w:rPr>
      </w:pPr>
    </w:p>
    <w:p w:rsidR="00087C56" w:rsidRPr="00663F23" w:rsidRDefault="00087C56">
      <w:pPr>
        <w:rPr>
          <w:b/>
          <w:szCs w:val="24"/>
        </w:rPr>
      </w:pPr>
      <w:bookmarkStart w:id="59" w:name="_Toc514420310"/>
      <w:r w:rsidRPr="00663F23">
        <w:rPr>
          <w:szCs w:val="24"/>
        </w:rPr>
        <w:br w:type="page"/>
      </w:r>
    </w:p>
    <w:p w:rsidR="00052D64" w:rsidRPr="00663F23" w:rsidRDefault="00052D64" w:rsidP="00992BB4">
      <w:pPr>
        <w:pStyle w:val="Heading5"/>
        <w:spacing w:after="120"/>
        <w:rPr>
          <w:szCs w:val="24"/>
        </w:rPr>
      </w:pPr>
      <w:bookmarkStart w:id="60" w:name="_Toc12963730"/>
      <w:r w:rsidRPr="00663F23">
        <w:rPr>
          <w:szCs w:val="24"/>
        </w:rPr>
        <w:lastRenderedPageBreak/>
        <w:t>5.2.6 NCB Submission Exceptions</w:t>
      </w:r>
      <w:bookmarkEnd w:id="59"/>
      <w:bookmarkEnd w:id="60"/>
    </w:p>
    <w:p w:rsidR="00052D64" w:rsidRPr="00663F23" w:rsidRDefault="00052D64" w:rsidP="00817BB9">
      <w:pPr>
        <w:pStyle w:val="TableParagraph"/>
        <w:ind w:left="0" w:right="381"/>
        <w:rPr>
          <w:rFonts w:ascii="Arial" w:hAnsi="Arial" w:cs="Arial"/>
        </w:rPr>
      </w:pPr>
      <w:r w:rsidRPr="00663F23">
        <w:rPr>
          <w:rFonts w:ascii="Arial" w:hAnsi="Arial" w:cs="Arial"/>
        </w:rPr>
        <w:t>NCBs for purchases where goods have already been procured or for amendments that have already been executed may be accepted on an exceptional basis only if the contracting agency or department certifies in writing that there is good cause for lateness. A late justification letter is required, which provides a statement of detailed facts and demonstrates it is in the state’s best interest to approve the NCB at the time submitted. Examples of good causes are limited to:</w:t>
      </w:r>
    </w:p>
    <w:p w:rsidR="00052D64" w:rsidRPr="00663F23" w:rsidRDefault="00052D64" w:rsidP="00817BB9">
      <w:pPr>
        <w:pStyle w:val="TableParagraph"/>
        <w:ind w:left="0" w:right="381"/>
        <w:rPr>
          <w:rFonts w:ascii="Arial" w:hAnsi="Arial" w:cs="Arial"/>
        </w:rPr>
      </w:pPr>
    </w:p>
    <w:p w:rsidR="00052D64" w:rsidRPr="00663F23" w:rsidRDefault="00052D64" w:rsidP="00992BB4">
      <w:pPr>
        <w:pStyle w:val="TableParagraph"/>
        <w:numPr>
          <w:ilvl w:val="0"/>
          <w:numId w:val="22"/>
        </w:numPr>
        <w:ind w:left="450" w:right="381" w:hanging="450"/>
        <w:rPr>
          <w:rFonts w:ascii="Arial" w:hAnsi="Arial" w:cs="Arial"/>
        </w:rPr>
      </w:pPr>
      <w:r w:rsidRPr="00663F23">
        <w:rPr>
          <w:rFonts w:ascii="Arial" w:hAnsi="Arial" w:cs="Arial"/>
        </w:rPr>
        <w:t>The underlying purchase is necessary to avoid an unexpected and emergent risk to persons or property and the NCB was processed expeditiously upon discovery of the risk;</w:t>
      </w:r>
    </w:p>
    <w:p w:rsidR="00052D64" w:rsidRPr="00663F23" w:rsidRDefault="00052D64" w:rsidP="00992BB4">
      <w:pPr>
        <w:pStyle w:val="TableParagraph"/>
        <w:numPr>
          <w:ilvl w:val="0"/>
          <w:numId w:val="22"/>
        </w:numPr>
        <w:ind w:left="450" w:right="381" w:hanging="450"/>
        <w:rPr>
          <w:rFonts w:ascii="Arial" w:hAnsi="Arial" w:cs="Arial"/>
        </w:rPr>
      </w:pPr>
      <w:r w:rsidRPr="00663F23">
        <w:rPr>
          <w:rFonts w:ascii="Arial" w:hAnsi="Arial" w:cs="Arial"/>
        </w:rPr>
        <w:t>The underlying purchase or amendment is the subject of a judicial order.</w:t>
      </w:r>
    </w:p>
    <w:p w:rsidR="00052D64" w:rsidRPr="00663F23" w:rsidRDefault="00052D64" w:rsidP="00817BB9">
      <w:pPr>
        <w:pStyle w:val="TableParagraph"/>
        <w:ind w:left="0" w:right="381"/>
        <w:rPr>
          <w:rFonts w:ascii="Arial" w:hAnsi="Arial" w:cs="Arial"/>
        </w:rPr>
      </w:pPr>
    </w:p>
    <w:p w:rsidR="00052D64" w:rsidRPr="00663F23" w:rsidRDefault="00052D64" w:rsidP="00817BB9">
      <w:pPr>
        <w:pStyle w:val="TableParagraph"/>
        <w:ind w:left="0" w:right="381"/>
        <w:rPr>
          <w:rFonts w:ascii="Arial" w:hAnsi="Arial" w:cs="Arial"/>
        </w:rPr>
      </w:pPr>
      <w:r w:rsidRPr="00663F23">
        <w:rPr>
          <w:rFonts w:ascii="Arial" w:hAnsi="Arial" w:cs="Arial"/>
          <w:b/>
        </w:rPr>
        <w:t>Note:</w:t>
      </w:r>
      <w:r w:rsidRPr="00663F23">
        <w:rPr>
          <w:rFonts w:ascii="Arial" w:hAnsi="Arial" w:cs="Arial"/>
        </w:rPr>
        <w:t xml:space="preserve"> In no case will an approval be given for goods that have been purchased for a period greater than 30 days.</w:t>
      </w:r>
    </w:p>
    <w:p w:rsidR="00052D64" w:rsidRPr="00663F23" w:rsidRDefault="00052D64" w:rsidP="00817BB9">
      <w:pPr>
        <w:pStyle w:val="TableParagraph"/>
        <w:ind w:left="0" w:right="381"/>
        <w:rPr>
          <w:rFonts w:ascii="Arial" w:hAnsi="Arial" w:cs="Arial"/>
        </w:rPr>
      </w:pPr>
    </w:p>
    <w:p w:rsidR="00052D64" w:rsidRPr="00663F23" w:rsidRDefault="00052D64" w:rsidP="00817BB9">
      <w:pPr>
        <w:pStyle w:val="TableParagraph"/>
        <w:ind w:left="0" w:right="381"/>
        <w:rPr>
          <w:rFonts w:ascii="Arial" w:hAnsi="Arial" w:cs="Arial"/>
        </w:rPr>
      </w:pPr>
      <w:r w:rsidRPr="00663F23">
        <w:rPr>
          <w:rFonts w:ascii="Arial" w:hAnsi="Arial" w:cs="Arial"/>
        </w:rPr>
        <w:t>Urgent risk and good cause late submittals will be evaluated on a case-by case basis upon a review of the facts and the written justification provided by the agency or department. In some cases, an NCB request may be approved prospectively, but not approved for the period that preceded the submittal of the NCB.</w:t>
      </w:r>
    </w:p>
    <w:p w:rsidR="00052D64" w:rsidRPr="00663F23" w:rsidRDefault="00052D64" w:rsidP="00817BB9">
      <w:pPr>
        <w:pStyle w:val="TableParagraph"/>
        <w:ind w:left="0" w:right="381"/>
        <w:rPr>
          <w:rFonts w:ascii="Arial" w:hAnsi="Arial" w:cs="Arial"/>
        </w:rPr>
      </w:pPr>
    </w:p>
    <w:p w:rsidR="00052D64" w:rsidRPr="00663F23" w:rsidRDefault="00052D64" w:rsidP="00992BB4">
      <w:pPr>
        <w:pStyle w:val="BulletText1"/>
        <w:numPr>
          <w:ilvl w:val="0"/>
          <w:numId w:val="0"/>
        </w:numPr>
        <w:tabs>
          <w:tab w:val="left" w:pos="0"/>
        </w:tabs>
        <w:rPr>
          <w:szCs w:val="24"/>
        </w:rPr>
      </w:pPr>
      <w:r w:rsidRPr="00663F23">
        <w:rPr>
          <w:szCs w:val="24"/>
        </w:rPr>
        <w:t>The NCB late justification letter must be signed by the Agency Secretary or Agency Undersecretary and the Department Director or Chief Deputy Director.</w:t>
      </w:r>
    </w:p>
    <w:p w:rsidR="002E2960" w:rsidRPr="00663F23" w:rsidRDefault="002E2960" w:rsidP="00817BB9">
      <w:pPr>
        <w:pStyle w:val="BlockLine"/>
        <w:ind w:left="0"/>
        <w:rPr>
          <w:color w:val="FF0000"/>
          <w:szCs w:val="24"/>
        </w:rPr>
      </w:pPr>
    </w:p>
    <w:p w:rsidR="00052D64" w:rsidRPr="00663F23" w:rsidRDefault="00052D64" w:rsidP="00992BB4">
      <w:pPr>
        <w:pStyle w:val="Heading5"/>
        <w:spacing w:after="120"/>
        <w:rPr>
          <w:b w:val="0"/>
          <w:szCs w:val="24"/>
        </w:rPr>
      </w:pPr>
      <w:bookmarkStart w:id="61" w:name="_Toc514420311"/>
      <w:bookmarkStart w:id="62" w:name="_Toc12963731"/>
      <w:r w:rsidRPr="00663F23">
        <w:rPr>
          <w:szCs w:val="24"/>
        </w:rPr>
        <w:t>5.2.7 NCB Fiscal Year Deadline Dates</w:t>
      </w:r>
      <w:bookmarkEnd w:id="61"/>
      <w:bookmarkEnd w:id="62"/>
    </w:p>
    <w:p w:rsidR="00052D64" w:rsidRPr="00663F23" w:rsidRDefault="00052D64" w:rsidP="00817BB9">
      <w:pPr>
        <w:rPr>
          <w:szCs w:val="24"/>
        </w:rPr>
      </w:pPr>
      <w:r w:rsidRPr="00663F23">
        <w:rPr>
          <w:szCs w:val="24"/>
        </w:rPr>
        <w:t>In order to comply with fiscal year deadlines, NCB, LTB, and SCR requests must be submitted to the Dispute Resolution Unit (DRU) as follows:</w:t>
      </w:r>
    </w:p>
    <w:p w:rsidR="00FC002E" w:rsidRPr="00663F23" w:rsidRDefault="00FC002E" w:rsidP="00817BB9">
      <w:pPr>
        <w:pStyle w:val="TableParagraph"/>
        <w:ind w:left="0" w:right="381"/>
        <w:rPr>
          <w:rFonts w:ascii="Arial" w:hAnsi="Arial" w:cs="Arial"/>
          <w:color w:val="auto"/>
        </w:rPr>
      </w:pPr>
    </w:p>
    <w:p w:rsidR="00052D64" w:rsidRPr="00663F23" w:rsidRDefault="00FC002E" w:rsidP="00FC002E">
      <w:pPr>
        <w:pStyle w:val="TableParagraph"/>
        <w:ind w:left="0" w:right="381"/>
        <w:jc w:val="center"/>
        <w:rPr>
          <w:rFonts w:ascii="Arial" w:hAnsi="Arial" w:cs="Arial"/>
          <w:color w:val="auto"/>
        </w:rPr>
      </w:pPr>
      <w:r w:rsidRPr="00663F23">
        <w:rPr>
          <w:rFonts w:ascii="Arial" w:hAnsi="Arial" w:cs="Arial"/>
          <w:color w:val="auto"/>
        </w:rPr>
        <w:t>Non-IT Goods Requests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Non-IT Goods"/>
      </w:tblPr>
      <w:tblGrid>
        <w:gridCol w:w="4675"/>
        <w:gridCol w:w="4590"/>
      </w:tblGrid>
      <w:tr w:rsidR="00052D64" w:rsidRPr="00663F23" w:rsidTr="00FC002E">
        <w:trPr>
          <w:tblHeader/>
        </w:trPr>
        <w:tc>
          <w:tcPr>
            <w:tcW w:w="4675" w:type="dxa"/>
          </w:tcPr>
          <w:p w:rsidR="00052D64" w:rsidRPr="00663F23" w:rsidRDefault="00052D64" w:rsidP="00817BB9">
            <w:pPr>
              <w:pStyle w:val="TableParagraph"/>
              <w:ind w:left="0" w:right="381"/>
              <w:jc w:val="center"/>
              <w:rPr>
                <w:rFonts w:ascii="Arial" w:hAnsi="Arial" w:cs="Arial"/>
                <w:color w:val="auto"/>
              </w:rPr>
            </w:pPr>
            <w:r w:rsidRPr="00663F23">
              <w:rPr>
                <w:rFonts w:ascii="Arial" w:hAnsi="Arial" w:cs="Arial"/>
                <w:color w:val="auto"/>
              </w:rPr>
              <w:t>First business day in February</w:t>
            </w:r>
          </w:p>
        </w:tc>
        <w:tc>
          <w:tcPr>
            <w:tcW w:w="4590" w:type="dxa"/>
          </w:tcPr>
          <w:p w:rsidR="00052D64" w:rsidRPr="00663F23" w:rsidRDefault="00052D64" w:rsidP="00817BB9">
            <w:pPr>
              <w:pStyle w:val="TableParagraph"/>
              <w:ind w:left="0" w:right="381"/>
              <w:jc w:val="center"/>
              <w:rPr>
                <w:rFonts w:ascii="Arial" w:hAnsi="Arial" w:cs="Arial"/>
                <w:color w:val="auto"/>
              </w:rPr>
            </w:pPr>
            <w:r w:rsidRPr="00663F23">
              <w:rPr>
                <w:rFonts w:ascii="Arial" w:hAnsi="Arial" w:cs="Arial"/>
                <w:color w:val="auto"/>
              </w:rPr>
              <w:t>NCBs, LTBs, and SCRs</w:t>
            </w:r>
          </w:p>
        </w:tc>
      </w:tr>
    </w:tbl>
    <w:p w:rsidR="00052D64" w:rsidRPr="00663F23" w:rsidRDefault="00052D64" w:rsidP="00817BB9">
      <w:pPr>
        <w:pStyle w:val="TableParagraph"/>
        <w:ind w:left="0" w:right="381"/>
        <w:rPr>
          <w:rFonts w:ascii="Arial" w:hAnsi="Arial" w:cs="Arial"/>
          <w:color w:val="auto"/>
        </w:rPr>
      </w:pPr>
    </w:p>
    <w:p w:rsidR="00FC002E" w:rsidRPr="00663F23" w:rsidRDefault="00FC002E" w:rsidP="00FC002E">
      <w:pPr>
        <w:pStyle w:val="TableParagraph"/>
        <w:ind w:left="0" w:right="381"/>
        <w:jc w:val="center"/>
        <w:rPr>
          <w:rFonts w:ascii="Arial" w:hAnsi="Arial" w:cs="Arial"/>
          <w:color w:val="auto"/>
        </w:rPr>
      </w:pPr>
      <w:r w:rsidRPr="00663F23">
        <w:rPr>
          <w:rFonts w:ascii="Arial" w:hAnsi="Arial" w:cs="Arial"/>
          <w:color w:val="auto"/>
        </w:rPr>
        <w:t>Non-IT Service Requests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Non-IT Services"/>
      </w:tblPr>
      <w:tblGrid>
        <w:gridCol w:w="4675"/>
        <w:gridCol w:w="4590"/>
      </w:tblGrid>
      <w:tr w:rsidR="00052D64" w:rsidRPr="00663F23" w:rsidTr="00FC002E">
        <w:trPr>
          <w:trHeight w:val="1520"/>
          <w:tblHeader/>
        </w:trPr>
        <w:tc>
          <w:tcPr>
            <w:tcW w:w="4675" w:type="dxa"/>
          </w:tcPr>
          <w:p w:rsidR="00052D64" w:rsidRPr="00663F23" w:rsidRDefault="00052D64" w:rsidP="00817BB9">
            <w:pPr>
              <w:pStyle w:val="TableParagraph"/>
              <w:ind w:left="0" w:right="381"/>
              <w:rPr>
                <w:rFonts w:ascii="Arial" w:hAnsi="Arial" w:cs="Arial"/>
                <w:color w:val="auto"/>
              </w:rPr>
            </w:pPr>
            <w:r w:rsidRPr="00663F23">
              <w:rPr>
                <w:rFonts w:ascii="Arial" w:hAnsi="Arial" w:cs="Arial"/>
                <w:color w:val="auto"/>
              </w:rPr>
              <w:t>Requesting agencies and departments should allow 45 days prior to the contract or amendment start date for the review of NCBs or SCRs.</w:t>
            </w:r>
          </w:p>
        </w:tc>
        <w:tc>
          <w:tcPr>
            <w:tcW w:w="4590" w:type="dxa"/>
          </w:tcPr>
          <w:p w:rsidR="005130C9" w:rsidRPr="00663F23" w:rsidRDefault="005130C9" w:rsidP="00817BB9">
            <w:pPr>
              <w:pStyle w:val="TableParagraph"/>
              <w:ind w:left="0" w:right="381"/>
              <w:jc w:val="center"/>
              <w:rPr>
                <w:rFonts w:ascii="Arial" w:hAnsi="Arial" w:cs="Arial"/>
                <w:color w:val="auto"/>
              </w:rPr>
            </w:pPr>
          </w:p>
          <w:p w:rsidR="005130C9" w:rsidRPr="00663F23" w:rsidRDefault="005130C9" w:rsidP="00817BB9">
            <w:pPr>
              <w:pStyle w:val="TableParagraph"/>
              <w:ind w:left="0" w:right="381"/>
              <w:jc w:val="center"/>
              <w:rPr>
                <w:rFonts w:ascii="Arial" w:hAnsi="Arial" w:cs="Arial"/>
                <w:color w:val="auto"/>
              </w:rPr>
            </w:pPr>
          </w:p>
          <w:p w:rsidR="00052D64" w:rsidRPr="00663F23" w:rsidRDefault="00052D64" w:rsidP="00817BB9">
            <w:pPr>
              <w:pStyle w:val="TableParagraph"/>
              <w:ind w:left="0" w:right="381"/>
              <w:jc w:val="center"/>
              <w:rPr>
                <w:rFonts w:ascii="Arial" w:hAnsi="Arial" w:cs="Arial"/>
                <w:color w:val="auto"/>
              </w:rPr>
            </w:pPr>
            <w:r w:rsidRPr="00663F23">
              <w:rPr>
                <w:rFonts w:ascii="Arial" w:hAnsi="Arial" w:cs="Arial"/>
                <w:color w:val="auto"/>
              </w:rPr>
              <w:t>NCBs and SCRs</w:t>
            </w:r>
          </w:p>
        </w:tc>
      </w:tr>
    </w:tbl>
    <w:p w:rsidR="005130C9" w:rsidRPr="00663F23" w:rsidRDefault="005130C9" w:rsidP="005130C9">
      <w:pPr>
        <w:pStyle w:val="BlockLine"/>
        <w:ind w:left="0"/>
        <w:rPr>
          <w:color w:val="FF0000"/>
          <w:szCs w:val="24"/>
        </w:rPr>
      </w:pPr>
    </w:p>
    <w:p w:rsidR="00087C56" w:rsidRPr="00663F23" w:rsidRDefault="00087C56">
      <w:pPr>
        <w:rPr>
          <w:b/>
          <w:szCs w:val="24"/>
        </w:rPr>
      </w:pPr>
      <w:bookmarkStart w:id="63" w:name="_Toc514420312"/>
      <w:bookmarkStart w:id="64" w:name="_fs_O0A85PI4kS8hE6A8hfMTA" w:colFirst="0" w:colLast="0"/>
      <w:r w:rsidRPr="00663F23">
        <w:rPr>
          <w:szCs w:val="24"/>
        </w:rPr>
        <w:br w:type="page"/>
      </w:r>
    </w:p>
    <w:p w:rsidR="00052D64" w:rsidRPr="00663F23" w:rsidRDefault="00052D64" w:rsidP="005130C9">
      <w:pPr>
        <w:pStyle w:val="Heading5"/>
        <w:spacing w:after="120"/>
        <w:rPr>
          <w:szCs w:val="24"/>
        </w:rPr>
      </w:pPr>
      <w:bookmarkStart w:id="65" w:name="_Toc12963732"/>
      <w:r w:rsidRPr="00663F23">
        <w:rPr>
          <w:szCs w:val="24"/>
        </w:rPr>
        <w:lastRenderedPageBreak/>
        <w:t>5.2.8 NCB Process</w:t>
      </w:r>
      <w:bookmarkEnd w:id="63"/>
      <w:bookmarkEnd w:id="65"/>
    </w:p>
    <w:p w:rsidR="00052D64" w:rsidRPr="00663F23" w:rsidRDefault="00052D64" w:rsidP="00817BB9">
      <w:pPr>
        <w:pStyle w:val="TableParagraph"/>
        <w:spacing w:before="6"/>
        <w:ind w:left="0"/>
        <w:rPr>
          <w:rFonts w:ascii="Arial" w:hAnsi="Arial" w:cs="Arial"/>
        </w:rPr>
      </w:pPr>
      <w:r w:rsidRPr="00663F23">
        <w:rPr>
          <w:rFonts w:ascii="Arial" w:hAnsi="Arial" w:cs="Arial"/>
        </w:rPr>
        <w:t>The department determines a need to acquire a product from a supplier who is the only known source.</w:t>
      </w:r>
    </w:p>
    <w:p w:rsidR="00052D64" w:rsidRPr="00663F23" w:rsidRDefault="00052D64" w:rsidP="00817BB9">
      <w:pPr>
        <w:pStyle w:val="TableParagraph"/>
        <w:spacing w:before="6"/>
        <w:ind w:left="0"/>
        <w:rPr>
          <w:rFonts w:ascii="Arial" w:hAnsi="Arial" w:cs="Arial"/>
        </w:rPr>
      </w:pPr>
    </w:p>
    <w:p w:rsidR="00052D64" w:rsidRPr="00663F23" w:rsidRDefault="00052D64" w:rsidP="00817BB9">
      <w:pPr>
        <w:pStyle w:val="TableParagraph"/>
        <w:spacing w:before="6"/>
        <w:ind w:left="0"/>
        <w:rPr>
          <w:rFonts w:ascii="Arial" w:hAnsi="Arial" w:cs="Arial"/>
        </w:rPr>
      </w:pPr>
      <w:r w:rsidRPr="00663F23">
        <w:rPr>
          <w:rFonts w:ascii="Arial" w:hAnsi="Arial" w:cs="Arial"/>
        </w:rPr>
        <w:t>The department completes an NCB justification form, securing appropriate approval signature(s), and submits original form to DGS/PD/Dispute Resolut</w:t>
      </w:r>
      <w:r w:rsidR="00087C56" w:rsidRPr="00663F23">
        <w:rPr>
          <w:rFonts w:ascii="Arial" w:hAnsi="Arial" w:cs="Arial"/>
        </w:rPr>
        <w:t>ion Unit (DRU) for review.</w:t>
      </w:r>
    </w:p>
    <w:p w:rsidR="00052D64" w:rsidRPr="00663F23" w:rsidRDefault="00052D64" w:rsidP="00817BB9">
      <w:pPr>
        <w:pStyle w:val="TableParagraph"/>
        <w:spacing w:before="6"/>
        <w:ind w:left="0"/>
        <w:rPr>
          <w:rFonts w:ascii="Arial" w:hAnsi="Arial" w:cs="Arial"/>
        </w:rPr>
      </w:pPr>
    </w:p>
    <w:p w:rsidR="00052D64" w:rsidRPr="00663F23" w:rsidRDefault="00052D64" w:rsidP="005130C9">
      <w:pPr>
        <w:pStyle w:val="TableParagraph"/>
        <w:spacing w:before="6" w:after="120"/>
        <w:ind w:left="450" w:hanging="450"/>
        <w:rPr>
          <w:rFonts w:ascii="Arial" w:hAnsi="Arial" w:cs="Arial"/>
        </w:rPr>
      </w:pPr>
      <w:r w:rsidRPr="00663F23">
        <w:rPr>
          <w:rFonts w:ascii="Arial" w:hAnsi="Arial" w:cs="Arial"/>
        </w:rPr>
        <w:t>DGS/PD/DRU will:</w:t>
      </w:r>
    </w:p>
    <w:p w:rsidR="00052D64" w:rsidRPr="00663F23" w:rsidRDefault="00052D64" w:rsidP="005130C9">
      <w:pPr>
        <w:pStyle w:val="TableParagraph"/>
        <w:numPr>
          <w:ilvl w:val="0"/>
          <w:numId w:val="40"/>
        </w:numPr>
        <w:spacing w:before="6"/>
        <w:ind w:left="450" w:hanging="450"/>
        <w:rPr>
          <w:rFonts w:ascii="Arial" w:hAnsi="Arial" w:cs="Arial"/>
        </w:rPr>
      </w:pPr>
      <w:r w:rsidRPr="00663F23">
        <w:rPr>
          <w:rFonts w:ascii="Arial" w:hAnsi="Arial" w:cs="Arial"/>
        </w:rPr>
        <w:t>Acknowledge receipt of the request.</w:t>
      </w:r>
    </w:p>
    <w:p w:rsidR="00052D64" w:rsidRPr="00663F23" w:rsidRDefault="00052D64" w:rsidP="005130C9">
      <w:pPr>
        <w:pStyle w:val="TableParagraph"/>
        <w:numPr>
          <w:ilvl w:val="0"/>
          <w:numId w:val="40"/>
        </w:numPr>
        <w:spacing w:before="6"/>
        <w:ind w:left="450" w:hanging="450"/>
        <w:rPr>
          <w:rFonts w:ascii="Arial" w:hAnsi="Arial" w:cs="Arial"/>
        </w:rPr>
      </w:pPr>
      <w:r w:rsidRPr="00663F23">
        <w:rPr>
          <w:rFonts w:ascii="Arial" w:hAnsi="Arial" w:cs="Arial"/>
        </w:rPr>
        <w:t>Review requests within 45 days.</w:t>
      </w:r>
    </w:p>
    <w:p w:rsidR="00052D64" w:rsidRPr="00663F23" w:rsidRDefault="00052D64" w:rsidP="005130C9">
      <w:pPr>
        <w:pStyle w:val="TableParagraph"/>
        <w:numPr>
          <w:ilvl w:val="0"/>
          <w:numId w:val="40"/>
        </w:numPr>
        <w:spacing w:before="6"/>
        <w:ind w:left="450" w:hanging="450"/>
        <w:rPr>
          <w:rFonts w:ascii="Arial" w:hAnsi="Arial" w:cs="Arial"/>
        </w:rPr>
      </w:pPr>
      <w:r w:rsidRPr="00663F23">
        <w:rPr>
          <w:rFonts w:ascii="Arial" w:hAnsi="Arial" w:cs="Arial"/>
        </w:rPr>
        <w:t>Request additional information as required.</w:t>
      </w:r>
    </w:p>
    <w:p w:rsidR="00052D64" w:rsidRPr="00663F23" w:rsidRDefault="00052D64" w:rsidP="005130C9">
      <w:pPr>
        <w:pStyle w:val="TableParagraph"/>
        <w:numPr>
          <w:ilvl w:val="0"/>
          <w:numId w:val="40"/>
        </w:numPr>
        <w:spacing w:before="6"/>
        <w:ind w:left="450" w:hanging="450"/>
        <w:rPr>
          <w:rFonts w:ascii="Arial" w:hAnsi="Arial" w:cs="Arial"/>
        </w:rPr>
      </w:pPr>
      <w:r w:rsidRPr="00663F23">
        <w:rPr>
          <w:rFonts w:ascii="Arial" w:hAnsi="Arial" w:cs="Arial"/>
        </w:rPr>
        <w:t>Notify the department when their request has been approved or denied.</w:t>
      </w:r>
    </w:p>
    <w:p w:rsidR="00052D64" w:rsidRPr="00663F23" w:rsidRDefault="00052D64" w:rsidP="005130C9">
      <w:pPr>
        <w:pStyle w:val="TableParagraph"/>
        <w:spacing w:before="6"/>
        <w:ind w:left="450" w:hanging="450"/>
        <w:rPr>
          <w:rFonts w:ascii="Arial" w:hAnsi="Arial" w:cs="Arial"/>
        </w:rPr>
      </w:pPr>
    </w:p>
    <w:p w:rsidR="00052D64" w:rsidRPr="00663F23" w:rsidRDefault="00052D64" w:rsidP="005130C9">
      <w:pPr>
        <w:pStyle w:val="TableParagraph"/>
        <w:spacing w:before="6" w:after="120"/>
        <w:ind w:left="450" w:hanging="450"/>
        <w:rPr>
          <w:rFonts w:ascii="Arial" w:hAnsi="Arial" w:cs="Arial"/>
        </w:rPr>
      </w:pPr>
      <w:r w:rsidRPr="00663F23">
        <w:rPr>
          <w:rFonts w:ascii="Arial" w:hAnsi="Arial" w:cs="Arial"/>
        </w:rPr>
        <w:t>If the NCB justification is approved and the NCB contract:</w:t>
      </w:r>
    </w:p>
    <w:p w:rsidR="00052D64" w:rsidRPr="00663F23" w:rsidRDefault="00052D64" w:rsidP="005130C9">
      <w:pPr>
        <w:pStyle w:val="TableParagraph"/>
        <w:numPr>
          <w:ilvl w:val="0"/>
          <w:numId w:val="23"/>
        </w:numPr>
        <w:spacing w:before="6"/>
        <w:ind w:left="450" w:hanging="450"/>
        <w:rPr>
          <w:rFonts w:ascii="Arial" w:hAnsi="Arial" w:cs="Arial"/>
        </w:rPr>
      </w:pPr>
      <w:r w:rsidRPr="00663F23">
        <w:rPr>
          <w:rFonts w:ascii="Arial" w:hAnsi="Arial" w:cs="Arial"/>
        </w:rPr>
        <w:t>Is within the department’s delegated dollar threshold for NCB contracts, the department may execute the contract. The approved NCB justification shall be maintained in the procurement file.</w:t>
      </w:r>
    </w:p>
    <w:p w:rsidR="00052D64" w:rsidRPr="00663F23" w:rsidRDefault="00052D64" w:rsidP="005130C9">
      <w:pPr>
        <w:pStyle w:val="TableParagraph"/>
        <w:numPr>
          <w:ilvl w:val="0"/>
          <w:numId w:val="23"/>
        </w:numPr>
        <w:spacing w:before="6"/>
        <w:ind w:left="450" w:hanging="450"/>
        <w:rPr>
          <w:rFonts w:ascii="Arial" w:hAnsi="Arial" w:cs="Arial"/>
        </w:rPr>
      </w:pPr>
      <w:r w:rsidRPr="00663F23">
        <w:rPr>
          <w:rFonts w:ascii="Arial" w:hAnsi="Arial" w:cs="Arial"/>
        </w:rPr>
        <w:t xml:space="preserve">Is above the department’s delegated dollar threshold for NCB contracts, the department shall submit a Purchase Estimate (STD.66) to DGS/PD/One Time Acquisitions (OTA) to process the contract on behalf of the department. </w:t>
      </w:r>
    </w:p>
    <w:bookmarkEnd w:id="64"/>
    <w:p w:rsidR="00FD103B" w:rsidRPr="00663F23" w:rsidRDefault="00FD103B" w:rsidP="005130C9">
      <w:pPr>
        <w:pStyle w:val="BlockLine"/>
        <w:ind w:left="450" w:hanging="450"/>
        <w:rPr>
          <w:szCs w:val="24"/>
        </w:rPr>
      </w:pPr>
    </w:p>
    <w:p w:rsidR="00052D64" w:rsidRPr="00663F23" w:rsidRDefault="00052D64" w:rsidP="005130C9">
      <w:pPr>
        <w:pStyle w:val="Heading5"/>
        <w:spacing w:after="120"/>
        <w:rPr>
          <w:szCs w:val="24"/>
        </w:rPr>
      </w:pPr>
      <w:bookmarkStart w:id="66" w:name="_Toc514420313"/>
      <w:bookmarkStart w:id="67" w:name="_Toc12963733"/>
      <w:bookmarkStart w:id="68" w:name="_fs_QFo7mGZwAU2YBeWtoi8Mfw" w:colFirst="0" w:colLast="0"/>
      <w:r w:rsidRPr="00663F23">
        <w:rPr>
          <w:szCs w:val="24"/>
        </w:rPr>
        <w:t>5.2.9</w:t>
      </w:r>
      <w:r w:rsidR="00087C56" w:rsidRPr="00663F23">
        <w:rPr>
          <w:szCs w:val="24"/>
        </w:rPr>
        <w:t xml:space="preserve"> </w:t>
      </w:r>
      <w:r w:rsidRPr="00663F23">
        <w:rPr>
          <w:szCs w:val="24"/>
        </w:rPr>
        <w:t>NCB Denied</w:t>
      </w:r>
      <w:bookmarkEnd w:id="66"/>
      <w:bookmarkEnd w:id="67"/>
    </w:p>
    <w:p w:rsidR="00052D64" w:rsidRPr="00663F23" w:rsidRDefault="00052D64" w:rsidP="005130C9">
      <w:pPr>
        <w:pStyle w:val="TableText"/>
        <w:spacing w:after="120"/>
        <w:rPr>
          <w:szCs w:val="24"/>
        </w:rPr>
      </w:pPr>
      <w:r w:rsidRPr="00663F23">
        <w:rPr>
          <w:szCs w:val="24"/>
        </w:rPr>
        <w:t>If the NCB justification is denied, DGS/PD will contact the department and discuss the following options:</w:t>
      </w:r>
    </w:p>
    <w:tbl>
      <w:tblPr>
        <w:tblStyle w:val="TableGridLight"/>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NCB options"/>
      </w:tblPr>
      <w:tblGrid>
        <w:gridCol w:w="3955"/>
        <w:gridCol w:w="5310"/>
      </w:tblGrid>
      <w:tr w:rsidR="00052D64" w:rsidRPr="00663F23" w:rsidTr="00FC002E">
        <w:trPr>
          <w:trHeight w:val="365"/>
          <w:tblHeader/>
        </w:trPr>
        <w:tc>
          <w:tcPr>
            <w:tcW w:w="3955" w:type="dxa"/>
          </w:tcPr>
          <w:p w:rsidR="00052D64" w:rsidRPr="00663F23" w:rsidRDefault="00052D64" w:rsidP="00817BB9">
            <w:pPr>
              <w:pStyle w:val="TableText"/>
              <w:rPr>
                <w:b/>
                <w:szCs w:val="24"/>
              </w:rPr>
            </w:pPr>
            <w:bookmarkStart w:id="69" w:name="_fs_MKSP3W2DAkGWjam6u3OvA_0_0_0" w:colFirst="0" w:colLast="0"/>
            <w:r w:rsidRPr="00663F23">
              <w:rPr>
                <w:b/>
                <w:szCs w:val="24"/>
              </w:rPr>
              <w:t>When the purchase</w:t>
            </w:r>
          </w:p>
        </w:tc>
        <w:tc>
          <w:tcPr>
            <w:tcW w:w="5310" w:type="dxa"/>
          </w:tcPr>
          <w:p w:rsidR="00052D64" w:rsidRPr="00663F23" w:rsidRDefault="00052D64" w:rsidP="00817BB9">
            <w:pPr>
              <w:pStyle w:val="TableText"/>
              <w:rPr>
                <w:b/>
                <w:szCs w:val="24"/>
              </w:rPr>
            </w:pPr>
            <w:r w:rsidRPr="00663F23">
              <w:rPr>
                <w:b/>
                <w:szCs w:val="24"/>
              </w:rPr>
              <w:t>Then DGS/PD will</w:t>
            </w:r>
          </w:p>
        </w:tc>
      </w:tr>
      <w:bookmarkEnd w:id="69"/>
      <w:tr w:rsidR="00052D64" w:rsidRPr="00663F23" w:rsidTr="00FC002E">
        <w:tc>
          <w:tcPr>
            <w:tcW w:w="3955" w:type="dxa"/>
          </w:tcPr>
          <w:p w:rsidR="00052D64" w:rsidRPr="00663F23" w:rsidRDefault="00052D64" w:rsidP="00817BB9">
            <w:pPr>
              <w:pStyle w:val="TableText"/>
              <w:rPr>
                <w:szCs w:val="24"/>
                <w:u w:val="single"/>
              </w:rPr>
            </w:pPr>
            <w:r w:rsidRPr="00663F23">
              <w:rPr>
                <w:szCs w:val="24"/>
              </w:rPr>
              <w:t xml:space="preserve">Exceeds the department’s NCB purchasing authority </w:t>
            </w:r>
            <w:r w:rsidRPr="00663F23">
              <w:rPr>
                <w:szCs w:val="24"/>
                <w:u w:val="single"/>
              </w:rPr>
              <w:t>but</w:t>
            </w:r>
          </w:p>
          <w:p w:rsidR="00052D64" w:rsidRPr="00663F23" w:rsidRDefault="00052D64" w:rsidP="00817BB9">
            <w:pPr>
              <w:pStyle w:val="TableText"/>
              <w:rPr>
                <w:szCs w:val="24"/>
                <w:u w:val="single"/>
              </w:rPr>
            </w:pPr>
            <w:r w:rsidRPr="00663F23">
              <w:rPr>
                <w:szCs w:val="24"/>
                <w:u w:val="single"/>
              </w:rPr>
              <w:t>is within the department’s approved competitive purchasing authority threshold.</w:t>
            </w:r>
          </w:p>
          <w:p w:rsidR="005130C9" w:rsidRPr="00663F23" w:rsidRDefault="005130C9" w:rsidP="00817BB9">
            <w:pPr>
              <w:pStyle w:val="TableText"/>
              <w:rPr>
                <w:szCs w:val="24"/>
                <w:u w:val="single"/>
              </w:rPr>
            </w:pPr>
          </w:p>
        </w:tc>
        <w:tc>
          <w:tcPr>
            <w:tcW w:w="5310" w:type="dxa"/>
          </w:tcPr>
          <w:p w:rsidR="00052D64" w:rsidRPr="00663F23" w:rsidRDefault="00052D64" w:rsidP="00C80944">
            <w:pPr>
              <w:pStyle w:val="BulletText1"/>
              <w:ind w:left="249" w:hanging="249"/>
              <w:rPr>
                <w:szCs w:val="24"/>
              </w:rPr>
            </w:pPr>
            <w:r w:rsidRPr="00663F23">
              <w:rPr>
                <w:szCs w:val="24"/>
              </w:rPr>
              <w:t>Advise the department to conduct a competitive solicitation or,</w:t>
            </w:r>
          </w:p>
          <w:p w:rsidR="00052D64" w:rsidRPr="00663F23" w:rsidRDefault="00052D64" w:rsidP="00C80944">
            <w:pPr>
              <w:pStyle w:val="BulletText1"/>
              <w:ind w:left="249" w:hanging="249"/>
              <w:rPr>
                <w:szCs w:val="24"/>
              </w:rPr>
            </w:pPr>
            <w:r w:rsidRPr="00663F23">
              <w:rPr>
                <w:szCs w:val="24"/>
              </w:rPr>
              <w:t>Deny the request.</w:t>
            </w:r>
          </w:p>
          <w:p w:rsidR="00052D64" w:rsidRPr="00663F23" w:rsidRDefault="00052D64" w:rsidP="00C80944">
            <w:pPr>
              <w:pStyle w:val="TableText"/>
              <w:ind w:left="249" w:hanging="249"/>
              <w:rPr>
                <w:szCs w:val="24"/>
              </w:rPr>
            </w:pPr>
          </w:p>
        </w:tc>
      </w:tr>
      <w:tr w:rsidR="00052D64" w:rsidRPr="00663F23" w:rsidTr="00FC002E">
        <w:tc>
          <w:tcPr>
            <w:tcW w:w="3955" w:type="dxa"/>
          </w:tcPr>
          <w:p w:rsidR="00052D64" w:rsidRPr="00663F23" w:rsidRDefault="00052D64" w:rsidP="00817BB9">
            <w:pPr>
              <w:pStyle w:val="TableText"/>
              <w:rPr>
                <w:szCs w:val="24"/>
              </w:rPr>
            </w:pPr>
            <w:r w:rsidRPr="00663F23">
              <w:rPr>
                <w:szCs w:val="24"/>
              </w:rPr>
              <w:t>Is requested by a department without any type of purchasing authority.</w:t>
            </w:r>
          </w:p>
          <w:p w:rsidR="005130C9" w:rsidRPr="00663F23" w:rsidRDefault="005130C9" w:rsidP="00817BB9">
            <w:pPr>
              <w:pStyle w:val="TableText"/>
              <w:rPr>
                <w:szCs w:val="24"/>
              </w:rPr>
            </w:pPr>
          </w:p>
        </w:tc>
        <w:tc>
          <w:tcPr>
            <w:tcW w:w="5310" w:type="dxa"/>
          </w:tcPr>
          <w:p w:rsidR="00052D64" w:rsidRPr="00663F23" w:rsidRDefault="00052D64" w:rsidP="00C80944">
            <w:pPr>
              <w:pStyle w:val="BulletText1"/>
              <w:ind w:left="249" w:hanging="249"/>
              <w:rPr>
                <w:szCs w:val="24"/>
              </w:rPr>
            </w:pPr>
            <w:r w:rsidRPr="00663F23">
              <w:rPr>
                <w:szCs w:val="24"/>
              </w:rPr>
              <w:t>Conduct a competitive solicitation to acquire the same or equivalent product or,</w:t>
            </w:r>
          </w:p>
          <w:p w:rsidR="00052D64" w:rsidRPr="00663F23" w:rsidRDefault="00052D64" w:rsidP="00C80944">
            <w:pPr>
              <w:pStyle w:val="BulletText1"/>
              <w:ind w:left="249" w:hanging="249"/>
              <w:rPr>
                <w:szCs w:val="24"/>
              </w:rPr>
            </w:pPr>
            <w:r w:rsidRPr="00663F23">
              <w:rPr>
                <w:szCs w:val="24"/>
              </w:rPr>
              <w:t>Deny the request.</w:t>
            </w:r>
          </w:p>
        </w:tc>
      </w:tr>
    </w:tbl>
    <w:p w:rsidR="00052D64" w:rsidRPr="00663F23" w:rsidRDefault="00052D64" w:rsidP="00817BB9">
      <w:pPr>
        <w:pStyle w:val="BlockText"/>
        <w:rPr>
          <w:szCs w:val="24"/>
        </w:rPr>
      </w:pPr>
    </w:p>
    <w:p w:rsidR="005130C9" w:rsidRPr="00663F23" w:rsidRDefault="005130C9" w:rsidP="005130C9">
      <w:pPr>
        <w:pStyle w:val="BlockLine"/>
        <w:ind w:left="0"/>
        <w:rPr>
          <w:color w:val="FF0000"/>
          <w:szCs w:val="24"/>
        </w:rPr>
      </w:pPr>
    </w:p>
    <w:p w:rsidR="00052D64" w:rsidRPr="00663F23" w:rsidRDefault="00052D64" w:rsidP="005130C9">
      <w:pPr>
        <w:pStyle w:val="Heading5"/>
        <w:spacing w:after="120"/>
        <w:rPr>
          <w:szCs w:val="24"/>
        </w:rPr>
      </w:pPr>
      <w:bookmarkStart w:id="70" w:name="_Toc514420314"/>
      <w:bookmarkStart w:id="71" w:name="_Toc12963734"/>
      <w:bookmarkStart w:id="72" w:name="_fs_xzSxXQOAkOZAXtzvoWs3A" w:colFirst="0" w:colLast="0"/>
      <w:bookmarkEnd w:id="68"/>
      <w:r w:rsidRPr="00663F23">
        <w:rPr>
          <w:szCs w:val="24"/>
        </w:rPr>
        <w:t>5.2.10 NCB Corrective Action</w:t>
      </w:r>
      <w:bookmarkStart w:id="73" w:name="_Toc514420315"/>
      <w:bookmarkEnd w:id="70"/>
      <w:r w:rsidRPr="00663F23">
        <w:rPr>
          <w:szCs w:val="24"/>
        </w:rPr>
        <w:t xml:space="preserve"> Plan</w:t>
      </w:r>
      <w:bookmarkEnd w:id="71"/>
      <w:bookmarkEnd w:id="73"/>
    </w:p>
    <w:p w:rsidR="00052D64" w:rsidRPr="00663F23" w:rsidRDefault="00052D64" w:rsidP="00817BB9">
      <w:pPr>
        <w:pStyle w:val="TableParagraph"/>
        <w:ind w:left="0"/>
        <w:rPr>
          <w:rFonts w:ascii="Arial" w:hAnsi="Arial" w:cs="Arial"/>
        </w:rPr>
      </w:pPr>
      <w:r w:rsidRPr="00663F23">
        <w:rPr>
          <w:rFonts w:ascii="Arial" w:hAnsi="Arial" w:cs="Arial"/>
        </w:rPr>
        <w:t xml:space="preserve">A Corrective Action Plan (CAP) is a tool that aims at reducing the use of NCBs when other acquisition methods could have been used. A CAP also allows a department to plan accordingly and seek other competitive acquisition methods to meet their program </w:t>
      </w:r>
      <w:r w:rsidRPr="00663F23">
        <w:rPr>
          <w:rFonts w:ascii="Arial" w:hAnsi="Arial" w:cs="Arial"/>
        </w:rPr>
        <w:lastRenderedPageBreak/>
        <w:t>needs. The CAP will require departments to commit to specific actions within a timeline. Departments are required to fully answer the CAP question in the Justification form if the NCB is being submitted due to the following reasons:</w:t>
      </w:r>
    </w:p>
    <w:p w:rsidR="00052D64" w:rsidRPr="00663F23" w:rsidRDefault="00052D64" w:rsidP="00817BB9">
      <w:pPr>
        <w:pStyle w:val="TableParagraph"/>
        <w:ind w:left="0"/>
        <w:rPr>
          <w:rFonts w:ascii="Arial" w:hAnsi="Arial" w:cs="Arial"/>
        </w:rPr>
      </w:pPr>
    </w:p>
    <w:p w:rsidR="00052D64" w:rsidRPr="00663F23" w:rsidRDefault="00052D64" w:rsidP="005130C9">
      <w:pPr>
        <w:pStyle w:val="TableParagraph"/>
        <w:numPr>
          <w:ilvl w:val="0"/>
          <w:numId w:val="25"/>
        </w:numPr>
        <w:ind w:left="450" w:hanging="450"/>
        <w:rPr>
          <w:rFonts w:ascii="Arial" w:hAnsi="Arial" w:cs="Arial"/>
        </w:rPr>
      </w:pPr>
      <w:r w:rsidRPr="00663F23">
        <w:rPr>
          <w:rFonts w:ascii="Arial" w:hAnsi="Arial" w:cs="Arial"/>
        </w:rPr>
        <w:t xml:space="preserve">insufficient time to complete the competitive acquisition process, </w:t>
      </w:r>
    </w:p>
    <w:p w:rsidR="00052D64" w:rsidRPr="00663F23" w:rsidRDefault="00052D64" w:rsidP="005130C9">
      <w:pPr>
        <w:pStyle w:val="TableParagraph"/>
        <w:numPr>
          <w:ilvl w:val="0"/>
          <w:numId w:val="25"/>
        </w:numPr>
        <w:ind w:left="450" w:hanging="450"/>
        <w:rPr>
          <w:rFonts w:ascii="Arial" w:hAnsi="Arial" w:cs="Arial"/>
        </w:rPr>
      </w:pPr>
      <w:r w:rsidRPr="00663F23">
        <w:rPr>
          <w:rFonts w:ascii="Arial" w:hAnsi="Arial" w:cs="Arial"/>
        </w:rPr>
        <w:t>the goods could have been competitively bid or are available through an LPA, or</w:t>
      </w:r>
    </w:p>
    <w:p w:rsidR="00052D64" w:rsidRPr="00663F23" w:rsidRDefault="00052D64" w:rsidP="005130C9">
      <w:pPr>
        <w:pStyle w:val="TableParagraph"/>
        <w:numPr>
          <w:ilvl w:val="0"/>
          <w:numId w:val="25"/>
        </w:numPr>
        <w:ind w:left="450" w:hanging="450"/>
        <w:rPr>
          <w:rFonts w:ascii="Arial" w:hAnsi="Arial" w:cs="Arial"/>
        </w:rPr>
      </w:pPr>
      <w:r w:rsidRPr="00663F23">
        <w:rPr>
          <w:rFonts w:ascii="Arial" w:hAnsi="Arial" w:cs="Arial"/>
        </w:rPr>
        <w:t>is being submitted outside the required NCB Submission Timeline as identified in section 5.2.3 above.</w:t>
      </w:r>
    </w:p>
    <w:p w:rsidR="00052D64" w:rsidRPr="00663F23" w:rsidRDefault="00052D64" w:rsidP="00817BB9">
      <w:pPr>
        <w:pStyle w:val="TableParagraph"/>
        <w:ind w:left="0"/>
        <w:rPr>
          <w:rFonts w:ascii="Arial" w:hAnsi="Arial" w:cs="Arial"/>
        </w:rPr>
      </w:pPr>
    </w:p>
    <w:p w:rsidR="00052D64" w:rsidRPr="00663F23" w:rsidRDefault="00052D64" w:rsidP="00817BB9">
      <w:pPr>
        <w:pStyle w:val="BlockText"/>
        <w:rPr>
          <w:szCs w:val="24"/>
        </w:rPr>
      </w:pPr>
      <w:r w:rsidRPr="00663F23">
        <w:rPr>
          <w:szCs w:val="24"/>
        </w:rPr>
        <w:t>Departments failing to adhere to the CAP actions required by DGS, run the risk of jeopardizing their purchasing authority. Departments are strongly encouraged to fulfill commitments outlined in their CAP.</w:t>
      </w:r>
    </w:p>
    <w:p w:rsidR="005130C9" w:rsidRPr="00663F23" w:rsidRDefault="005130C9" w:rsidP="005130C9">
      <w:pPr>
        <w:pStyle w:val="BulletText1"/>
        <w:numPr>
          <w:ilvl w:val="0"/>
          <w:numId w:val="0"/>
        </w:numPr>
        <w:tabs>
          <w:tab w:val="left" w:pos="0"/>
        </w:tabs>
        <w:rPr>
          <w:szCs w:val="24"/>
        </w:rPr>
      </w:pPr>
    </w:p>
    <w:p w:rsidR="005130C9" w:rsidRPr="00663F23" w:rsidRDefault="005130C9" w:rsidP="005130C9">
      <w:pPr>
        <w:pStyle w:val="BlockLine"/>
        <w:ind w:left="0"/>
        <w:rPr>
          <w:color w:val="FF0000"/>
          <w:szCs w:val="24"/>
        </w:rPr>
      </w:pPr>
    </w:p>
    <w:p w:rsidR="00052D64" w:rsidRPr="00663F23" w:rsidRDefault="00052D64" w:rsidP="005130C9">
      <w:pPr>
        <w:pStyle w:val="Heading5"/>
        <w:spacing w:after="120"/>
        <w:rPr>
          <w:szCs w:val="24"/>
        </w:rPr>
      </w:pPr>
      <w:bookmarkStart w:id="74" w:name="_Toc514420316"/>
      <w:bookmarkStart w:id="75" w:name="_Toc12963735"/>
      <w:r w:rsidRPr="00663F23">
        <w:rPr>
          <w:szCs w:val="24"/>
        </w:rPr>
        <w:t>5.2.11 Escalation Process</w:t>
      </w:r>
      <w:bookmarkEnd w:id="74"/>
      <w:bookmarkEnd w:id="75"/>
    </w:p>
    <w:p w:rsidR="00052D64" w:rsidRPr="00663F23" w:rsidRDefault="00052D64" w:rsidP="00817BB9">
      <w:pPr>
        <w:rPr>
          <w:szCs w:val="24"/>
        </w:rPr>
      </w:pPr>
      <w:r w:rsidRPr="00663F23">
        <w:rPr>
          <w:szCs w:val="24"/>
        </w:rPr>
        <w:t>The escalation process serves as a tool to manage NCBs being submitted to DGS. The tool aims at encouraging departments to utilize the NCB acquisition method appropriately. While the NCB acquisition method is a valid method for acquiring goods, it is not intended to circumvent the competitive process.</w:t>
      </w:r>
    </w:p>
    <w:p w:rsidR="00052D64" w:rsidRPr="00663F23" w:rsidRDefault="00052D64" w:rsidP="00817BB9">
      <w:pPr>
        <w:rPr>
          <w:szCs w:val="24"/>
        </w:rPr>
      </w:pPr>
    </w:p>
    <w:p w:rsidR="00052D64" w:rsidRPr="00663F23" w:rsidRDefault="00052D64" w:rsidP="00817BB9">
      <w:pPr>
        <w:rPr>
          <w:szCs w:val="24"/>
        </w:rPr>
      </w:pPr>
      <w:r w:rsidRPr="00663F23">
        <w:rPr>
          <w:szCs w:val="24"/>
        </w:rPr>
        <w:t>Step 1- If a Department submits 20% or more non-compliant NCBs within a quarter.</w:t>
      </w:r>
    </w:p>
    <w:p w:rsidR="00052D64" w:rsidRPr="00663F23" w:rsidRDefault="00052D64" w:rsidP="00817BB9">
      <w:pPr>
        <w:rPr>
          <w:szCs w:val="24"/>
        </w:rPr>
      </w:pPr>
      <w:r w:rsidRPr="00663F23">
        <w:rPr>
          <w:szCs w:val="24"/>
        </w:rPr>
        <w:t>Step 2- If a Department submits 35% or more non-compliant NCBs within a quarter.</w:t>
      </w:r>
    </w:p>
    <w:p w:rsidR="00052D64" w:rsidRPr="00663F23" w:rsidRDefault="001509B5" w:rsidP="00817BB9">
      <w:pPr>
        <w:pStyle w:val="TableParagraph"/>
        <w:ind w:left="0"/>
        <w:rPr>
          <w:rFonts w:ascii="Arial" w:hAnsi="Arial" w:cs="Arial"/>
        </w:rPr>
      </w:pPr>
      <w:r w:rsidRPr="00663F23">
        <w:rPr>
          <w:rFonts w:ascii="Arial" w:hAnsi="Arial" w:cs="Arial"/>
        </w:rPr>
        <w:t>St</w:t>
      </w:r>
      <w:r w:rsidR="00052D64" w:rsidRPr="00663F23">
        <w:rPr>
          <w:rFonts w:ascii="Arial" w:hAnsi="Arial" w:cs="Arial"/>
        </w:rPr>
        <w:t>ep 3- If a Department submits 50% or more non-compliant NCBs within a quarter.</w:t>
      </w:r>
    </w:p>
    <w:p w:rsidR="00C80944" w:rsidRPr="00663F23" w:rsidRDefault="00C80944" w:rsidP="00817BB9">
      <w:pPr>
        <w:pStyle w:val="TableParagraph"/>
        <w:ind w:left="0"/>
        <w:rPr>
          <w:rFonts w:ascii="Arial" w:hAnsi="Arial" w:cs="Arial"/>
        </w:rPr>
      </w:pPr>
    </w:p>
    <w:tbl>
      <w:tblPr>
        <w:tblStyle w:val="TableGrid"/>
        <w:tblW w:w="0" w:type="auto"/>
        <w:tblLook w:val="04A0" w:firstRow="1" w:lastRow="0" w:firstColumn="1" w:lastColumn="0" w:noHBand="0" w:noVBand="1"/>
        <w:tblCaption w:val="Escalation Process"/>
        <w:tblDescription w:val="Escalation Process"/>
      </w:tblPr>
      <w:tblGrid>
        <w:gridCol w:w="2965"/>
        <w:gridCol w:w="6385"/>
      </w:tblGrid>
      <w:tr w:rsidR="00C80944" w:rsidRPr="00663F23" w:rsidTr="00C80944">
        <w:trPr>
          <w:tblHeader/>
        </w:trPr>
        <w:tc>
          <w:tcPr>
            <w:tcW w:w="2965" w:type="dxa"/>
          </w:tcPr>
          <w:p w:rsidR="00C80944" w:rsidRPr="00663F23" w:rsidRDefault="00C80944" w:rsidP="00817BB9">
            <w:pPr>
              <w:pStyle w:val="TableParagraph"/>
              <w:ind w:left="0"/>
              <w:rPr>
                <w:rFonts w:ascii="Arial" w:hAnsi="Arial" w:cs="Arial"/>
              </w:rPr>
            </w:pPr>
            <w:r w:rsidRPr="00663F23">
              <w:rPr>
                <w:rFonts w:ascii="Arial" w:hAnsi="Arial" w:cs="Arial"/>
              </w:rPr>
              <w:t>Non-Compliance</w:t>
            </w:r>
          </w:p>
        </w:tc>
        <w:tc>
          <w:tcPr>
            <w:tcW w:w="6385" w:type="dxa"/>
          </w:tcPr>
          <w:p w:rsidR="00C80944" w:rsidRPr="00663F23" w:rsidRDefault="00C80944" w:rsidP="00817BB9">
            <w:pPr>
              <w:pStyle w:val="TableParagraph"/>
              <w:ind w:left="0"/>
              <w:rPr>
                <w:rFonts w:ascii="Arial" w:hAnsi="Arial" w:cs="Arial"/>
              </w:rPr>
            </w:pPr>
            <w:r w:rsidRPr="00663F23">
              <w:rPr>
                <w:rFonts w:ascii="Arial" w:hAnsi="Arial" w:cs="Arial"/>
              </w:rPr>
              <w:t>Consequence</w:t>
            </w:r>
          </w:p>
        </w:tc>
      </w:tr>
      <w:tr w:rsidR="00C80944" w:rsidRPr="00663F23" w:rsidTr="00C80944">
        <w:tc>
          <w:tcPr>
            <w:tcW w:w="2965" w:type="dxa"/>
          </w:tcPr>
          <w:p w:rsidR="00C80944" w:rsidRPr="00663F23" w:rsidRDefault="00C80944" w:rsidP="00817BB9">
            <w:pPr>
              <w:pStyle w:val="TableParagraph"/>
              <w:ind w:left="0"/>
              <w:rPr>
                <w:rFonts w:ascii="Arial" w:hAnsi="Arial" w:cs="Arial"/>
              </w:rPr>
            </w:pPr>
            <w:r w:rsidRPr="00663F23">
              <w:rPr>
                <w:rFonts w:ascii="Arial" w:hAnsi="Arial" w:cs="Arial"/>
              </w:rPr>
              <w:t>Step 1 (20%)</w:t>
            </w:r>
          </w:p>
        </w:tc>
        <w:tc>
          <w:tcPr>
            <w:tcW w:w="6385" w:type="dxa"/>
          </w:tcPr>
          <w:p w:rsidR="00C80944" w:rsidRPr="00663F23" w:rsidRDefault="00841BCE" w:rsidP="00817BB9">
            <w:pPr>
              <w:pStyle w:val="TableParagraph"/>
              <w:ind w:left="0"/>
              <w:rPr>
                <w:rFonts w:ascii="Arial" w:hAnsi="Arial" w:cs="Arial"/>
              </w:rPr>
            </w:pPr>
            <w:r>
              <w:rPr>
                <w:rFonts w:ascii="Arial" w:hAnsi="Arial" w:cs="Arial"/>
              </w:rPr>
              <w:t>Letter sent to Manager &amp; PCO</w:t>
            </w:r>
            <w:r w:rsidR="00C80944" w:rsidRPr="00663F23">
              <w:rPr>
                <w:rFonts w:ascii="Arial" w:hAnsi="Arial" w:cs="Arial"/>
              </w:rPr>
              <w:t>**</w:t>
            </w:r>
          </w:p>
        </w:tc>
      </w:tr>
      <w:tr w:rsidR="00C80944" w:rsidRPr="00663F23" w:rsidTr="00C80944">
        <w:tc>
          <w:tcPr>
            <w:tcW w:w="2965" w:type="dxa"/>
          </w:tcPr>
          <w:p w:rsidR="00C80944" w:rsidRPr="00663F23" w:rsidRDefault="00C80944" w:rsidP="00817BB9">
            <w:pPr>
              <w:pStyle w:val="TableParagraph"/>
              <w:ind w:left="0"/>
              <w:rPr>
                <w:rFonts w:ascii="Arial" w:hAnsi="Arial" w:cs="Arial"/>
              </w:rPr>
            </w:pPr>
            <w:r w:rsidRPr="00663F23">
              <w:rPr>
                <w:rFonts w:ascii="Arial" w:hAnsi="Arial" w:cs="Arial"/>
              </w:rPr>
              <w:t>Step 2 (35%)</w:t>
            </w:r>
          </w:p>
        </w:tc>
        <w:tc>
          <w:tcPr>
            <w:tcW w:w="6385" w:type="dxa"/>
          </w:tcPr>
          <w:p w:rsidR="00C80944" w:rsidRPr="00663F23" w:rsidRDefault="00C80944" w:rsidP="00817BB9">
            <w:pPr>
              <w:pStyle w:val="TableParagraph"/>
              <w:ind w:left="0"/>
              <w:rPr>
                <w:rFonts w:ascii="Arial" w:hAnsi="Arial" w:cs="Arial"/>
              </w:rPr>
            </w:pPr>
            <w:r w:rsidRPr="00663F23">
              <w:rPr>
                <w:rFonts w:ascii="Arial" w:hAnsi="Arial" w:cs="Arial"/>
              </w:rPr>
              <w:t>Letter sent to Depu</w:t>
            </w:r>
            <w:r w:rsidR="00841BCE">
              <w:rPr>
                <w:rFonts w:ascii="Arial" w:hAnsi="Arial" w:cs="Arial"/>
              </w:rPr>
              <w:t>ty Director and cc Manager, PCO</w:t>
            </w:r>
            <w:r w:rsidRPr="00663F23">
              <w:rPr>
                <w:rFonts w:ascii="Arial" w:hAnsi="Arial" w:cs="Arial"/>
              </w:rPr>
              <w:t>*</w:t>
            </w:r>
          </w:p>
        </w:tc>
      </w:tr>
      <w:tr w:rsidR="00C80944" w:rsidRPr="00663F23" w:rsidTr="00C80944">
        <w:tc>
          <w:tcPr>
            <w:tcW w:w="2965" w:type="dxa"/>
          </w:tcPr>
          <w:p w:rsidR="00C80944" w:rsidRPr="00663F23" w:rsidRDefault="00C80944" w:rsidP="00817BB9">
            <w:pPr>
              <w:pStyle w:val="TableParagraph"/>
              <w:ind w:left="0"/>
              <w:rPr>
                <w:rFonts w:ascii="Arial" w:hAnsi="Arial" w:cs="Arial"/>
              </w:rPr>
            </w:pPr>
            <w:r w:rsidRPr="00663F23">
              <w:rPr>
                <w:rFonts w:ascii="Arial" w:hAnsi="Arial" w:cs="Arial"/>
              </w:rPr>
              <w:t>Step 3 (50%)</w:t>
            </w:r>
          </w:p>
        </w:tc>
        <w:tc>
          <w:tcPr>
            <w:tcW w:w="6385" w:type="dxa"/>
          </w:tcPr>
          <w:p w:rsidR="00C80944" w:rsidRPr="00663F23" w:rsidRDefault="00C80944" w:rsidP="00817BB9">
            <w:pPr>
              <w:pStyle w:val="TableParagraph"/>
              <w:ind w:left="0"/>
              <w:rPr>
                <w:rFonts w:ascii="Arial" w:hAnsi="Arial" w:cs="Arial"/>
              </w:rPr>
            </w:pPr>
            <w:r w:rsidRPr="00663F23">
              <w:rPr>
                <w:rFonts w:ascii="Arial" w:hAnsi="Arial" w:cs="Arial"/>
              </w:rPr>
              <w:t>Letter sent to Agency Secretary &amp; cc Man</w:t>
            </w:r>
            <w:r w:rsidR="00841BCE">
              <w:rPr>
                <w:rFonts w:ascii="Arial" w:hAnsi="Arial" w:cs="Arial"/>
              </w:rPr>
              <w:t>ager, PCO, Deputy Director, PAU</w:t>
            </w:r>
            <w:r w:rsidRPr="00663F23">
              <w:rPr>
                <w:rFonts w:ascii="Arial" w:hAnsi="Arial" w:cs="Arial"/>
              </w:rPr>
              <w:t>*</w:t>
            </w:r>
          </w:p>
        </w:tc>
      </w:tr>
    </w:tbl>
    <w:p w:rsidR="00453CBD" w:rsidRPr="00663F23" w:rsidRDefault="00453CBD" w:rsidP="00817BB9">
      <w:pPr>
        <w:rPr>
          <w:vanish/>
          <w:szCs w:val="24"/>
        </w:rPr>
      </w:pPr>
    </w:p>
    <w:p w:rsidR="00F06063" w:rsidRPr="00663F23" w:rsidRDefault="00F06063" w:rsidP="00817BB9">
      <w:pPr>
        <w:rPr>
          <w:szCs w:val="24"/>
        </w:rPr>
      </w:pPr>
    </w:p>
    <w:p w:rsidR="00052D64" w:rsidRPr="00663F23" w:rsidRDefault="00052D64" w:rsidP="00817BB9">
      <w:pPr>
        <w:rPr>
          <w:szCs w:val="24"/>
        </w:rPr>
      </w:pPr>
      <w:r w:rsidRPr="00663F23">
        <w:rPr>
          <w:szCs w:val="24"/>
        </w:rPr>
        <w:t xml:space="preserve">*DGS will require departments to complete our Basic Acquisition Certification class provided by </w:t>
      </w:r>
      <w:proofErr w:type="spellStart"/>
      <w:r w:rsidRPr="00663F23">
        <w:rPr>
          <w:szCs w:val="24"/>
        </w:rPr>
        <w:t>CalPCA</w:t>
      </w:r>
      <w:proofErr w:type="spellEnd"/>
      <w:r w:rsidRPr="00663F23">
        <w:rPr>
          <w:szCs w:val="24"/>
        </w:rPr>
        <w:t xml:space="preserve">. </w:t>
      </w:r>
    </w:p>
    <w:p w:rsidR="00052D64" w:rsidRPr="00663F23" w:rsidRDefault="00052D64" w:rsidP="00817BB9">
      <w:pPr>
        <w:rPr>
          <w:szCs w:val="24"/>
        </w:rPr>
      </w:pPr>
    </w:p>
    <w:p w:rsidR="00052D64" w:rsidRPr="00663F23" w:rsidRDefault="00052D64" w:rsidP="00817BB9">
      <w:pPr>
        <w:rPr>
          <w:szCs w:val="24"/>
        </w:rPr>
      </w:pPr>
      <w:r w:rsidRPr="00663F23">
        <w:rPr>
          <w:szCs w:val="24"/>
        </w:rPr>
        <w:t xml:space="preserve">**DGS will require or suggest completion of NCB, Contract Management, and Statement of Work workshops provided by </w:t>
      </w:r>
      <w:proofErr w:type="spellStart"/>
      <w:r w:rsidRPr="00663F23">
        <w:rPr>
          <w:szCs w:val="24"/>
        </w:rPr>
        <w:t>CalPCA</w:t>
      </w:r>
      <w:proofErr w:type="spellEnd"/>
      <w:r w:rsidRPr="00663F23">
        <w:rPr>
          <w:szCs w:val="24"/>
        </w:rPr>
        <w:t>.</w:t>
      </w:r>
    </w:p>
    <w:p w:rsidR="00052D64" w:rsidRPr="00663F23" w:rsidRDefault="00052D64" w:rsidP="00817BB9">
      <w:pPr>
        <w:rPr>
          <w:szCs w:val="24"/>
        </w:rPr>
      </w:pPr>
    </w:p>
    <w:p w:rsidR="00052D64" w:rsidRPr="00663F23" w:rsidRDefault="00052D64" w:rsidP="005130C9">
      <w:pPr>
        <w:rPr>
          <w:szCs w:val="24"/>
        </w:rPr>
      </w:pPr>
      <w:r w:rsidRPr="00663F23">
        <w:rPr>
          <w:szCs w:val="24"/>
        </w:rPr>
        <w:t>NCB CAP tracking analysis will be done on a quarterly basis. Quarters will begin on the first day of the fiscal year (July 1). DGS will use the intake date to determine which quarter an NCB is recorded. For percentages to be utilized as a metric, a department must have submitted a mini</w:t>
      </w:r>
      <w:bookmarkStart w:id="76" w:name="_GoBack"/>
      <w:bookmarkEnd w:id="76"/>
      <w:r w:rsidRPr="00663F23">
        <w:rPr>
          <w:szCs w:val="24"/>
        </w:rPr>
        <w:t xml:space="preserve">mum of 5 NCBs within a quarter. Departments submitting less than 5 NCBs in a quarter will be handled on a case-by-case basis. </w:t>
      </w:r>
    </w:p>
    <w:bookmarkEnd w:id="72"/>
    <w:p w:rsidR="00FD103B" w:rsidRPr="00663F23" w:rsidRDefault="00FD103B" w:rsidP="00817BB9">
      <w:pPr>
        <w:pStyle w:val="BlockLine"/>
        <w:ind w:left="0"/>
        <w:rPr>
          <w:szCs w:val="24"/>
        </w:rPr>
      </w:pPr>
    </w:p>
    <w:p w:rsidR="00087C56" w:rsidRPr="00663F23" w:rsidRDefault="00087C56">
      <w:pPr>
        <w:rPr>
          <w:b/>
          <w:szCs w:val="24"/>
        </w:rPr>
      </w:pPr>
      <w:bookmarkStart w:id="77" w:name="_Toc514420317"/>
      <w:r w:rsidRPr="00663F23">
        <w:rPr>
          <w:szCs w:val="24"/>
        </w:rPr>
        <w:br w:type="page"/>
      </w:r>
    </w:p>
    <w:p w:rsidR="00052D64" w:rsidRPr="00663F23" w:rsidRDefault="00052D64" w:rsidP="00965C8F">
      <w:pPr>
        <w:pStyle w:val="Heading5"/>
        <w:spacing w:after="120"/>
        <w:rPr>
          <w:szCs w:val="24"/>
        </w:rPr>
      </w:pPr>
      <w:bookmarkStart w:id="78" w:name="_Toc12963736"/>
      <w:r w:rsidRPr="00663F23">
        <w:rPr>
          <w:szCs w:val="24"/>
        </w:rPr>
        <w:lastRenderedPageBreak/>
        <w:t>5.2.12 LPA Transactions and NCB</w:t>
      </w:r>
      <w:bookmarkEnd w:id="77"/>
      <w:bookmarkEnd w:id="78"/>
    </w:p>
    <w:p w:rsidR="00052D64" w:rsidRPr="00663F23" w:rsidRDefault="00052D64" w:rsidP="00817BB9">
      <w:pPr>
        <w:pStyle w:val="BlockText0"/>
        <w:rPr>
          <w:rFonts w:ascii="Arial" w:hAnsi="Arial" w:cs="Arial"/>
          <w:szCs w:val="24"/>
        </w:rPr>
      </w:pPr>
      <w:r w:rsidRPr="00663F23">
        <w:rPr>
          <w:rFonts w:ascii="Arial" w:hAnsi="Arial" w:cs="Arial"/>
          <w:szCs w:val="24"/>
        </w:rPr>
        <w:t xml:space="preserve">State agencies must use the NCB Acquisition Method when only one supplier is known to sell the goods and/or services needed, and offers cannot be obtained through available LPA contracts. </w:t>
      </w:r>
    </w:p>
    <w:p w:rsidR="00052D64" w:rsidRPr="00663F23" w:rsidRDefault="00052D64" w:rsidP="00817BB9">
      <w:pPr>
        <w:pStyle w:val="BlockText0"/>
        <w:rPr>
          <w:rFonts w:ascii="Arial" w:hAnsi="Arial" w:cs="Arial"/>
          <w:szCs w:val="24"/>
        </w:rPr>
      </w:pPr>
    </w:p>
    <w:p w:rsidR="00052D64" w:rsidRPr="00663F23" w:rsidRDefault="00052D64" w:rsidP="00817BB9">
      <w:pPr>
        <w:pStyle w:val="BlockText0"/>
        <w:rPr>
          <w:rFonts w:ascii="Arial" w:hAnsi="Arial" w:cs="Arial"/>
          <w:szCs w:val="24"/>
        </w:rPr>
      </w:pPr>
      <w:r w:rsidRPr="00663F23">
        <w:rPr>
          <w:rFonts w:ascii="Arial" w:hAnsi="Arial" w:cs="Arial"/>
          <w:szCs w:val="24"/>
        </w:rPr>
        <w:t>The NCB Acquisition Method must be used for amendments to previously approved LPA transactions when the amendment requires an NCB Justification. These amendments must be executed using the NCB Acquisition Method and adhere to the NCB Justification and NCB contract approval process.</w:t>
      </w:r>
    </w:p>
    <w:p w:rsidR="00052D64" w:rsidRPr="00663F23" w:rsidRDefault="00052D64" w:rsidP="00817BB9">
      <w:pPr>
        <w:pStyle w:val="BlockText0"/>
        <w:rPr>
          <w:rFonts w:ascii="Arial" w:hAnsi="Arial" w:cs="Arial"/>
          <w:szCs w:val="24"/>
        </w:rPr>
      </w:pPr>
    </w:p>
    <w:p w:rsidR="00052D64" w:rsidRPr="00663F23" w:rsidRDefault="00052D64" w:rsidP="00817BB9">
      <w:pPr>
        <w:pStyle w:val="BlockText0"/>
        <w:rPr>
          <w:rFonts w:ascii="Arial" w:hAnsi="Arial" w:cs="Arial"/>
          <w:szCs w:val="24"/>
        </w:rPr>
      </w:pPr>
      <w:r w:rsidRPr="00663F23">
        <w:rPr>
          <w:rFonts w:ascii="Arial" w:hAnsi="Arial" w:cs="Arial"/>
          <w:szCs w:val="24"/>
        </w:rPr>
        <w:t>The NCB Justification and NCB contract approval process is not required if an individual LPA User Instructions state that the contract is exempt from obtaining offers. This exemption typically applies when DGS/PD has competitively bid an LPA, obtained a statewide NCB Justification and NCB contract when creating an LPA, or where DGS has approved a categorical exemption to competition.</w:t>
      </w:r>
    </w:p>
    <w:p w:rsidR="00052D64" w:rsidRPr="00663F23" w:rsidRDefault="00052D64" w:rsidP="00817BB9">
      <w:pPr>
        <w:pStyle w:val="BlockText0"/>
        <w:rPr>
          <w:rFonts w:ascii="Arial" w:hAnsi="Arial" w:cs="Arial"/>
          <w:szCs w:val="24"/>
        </w:rPr>
      </w:pPr>
    </w:p>
    <w:p w:rsidR="00052D64" w:rsidRPr="00663F23" w:rsidRDefault="00052D64" w:rsidP="00817BB9">
      <w:pPr>
        <w:pStyle w:val="BlockText"/>
        <w:rPr>
          <w:szCs w:val="24"/>
        </w:rPr>
      </w:pPr>
      <w:r w:rsidRPr="00663F23">
        <w:rPr>
          <w:szCs w:val="24"/>
        </w:rPr>
        <w:t>Buyers are reminded to always refer to individual LPA User Instructions and all LPA supplements prior to initiating an LPA purchase. Refer to Chapter 6 and Topic 2 of this chapter for further information.</w:t>
      </w:r>
    </w:p>
    <w:p w:rsidR="00897DFE" w:rsidRPr="00663F23" w:rsidRDefault="00897DFE" w:rsidP="00817BB9">
      <w:pPr>
        <w:pStyle w:val="BlockLine"/>
        <w:ind w:left="0"/>
        <w:rPr>
          <w:szCs w:val="24"/>
        </w:rPr>
      </w:pPr>
    </w:p>
    <w:p w:rsidR="00052D64" w:rsidRPr="00663F23" w:rsidRDefault="00052D64" w:rsidP="00965C8F">
      <w:pPr>
        <w:pStyle w:val="Heading5"/>
        <w:spacing w:after="120"/>
        <w:rPr>
          <w:szCs w:val="24"/>
        </w:rPr>
      </w:pPr>
      <w:bookmarkStart w:id="79" w:name="_Toc514420318"/>
      <w:bookmarkStart w:id="80" w:name="_Toc12963737"/>
      <w:bookmarkStart w:id="81" w:name="_fs_IH4Ljbs9Uy5RkvHZJdGQ" w:colFirst="0" w:colLast="0"/>
      <w:r w:rsidRPr="00663F23">
        <w:rPr>
          <w:szCs w:val="24"/>
        </w:rPr>
        <w:t>5.2.13 Known Suppliers Outside LPAs</w:t>
      </w:r>
      <w:bookmarkEnd w:id="79"/>
      <w:bookmarkEnd w:id="80"/>
    </w:p>
    <w:p w:rsidR="00052D64" w:rsidRPr="00663F23" w:rsidRDefault="00052D64" w:rsidP="005837CC">
      <w:pPr>
        <w:pStyle w:val="BlockText"/>
      </w:pPr>
      <w:r w:rsidRPr="00663F23">
        <w:rPr>
          <w:szCs w:val="24"/>
        </w:rPr>
        <w:t xml:space="preserve">Departments must conduct a competitive solicitation if suppliers are known outside of CMAS contractors or Master Agreement (MA) contracts that can meet the department’s requirements. </w:t>
      </w:r>
    </w:p>
    <w:bookmarkEnd w:id="81"/>
    <w:p w:rsidR="00FD103B" w:rsidRPr="00663F23" w:rsidRDefault="00FD103B" w:rsidP="00965C8F">
      <w:pPr>
        <w:pStyle w:val="BlockLine"/>
        <w:ind w:left="0"/>
      </w:pPr>
    </w:p>
    <w:p w:rsidR="00965C8F" w:rsidRPr="00663F23" w:rsidRDefault="00965C8F">
      <w:pPr>
        <w:rPr>
          <w:b/>
          <w:sz w:val="32"/>
        </w:rPr>
      </w:pPr>
      <w:bookmarkStart w:id="82" w:name="_Toc514420319"/>
      <w:bookmarkStart w:id="83" w:name="_fs_M3okbyvxHkK5tIsJ4uy4aQ"/>
      <w:r w:rsidRPr="00663F23">
        <w:br w:type="page"/>
      </w:r>
    </w:p>
    <w:p w:rsidR="00FD103B" w:rsidRPr="00663F23" w:rsidRDefault="00FD103B" w:rsidP="005837CC">
      <w:pPr>
        <w:pStyle w:val="Heading4"/>
      </w:pPr>
      <w:bookmarkStart w:id="84" w:name="_Toc12963738"/>
      <w:r w:rsidRPr="00663F23">
        <w:lastRenderedPageBreak/>
        <w:t xml:space="preserve">Topic 3 – Purchase Document </w:t>
      </w:r>
      <w:r w:rsidR="00897DFE" w:rsidRPr="00663F23">
        <w:t xml:space="preserve">Amendments and the NCB </w:t>
      </w:r>
      <w:r w:rsidRPr="00663F23">
        <w:t>Justification</w:t>
      </w:r>
      <w:bookmarkEnd w:id="82"/>
      <w:bookmarkEnd w:id="84"/>
    </w:p>
    <w:bookmarkEnd w:id="83"/>
    <w:p w:rsidR="00FD103B" w:rsidRPr="00663F23" w:rsidRDefault="00FD103B" w:rsidP="00441C48">
      <w:pPr>
        <w:pStyle w:val="BlockLine"/>
        <w:ind w:left="0"/>
      </w:pPr>
    </w:p>
    <w:p w:rsidR="00441C48" w:rsidRPr="00663F23" w:rsidRDefault="00441C48" w:rsidP="00441C48">
      <w:pPr>
        <w:pStyle w:val="Heading5"/>
        <w:spacing w:after="120"/>
        <w:rPr>
          <w:szCs w:val="24"/>
        </w:rPr>
      </w:pPr>
      <w:bookmarkStart w:id="85" w:name="_Toc514420320"/>
      <w:bookmarkStart w:id="86" w:name="_Toc12963739"/>
      <w:bookmarkStart w:id="87" w:name="_fs_faHgUtlWEWntJKcu9iy3Q" w:colFirst="0" w:colLast="0"/>
      <w:r w:rsidRPr="00663F23">
        <w:rPr>
          <w:szCs w:val="24"/>
        </w:rPr>
        <w:t>5.3.0 When NCB Process is Applicable</w:t>
      </w:r>
      <w:bookmarkEnd w:id="85"/>
      <w:bookmarkEnd w:id="86"/>
      <w:r w:rsidRPr="00663F23">
        <w:rPr>
          <w:szCs w:val="24"/>
        </w:rPr>
        <w:t xml:space="preserve"> </w:t>
      </w:r>
    </w:p>
    <w:p w:rsidR="00441C48" w:rsidRPr="00663F23" w:rsidRDefault="00441C48" w:rsidP="005837CC">
      <w:pPr>
        <w:pStyle w:val="BlockText"/>
        <w:rPr>
          <w:szCs w:val="24"/>
        </w:rPr>
      </w:pPr>
      <w:r w:rsidRPr="00663F23">
        <w:rPr>
          <w:szCs w:val="24"/>
        </w:rPr>
        <w:t>If the original transaction, either competitive or LPA, did not evaluate option(s) for changes, then the amendment must comply with the NCB process. This includes amendments for increases and decreases to quantity, dollar amount, and time.</w:t>
      </w:r>
    </w:p>
    <w:bookmarkEnd w:id="87"/>
    <w:p w:rsidR="00FD103B" w:rsidRPr="00663F23" w:rsidRDefault="00FD103B" w:rsidP="00441C48">
      <w:pPr>
        <w:pStyle w:val="BlockLine"/>
        <w:ind w:left="0"/>
        <w:rPr>
          <w:szCs w:val="24"/>
        </w:rPr>
      </w:pPr>
    </w:p>
    <w:p w:rsidR="00441C48" w:rsidRPr="00663F23" w:rsidRDefault="00441C48" w:rsidP="00441C48">
      <w:pPr>
        <w:pStyle w:val="Heading5"/>
        <w:spacing w:after="120"/>
        <w:rPr>
          <w:szCs w:val="24"/>
        </w:rPr>
      </w:pPr>
      <w:bookmarkStart w:id="88" w:name="_Toc514420321"/>
      <w:bookmarkStart w:id="89" w:name="_Toc12963740"/>
      <w:bookmarkStart w:id="90" w:name="_fs_SnbtZQWyE61qFpx7eFrDQ" w:colFirst="0" w:colLast="0"/>
      <w:r w:rsidRPr="00663F23">
        <w:rPr>
          <w:szCs w:val="24"/>
        </w:rPr>
        <w:t>5.3.1 When an Amendment Does Not Require an NCB</w:t>
      </w:r>
      <w:bookmarkEnd w:id="88"/>
      <w:bookmarkEnd w:id="89"/>
      <w:r w:rsidRPr="00663F23">
        <w:rPr>
          <w:szCs w:val="24"/>
        </w:rPr>
        <w:t xml:space="preserve"> </w:t>
      </w:r>
    </w:p>
    <w:p w:rsidR="00441C48" w:rsidRPr="00663F23" w:rsidRDefault="00441C48" w:rsidP="00897DFE">
      <w:pPr>
        <w:pStyle w:val="TableParagraph"/>
        <w:spacing w:line="242" w:lineRule="auto"/>
        <w:ind w:left="28" w:right="548"/>
        <w:rPr>
          <w:rFonts w:ascii="Arial" w:hAnsi="Arial" w:cs="Arial"/>
        </w:rPr>
      </w:pPr>
      <w:r w:rsidRPr="00663F23">
        <w:rPr>
          <w:rFonts w:ascii="Arial" w:hAnsi="Arial" w:cs="Arial"/>
        </w:rPr>
        <w:t>Amendments to existing purchase documents are not subject to the NCB requirements if the following has occurred:</w:t>
      </w:r>
    </w:p>
    <w:p w:rsidR="00441C48" w:rsidRPr="00663F23" w:rsidRDefault="00441C48" w:rsidP="00897DFE">
      <w:pPr>
        <w:pStyle w:val="TableParagraph"/>
        <w:spacing w:line="242" w:lineRule="auto"/>
        <w:ind w:left="28" w:right="548"/>
        <w:rPr>
          <w:rFonts w:ascii="Arial" w:hAnsi="Arial" w:cs="Arial"/>
        </w:rPr>
      </w:pPr>
    </w:p>
    <w:p w:rsidR="00441C48" w:rsidRPr="00663F23" w:rsidRDefault="00441C48" w:rsidP="00441C48">
      <w:pPr>
        <w:pStyle w:val="TableParagraph"/>
        <w:numPr>
          <w:ilvl w:val="0"/>
          <w:numId w:val="44"/>
        </w:numPr>
        <w:tabs>
          <w:tab w:val="left" w:pos="360"/>
        </w:tabs>
        <w:spacing w:before="4" w:line="266" w:lineRule="exact"/>
        <w:ind w:left="360"/>
        <w:rPr>
          <w:rFonts w:ascii="Arial" w:hAnsi="Arial" w:cs="Arial"/>
        </w:rPr>
      </w:pPr>
      <w:r w:rsidRPr="00663F23">
        <w:rPr>
          <w:rFonts w:ascii="Arial" w:hAnsi="Arial" w:cs="Arial"/>
          <w:u w:val="single"/>
        </w:rPr>
        <w:t>Competitively bid</w:t>
      </w:r>
      <w:r w:rsidRPr="00663F23">
        <w:rPr>
          <w:rFonts w:ascii="Arial" w:hAnsi="Arial" w:cs="Arial"/>
          <w:spacing w:val="-14"/>
          <w:u w:val="single"/>
        </w:rPr>
        <w:t xml:space="preserve"> </w:t>
      </w:r>
      <w:r w:rsidRPr="00663F23">
        <w:rPr>
          <w:rFonts w:ascii="Arial" w:hAnsi="Arial" w:cs="Arial"/>
          <w:u w:val="single"/>
        </w:rPr>
        <w:t>contracts</w:t>
      </w:r>
      <w:r w:rsidRPr="00663F23">
        <w:rPr>
          <w:rFonts w:ascii="Arial" w:hAnsi="Arial" w:cs="Arial"/>
        </w:rPr>
        <w:t>:</w:t>
      </w:r>
    </w:p>
    <w:p w:rsidR="00441C48" w:rsidRPr="00663F23" w:rsidRDefault="00441C48" w:rsidP="00441C48">
      <w:pPr>
        <w:pStyle w:val="TableParagraph"/>
        <w:numPr>
          <w:ilvl w:val="1"/>
          <w:numId w:val="44"/>
        </w:numPr>
        <w:tabs>
          <w:tab w:val="left" w:pos="720"/>
        </w:tabs>
        <w:spacing w:before="4" w:line="266" w:lineRule="exact"/>
        <w:ind w:left="720"/>
        <w:rPr>
          <w:rFonts w:ascii="Arial" w:hAnsi="Arial" w:cs="Arial"/>
        </w:rPr>
      </w:pPr>
      <w:r w:rsidRPr="00663F23">
        <w:rPr>
          <w:rFonts w:ascii="Arial" w:hAnsi="Arial" w:cs="Arial"/>
        </w:rPr>
        <w:t>Which included option(s) for changes (e.g., quantity or time) may be amended consistent with the terms of the original contract providing for such amendment(s) if such options were evaluated during the solicitation</w:t>
      </w:r>
      <w:r w:rsidRPr="00663F23">
        <w:rPr>
          <w:rFonts w:ascii="Arial" w:hAnsi="Arial" w:cs="Arial"/>
          <w:spacing w:val="-9"/>
        </w:rPr>
        <w:t xml:space="preserve"> </w:t>
      </w:r>
      <w:r w:rsidRPr="00663F23">
        <w:rPr>
          <w:rFonts w:ascii="Arial" w:hAnsi="Arial" w:cs="Arial"/>
        </w:rPr>
        <w:t>process.</w:t>
      </w:r>
    </w:p>
    <w:p w:rsidR="00441C48" w:rsidRPr="00663F23" w:rsidRDefault="00441C48" w:rsidP="00441C48">
      <w:pPr>
        <w:pStyle w:val="TableParagraph"/>
        <w:ind w:left="360"/>
        <w:rPr>
          <w:rFonts w:ascii="Arial" w:hAnsi="Arial" w:cs="Arial"/>
          <w:b/>
        </w:rPr>
      </w:pPr>
    </w:p>
    <w:p w:rsidR="00441C48" w:rsidRPr="00663F23" w:rsidRDefault="00441C48" w:rsidP="00441C48">
      <w:pPr>
        <w:pStyle w:val="TableParagraph"/>
        <w:numPr>
          <w:ilvl w:val="0"/>
          <w:numId w:val="44"/>
        </w:numPr>
        <w:tabs>
          <w:tab w:val="left" w:pos="360"/>
        </w:tabs>
        <w:spacing w:before="4" w:line="266" w:lineRule="exact"/>
        <w:ind w:left="360"/>
        <w:rPr>
          <w:rFonts w:ascii="Arial" w:hAnsi="Arial" w:cs="Arial"/>
          <w:u w:val="single"/>
        </w:rPr>
      </w:pPr>
      <w:r w:rsidRPr="00663F23">
        <w:rPr>
          <w:rFonts w:ascii="Arial" w:hAnsi="Arial" w:cs="Arial"/>
          <w:u w:val="single"/>
        </w:rPr>
        <w:t xml:space="preserve">LPAs for Non-IT Goods or Non-IT Services: </w:t>
      </w:r>
    </w:p>
    <w:p w:rsidR="00441C48" w:rsidRPr="00663F23" w:rsidRDefault="00441C48" w:rsidP="00441C48">
      <w:pPr>
        <w:pStyle w:val="TableParagraph"/>
        <w:numPr>
          <w:ilvl w:val="1"/>
          <w:numId w:val="43"/>
        </w:numPr>
        <w:tabs>
          <w:tab w:val="left" w:pos="720"/>
        </w:tabs>
        <w:spacing w:before="1"/>
        <w:ind w:left="720" w:right="191"/>
        <w:rPr>
          <w:rFonts w:ascii="Arial" w:hAnsi="Arial" w:cs="Arial"/>
        </w:rPr>
      </w:pPr>
      <w:r w:rsidRPr="00663F23">
        <w:rPr>
          <w:rFonts w:ascii="Arial" w:hAnsi="Arial" w:cs="Arial"/>
        </w:rPr>
        <w:t>Original orders, which include options for changes (e.g., quantity or time), that were</w:t>
      </w:r>
      <w:r w:rsidRPr="00663F23">
        <w:rPr>
          <w:rFonts w:ascii="Arial" w:hAnsi="Arial" w:cs="Arial"/>
          <w:spacing w:val="-32"/>
        </w:rPr>
        <w:t xml:space="preserve"> </w:t>
      </w:r>
      <w:r w:rsidRPr="00663F23">
        <w:rPr>
          <w:rFonts w:ascii="Arial" w:hAnsi="Arial" w:cs="Arial"/>
        </w:rPr>
        <w:t>evaluated and considered in the selection for award during the Request for Offer (RFO) process, may be amended consistent with the terms of the original order, provided that the original order allowed for</w:t>
      </w:r>
      <w:r w:rsidRPr="00663F23">
        <w:rPr>
          <w:rFonts w:ascii="Arial" w:hAnsi="Arial" w:cs="Arial"/>
          <w:spacing w:val="-32"/>
        </w:rPr>
        <w:t xml:space="preserve"> </w:t>
      </w:r>
      <w:r w:rsidRPr="00663F23">
        <w:rPr>
          <w:rFonts w:ascii="Arial" w:hAnsi="Arial" w:cs="Arial"/>
        </w:rPr>
        <w:t>amendments.</w:t>
      </w:r>
    </w:p>
    <w:p w:rsidR="00441C48" w:rsidRPr="00663F23" w:rsidRDefault="00441C48" w:rsidP="00441C48">
      <w:pPr>
        <w:pStyle w:val="ListParagraph"/>
        <w:ind w:left="360"/>
        <w:rPr>
          <w:rFonts w:ascii="Arial" w:hAnsi="Arial" w:cs="Arial"/>
        </w:rPr>
      </w:pPr>
    </w:p>
    <w:p w:rsidR="00441C48" w:rsidRPr="00663F23" w:rsidRDefault="00441C48" w:rsidP="00441C48">
      <w:pPr>
        <w:pStyle w:val="TableParagraph"/>
        <w:numPr>
          <w:ilvl w:val="0"/>
          <w:numId w:val="44"/>
        </w:numPr>
        <w:tabs>
          <w:tab w:val="left" w:pos="360"/>
        </w:tabs>
        <w:spacing w:before="4" w:line="266" w:lineRule="exact"/>
        <w:ind w:left="360"/>
        <w:rPr>
          <w:rFonts w:ascii="Arial" w:hAnsi="Arial" w:cs="Arial"/>
          <w:u w:val="single"/>
        </w:rPr>
      </w:pPr>
      <w:r w:rsidRPr="00663F23">
        <w:rPr>
          <w:rFonts w:ascii="Arial" w:hAnsi="Arial" w:cs="Arial"/>
          <w:u w:val="single"/>
        </w:rPr>
        <w:t>Competitive contracts and LPA orders amended for incidental omissions, for example:</w:t>
      </w:r>
    </w:p>
    <w:p w:rsidR="00441C48" w:rsidRPr="00663F23" w:rsidRDefault="00441C48" w:rsidP="00441C48">
      <w:pPr>
        <w:pStyle w:val="TableParagraph"/>
        <w:numPr>
          <w:ilvl w:val="1"/>
          <w:numId w:val="46"/>
        </w:numPr>
        <w:tabs>
          <w:tab w:val="left" w:pos="720"/>
        </w:tabs>
        <w:spacing w:before="1"/>
        <w:ind w:left="720" w:right="191"/>
        <w:rPr>
          <w:rFonts w:ascii="Arial" w:hAnsi="Arial" w:cs="Arial"/>
        </w:rPr>
      </w:pPr>
      <w:r w:rsidRPr="00663F23">
        <w:rPr>
          <w:rFonts w:ascii="Arial" w:hAnsi="Arial" w:cs="Arial"/>
        </w:rPr>
        <w:t>Transposed numbers</w:t>
      </w:r>
    </w:p>
    <w:p w:rsidR="00441C48" w:rsidRPr="00663F23" w:rsidRDefault="00441C48" w:rsidP="00441C48">
      <w:pPr>
        <w:pStyle w:val="TableParagraph"/>
        <w:numPr>
          <w:ilvl w:val="1"/>
          <w:numId w:val="46"/>
        </w:numPr>
        <w:tabs>
          <w:tab w:val="left" w:pos="720"/>
        </w:tabs>
        <w:spacing w:before="1"/>
        <w:ind w:left="720" w:right="191"/>
        <w:rPr>
          <w:rFonts w:ascii="Arial" w:hAnsi="Arial" w:cs="Arial"/>
        </w:rPr>
      </w:pPr>
      <w:r w:rsidRPr="00663F23">
        <w:rPr>
          <w:rFonts w:ascii="Arial" w:hAnsi="Arial" w:cs="Arial"/>
        </w:rPr>
        <w:t>Missing contact names</w:t>
      </w:r>
    </w:p>
    <w:p w:rsidR="00441C48" w:rsidRPr="00663F23" w:rsidRDefault="00441C48" w:rsidP="00441C48">
      <w:pPr>
        <w:pStyle w:val="TableParagraph"/>
        <w:numPr>
          <w:ilvl w:val="1"/>
          <w:numId w:val="46"/>
        </w:numPr>
        <w:tabs>
          <w:tab w:val="left" w:pos="720"/>
        </w:tabs>
        <w:spacing w:before="1"/>
        <w:ind w:left="720" w:right="191"/>
        <w:rPr>
          <w:rFonts w:ascii="Arial" w:hAnsi="Arial" w:cs="Arial"/>
        </w:rPr>
      </w:pPr>
      <w:r w:rsidRPr="00663F23">
        <w:rPr>
          <w:rFonts w:ascii="Arial" w:hAnsi="Arial" w:cs="Arial"/>
        </w:rPr>
        <w:t>Mistyped addresses</w:t>
      </w:r>
    </w:p>
    <w:p w:rsidR="00441C48" w:rsidRPr="00663F23" w:rsidRDefault="00441C48" w:rsidP="00AD5BBE">
      <w:pPr>
        <w:pStyle w:val="TableParagraph"/>
        <w:rPr>
          <w:rFonts w:ascii="Arial" w:hAnsi="Arial" w:cs="Arial"/>
        </w:rPr>
      </w:pPr>
    </w:p>
    <w:bookmarkEnd w:id="90"/>
    <w:p w:rsidR="00FD103B" w:rsidRPr="00663F23" w:rsidRDefault="00FD103B" w:rsidP="00441C48">
      <w:pPr>
        <w:pStyle w:val="BlockLine"/>
        <w:ind w:left="0"/>
        <w:rPr>
          <w:szCs w:val="24"/>
        </w:rPr>
      </w:pPr>
    </w:p>
    <w:p w:rsidR="00441C48" w:rsidRPr="00663F23" w:rsidRDefault="00441C48" w:rsidP="00441C48">
      <w:pPr>
        <w:pStyle w:val="Heading5"/>
        <w:spacing w:after="120"/>
        <w:rPr>
          <w:szCs w:val="24"/>
        </w:rPr>
      </w:pPr>
      <w:bookmarkStart w:id="91" w:name="_Toc514420322"/>
      <w:bookmarkStart w:id="92" w:name="_Toc12963741"/>
      <w:bookmarkStart w:id="93" w:name="_fs_MnI7tQp1oE2ZROhOqZFww" w:colFirst="0" w:colLast="0"/>
      <w:r w:rsidRPr="00663F23">
        <w:rPr>
          <w:szCs w:val="24"/>
        </w:rPr>
        <w:t>5.3.2</w:t>
      </w:r>
      <w:r w:rsidR="00087C56" w:rsidRPr="00663F23">
        <w:rPr>
          <w:szCs w:val="24"/>
        </w:rPr>
        <w:t xml:space="preserve"> </w:t>
      </w:r>
      <w:r w:rsidRPr="00663F23">
        <w:rPr>
          <w:szCs w:val="24"/>
        </w:rPr>
        <w:t>Amendment Requirements Based on Cumulative Dollar Value</w:t>
      </w:r>
      <w:bookmarkEnd w:id="91"/>
      <w:bookmarkEnd w:id="92"/>
    </w:p>
    <w:p w:rsidR="00441C48" w:rsidRPr="00663F23" w:rsidRDefault="00441C48" w:rsidP="00897DFE">
      <w:pPr>
        <w:pStyle w:val="TableParagraph"/>
        <w:spacing w:line="252" w:lineRule="exact"/>
        <w:ind w:left="28" w:right="316"/>
        <w:rPr>
          <w:rFonts w:ascii="Arial" w:hAnsi="Arial" w:cs="Arial"/>
        </w:rPr>
      </w:pPr>
      <w:r w:rsidRPr="00663F23">
        <w:rPr>
          <w:rFonts w:ascii="Arial" w:hAnsi="Arial" w:cs="Arial"/>
        </w:rPr>
        <w:t>The requirements for amending existing purchase documents are based on the cumulative dollar value of the purchase after including the amendment.</w:t>
      </w:r>
    </w:p>
    <w:p w:rsidR="00441C48" w:rsidRPr="00663F23" w:rsidRDefault="00441C48" w:rsidP="00897DFE">
      <w:pPr>
        <w:pStyle w:val="TableParagraph"/>
        <w:spacing w:before="7"/>
        <w:ind w:left="0"/>
        <w:rPr>
          <w:rFonts w:ascii="Arial" w:hAnsi="Arial" w:cs="Arial"/>
          <w:b/>
        </w:rPr>
      </w:pPr>
    </w:p>
    <w:p w:rsidR="00441C48" w:rsidRPr="00663F23" w:rsidRDefault="00441C48" w:rsidP="00897DFE">
      <w:pPr>
        <w:pStyle w:val="TableParagraph"/>
        <w:spacing w:line="252" w:lineRule="exact"/>
        <w:ind w:left="28"/>
        <w:rPr>
          <w:rFonts w:ascii="Arial" w:hAnsi="Arial" w:cs="Arial"/>
        </w:rPr>
      </w:pPr>
      <w:r w:rsidRPr="00663F23">
        <w:rPr>
          <w:rFonts w:ascii="Arial" w:hAnsi="Arial" w:cs="Arial"/>
          <w:u w:val="single"/>
        </w:rPr>
        <w:t>Example:</w:t>
      </w:r>
    </w:p>
    <w:p w:rsidR="00441C48" w:rsidRPr="00663F23" w:rsidRDefault="00441C48" w:rsidP="00897DFE">
      <w:pPr>
        <w:pStyle w:val="TableParagraph"/>
        <w:spacing w:line="252" w:lineRule="exact"/>
        <w:ind w:left="28"/>
        <w:rPr>
          <w:rFonts w:ascii="Arial" w:hAnsi="Arial" w:cs="Arial"/>
        </w:rPr>
      </w:pPr>
      <w:r w:rsidRPr="00663F23">
        <w:rPr>
          <w:rFonts w:ascii="Arial" w:hAnsi="Arial" w:cs="Arial"/>
        </w:rPr>
        <w:t>A $200,000.00 contract plus a $60,000.00 amendment shall be considered a</w:t>
      </w:r>
    </w:p>
    <w:p w:rsidR="00441C48" w:rsidRPr="00663F23" w:rsidRDefault="00441C48" w:rsidP="00897DFE">
      <w:pPr>
        <w:pStyle w:val="BlockText"/>
        <w:rPr>
          <w:szCs w:val="24"/>
        </w:rPr>
      </w:pPr>
      <w:r w:rsidRPr="00663F23">
        <w:rPr>
          <w:szCs w:val="24"/>
        </w:rPr>
        <w:t>$260,000.00 contract. The processing of an amendment through the NCB approval cycle is based upon the amended total value of the contract.</w:t>
      </w:r>
    </w:p>
    <w:p w:rsidR="00441C48" w:rsidRPr="00663F23" w:rsidRDefault="00441C48" w:rsidP="00897DFE">
      <w:pPr>
        <w:pStyle w:val="BlockText"/>
        <w:rPr>
          <w:szCs w:val="24"/>
        </w:rPr>
      </w:pPr>
    </w:p>
    <w:p w:rsidR="00441C48" w:rsidRPr="00663F23" w:rsidRDefault="00441C48" w:rsidP="00897DFE">
      <w:pPr>
        <w:pStyle w:val="BlockText"/>
        <w:rPr>
          <w:szCs w:val="24"/>
        </w:rPr>
      </w:pPr>
      <w:r w:rsidRPr="00663F23">
        <w:rPr>
          <w:b/>
          <w:szCs w:val="24"/>
        </w:rPr>
        <w:t xml:space="preserve">Note: </w:t>
      </w:r>
      <w:r w:rsidRPr="00663F23">
        <w:rPr>
          <w:szCs w:val="24"/>
        </w:rPr>
        <w:t>If your amendment and original contract amount (total contract amount) surpasses your purchasing authority threshold, the contract will be executed by DGS PD.</w:t>
      </w:r>
    </w:p>
    <w:bookmarkEnd w:id="93"/>
    <w:p w:rsidR="00FD103B" w:rsidRPr="00663F23" w:rsidRDefault="00FD103B" w:rsidP="007E1185">
      <w:pPr>
        <w:pStyle w:val="BlockLine"/>
        <w:ind w:left="0"/>
        <w:rPr>
          <w:szCs w:val="24"/>
        </w:rPr>
      </w:pPr>
    </w:p>
    <w:p w:rsidR="00441C48" w:rsidRPr="00663F23" w:rsidRDefault="00441C48" w:rsidP="007E1185">
      <w:pPr>
        <w:pStyle w:val="Heading5"/>
        <w:spacing w:after="120"/>
        <w:rPr>
          <w:szCs w:val="24"/>
        </w:rPr>
      </w:pPr>
      <w:bookmarkStart w:id="94" w:name="_Toc514420323"/>
      <w:bookmarkStart w:id="95" w:name="_Toc12963742"/>
      <w:bookmarkStart w:id="96" w:name="_fs_SbHdVAQso0iXoym557FFzQ" w:colFirst="0" w:colLast="0"/>
      <w:r w:rsidRPr="00663F23">
        <w:rPr>
          <w:szCs w:val="24"/>
        </w:rPr>
        <w:t>5.3.3</w:t>
      </w:r>
      <w:r w:rsidR="00087C56" w:rsidRPr="00663F23">
        <w:rPr>
          <w:szCs w:val="24"/>
        </w:rPr>
        <w:t xml:space="preserve"> </w:t>
      </w:r>
      <w:r w:rsidRPr="00663F23">
        <w:rPr>
          <w:szCs w:val="24"/>
        </w:rPr>
        <w:t>Exceeding the Fair &amp; Reasonable Acquisition Method Dollar Threshold</w:t>
      </w:r>
      <w:bookmarkEnd w:id="94"/>
      <w:bookmarkEnd w:id="95"/>
    </w:p>
    <w:p w:rsidR="00441C48" w:rsidRPr="00663F23" w:rsidRDefault="00441C48" w:rsidP="00714F9F">
      <w:pPr>
        <w:pStyle w:val="BlockText"/>
        <w:rPr>
          <w:szCs w:val="24"/>
        </w:rPr>
      </w:pPr>
      <w:r w:rsidRPr="00663F23">
        <w:rPr>
          <w:szCs w:val="24"/>
        </w:rPr>
        <w:t xml:space="preserve">The NCB process must be followed if an amendment will cause the original transaction amount to exceed $10,000.00 and the original transaction was awarded using the Fair and Reasonable Acquisition Method. The amendment shall be processed using the NCB Acquisition Method and adhere to the NCB process described herein. </w:t>
      </w:r>
    </w:p>
    <w:bookmarkEnd w:id="96"/>
    <w:p w:rsidR="00FD103B" w:rsidRPr="00663F23" w:rsidRDefault="00FD103B" w:rsidP="007E1185">
      <w:pPr>
        <w:pStyle w:val="BlockLine"/>
        <w:ind w:left="0"/>
        <w:rPr>
          <w:szCs w:val="24"/>
        </w:rPr>
      </w:pPr>
    </w:p>
    <w:p w:rsidR="00441C48" w:rsidRPr="00663F23" w:rsidRDefault="00441C48" w:rsidP="007E1185">
      <w:pPr>
        <w:pStyle w:val="Heading5"/>
        <w:spacing w:after="120"/>
        <w:rPr>
          <w:szCs w:val="24"/>
        </w:rPr>
      </w:pPr>
      <w:bookmarkStart w:id="97" w:name="_Toc514420324"/>
      <w:bookmarkStart w:id="98" w:name="_Toc12963743"/>
      <w:r w:rsidRPr="00663F23">
        <w:rPr>
          <w:szCs w:val="24"/>
        </w:rPr>
        <w:t>5.3.4</w:t>
      </w:r>
      <w:r w:rsidR="00087C56" w:rsidRPr="00663F23">
        <w:rPr>
          <w:szCs w:val="24"/>
        </w:rPr>
        <w:t xml:space="preserve"> </w:t>
      </w:r>
      <w:r w:rsidRPr="00663F23">
        <w:rPr>
          <w:bCs/>
          <w:szCs w:val="24"/>
        </w:rPr>
        <w:t>SCPRS Reporting Responsibilities</w:t>
      </w:r>
      <w:bookmarkEnd w:id="97"/>
      <w:bookmarkEnd w:id="98"/>
    </w:p>
    <w:p w:rsidR="00441C48" w:rsidRPr="00663F23" w:rsidRDefault="00441C48" w:rsidP="00AF6CD3">
      <w:pPr>
        <w:pStyle w:val="BlockText"/>
        <w:rPr>
          <w:szCs w:val="24"/>
        </w:rPr>
      </w:pPr>
      <w:r w:rsidRPr="00663F23">
        <w:rPr>
          <w:szCs w:val="24"/>
        </w:rPr>
        <w:t>Effective July 2016, departments are required to report all transactions regardless of the dollar amount, into FI$Cal SCPRS. This reporting requirement applies to Non-IT Goods.</w:t>
      </w:r>
    </w:p>
    <w:p w:rsidR="00AF6CD3" w:rsidRPr="00663F23" w:rsidRDefault="00AF6CD3" w:rsidP="007E1185">
      <w:pPr>
        <w:pStyle w:val="BlockLine"/>
        <w:ind w:left="0"/>
        <w:rPr>
          <w:szCs w:val="24"/>
        </w:rPr>
      </w:pPr>
    </w:p>
    <w:p w:rsidR="00441C48" w:rsidRPr="00663F23" w:rsidRDefault="00441C48" w:rsidP="007E1185">
      <w:pPr>
        <w:pStyle w:val="Heading5"/>
        <w:spacing w:after="120"/>
        <w:rPr>
          <w:szCs w:val="24"/>
        </w:rPr>
      </w:pPr>
      <w:bookmarkStart w:id="99" w:name="_Toc513471157"/>
      <w:bookmarkStart w:id="100" w:name="_Toc514420325"/>
      <w:bookmarkStart w:id="101" w:name="_Toc12963744"/>
      <w:r w:rsidRPr="00663F23">
        <w:rPr>
          <w:bCs/>
          <w:szCs w:val="24"/>
        </w:rPr>
        <w:t>5.3.5</w:t>
      </w:r>
      <w:r w:rsidR="00087C56" w:rsidRPr="00663F23">
        <w:rPr>
          <w:bCs/>
          <w:szCs w:val="24"/>
        </w:rPr>
        <w:t xml:space="preserve"> </w:t>
      </w:r>
      <w:r w:rsidRPr="00663F23">
        <w:rPr>
          <w:bCs/>
          <w:szCs w:val="24"/>
        </w:rPr>
        <w:t>Reporting Amendments in SCPRS</w:t>
      </w:r>
      <w:bookmarkEnd w:id="99"/>
      <w:bookmarkEnd w:id="100"/>
      <w:bookmarkEnd w:id="101"/>
    </w:p>
    <w:p w:rsidR="00441C48" w:rsidRPr="00663F23" w:rsidRDefault="00441C48" w:rsidP="00AF6CD3">
      <w:pPr>
        <w:pStyle w:val="BlockText0"/>
        <w:rPr>
          <w:rFonts w:ascii="Arial" w:eastAsia="Calibri" w:hAnsi="Arial" w:cs="Arial"/>
          <w:szCs w:val="24"/>
        </w:rPr>
      </w:pPr>
      <w:r w:rsidRPr="00663F23">
        <w:rPr>
          <w:rFonts w:ascii="Arial" w:hAnsi="Arial" w:cs="Arial"/>
          <w:szCs w:val="24"/>
        </w:rPr>
        <w:t>Purchase document amendments must be recorded in the SCPRS.</w:t>
      </w:r>
    </w:p>
    <w:p w:rsidR="00441C48" w:rsidRPr="00663F23" w:rsidRDefault="00441C48" w:rsidP="00AF6CD3">
      <w:pPr>
        <w:pStyle w:val="BlockText0"/>
        <w:rPr>
          <w:rFonts w:ascii="Arial" w:hAnsi="Arial" w:cs="Arial"/>
          <w:szCs w:val="24"/>
        </w:rPr>
      </w:pPr>
    </w:p>
    <w:p w:rsidR="00087C56" w:rsidRPr="00663F23" w:rsidRDefault="00441C48" w:rsidP="00AF6CD3">
      <w:pPr>
        <w:pStyle w:val="BlockText0"/>
        <w:rPr>
          <w:rFonts w:ascii="Arial" w:hAnsi="Arial" w:cs="Arial"/>
          <w:szCs w:val="24"/>
        </w:rPr>
      </w:pPr>
      <w:r w:rsidRPr="00663F23">
        <w:rPr>
          <w:rFonts w:ascii="Arial" w:hAnsi="Arial" w:cs="Arial"/>
          <w:szCs w:val="24"/>
        </w:rPr>
        <w:t>In SCPRS, amendments are NOT reported as separate transactions independent of the original transaction, unless there is a change in the Acquisition Method (e.g., from CMAS to NCB).</w:t>
      </w:r>
    </w:p>
    <w:p w:rsidR="00441C48" w:rsidRPr="00663F23" w:rsidRDefault="00087C56" w:rsidP="00AF6CD3">
      <w:pPr>
        <w:pStyle w:val="BlockText0"/>
        <w:rPr>
          <w:rFonts w:ascii="Arial" w:hAnsi="Arial" w:cs="Arial"/>
          <w:szCs w:val="24"/>
        </w:rPr>
      </w:pPr>
      <w:r w:rsidRPr="00663F23">
        <w:rPr>
          <w:rFonts w:ascii="Arial" w:hAnsi="Arial" w:cs="Arial"/>
          <w:szCs w:val="24"/>
        </w:rPr>
        <w:t xml:space="preserve"> </w:t>
      </w:r>
    </w:p>
    <w:p w:rsidR="00441C48" w:rsidRPr="00663F23" w:rsidRDefault="00441C48" w:rsidP="00AF6CD3">
      <w:pPr>
        <w:pStyle w:val="BlockText0"/>
        <w:rPr>
          <w:rFonts w:ascii="Arial" w:hAnsi="Arial" w:cs="Arial"/>
          <w:szCs w:val="24"/>
        </w:rPr>
      </w:pPr>
      <w:r w:rsidRPr="00663F23">
        <w:rPr>
          <w:rFonts w:ascii="Arial" w:hAnsi="Arial" w:cs="Arial"/>
          <w:szCs w:val="24"/>
        </w:rPr>
        <w:t>In FI$Cal SCPRS to report an amendment, buyers will be utilizing the “Change Order” functionality.</w:t>
      </w:r>
    </w:p>
    <w:p w:rsidR="00441C48" w:rsidRPr="00663F23" w:rsidRDefault="00441C48" w:rsidP="00AF6CD3">
      <w:pPr>
        <w:pStyle w:val="BlockText0"/>
        <w:rPr>
          <w:rFonts w:ascii="Arial" w:hAnsi="Arial" w:cs="Arial"/>
          <w:szCs w:val="24"/>
        </w:rPr>
      </w:pPr>
    </w:p>
    <w:p w:rsidR="00441C48" w:rsidRPr="00663F23" w:rsidRDefault="00441C48" w:rsidP="00AF6CD3">
      <w:pPr>
        <w:pStyle w:val="BlockText0"/>
        <w:rPr>
          <w:rFonts w:ascii="Arial" w:hAnsi="Arial" w:cs="Arial"/>
          <w:szCs w:val="24"/>
        </w:rPr>
      </w:pPr>
      <w:r w:rsidRPr="00663F23">
        <w:rPr>
          <w:rFonts w:ascii="Arial" w:hAnsi="Arial" w:cs="Arial"/>
          <w:szCs w:val="24"/>
        </w:rPr>
        <w:t>If there is NO change between the acquisition method of an amendment and the original transaction:</w:t>
      </w:r>
    </w:p>
    <w:p w:rsidR="00441C48" w:rsidRPr="00663F23" w:rsidRDefault="00441C48" w:rsidP="007E1185">
      <w:pPr>
        <w:pStyle w:val="BlockText0"/>
        <w:spacing w:after="120"/>
        <w:ind w:left="360"/>
        <w:rPr>
          <w:rFonts w:ascii="Arial" w:hAnsi="Arial" w:cs="Arial"/>
          <w:szCs w:val="24"/>
        </w:rPr>
      </w:pPr>
      <w:r w:rsidRPr="00663F23">
        <w:rPr>
          <w:rFonts w:ascii="Arial" w:hAnsi="Arial" w:cs="Arial"/>
          <w:szCs w:val="24"/>
        </w:rPr>
        <w:t>Amendments to increase or decrease the total amount of a transaction registered in FI$Cal SCPRS, require the user to create a new line on the reported transaction, for the change amount. The new line will contain the following additional information:</w:t>
      </w:r>
    </w:p>
    <w:p w:rsidR="00441C48" w:rsidRPr="00663F23" w:rsidRDefault="00441C48" w:rsidP="00AF6CD3">
      <w:pPr>
        <w:pStyle w:val="BlockText0"/>
        <w:numPr>
          <w:ilvl w:val="0"/>
          <w:numId w:val="27"/>
        </w:numPr>
        <w:ind w:left="1080"/>
        <w:rPr>
          <w:rFonts w:ascii="Arial" w:hAnsi="Arial" w:cs="Arial"/>
          <w:szCs w:val="24"/>
        </w:rPr>
      </w:pPr>
      <w:r w:rsidRPr="00663F23">
        <w:rPr>
          <w:rFonts w:ascii="Arial" w:hAnsi="Arial" w:cs="Arial"/>
          <w:szCs w:val="24"/>
        </w:rPr>
        <w:t>The item description will also include a brief explanation for what is being added or taken away</w:t>
      </w:r>
    </w:p>
    <w:p w:rsidR="00441C48" w:rsidRPr="00663F23" w:rsidRDefault="00441C48" w:rsidP="00AF6CD3">
      <w:pPr>
        <w:pStyle w:val="BlockText0"/>
        <w:numPr>
          <w:ilvl w:val="0"/>
          <w:numId w:val="27"/>
        </w:numPr>
        <w:ind w:left="1080"/>
        <w:rPr>
          <w:rFonts w:ascii="Arial" w:hAnsi="Arial" w:cs="Arial"/>
          <w:szCs w:val="24"/>
        </w:rPr>
      </w:pPr>
      <w:r w:rsidRPr="00663F23">
        <w:rPr>
          <w:rFonts w:ascii="Arial" w:hAnsi="Arial" w:cs="Arial"/>
          <w:szCs w:val="24"/>
        </w:rPr>
        <w:t>For decreases the line will be a negative amount where users must maintain an accurate Quantity and Unit Price amount</w:t>
      </w:r>
    </w:p>
    <w:p w:rsidR="00441C48" w:rsidRPr="00663F23" w:rsidRDefault="00441C48" w:rsidP="00AF6CD3">
      <w:pPr>
        <w:pStyle w:val="BlockText0"/>
        <w:numPr>
          <w:ilvl w:val="0"/>
          <w:numId w:val="27"/>
        </w:numPr>
        <w:ind w:left="1080"/>
        <w:rPr>
          <w:rFonts w:ascii="Arial" w:hAnsi="Arial" w:cs="Arial"/>
          <w:szCs w:val="24"/>
        </w:rPr>
      </w:pPr>
      <w:r w:rsidRPr="00663F23">
        <w:rPr>
          <w:rFonts w:ascii="Arial" w:hAnsi="Arial" w:cs="Arial"/>
          <w:szCs w:val="24"/>
        </w:rPr>
        <w:t>For increases the line will be a positive amount where users must maintain an accurate Quantity and Unit Price amount</w:t>
      </w:r>
    </w:p>
    <w:p w:rsidR="00441C48" w:rsidRPr="00663F23" w:rsidRDefault="00441C48" w:rsidP="00AF6CD3">
      <w:pPr>
        <w:pStyle w:val="BlockText0"/>
        <w:rPr>
          <w:rFonts w:ascii="Arial" w:hAnsi="Arial" w:cs="Arial"/>
          <w:szCs w:val="24"/>
        </w:rPr>
      </w:pPr>
    </w:p>
    <w:p w:rsidR="00441C48" w:rsidRPr="00663F23" w:rsidRDefault="00441C48" w:rsidP="007E1185">
      <w:pPr>
        <w:pStyle w:val="BlockText0"/>
        <w:spacing w:after="120"/>
        <w:rPr>
          <w:rFonts w:ascii="Arial" w:hAnsi="Arial" w:cs="Arial"/>
          <w:szCs w:val="24"/>
        </w:rPr>
      </w:pPr>
      <w:r w:rsidRPr="00663F23">
        <w:rPr>
          <w:rFonts w:ascii="Arial" w:hAnsi="Arial" w:cs="Arial"/>
          <w:szCs w:val="24"/>
        </w:rPr>
        <w:t>When the acquisition method for the amendment is different than the original transactions, buyers will be required to create a new procurement reporting transaction in FI$Cal SCPRS meeting the following conditions:</w:t>
      </w:r>
    </w:p>
    <w:p w:rsidR="00441C48" w:rsidRPr="00663F23" w:rsidRDefault="00441C48" w:rsidP="00AF6CD3">
      <w:pPr>
        <w:pStyle w:val="BlockText0"/>
        <w:numPr>
          <w:ilvl w:val="0"/>
          <w:numId w:val="28"/>
        </w:numPr>
        <w:rPr>
          <w:rFonts w:ascii="Arial" w:hAnsi="Arial" w:cs="Arial"/>
          <w:szCs w:val="24"/>
        </w:rPr>
      </w:pPr>
      <w:r w:rsidRPr="00663F23">
        <w:rPr>
          <w:rFonts w:ascii="Arial" w:hAnsi="Arial" w:cs="Arial"/>
          <w:szCs w:val="24"/>
        </w:rPr>
        <w:t xml:space="preserve">The new “Purchase Document #” must mirror the original agreement number where the suffix end in “- A” (dash A) for the new entry </w:t>
      </w:r>
    </w:p>
    <w:p w:rsidR="00441C48" w:rsidRPr="00663F23" w:rsidRDefault="00441C48" w:rsidP="00AF6CD3">
      <w:pPr>
        <w:pStyle w:val="BlockText0"/>
        <w:numPr>
          <w:ilvl w:val="0"/>
          <w:numId w:val="28"/>
        </w:numPr>
        <w:rPr>
          <w:rFonts w:ascii="Arial" w:hAnsi="Arial" w:cs="Arial"/>
          <w:szCs w:val="24"/>
        </w:rPr>
      </w:pPr>
      <w:r w:rsidRPr="00663F23">
        <w:rPr>
          <w:rFonts w:ascii="Arial" w:hAnsi="Arial" w:cs="Arial"/>
          <w:szCs w:val="24"/>
        </w:rPr>
        <w:t>Buyers will enter the previous transaction ID in either the “Comments” field</w:t>
      </w:r>
    </w:p>
    <w:p w:rsidR="00441C48" w:rsidRPr="00663F23" w:rsidRDefault="00441C48" w:rsidP="00AF6CD3">
      <w:pPr>
        <w:pStyle w:val="BlockText0"/>
        <w:numPr>
          <w:ilvl w:val="0"/>
          <w:numId w:val="28"/>
        </w:numPr>
        <w:rPr>
          <w:rFonts w:ascii="Arial" w:hAnsi="Arial" w:cs="Arial"/>
          <w:szCs w:val="24"/>
        </w:rPr>
      </w:pPr>
      <w:r w:rsidRPr="00663F23">
        <w:rPr>
          <w:rFonts w:ascii="Arial" w:hAnsi="Arial" w:cs="Arial"/>
          <w:szCs w:val="24"/>
        </w:rPr>
        <w:t>Buyers will attach a copy of all the original procurement documents in the “Add Comments and Attachments” link</w:t>
      </w:r>
    </w:p>
    <w:p w:rsidR="00441C48" w:rsidRPr="00663F23" w:rsidRDefault="00441C48" w:rsidP="00AF6CD3">
      <w:pPr>
        <w:pStyle w:val="BlockText0"/>
        <w:numPr>
          <w:ilvl w:val="0"/>
          <w:numId w:val="28"/>
        </w:numPr>
        <w:rPr>
          <w:rFonts w:ascii="Arial" w:hAnsi="Arial" w:cs="Arial"/>
          <w:szCs w:val="24"/>
        </w:rPr>
      </w:pPr>
      <w:r w:rsidRPr="00663F23">
        <w:rPr>
          <w:rFonts w:ascii="Arial" w:hAnsi="Arial" w:cs="Arial"/>
          <w:szCs w:val="24"/>
        </w:rPr>
        <w:t xml:space="preserve">Buyers will also include a brief description of the amendment again utilizing the “Add Comments and Attachments” link </w:t>
      </w:r>
    </w:p>
    <w:p w:rsidR="00441C48" w:rsidRPr="00663F23" w:rsidRDefault="00441C48" w:rsidP="00AF6CD3">
      <w:pPr>
        <w:pStyle w:val="BlockText0"/>
        <w:rPr>
          <w:rFonts w:ascii="Arial" w:hAnsi="Arial" w:cs="Arial"/>
          <w:szCs w:val="24"/>
        </w:rPr>
      </w:pPr>
    </w:p>
    <w:p w:rsidR="007E1185" w:rsidRPr="00663F23" w:rsidRDefault="00441C48" w:rsidP="007E1185">
      <w:pPr>
        <w:pStyle w:val="BlockText"/>
        <w:rPr>
          <w:szCs w:val="24"/>
        </w:rPr>
      </w:pPr>
      <w:r w:rsidRPr="00663F23">
        <w:rPr>
          <w:szCs w:val="24"/>
        </w:rPr>
        <w:t>Each time an Amendment</w:t>
      </w:r>
      <w:proofErr w:type="gramStart"/>
      <w:r w:rsidRPr="00663F23">
        <w:rPr>
          <w:szCs w:val="24"/>
        </w:rPr>
        <w:t>/”Change</w:t>
      </w:r>
      <w:proofErr w:type="gramEnd"/>
      <w:r w:rsidRPr="00663F23">
        <w:rPr>
          <w:szCs w:val="24"/>
        </w:rPr>
        <w:t xml:space="preserve"> Order” is made to an existing FI$Cal transaction prior to “Save” user will need to select the appropriate value from the “Change Order Reason” table and be given the option to add in the comments section a description of what amendment/change is being executed.</w:t>
      </w:r>
    </w:p>
    <w:p w:rsidR="007E1185" w:rsidRPr="00663F23" w:rsidRDefault="007E1185" w:rsidP="007E1185">
      <w:pPr>
        <w:pStyle w:val="BlockLine"/>
        <w:ind w:left="0"/>
        <w:rPr>
          <w:szCs w:val="24"/>
        </w:rPr>
      </w:pPr>
    </w:p>
    <w:p w:rsidR="007E1185" w:rsidRPr="00663F23" w:rsidRDefault="007E1185" w:rsidP="00AF6CD3">
      <w:pPr>
        <w:pStyle w:val="BlockText"/>
      </w:pPr>
    </w:p>
    <w:p w:rsidR="007E1185" w:rsidRPr="00663F23" w:rsidRDefault="007E1185">
      <w:pPr>
        <w:rPr>
          <w:b/>
          <w:sz w:val="32"/>
        </w:rPr>
      </w:pPr>
      <w:bookmarkStart w:id="102" w:name="_Toc514420326"/>
      <w:bookmarkStart w:id="103" w:name="_fs_wznI9SAJnkhYu1KiuD7Hg"/>
      <w:r w:rsidRPr="00663F23">
        <w:br w:type="page"/>
      </w:r>
    </w:p>
    <w:p w:rsidR="00FD103B" w:rsidRPr="00663F23" w:rsidRDefault="00FD103B" w:rsidP="005837CC">
      <w:pPr>
        <w:pStyle w:val="Heading4"/>
      </w:pPr>
      <w:bookmarkStart w:id="104" w:name="_Toc12963745"/>
      <w:r w:rsidRPr="00663F23">
        <w:lastRenderedPageBreak/>
        <w:t>Topic 4 – Special Category NCB Request (SCR)</w:t>
      </w:r>
      <w:bookmarkEnd w:id="102"/>
      <w:bookmarkEnd w:id="104"/>
    </w:p>
    <w:bookmarkEnd w:id="103"/>
    <w:p w:rsidR="00FD103B" w:rsidRPr="00663F23" w:rsidRDefault="00FD103B" w:rsidP="00532299">
      <w:pPr>
        <w:pStyle w:val="BlockLine"/>
        <w:ind w:left="0"/>
      </w:pPr>
    </w:p>
    <w:p w:rsidR="00611B09" w:rsidRPr="00663F23" w:rsidRDefault="00611B09" w:rsidP="00532299">
      <w:pPr>
        <w:pStyle w:val="Heading5"/>
        <w:spacing w:after="120"/>
        <w:rPr>
          <w:szCs w:val="24"/>
        </w:rPr>
      </w:pPr>
      <w:bookmarkStart w:id="105" w:name="_Toc514420327"/>
      <w:bookmarkStart w:id="106" w:name="_Toc12963746"/>
      <w:bookmarkStart w:id="107" w:name="_fs_tLM9Re6dUaW1Qgbyppo5Q" w:colFirst="0" w:colLast="0"/>
      <w:r w:rsidRPr="00663F23">
        <w:rPr>
          <w:szCs w:val="24"/>
        </w:rPr>
        <w:t>5.4.0</w:t>
      </w:r>
      <w:r w:rsidR="00087C56" w:rsidRPr="00663F23">
        <w:rPr>
          <w:szCs w:val="24"/>
        </w:rPr>
        <w:t xml:space="preserve"> </w:t>
      </w:r>
      <w:r w:rsidRPr="00663F23">
        <w:rPr>
          <w:szCs w:val="24"/>
        </w:rPr>
        <w:t>Special Category NCB Request Definition</w:t>
      </w:r>
      <w:bookmarkEnd w:id="105"/>
      <w:bookmarkEnd w:id="106"/>
    </w:p>
    <w:p w:rsidR="00611B09" w:rsidRPr="00663F23" w:rsidRDefault="00611B09" w:rsidP="00087C56">
      <w:pPr>
        <w:pStyle w:val="BlockText0"/>
        <w:rPr>
          <w:rFonts w:ascii="Arial" w:hAnsi="Arial" w:cs="Arial"/>
          <w:szCs w:val="24"/>
        </w:rPr>
      </w:pPr>
      <w:r w:rsidRPr="00663F23">
        <w:rPr>
          <w:rFonts w:ascii="Arial" w:hAnsi="Arial" w:cs="Arial"/>
          <w:szCs w:val="24"/>
        </w:rPr>
        <w:t>A Special Category NCB Request (SCR) represents categories for the purchase of goods or services necessary to achieve a department’s program objectives in a timely manner. DGS has determined in advance and in writing, that for a specific type of category of goods or services there is no viable competition, or that due to critical time requirements such competition cannot be completed by the exercise of reasonable efforts prior to the time such goods or services are required. In essence, an SCR could be viewed as a blanket (with parameters) for multiple NCBs approved all at once and utilized as necessary over a specified timeframe, instead of submitting repetitive stand-alone NCBs for the goods and services.</w:t>
      </w:r>
    </w:p>
    <w:p w:rsidR="00087C56" w:rsidRPr="00663F23" w:rsidRDefault="00087C56" w:rsidP="00087C56">
      <w:pPr>
        <w:pStyle w:val="BlockText0"/>
        <w:rPr>
          <w:rFonts w:ascii="Arial" w:hAnsi="Arial" w:cs="Arial"/>
          <w:b/>
        </w:rPr>
      </w:pPr>
    </w:p>
    <w:p w:rsidR="00611B09" w:rsidRPr="00663F23" w:rsidRDefault="00611B09" w:rsidP="00AD5BBE">
      <w:pPr>
        <w:pStyle w:val="TableParagraph"/>
        <w:tabs>
          <w:tab w:val="left" w:pos="3967"/>
        </w:tabs>
        <w:ind w:left="29" w:right="1512"/>
        <w:rPr>
          <w:rFonts w:ascii="Arial" w:hAnsi="Arial" w:cs="Arial"/>
        </w:rPr>
      </w:pPr>
      <w:r w:rsidRPr="00663F23">
        <w:rPr>
          <w:rFonts w:ascii="Arial" w:hAnsi="Arial" w:cs="Arial"/>
        </w:rPr>
        <w:t>All SCRs must use the Special Category NCB Request form.</w:t>
      </w:r>
    </w:p>
    <w:p w:rsidR="00611B09" w:rsidRPr="00663F23" w:rsidRDefault="00611B09" w:rsidP="00AD5BBE">
      <w:pPr>
        <w:pStyle w:val="TableParagraph"/>
        <w:tabs>
          <w:tab w:val="left" w:pos="3967"/>
        </w:tabs>
        <w:ind w:left="29" w:right="1512"/>
        <w:rPr>
          <w:rFonts w:ascii="Arial" w:hAnsi="Arial" w:cs="Arial"/>
        </w:rPr>
      </w:pPr>
      <w:r w:rsidRPr="00663F23">
        <w:rPr>
          <w:rFonts w:ascii="Arial" w:hAnsi="Arial" w:cs="Arial"/>
        </w:rPr>
        <w:t xml:space="preserve"> </w:t>
      </w:r>
    </w:p>
    <w:p w:rsidR="00BC5723" w:rsidRPr="00663F23" w:rsidRDefault="00611B09" w:rsidP="00AF6CD3">
      <w:pPr>
        <w:pStyle w:val="TableParagraph"/>
        <w:tabs>
          <w:tab w:val="left" w:pos="3967"/>
        </w:tabs>
        <w:spacing w:line="477" w:lineRule="auto"/>
        <w:ind w:left="28" w:right="1749"/>
        <w:rPr>
          <w:rFonts w:ascii="Arial" w:hAnsi="Arial" w:cs="Arial"/>
          <w:spacing w:val="58"/>
        </w:rPr>
      </w:pPr>
      <w:r w:rsidRPr="00663F23">
        <w:rPr>
          <w:rFonts w:ascii="Arial" w:hAnsi="Arial" w:cs="Arial"/>
        </w:rPr>
        <w:t>Click here to access the</w:t>
      </w:r>
      <w:r w:rsidRPr="00663F23">
        <w:rPr>
          <w:rFonts w:ascii="Arial" w:hAnsi="Arial" w:cs="Arial"/>
          <w:spacing w:val="-7"/>
        </w:rPr>
        <w:t xml:space="preserve"> </w:t>
      </w:r>
      <w:r w:rsidRPr="00663F23">
        <w:rPr>
          <w:rFonts w:ascii="Arial" w:hAnsi="Arial" w:cs="Arial"/>
        </w:rPr>
        <w:t>SCR</w:t>
      </w:r>
      <w:r w:rsidR="00BC5723" w:rsidRPr="00663F23">
        <w:rPr>
          <w:rFonts w:ascii="Arial" w:hAnsi="Arial" w:cs="Arial"/>
        </w:rPr>
        <w:t>:</w:t>
      </w:r>
    </w:p>
    <w:p w:rsidR="00611B09" w:rsidRPr="00BF4A6E" w:rsidRDefault="00051065" w:rsidP="00BF4A6E">
      <w:pPr>
        <w:pStyle w:val="TableParagraph"/>
        <w:tabs>
          <w:tab w:val="left" w:pos="3967"/>
        </w:tabs>
        <w:spacing w:line="477" w:lineRule="auto"/>
        <w:ind w:left="28" w:right="1749"/>
        <w:rPr>
          <w:rFonts w:ascii="Arial" w:hAnsi="Arial" w:cs="Arial"/>
          <w:color w:val="0000FF"/>
          <w:u w:val="single" w:color="0000FF"/>
        </w:rPr>
      </w:pPr>
      <w:hyperlink r:id="rId11">
        <w:r w:rsidR="00611B09" w:rsidRPr="00663F23">
          <w:rPr>
            <w:rFonts w:ascii="Arial" w:hAnsi="Arial" w:cs="Arial"/>
            <w:color w:val="0000FF"/>
            <w:u w:val="single" w:color="0000FF"/>
          </w:rPr>
          <w:t>Word</w:t>
        </w:r>
      </w:hyperlink>
      <w:r w:rsidR="00BC5723" w:rsidRPr="00663F23">
        <w:rPr>
          <w:rFonts w:ascii="Arial" w:hAnsi="Arial" w:cs="Arial"/>
          <w:color w:val="0000FF"/>
          <w:u w:val="single" w:color="0000FF"/>
        </w:rPr>
        <w:t xml:space="preserve"> </w:t>
      </w:r>
    </w:p>
    <w:p w:rsidR="00611B09" w:rsidRPr="00663F23" w:rsidRDefault="00611B09" w:rsidP="005837CC">
      <w:pPr>
        <w:pStyle w:val="BlockText"/>
        <w:rPr>
          <w:szCs w:val="24"/>
        </w:rPr>
      </w:pPr>
      <w:r w:rsidRPr="00663F23">
        <w:rPr>
          <w:szCs w:val="24"/>
        </w:rPr>
        <w:t>Refer to Topic 1 of this chapter for approval signature requirements.</w:t>
      </w:r>
    </w:p>
    <w:bookmarkEnd w:id="107"/>
    <w:p w:rsidR="00FD103B" w:rsidRPr="00663F23" w:rsidRDefault="00FD103B" w:rsidP="00B55196">
      <w:pPr>
        <w:pStyle w:val="BlockLine"/>
        <w:ind w:left="0"/>
        <w:rPr>
          <w:szCs w:val="24"/>
        </w:rPr>
      </w:pPr>
    </w:p>
    <w:p w:rsidR="00611B09" w:rsidRPr="00663F23" w:rsidRDefault="00611B09" w:rsidP="00B55196">
      <w:pPr>
        <w:pStyle w:val="Heading5"/>
        <w:spacing w:after="120"/>
        <w:rPr>
          <w:szCs w:val="24"/>
        </w:rPr>
      </w:pPr>
      <w:bookmarkStart w:id="108" w:name="_Toc514420328"/>
      <w:bookmarkStart w:id="109" w:name="_Toc12963747"/>
      <w:bookmarkStart w:id="110" w:name="_fs_EBDtAm7OQku66zWMPbiAsw" w:colFirst="0" w:colLast="0"/>
      <w:r w:rsidRPr="00663F23">
        <w:rPr>
          <w:szCs w:val="24"/>
        </w:rPr>
        <w:t>5.4.1 Individual SCR for Each Category</w:t>
      </w:r>
      <w:bookmarkEnd w:id="108"/>
      <w:bookmarkEnd w:id="109"/>
    </w:p>
    <w:p w:rsidR="00611B09" w:rsidRPr="00663F23" w:rsidRDefault="00611B09" w:rsidP="005837CC">
      <w:pPr>
        <w:pStyle w:val="BlockText"/>
        <w:rPr>
          <w:szCs w:val="24"/>
        </w:rPr>
      </w:pPr>
      <w:r w:rsidRPr="00663F23">
        <w:rPr>
          <w:szCs w:val="24"/>
        </w:rPr>
        <w:t xml:space="preserve">An SCR must be completed and approved for </w:t>
      </w:r>
      <w:r w:rsidRPr="00663F23">
        <w:rPr>
          <w:szCs w:val="24"/>
          <w:u w:val="single"/>
        </w:rPr>
        <w:t>each</w:t>
      </w:r>
      <w:r w:rsidRPr="00663F23">
        <w:rPr>
          <w:szCs w:val="24"/>
        </w:rPr>
        <w:t xml:space="preserve"> category of non-IT Goods, being requested and submitted to DGS/PD for consideration and approval.</w:t>
      </w:r>
    </w:p>
    <w:p w:rsidR="00611B09" w:rsidRPr="00663F23" w:rsidRDefault="00611B09" w:rsidP="005837CC">
      <w:pPr>
        <w:pStyle w:val="BlockText"/>
        <w:rPr>
          <w:szCs w:val="24"/>
        </w:rPr>
      </w:pPr>
    </w:p>
    <w:p w:rsidR="00611B09" w:rsidRPr="00663F23" w:rsidRDefault="00611B09" w:rsidP="005837CC">
      <w:pPr>
        <w:pStyle w:val="BlockText"/>
        <w:ind w:left="672" w:hanging="672"/>
        <w:rPr>
          <w:szCs w:val="24"/>
        </w:rPr>
      </w:pPr>
      <w:r w:rsidRPr="00663F23">
        <w:rPr>
          <w:b/>
          <w:szCs w:val="24"/>
        </w:rPr>
        <w:t>Note</w:t>
      </w:r>
      <w:r w:rsidRPr="00663F23">
        <w:rPr>
          <w:szCs w:val="24"/>
        </w:rPr>
        <w:t>: The SCR form is not to be used for emergencies, nor is it to be used to aggregate requests on behalf of other departments.</w:t>
      </w:r>
    </w:p>
    <w:bookmarkEnd w:id="110"/>
    <w:p w:rsidR="00FD103B" w:rsidRPr="00663F23" w:rsidRDefault="00FD103B" w:rsidP="00B55196">
      <w:pPr>
        <w:pStyle w:val="BlockLine"/>
        <w:ind w:left="0"/>
        <w:rPr>
          <w:szCs w:val="24"/>
        </w:rPr>
      </w:pPr>
    </w:p>
    <w:p w:rsidR="00611B09" w:rsidRPr="00663F23" w:rsidRDefault="00611B09" w:rsidP="00B55196">
      <w:pPr>
        <w:pStyle w:val="Heading5"/>
        <w:spacing w:after="120"/>
        <w:rPr>
          <w:szCs w:val="24"/>
        </w:rPr>
      </w:pPr>
      <w:bookmarkStart w:id="111" w:name="_Toc511223494"/>
      <w:bookmarkStart w:id="112" w:name="_Toc514420329"/>
      <w:bookmarkStart w:id="113" w:name="_Toc12963748"/>
      <w:bookmarkStart w:id="114" w:name="_fs_rzNx2TkLM0idNSbRfukjA" w:colFirst="0" w:colLast="0"/>
      <w:r w:rsidRPr="00663F23">
        <w:rPr>
          <w:szCs w:val="24"/>
        </w:rPr>
        <w:t xml:space="preserve">5.4.2 SCR Dollar Threshold and </w:t>
      </w:r>
      <w:bookmarkEnd w:id="111"/>
      <w:r w:rsidRPr="00663F23">
        <w:rPr>
          <w:szCs w:val="24"/>
        </w:rPr>
        <w:t>Duration</w:t>
      </w:r>
      <w:bookmarkEnd w:id="112"/>
      <w:bookmarkEnd w:id="113"/>
    </w:p>
    <w:p w:rsidR="00611B09" w:rsidRPr="00663F23" w:rsidRDefault="00611B09" w:rsidP="00321351">
      <w:pPr>
        <w:pStyle w:val="TableParagraph"/>
        <w:ind w:left="28" w:right="164"/>
        <w:rPr>
          <w:rFonts w:ascii="Arial" w:hAnsi="Arial" w:cs="Arial"/>
        </w:rPr>
      </w:pPr>
      <w:r w:rsidRPr="00663F23">
        <w:rPr>
          <w:rFonts w:ascii="Arial" w:hAnsi="Arial" w:cs="Arial"/>
        </w:rPr>
        <w:t>All SCRs have a maximum authorized dollar limit and a maximum “window of approval” not to exceed three (3) calendar years from the date of DGS/PD approval unless renewed by submission of a new SCR. The expiration date is identified in the box labeled “For DGS Use only” on the SCR</w:t>
      </w:r>
      <w:r w:rsidRPr="00663F23">
        <w:rPr>
          <w:rFonts w:ascii="Arial" w:hAnsi="Arial" w:cs="Arial"/>
          <w:spacing w:val="-12"/>
        </w:rPr>
        <w:t xml:space="preserve"> </w:t>
      </w:r>
      <w:r w:rsidRPr="00663F23">
        <w:rPr>
          <w:rFonts w:ascii="Arial" w:hAnsi="Arial" w:cs="Arial"/>
        </w:rPr>
        <w:t>form.</w:t>
      </w:r>
    </w:p>
    <w:p w:rsidR="00611B09" w:rsidRPr="00663F23" w:rsidRDefault="00611B09" w:rsidP="00321351">
      <w:pPr>
        <w:pStyle w:val="TableParagraph"/>
        <w:ind w:left="28" w:right="164"/>
        <w:rPr>
          <w:rFonts w:ascii="Arial" w:hAnsi="Arial" w:cs="Arial"/>
        </w:rPr>
      </w:pPr>
    </w:p>
    <w:p w:rsidR="00611B09" w:rsidRPr="00663F23" w:rsidRDefault="00611B09" w:rsidP="00321351">
      <w:pPr>
        <w:pStyle w:val="TableParagraph"/>
        <w:ind w:left="28" w:right="164"/>
        <w:rPr>
          <w:rFonts w:ascii="Arial" w:hAnsi="Arial" w:cs="Arial"/>
        </w:rPr>
      </w:pPr>
      <w:r w:rsidRPr="00663F23">
        <w:rPr>
          <w:rFonts w:ascii="Arial" w:hAnsi="Arial" w:cs="Arial"/>
        </w:rPr>
        <w:t xml:space="preserve">Example: A department submits an SCR for eight (8) $1,000.00 purchases per year over a three (3) year period for a maximum of $24,000.00. The SCR cannot exceed $24,000.00. </w:t>
      </w:r>
    </w:p>
    <w:p w:rsidR="00611B09" w:rsidRPr="00663F23" w:rsidRDefault="00611B09" w:rsidP="00321351">
      <w:pPr>
        <w:pStyle w:val="TableParagraph"/>
        <w:ind w:left="28" w:right="164"/>
        <w:rPr>
          <w:rFonts w:ascii="Arial" w:hAnsi="Arial" w:cs="Arial"/>
        </w:rPr>
      </w:pPr>
    </w:p>
    <w:p w:rsidR="00611B09" w:rsidRPr="00663F23" w:rsidRDefault="00611B09" w:rsidP="00321351">
      <w:pPr>
        <w:pStyle w:val="BlockText"/>
        <w:rPr>
          <w:szCs w:val="24"/>
        </w:rPr>
      </w:pPr>
      <w:r w:rsidRPr="00663F23">
        <w:rPr>
          <w:b/>
          <w:szCs w:val="24"/>
        </w:rPr>
        <w:t>Note:</w:t>
      </w:r>
      <w:r w:rsidRPr="00663F23">
        <w:rPr>
          <w:szCs w:val="24"/>
        </w:rPr>
        <w:t xml:space="preserve"> SCRs must be re-requested 45 days prior to expiration, as they cannot be amended.</w:t>
      </w:r>
    </w:p>
    <w:bookmarkEnd w:id="114"/>
    <w:p w:rsidR="00FD103B" w:rsidRPr="00663F23" w:rsidRDefault="00FD103B" w:rsidP="00B55196">
      <w:pPr>
        <w:pStyle w:val="BlockLine"/>
        <w:ind w:left="0"/>
        <w:rPr>
          <w:szCs w:val="24"/>
        </w:rPr>
      </w:pPr>
    </w:p>
    <w:p w:rsidR="00611B09" w:rsidRPr="00663F23" w:rsidRDefault="00611B09" w:rsidP="00B55196">
      <w:pPr>
        <w:pStyle w:val="Heading5"/>
        <w:spacing w:after="120"/>
        <w:rPr>
          <w:szCs w:val="24"/>
        </w:rPr>
      </w:pPr>
      <w:bookmarkStart w:id="115" w:name="_Toc511223495"/>
      <w:bookmarkStart w:id="116" w:name="_Toc514420330"/>
      <w:bookmarkStart w:id="117" w:name="_Toc12963749"/>
      <w:bookmarkStart w:id="118" w:name="_fs_mSthFe5jnkudVHiD6dlQtw" w:colFirst="0" w:colLast="0"/>
      <w:r w:rsidRPr="00663F23">
        <w:rPr>
          <w:szCs w:val="24"/>
        </w:rPr>
        <w:t xml:space="preserve">5.4.3 SCR </w:t>
      </w:r>
      <w:bookmarkEnd w:id="115"/>
      <w:r w:rsidRPr="00663F23">
        <w:rPr>
          <w:szCs w:val="24"/>
        </w:rPr>
        <w:t>Reference Number Assigned</w:t>
      </w:r>
      <w:bookmarkEnd w:id="116"/>
      <w:bookmarkEnd w:id="117"/>
    </w:p>
    <w:p w:rsidR="00611B09" w:rsidRPr="00663F23" w:rsidRDefault="00611B09" w:rsidP="00CB28D9">
      <w:pPr>
        <w:rPr>
          <w:szCs w:val="24"/>
        </w:rPr>
      </w:pPr>
      <w:r w:rsidRPr="00663F23">
        <w:rPr>
          <w:szCs w:val="24"/>
        </w:rPr>
        <w:lastRenderedPageBreak/>
        <w:t xml:space="preserve">Each approved SCR will be assigned an SCR reference number by DGS/PD. This SCR number must be recorded on any purchase order executed under the SCR approval. This is </w:t>
      </w:r>
      <w:r w:rsidRPr="00663F23">
        <w:rPr>
          <w:szCs w:val="24"/>
          <w:u w:val="single"/>
        </w:rPr>
        <w:t xml:space="preserve">in addition </w:t>
      </w:r>
      <w:r w:rsidRPr="00663F23">
        <w:rPr>
          <w:szCs w:val="24"/>
        </w:rPr>
        <w:t>to the department’s approved purchasing authority number.</w:t>
      </w:r>
    </w:p>
    <w:bookmarkEnd w:id="118"/>
    <w:p w:rsidR="00FD103B" w:rsidRPr="00663F23" w:rsidRDefault="00FD103B" w:rsidP="00B55196">
      <w:pPr>
        <w:pStyle w:val="BlockLine"/>
        <w:ind w:left="0"/>
        <w:rPr>
          <w:szCs w:val="24"/>
        </w:rPr>
      </w:pPr>
    </w:p>
    <w:p w:rsidR="00B55196" w:rsidRPr="00663F23" w:rsidRDefault="00B55196" w:rsidP="00B55196">
      <w:pPr>
        <w:pStyle w:val="Heading5"/>
        <w:spacing w:after="120"/>
        <w:rPr>
          <w:szCs w:val="24"/>
        </w:rPr>
      </w:pPr>
      <w:bookmarkStart w:id="119" w:name="_Toc12963750"/>
      <w:r w:rsidRPr="00663F23">
        <w:rPr>
          <w:szCs w:val="24"/>
        </w:rPr>
        <w:t>5.4.4 Executing the Purchase</w:t>
      </w:r>
      <w:bookmarkEnd w:id="119"/>
    </w:p>
    <w:p w:rsidR="00B55196" w:rsidRPr="00663F23" w:rsidRDefault="00B55196" w:rsidP="00B55196">
      <w:r w:rsidRPr="00663F23">
        <w:t>Departments with purchasing authority may proceed with execution of purchase documents in accordance with an approved SCR.</w:t>
      </w:r>
    </w:p>
    <w:p w:rsidR="00B55196" w:rsidRPr="00663F23" w:rsidRDefault="00B55196" w:rsidP="00B55196"/>
    <w:p w:rsidR="00611B09" w:rsidRPr="00663F23" w:rsidRDefault="00611B09" w:rsidP="00B55196">
      <w:bookmarkStart w:id="120" w:name="_fs_LM4IPNvWGkiSWHfnYGTA3g" w:colFirst="0" w:colLast="0"/>
      <w:r w:rsidRPr="00663F23">
        <w:t>DGS/PD must execute all approved SCR purchase documents for departments without purchasing authority and for transactions exceeding a department’s purchasing authority. In these instances, the requesting department will submit purchase requests on a Purchase Estimate (STD.66) for non-IT goods and by submitting a memo to DGS/PD/OTA.</w:t>
      </w:r>
    </w:p>
    <w:p w:rsidR="00B55196" w:rsidRPr="00663F23" w:rsidRDefault="00B55196" w:rsidP="00B55196">
      <w:pPr>
        <w:rPr>
          <w:b/>
          <w:szCs w:val="24"/>
        </w:rPr>
      </w:pPr>
    </w:p>
    <w:p w:rsidR="00611B09" w:rsidRPr="00663F23" w:rsidRDefault="00611B09" w:rsidP="00321351">
      <w:pPr>
        <w:pStyle w:val="BlockText"/>
        <w:framePr w:hSpace="180" w:wrap="around" w:vAnchor="text" w:hAnchor="margin" w:y="2"/>
        <w:ind w:left="672" w:hanging="672"/>
        <w:rPr>
          <w:szCs w:val="24"/>
        </w:rPr>
      </w:pPr>
      <w:r w:rsidRPr="00663F23">
        <w:rPr>
          <w:b/>
          <w:szCs w:val="24"/>
        </w:rPr>
        <w:t xml:space="preserve">Note: </w:t>
      </w:r>
      <w:r w:rsidRPr="00663F23">
        <w:rPr>
          <w:szCs w:val="24"/>
        </w:rPr>
        <w:t>Unless otherwise required by a department’s internal process, transactions placed against an approved SCR do not require approval signature on the purchase document by the Department’s Director and Agency Secretary or immediate next ranking official since these signatures are obtained during the initial SCR approval</w:t>
      </w:r>
      <w:r w:rsidRPr="00663F23">
        <w:rPr>
          <w:spacing w:val="-27"/>
          <w:szCs w:val="24"/>
        </w:rPr>
        <w:t xml:space="preserve"> </w:t>
      </w:r>
      <w:r w:rsidRPr="00663F23">
        <w:rPr>
          <w:szCs w:val="24"/>
        </w:rPr>
        <w:t>process.</w:t>
      </w:r>
    </w:p>
    <w:bookmarkEnd w:id="120"/>
    <w:p w:rsidR="00FD103B" w:rsidRPr="00663F23" w:rsidRDefault="00FD103B" w:rsidP="00B55196">
      <w:pPr>
        <w:pStyle w:val="BlockLine"/>
        <w:ind w:left="0"/>
        <w:rPr>
          <w:szCs w:val="24"/>
        </w:rPr>
      </w:pPr>
    </w:p>
    <w:p w:rsidR="00611B09" w:rsidRPr="00663F23" w:rsidRDefault="00611B09" w:rsidP="00B55196">
      <w:pPr>
        <w:pStyle w:val="Heading5"/>
        <w:spacing w:after="120"/>
        <w:rPr>
          <w:szCs w:val="24"/>
        </w:rPr>
      </w:pPr>
      <w:bookmarkStart w:id="121" w:name="_Toc514420332"/>
      <w:bookmarkStart w:id="122" w:name="_Toc12963751"/>
      <w:bookmarkStart w:id="123" w:name="_fs_n107jVtwbU26hs4hQgyQJQ" w:colFirst="0" w:colLast="0"/>
      <w:r w:rsidRPr="00663F23">
        <w:rPr>
          <w:szCs w:val="24"/>
        </w:rPr>
        <w:t>5.4.5</w:t>
      </w:r>
      <w:r w:rsidR="00087C56" w:rsidRPr="00663F23">
        <w:rPr>
          <w:szCs w:val="24"/>
        </w:rPr>
        <w:t xml:space="preserve"> </w:t>
      </w:r>
      <w:r w:rsidRPr="00663F23">
        <w:rPr>
          <w:szCs w:val="24"/>
        </w:rPr>
        <w:t>Tracking Purchases</w:t>
      </w:r>
      <w:bookmarkEnd w:id="121"/>
      <w:bookmarkEnd w:id="122"/>
    </w:p>
    <w:p w:rsidR="00611B09" w:rsidRPr="00663F23" w:rsidRDefault="00611B09" w:rsidP="00321351">
      <w:pPr>
        <w:rPr>
          <w:szCs w:val="24"/>
        </w:rPr>
      </w:pPr>
      <w:r w:rsidRPr="00663F23">
        <w:rPr>
          <w:szCs w:val="24"/>
        </w:rPr>
        <w:t>Departments must track all SCR purchase documents executed under an approved SCR authority, including transactions processed on a purchase estimate by DGS, and provide reports to DGS/PD as requested.</w:t>
      </w:r>
    </w:p>
    <w:p w:rsidR="00611B09" w:rsidRPr="00663F23" w:rsidRDefault="00611B09" w:rsidP="00321351">
      <w:pPr>
        <w:rPr>
          <w:b/>
          <w:szCs w:val="24"/>
        </w:rPr>
      </w:pPr>
    </w:p>
    <w:p w:rsidR="00611B09" w:rsidRPr="00663F23" w:rsidRDefault="00611B09" w:rsidP="00321351">
      <w:pPr>
        <w:rPr>
          <w:szCs w:val="24"/>
        </w:rPr>
      </w:pPr>
      <w:r w:rsidRPr="00663F23">
        <w:rPr>
          <w:szCs w:val="24"/>
        </w:rPr>
        <w:t>Information to be tracked will include, at a minimum, the following:</w:t>
      </w:r>
    </w:p>
    <w:p w:rsidR="00611B09" w:rsidRPr="00663F23" w:rsidRDefault="00611B09" w:rsidP="00321351">
      <w:pPr>
        <w:rPr>
          <w:szCs w:val="24"/>
        </w:rPr>
      </w:pPr>
    </w:p>
    <w:p w:rsidR="00611B09" w:rsidRPr="00663F23" w:rsidRDefault="00611B09" w:rsidP="00B55196">
      <w:pPr>
        <w:numPr>
          <w:ilvl w:val="0"/>
          <w:numId w:val="32"/>
        </w:numPr>
        <w:ind w:left="360"/>
        <w:rPr>
          <w:szCs w:val="24"/>
        </w:rPr>
      </w:pPr>
      <w:r w:rsidRPr="00663F23">
        <w:rPr>
          <w:szCs w:val="24"/>
        </w:rPr>
        <w:t>Special Category (SCR) approval number issued by DGS/PD,</w:t>
      </w:r>
    </w:p>
    <w:p w:rsidR="00611B09" w:rsidRPr="00663F23" w:rsidRDefault="00611B09" w:rsidP="00B55196">
      <w:pPr>
        <w:numPr>
          <w:ilvl w:val="0"/>
          <w:numId w:val="32"/>
        </w:numPr>
        <w:ind w:left="360"/>
        <w:rPr>
          <w:szCs w:val="24"/>
        </w:rPr>
      </w:pPr>
      <w:r w:rsidRPr="00663F23">
        <w:rPr>
          <w:szCs w:val="24"/>
        </w:rPr>
        <w:t>Purchase order number issued by DGS and/or agency order number (STD.65),</w:t>
      </w:r>
    </w:p>
    <w:p w:rsidR="00611B09" w:rsidRPr="00663F23" w:rsidRDefault="00611B09" w:rsidP="00B55196">
      <w:pPr>
        <w:numPr>
          <w:ilvl w:val="0"/>
          <w:numId w:val="32"/>
        </w:numPr>
        <w:ind w:left="360"/>
        <w:rPr>
          <w:szCs w:val="24"/>
        </w:rPr>
      </w:pPr>
      <w:r w:rsidRPr="00663F23">
        <w:rPr>
          <w:szCs w:val="24"/>
        </w:rPr>
        <w:t>Dates of</w:t>
      </w:r>
      <w:r w:rsidRPr="00663F23">
        <w:rPr>
          <w:spacing w:val="-6"/>
          <w:szCs w:val="24"/>
        </w:rPr>
        <w:t xml:space="preserve"> </w:t>
      </w:r>
      <w:r w:rsidRPr="00663F23">
        <w:rPr>
          <w:szCs w:val="24"/>
        </w:rPr>
        <w:t>transactions,</w:t>
      </w:r>
    </w:p>
    <w:p w:rsidR="00611B09" w:rsidRPr="00663F23" w:rsidRDefault="00611B09" w:rsidP="00B55196">
      <w:pPr>
        <w:numPr>
          <w:ilvl w:val="0"/>
          <w:numId w:val="32"/>
        </w:numPr>
        <w:ind w:left="360"/>
        <w:rPr>
          <w:szCs w:val="24"/>
        </w:rPr>
      </w:pPr>
      <w:r w:rsidRPr="00663F23">
        <w:rPr>
          <w:szCs w:val="24"/>
        </w:rPr>
        <w:t>Dollar amounts of</w:t>
      </w:r>
      <w:r w:rsidRPr="00663F23">
        <w:rPr>
          <w:spacing w:val="-11"/>
          <w:szCs w:val="24"/>
        </w:rPr>
        <w:t xml:space="preserve"> </w:t>
      </w:r>
      <w:r w:rsidRPr="00663F23">
        <w:rPr>
          <w:szCs w:val="24"/>
        </w:rPr>
        <w:t>transactions.</w:t>
      </w:r>
    </w:p>
    <w:p w:rsidR="00611B09" w:rsidRPr="00663F23" w:rsidRDefault="00611B09" w:rsidP="00B55196">
      <w:pPr>
        <w:numPr>
          <w:ilvl w:val="0"/>
          <w:numId w:val="32"/>
        </w:numPr>
        <w:ind w:left="360"/>
        <w:rPr>
          <w:szCs w:val="24"/>
        </w:rPr>
      </w:pPr>
      <w:r w:rsidRPr="00663F23">
        <w:rPr>
          <w:szCs w:val="24"/>
        </w:rPr>
        <w:t>Supplier</w:t>
      </w:r>
      <w:r w:rsidRPr="00663F23">
        <w:rPr>
          <w:spacing w:val="-8"/>
          <w:szCs w:val="24"/>
        </w:rPr>
        <w:t xml:space="preserve"> </w:t>
      </w:r>
      <w:r w:rsidRPr="00663F23">
        <w:rPr>
          <w:szCs w:val="24"/>
        </w:rPr>
        <w:t>names.</w:t>
      </w:r>
    </w:p>
    <w:bookmarkEnd w:id="123"/>
    <w:p w:rsidR="00FD103B" w:rsidRPr="00663F23" w:rsidRDefault="00FD103B" w:rsidP="00B55196">
      <w:pPr>
        <w:pStyle w:val="BlockLine"/>
        <w:ind w:left="0"/>
        <w:rPr>
          <w:szCs w:val="24"/>
        </w:rPr>
      </w:pPr>
    </w:p>
    <w:p w:rsidR="00611B09" w:rsidRPr="00663F23" w:rsidRDefault="00611B09" w:rsidP="00B55196">
      <w:pPr>
        <w:pStyle w:val="Heading5"/>
        <w:spacing w:after="120"/>
        <w:rPr>
          <w:szCs w:val="24"/>
        </w:rPr>
      </w:pPr>
      <w:bookmarkStart w:id="124" w:name="_Toc514420333"/>
      <w:bookmarkStart w:id="125" w:name="_Toc12963752"/>
      <w:bookmarkStart w:id="126" w:name="_fs_RU0nx5dz3U6OZUUmC4QP6Q" w:colFirst="0" w:colLast="0"/>
      <w:r w:rsidRPr="00663F23">
        <w:rPr>
          <w:szCs w:val="24"/>
        </w:rPr>
        <w:t>5.4.6</w:t>
      </w:r>
      <w:r w:rsidR="00087C56" w:rsidRPr="00663F23">
        <w:rPr>
          <w:szCs w:val="24"/>
        </w:rPr>
        <w:t xml:space="preserve"> </w:t>
      </w:r>
      <w:r w:rsidRPr="00663F23">
        <w:rPr>
          <w:szCs w:val="24"/>
        </w:rPr>
        <w:t>SCR Usage Oversight</w:t>
      </w:r>
      <w:bookmarkEnd w:id="124"/>
      <w:bookmarkEnd w:id="125"/>
    </w:p>
    <w:p w:rsidR="00611B09" w:rsidRPr="00663F23" w:rsidRDefault="00611B09" w:rsidP="005052B5">
      <w:pPr>
        <w:pStyle w:val="BlockText"/>
        <w:rPr>
          <w:szCs w:val="24"/>
        </w:rPr>
      </w:pPr>
      <w:r w:rsidRPr="00663F23">
        <w:rPr>
          <w:szCs w:val="24"/>
        </w:rPr>
        <w:t>Purchase documents executed under an approved SCR may be reviewed during the department’s triennial accreditation process.</w:t>
      </w:r>
    </w:p>
    <w:bookmarkEnd w:id="126"/>
    <w:p w:rsidR="00FD103B" w:rsidRPr="00663F23" w:rsidRDefault="00FD103B" w:rsidP="00B55196">
      <w:pPr>
        <w:pStyle w:val="BlockLine"/>
        <w:ind w:left="0"/>
      </w:pPr>
    </w:p>
    <w:p w:rsidR="00611B09" w:rsidRPr="00663F23" w:rsidRDefault="00611B09">
      <w:pPr>
        <w:rPr>
          <w:b/>
          <w:sz w:val="32"/>
        </w:rPr>
      </w:pPr>
      <w:bookmarkStart w:id="127" w:name="_Toc514420334"/>
      <w:bookmarkStart w:id="128" w:name="_fs_avJYljgESlgmaV0JPaww"/>
      <w:r w:rsidRPr="00663F23">
        <w:br w:type="page"/>
      </w:r>
    </w:p>
    <w:p w:rsidR="00FD103B" w:rsidRPr="00663F23" w:rsidRDefault="00FD103B" w:rsidP="005837CC">
      <w:pPr>
        <w:pStyle w:val="Heading4"/>
      </w:pPr>
      <w:bookmarkStart w:id="129" w:name="_Toc12963753"/>
      <w:r w:rsidRPr="00663F23">
        <w:lastRenderedPageBreak/>
        <w:t>Topic 5 – Purchases Exempt from the NCB Process</w:t>
      </w:r>
      <w:bookmarkEnd w:id="127"/>
      <w:bookmarkEnd w:id="129"/>
    </w:p>
    <w:bookmarkEnd w:id="128"/>
    <w:p w:rsidR="00FD103B" w:rsidRPr="00663F23" w:rsidRDefault="00FD103B" w:rsidP="00FC1D5F">
      <w:pPr>
        <w:pStyle w:val="BlockLine"/>
        <w:ind w:left="0"/>
      </w:pPr>
    </w:p>
    <w:p w:rsidR="00FC1D5F" w:rsidRPr="00663F23" w:rsidRDefault="00FC1D5F" w:rsidP="00FC1D5F">
      <w:pPr>
        <w:pStyle w:val="Heading5"/>
        <w:spacing w:after="120"/>
        <w:rPr>
          <w:szCs w:val="24"/>
        </w:rPr>
      </w:pPr>
      <w:bookmarkStart w:id="130" w:name="_Toc514420335"/>
      <w:bookmarkStart w:id="131" w:name="_Toc12963754"/>
      <w:bookmarkStart w:id="132" w:name="_fs_OUkItXg9wUGLrVuivEmsSA" w:colFirst="0" w:colLast="0"/>
      <w:r w:rsidRPr="00663F23">
        <w:rPr>
          <w:szCs w:val="24"/>
        </w:rPr>
        <w:t>5.5.0</w:t>
      </w:r>
      <w:r w:rsidR="00087C56" w:rsidRPr="00663F23">
        <w:rPr>
          <w:szCs w:val="24"/>
        </w:rPr>
        <w:t xml:space="preserve"> </w:t>
      </w:r>
      <w:r w:rsidRPr="00663F23">
        <w:rPr>
          <w:szCs w:val="24"/>
        </w:rPr>
        <w:t>Purchases Exempt by Statute</w:t>
      </w:r>
      <w:bookmarkEnd w:id="130"/>
      <w:bookmarkEnd w:id="131"/>
    </w:p>
    <w:p w:rsidR="00FC1D5F" w:rsidRPr="00663F23" w:rsidRDefault="00FC1D5F" w:rsidP="00FC1D5F">
      <w:pPr>
        <w:pStyle w:val="TableParagraph"/>
        <w:spacing w:line="252" w:lineRule="exact"/>
        <w:ind w:left="0" w:right="353"/>
        <w:rPr>
          <w:rFonts w:ascii="Arial" w:hAnsi="Arial"/>
        </w:rPr>
      </w:pPr>
      <w:r w:rsidRPr="00663F23">
        <w:rPr>
          <w:rFonts w:ascii="Arial" w:hAnsi="Arial"/>
        </w:rPr>
        <w:t>Purchases may be awarded without advertising or competitive bidding because of being exempt by statute.</w:t>
      </w:r>
    </w:p>
    <w:p w:rsidR="00FC1D5F" w:rsidRPr="00663F23" w:rsidRDefault="00FC1D5F" w:rsidP="00FC1D5F">
      <w:pPr>
        <w:pStyle w:val="TableParagraph"/>
        <w:spacing w:before="7"/>
        <w:ind w:left="0"/>
        <w:rPr>
          <w:rFonts w:ascii="Arial" w:hAnsi="Arial"/>
          <w:b/>
        </w:rPr>
      </w:pPr>
    </w:p>
    <w:p w:rsidR="00FC1D5F" w:rsidRPr="00663F23" w:rsidRDefault="00FC1D5F" w:rsidP="00FC1D5F">
      <w:pPr>
        <w:pStyle w:val="TableParagraph"/>
        <w:ind w:left="0" w:right="316"/>
        <w:rPr>
          <w:rFonts w:ascii="Arial" w:hAnsi="Arial"/>
        </w:rPr>
      </w:pPr>
      <w:r w:rsidRPr="00663F23">
        <w:rPr>
          <w:rFonts w:ascii="Arial" w:hAnsi="Arial"/>
        </w:rPr>
        <w:t xml:space="preserve">Purchases that exceed a department’s purchasing authority, or for departments without any type of purchasing authority, must be submitted to DGS/PD/OTA for review, approval, and execution. </w:t>
      </w:r>
    </w:p>
    <w:p w:rsidR="00FC1D5F" w:rsidRPr="00663F23" w:rsidRDefault="00FC1D5F" w:rsidP="00FC1D5F">
      <w:pPr>
        <w:pStyle w:val="TableParagraph"/>
        <w:ind w:left="0" w:right="316"/>
        <w:rPr>
          <w:rFonts w:ascii="Arial" w:hAnsi="Arial"/>
        </w:rPr>
      </w:pPr>
    </w:p>
    <w:p w:rsidR="00FC1D5F" w:rsidRPr="00663F23" w:rsidRDefault="00FC1D5F" w:rsidP="00FC1D5F">
      <w:pPr>
        <w:pStyle w:val="TableParagraph"/>
        <w:ind w:left="0" w:right="316"/>
        <w:rPr>
          <w:rFonts w:ascii="Arial" w:hAnsi="Arial"/>
        </w:rPr>
      </w:pPr>
      <w:r w:rsidRPr="00663F23">
        <w:rPr>
          <w:rFonts w:ascii="Arial" w:hAnsi="Arial"/>
        </w:rPr>
        <w:t>The following purchases may be awarded without advertising or competitive bidding, and without seeking NCB approval, subject to the restrictions noted:</w:t>
      </w:r>
    </w:p>
    <w:p w:rsidR="00FC1D5F" w:rsidRPr="00663F23" w:rsidRDefault="00FC1D5F" w:rsidP="00FC1D5F">
      <w:pPr>
        <w:pStyle w:val="TableParagraph"/>
        <w:ind w:left="0" w:right="316"/>
        <w:rPr>
          <w:rFonts w:ascii="Arial" w:hAnsi="Arial" w:cs="Arial"/>
        </w:rPr>
      </w:pPr>
    </w:p>
    <w:p w:rsidR="00FC1D5F" w:rsidRPr="00663F23" w:rsidRDefault="00FC1D5F" w:rsidP="00FC1D5F">
      <w:pPr>
        <w:pStyle w:val="TableParagraph"/>
        <w:numPr>
          <w:ilvl w:val="0"/>
          <w:numId w:val="15"/>
        </w:numPr>
        <w:ind w:right="316"/>
        <w:rPr>
          <w:rFonts w:ascii="Arial" w:hAnsi="Arial"/>
        </w:rPr>
      </w:pPr>
      <w:r w:rsidRPr="00663F23">
        <w:rPr>
          <w:rFonts w:ascii="Arial" w:hAnsi="Arial"/>
        </w:rPr>
        <w:t xml:space="preserve">Emergency contracts, which are necessary for the immediate preservation of life or state property, are exempt from the </w:t>
      </w:r>
      <w:r w:rsidRPr="00663F23">
        <w:rPr>
          <w:rFonts w:ascii="Arial" w:hAnsi="Arial" w:cs="Arial"/>
        </w:rPr>
        <w:t>NCB</w:t>
      </w:r>
      <w:r w:rsidRPr="00663F23">
        <w:rPr>
          <w:rFonts w:ascii="Arial" w:hAnsi="Arial"/>
        </w:rPr>
        <w:t xml:space="preserve"> justification process. Contracts issued because of an emergency may be entered into immediately. However, such contracts are subject to otherwise applicable statutory approval requirements and the reporting</w:t>
      </w:r>
      <w:r w:rsidRPr="00663F23">
        <w:rPr>
          <w:rFonts w:ascii="Arial" w:hAnsi="Arial"/>
          <w:spacing w:val="-21"/>
        </w:rPr>
        <w:t xml:space="preserve"> </w:t>
      </w:r>
      <w:r w:rsidRPr="00663F23">
        <w:rPr>
          <w:rFonts w:ascii="Arial" w:hAnsi="Arial"/>
        </w:rPr>
        <w:t>requirements.</w:t>
      </w:r>
    </w:p>
    <w:p w:rsidR="00FC1D5F" w:rsidRPr="00663F23" w:rsidRDefault="00FC1D5F" w:rsidP="00FC1D5F">
      <w:pPr>
        <w:pStyle w:val="BlockText"/>
        <w:numPr>
          <w:ilvl w:val="0"/>
          <w:numId w:val="15"/>
        </w:numPr>
        <w:rPr>
          <w:szCs w:val="24"/>
        </w:rPr>
      </w:pPr>
      <w:r w:rsidRPr="00663F23">
        <w:rPr>
          <w:szCs w:val="24"/>
        </w:rPr>
        <w:t>Goods for which the state has entered into an LPA and which have been competitively bid or</w:t>
      </w:r>
      <w:r w:rsidR="00087C56" w:rsidRPr="00663F23">
        <w:rPr>
          <w:spacing w:val="-34"/>
          <w:szCs w:val="24"/>
        </w:rPr>
        <w:t xml:space="preserve"> </w:t>
      </w:r>
      <w:r w:rsidRPr="00663F23">
        <w:rPr>
          <w:szCs w:val="24"/>
        </w:rPr>
        <w:t>which have been determined to be required for essential services and which have been established by a methodology that assures the state of a reasonable price for the goods</w:t>
      </w:r>
      <w:r w:rsidRPr="00663F23">
        <w:rPr>
          <w:spacing w:val="-16"/>
          <w:szCs w:val="24"/>
        </w:rPr>
        <w:t xml:space="preserve"> </w:t>
      </w:r>
      <w:r w:rsidRPr="00663F23">
        <w:rPr>
          <w:szCs w:val="24"/>
        </w:rPr>
        <w:t>offered.</w:t>
      </w:r>
    </w:p>
    <w:bookmarkEnd w:id="132"/>
    <w:p w:rsidR="00FD103B" w:rsidRPr="00663F23" w:rsidRDefault="00FD103B" w:rsidP="00FC1D5F">
      <w:pPr>
        <w:pStyle w:val="BlockLine"/>
        <w:ind w:left="0"/>
        <w:rPr>
          <w:szCs w:val="24"/>
        </w:rPr>
      </w:pPr>
    </w:p>
    <w:p w:rsidR="00FC1D5F" w:rsidRPr="00663F23" w:rsidRDefault="00FC1D5F" w:rsidP="00FC1D5F">
      <w:pPr>
        <w:pStyle w:val="Heading5"/>
        <w:spacing w:after="120"/>
        <w:rPr>
          <w:color w:val="000000"/>
          <w:szCs w:val="24"/>
        </w:rPr>
      </w:pPr>
      <w:bookmarkStart w:id="133" w:name="_Toc514420336"/>
      <w:bookmarkStart w:id="134" w:name="_Toc12963755"/>
      <w:bookmarkStart w:id="135" w:name="_fs_a956G0Lu6kk6yS3tzqCnZQ" w:colFirst="0" w:colLast="0"/>
      <w:r w:rsidRPr="00663F23">
        <w:rPr>
          <w:color w:val="000000"/>
          <w:szCs w:val="24"/>
        </w:rPr>
        <w:t>5.5.1</w:t>
      </w:r>
      <w:r w:rsidR="00087C56" w:rsidRPr="00663F23">
        <w:rPr>
          <w:color w:val="000000"/>
          <w:szCs w:val="24"/>
        </w:rPr>
        <w:t xml:space="preserve"> </w:t>
      </w:r>
      <w:r w:rsidRPr="00663F23">
        <w:rPr>
          <w:color w:val="000000"/>
          <w:szCs w:val="24"/>
        </w:rPr>
        <w:t>Purchases Exempt by DGS policy</w:t>
      </w:r>
      <w:bookmarkEnd w:id="133"/>
      <w:bookmarkEnd w:id="134"/>
    </w:p>
    <w:p w:rsidR="00FC1D5F" w:rsidRPr="00663F23" w:rsidRDefault="00FC1D5F" w:rsidP="00FC1D5F">
      <w:pPr>
        <w:pStyle w:val="TableParagraph"/>
        <w:ind w:left="0" w:right="182"/>
        <w:rPr>
          <w:rFonts w:ascii="Arial" w:hAnsi="Arial"/>
        </w:rPr>
      </w:pPr>
      <w:r w:rsidRPr="00663F23">
        <w:rPr>
          <w:rFonts w:ascii="Arial" w:hAnsi="Arial"/>
        </w:rPr>
        <w:t>There are purchases that may be awarded without advertising or competitive bidding and without an NCB, because of being exempt by policy. Although exempt by statute or policy, the purchasing authority dollar thresholds still apply. For purchases that exceed a department’s purchasing authority or for departments without any type of purchasing authority, purchase requests must be submitted to DGS/PD for review, approval, and execution of the purchase.</w:t>
      </w:r>
    </w:p>
    <w:p w:rsidR="00FC1D5F" w:rsidRPr="00663F23" w:rsidRDefault="00FC1D5F" w:rsidP="00FC1D5F">
      <w:pPr>
        <w:pStyle w:val="TableParagraph"/>
        <w:spacing w:before="11"/>
        <w:ind w:left="0"/>
        <w:rPr>
          <w:rFonts w:ascii="Arial" w:hAnsi="Arial"/>
          <w:b/>
        </w:rPr>
      </w:pPr>
    </w:p>
    <w:p w:rsidR="00FC1D5F" w:rsidRPr="00663F23" w:rsidRDefault="00FC1D5F" w:rsidP="00FC1D5F">
      <w:pPr>
        <w:pStyle w:val="TableParagraph"/>
        <w:spacing w:after="120"/>
        <w:ind w:left="0" w:right="218"/>
        <w:rPr>
          <w:rFonts w:ascii="Arial" w:hAnsi="Arial" w:cs="Arial"/>
        </w:rPr>
      </w:pPr>
      <w:r w:rsidRPr="00663F23">
        <w:rPr>
          <w:rFonts w:ascii="Arial" w:hAnsi="Arial"/>
        </w:rPr>
        <w:t>Purchases that exceed departments purchasing authority or departments without any type of purchasing authority must submit these purchases to DGS for review, approval, and execution. The following purchases may be awarded without advertising or competitive bidding subject to the restrictions noted:</w:t>
      </w:r>
    </w:p>
    <w:p w:rsidR="00FC1D5F" w:rsidRPr="00663F23" w:rsidRDefault="00FC1D5F" w:rsidP="00FC1D5F">
      <w:pPr>
        <w:numPr>
          <w:ilvl w:val="0"/>
          <w:numId w:val="36"/>
        </w:numPr>
        <w:ind w:left="540" w:hanging="540"/>
        <w:rPr>
          <w:color w:val="000000"/>
          <w:szCs w:val="24"/>
        </w:rPr>
      </w:pPr>
      <w:r w:rsidRPr="00663F23">
        <w:rPr>
          <w:szCs w:val="24"/>
        </w:rPr>
        <w:t>Proprietary subscriptions, proprietary publications, and/or technical manuals (manuals, law books, technical manuals, technical services related to publications, etc.) regardless of media format, up to</w:t>
      </w:r>
      <w:r w:rsidRPr="00663F23">
        <w:rPr>
          <w:spacing w:val="-36"/>
          <w:szCs w:val="24"/>
        </w:rPr>
        <w:t xml:space="preserve"> </w:t>
      </w:r>
      <w:r w:rsidRPr="00663F23">
        <w:rPr>
          <w:szCs w:val="24"/>
        </w:rPr>
        <w:t>$250,000.00.</w:t>
      </w:r>
    </w:p>
    <w:p w:rsidR="00FC1D5F" w:rsidRPr="00663F23" w:rsidRDefault="00FC1D5F" w:rsidP="00FC1D5F">
      <w:pPr>
        <w:numPr>
          <w:ilvl w:val="0"/>
          <w:numId w:val="36"/>
        </w:numPr>
        <w:ind w:left="540" w:hanging="540"/>
        <w:rPr>
          <w:color w:val="000000"/>
          <w:szCs w:val="24"/>
        </w:rPr>
      </w:pPr>
      <w:r w:rsidRPr="00663F23">
        <w:rPr>
          <w:szCs w:val="24"/>
        </w:rPr>
        <w:t>Contracts with business entities operating Community-Based Rehabilitation Programs (CRP), which meet the criteria established by Welfare and Institutions Code Section 19404. Note: Exception does not apply to contracts justified pursuant to GC section</w:t>
      </w:r>
      <w:r w:rsidRPr="00663F23">
        <w:rPr>
          <w:spacing w:val="-20"/>
          <w:szCs w:val="24"/>
        </w:rPr>
        <w:t xml:space="preserve"> </w:t>
      </w:r>
      <w:r w:rsidRPr="00663F23">
        <w:rPr>
          <w:szCs w:val="24"/>
        </w:rPr>
        <w:t>19130(a).</w:t>
      </w:r>
    </w:p>
    <w:bookmarkEnd w:id="135"/>
    <w:p w:rsidR="00FD103B" w:rsidRPr="00663F23" w:rsidRDefault="00FD103B" w:rsidP="00FC1D5F">
      <w:pPr>
        <w:pStyle w:val="BlockLine"/>
        <w:ind w:left="0"/>
        <w:rPr>
          <w:szCs w:val="24"/>
        </w:rPr>
      </w:pPr>
    </w:p>
    <w:p w:rsidR="00FC1D5F" w:rsidRPr="00663F23" w:rsidRDefault="00FC1D5F" w:rsidP="00FC1D5F">
      <w:pPr>
        <w:pStyle w:val="Heading5"/>
        <w:spacing w:after="120"/>
        <w:rPr>
          <w:color w:val="000000"/>
          <w:szCs w:val="24"/>
        </w:rPr>
      </w:pPr>
      <w:bookmarkStart w:id="136" w:name="_Toc514420337"/>
      <w:bookmarkStart w:id="137" w:name="_Toc12963756"/>
      <w:r w:rsidRPr="00663F23">
        <w:rPr>
          <w:szCs w:val="24"/>
        </w:rPr>
        <w:lastRenderedPageBreak/>
        <w:t>5.5.2 Amendments Exempt from Advertising and Competitive Bidding by DGS Policy</w:t>
      </w:r>
      <w:bookmarkEnd w:id="136"/>
      <w:bookmarkEnd w:id="137"/>
    </w:p>
    <w:p w:rsidR="00FC1D5F" w:rsidRPr="00663F23" w:rsidRDefault="00FC1D5F" w:rsidP="00FC1D5F">
      <w:pPr>
        <w:pStyle w:val="TableParagraph"/>
        <w:ind w:left="0" w:right="218"/>
        <w:rPr>
          <w:rFonts w:ascii="Arial" w:hAnsi="Arial"/>
        </w:rPr>
      </w:pPr>
      <w:r w:rsidRPr="00663F23">
        <w:rPr>
          <w:rFonts w:ascii="Arial" w:hAnsi="Arial"/>
        </w:rPr>
        <w:t>Amendments where a protest or other legal action delays the award of the new contract are exempt from advertising and competitive bidding, when the same terms at equal or lower rates apply.</w:t>
      </w:r>
    </w:p>
    <w:p w:rsidR="00FC1D5F" w:rsidRPr="00663F23" w:rsidRDefault="00FC1D5F" w:rsidP="00FC1D5F">
      <w:pPr>
        <w:pStyle w:val="TableParagraph"/>
        <w:ind w:left="0" w:right="218"/>
        <w:rPr>
          <w:rFonts w:ascii="Arial" w:hAnsi="Arial"/>
        </w:rPr>
      </w:pPr>
    </w:p>
    <w:p w:rsidR="00FC1D5F" w:rsidRPr="00663F23" w:rsidRDefault="00FC1D5F" w:rsidP="00FC1D5F">
      <w:pPr>
        <w:pStyle w:val="TableParagraph"/>
        <w:ind w:left="0" w:right="218"/>
        <w:rPr>
          <w:rFonts w:ascii="Arial" w:hAnsi="Arial" w:cs="Arial"/>
        </w:rPr>
      </w:pPr>
      <w:r w:rsidRPr="00663F23">
        <w:rPr>
          <w:rFonts w:ascii="Arial" w:hAnsi="Arial"/>
          <w:b/>
        </w:rPr>
        <w:t>Note:</w:t>
      </w:r>
      <w:r w:rsidRPr="00663F23">
        <w:rPr>
          <w:rFonts w:ascii="Arial" w:hAnsi="Arial"/>
        </w:rPr>
        <w:t xml:space="preserve"> These amendments should only apply during the protest period, or while legal action is pending. A new purchase</w:t>
      </w:r>
      <w:r w:rsidRPr="00663F23">
        <w:rPr>
          <w:rFonts w:ascii="Arial" w:hAnsi="Arial"/>
          <w:spacing w:val="-31"/>
        </w:rPr>
        <w:t xml:space="preserve"> </w:t>
      </w:r>
      <w:r w:rsidRPr="00663F23">
        <w:rPr>
          <w:rFonts w:ascii="Arial" w:hAnsi="Arial"/>
        </w:rPr>
        <w:t>document can be executed, but in no case shall this exemption extend beyond six (6) months for a particular</w:t>
      </w:r>
      <w:r w:rsidRPr="00663F23">
        <w:rPr>
          <w:rFonts w:ascii="Arial" w:hAnsi="Arial"/>
          <w:spacing w:val="-14"/>
        </w:rPr>
        <w:t xml:space="preserve"> </w:t>
      </w:r>
      <w:r w:rsidRPr="00663F23">
        <w:rPr>
          <w:rFonts w:ascii="Arial" w:hAnsi="Arial"/>
        </w:rPr>
        <w:t>amendment.</w:t>
      </w:r>
    </w:p>
    <w:p w:rsidR="000E7319" w:rsidRPr="00663F23" w:rsidRDefault="000E7319" w:rsidP="00FC1D5F">
      <w:pPr>
        <w:pStyle w:val="BlockLine"/>
        <w:ind w:left="0"/>
        <w:rPr>
          <w:szCs w:val="24"/>
        </w:rPr>
      </w:pPr>
    </w:p>
    <w:p w:rsidR="00FC1D5F" w:rsidRPr="00663F23" w:rsidRDefault="00FC1D5F" w:rsidP="00FC1D5F">
      <w:pPr>
        <w:pStyle w:val="Heading5"/>
        <w:spacing w:after="120"/>
        <w:rPr>
          <w:color w:val="000000"/>
          <w:szCs w:val="24"/>
        </w:rPr>
      </w:pPr>
      <w:bookmarkStart w:id="138" w:name="_Toc514420338"/>
      <w:bookmarkStart w:id="139" w:name="_Toc12963757"/>
      <w:r w:rsidRPr="00663F23">
        <w:rPr>
          <w:szCs w:val="24"/>
        </w:rPr>
        <w:t xml:space="preserve">5.5.3 Purchasing Authority </w:t>
      </w:r>
      <w:bookmarkEnd w:id="138"/>
      <w:r w:rsidRPr="00663F23">
        <w:rPr>
          <w:szCs w:val="24"/>
        </w:rPr>
        <w:t>Thresholds</w:t>
      </w:r>
      <w:bookmarkEnd w:id="139"/>
    </w:p>
    <w:p w:rsidR="00FC1D5F" w:rsidRPr="00663F23" w:rsidRDefault="00FC1D5F" w:rsidP="00FC1D5F">
      <w:pPr>
        <w:pStyle w:val="BulletText1"/>
        <w:numPr>
          <w:ilvl w:val="0"/>
          <w:numId w:val="0"/>
        </w:numPr>
        <w:rPr>
          <w:bCs/>
          <w:szCs w:val="24"/>
        </w:rPr>
      </w:pPr>
      <w:r w:rsidRPr="00663F23">
        <w:rPr>
          <w:bCs/>
          <w:szCs w:val="24"/>
        </w:rPr>
        <w:t>Although exempt from advertising and competitive bidding by policy, purchasing authority dollar thresholds still apply. See Chapter 1 for purchasing authority dollar thresholds.</w:t>
      </w:r>
    </w:p>
    <w:p w:rsidR="000E7319" w:rsidRPr="00663F23" w:rsidRDefault="000E7319" w:rsidP="00FC1D5F">
      <w:pPr>
        <w:pStyle w:val="BlockLine"/>
        <w:ind w:left="0"/>
        <w:rPr>
          <w:szCs w:val="24"/>
        </w:rPr>
      </w:pPr>
    </w:p>
    <w:p w:rsidR="00FC1D5F" w:rsidRPr="00663F23" w:rsidRDefault="00FC1D5F" w:rsidP="00FC1D5F">
      <w:pPr>
        <w:pStyle w:val="Heading5"/>
        <w:spacing w:after="120"/>
        <w:rPr>
          <w:szCs w:val="24"/>
        </w:rPr>
      </w:pPr>
      <w:bookmarkStart w:id="140" w:name="_Toc514420339"/>
      <w:bookmarkStart w:id="141" w:name="_Toc12963758"/>
      <w:bookmarkStart w:id="142" w:name="_fs_HA1PHOfOZ0ekUe5fdMjnOQ" w:colFirst="0" w:colLast="0"/>
      <w:r w:rsidRPr="00663F23">
        <w:rPr>
          <w:szCs w:val="24"/>
        </w:rPr>
        <w:t>5.5.4</w:t>
      </w:r>
      <w:r w:rsidR="00087C56" w:rsidRPr="00663F23">
        <w:rPr>
          <w:szCs w:val="24"/>
        </w:rPr>
        <w:t xml:space="preserve"> </w:t>
      </w:r>
      <w:r w:rsidRPr="00663F23">
        <w:rPr>
          <w:szCs w:val="24"/>
        </w:rPr>
        <w:t>Supporting Statement</w:t>
      </w:r>
      <w:bookmarkEnd w:id="140"/>
      <w:bookmarkEnd w:id="141"/>
    </w:p>
    <w:p w:rsidR="00FC1D5F" w:rsidRPr="00663F23" w:rsidRDefault="00FC1D5F" w:rsidP="00FC1D5F">
      <w:pPr>
        <w:pStyle w:val="TableParagraph"/>
        <w:ind w:left="0" w:right="231"/>
        <w:rPr>
          <w:rFonts w:ascii="Arial" w:hAnsi="Arial"/>
        </w:rPr>
      </w:pPr>
      <w:r w:rsidRPr="00663F23">
        <w:rPr>
          <w:rFonts w:ascii="Arial" w:hAnsi="Arial"/>
        </w:rPr>
        <w:t>Procurement files must include a statement indicating the basis for exemption from advertising or competitive bidding either by policy or statute. Documentation must be provided in sufficient detail to support how the exemption is authorized.</w:t>
      </w:r>
    </w:p>
    <w:p w:rsidR="00FC1D5F" w:rsidRPr="00663F23" w:rsidRDefault="00FC1D5F" w:rsidP="00FC1D5F">
      <w:pPr>
        <w:pStyle w:val="TableParagraph"/>
        <w:spacing w:before="4"/>
        <w:ind w:left="0"/>
        <w:rPr>
          <w:rFonts w:ascii="Arial" w:hAnsi="Arial"/>
          <w:b/>
        </w:rPr>
      </w:pPr>
    </w:p>
    <w:p w:rsidR="00FC1D5F" w:rsidRPr="00663F23" w:rsidRDefault="00FC1D5F" w:rsidP="00FC1D5F">
      <w:pPr>
        <w:pStyle w:val="TableParagraph"/>
        <w:ind w:left="0"/>
        <w:rPr>
          <w:rFonts w:ascii="Arial" w:hAnsi="Arial"/>
        </w:rPr>
      </w:pPr>
      <w:r w:rsidRPr="00663F23">
        <w:rPr>
          <w:rFonts w:ascii="Arial" w:hAnsi="Arial"/>
          <w:u w:val="single"/>
        </w:rPr>
        <w:t>Example #1</w:t>
      </w:r>
    </w:p>
    <w:p w:rsidR="00FC1D5F" w:rsidRPr="00663F23" w:rsidRDefault="00FC1D5F" w:rsidP="00FC1D5F">
      <w:pPr>
        <w:pStyle w:val="TableParagraph"/>
        <w:ind w:left="0" w:right="267"/>
        <w:rPr>
          <w:rFonts w:ascii="Arial" w:hAnsi="Arial"/>
        </w:rPr>
      </w:pPr>
      <w:r w:rsidRPr="00663F23">
        <w:rPr>
          <w:rFonts w:ascii="Arial" w:hAnsi="Arial"/>
        </w:rPr>
        <w:t>“This purchase is exempt from advertising and/or competitive bidding based on the DGS policy as identified in SCM Volume 2, item 5.5.1.</w:t>
      </w:r>
    </w:p>
    <w:p w:rsidR="00FC1D5F" w:rsidRPr="00663F23" w:rsidRDefault="00FC1D5F" w:rsidP="00FC1D5F">
      <w:pPr>
        <w:pStyle w:val="TableParagraph"/>
        <w:spacing w:before="11"/>
        <w:ind w:left="0"/>
        <w:rPr>
          <w:rFonts w:ascii="Arial" w:hAnsi="Arial"/>
          <w:b/>
        </w:rPr>
      </w:pPr>
    </w:p>
    <w:p w:rsidR="00FC1D5F" w:rsidRPr="00663F23" w:rsidRDefault="00FC1D5F" w:rsidP="00FC1D5F">
      <w:pPr>
        <w:pStyle w:val="TableParagraph"/>
        <w:spacing w:line="252" w:lineRule="exact"/>
        <w:ind w:left="0"/>
        <w:rPr>
          <w:rFonts w:ascii="Arial" w:hAnsi="Arial"/>
        </w:rPr>
      </w:pPr>
      <w:r w:rsidRPr="00663F23">
        <w:rPr>
          <w:rFonts w:ascii="Arial" w:hAnsi="Arial"/>
          <w:u w:val="single"/>
        </w:rPr>
        <w:t>Example #2</w:t>
      </w:r>
    </w:p>
    <w:p w:rsidR="00FC1D5F" w:rsidRPr="00663F23" w:rsidRDefault="00FC1D5F" w:rsidP="00FC1D5F">
      <w:pPr>
        <w:pStyle w:val="BlockText"/>
        <w:rPr>
          <w:szCs w:val="24"/>
        </w:rPr>
      </w:pPr>
      <w:r w:rsidRPr="00663F23">
        <w:rPr>
          <w:szCs w:val="24"/>
        </w:rPr>
        <w:t>“This purchase is exempt from advertising and/or competitive bidding based upon the use</w:t>
      </w:r>
      <w:r w:rsidRPr="00663F23">
        <w:rPr>
          <w:spacing w:val="-2"/>
          <w:szCs w:val="24"/>
        </w:rPr>
        <w:t xml:space="preserve"> </w:t>
      </w:r>
      <w:r w:rsidRPr="00663F23">
        <w:rPr>
          <w:szCs w:val="24"/>
        </w:rPr>
        <w:t>LPA</w:t>
      </w:r>
      <w:r w:rsidRPr="00663F23">
        <w:rPr>
          <w:spacing w:val="-2"/>
          <w:szCs w:val="24"/>
        </w:rPr>
        <w:t xml:space="preserve"> </w:t>
      </w:r>
      <w:r w:rsidRPr="00663F23">
        <w:rPr>
          <w:szCs w:val="24"/>
        </w:rPr>
        <w:t>#</w:t>
      </w:r>
      <w:r w:rsidRPr="00663F23">
        <w:rPr>
          <w:szCs w:val="24"/>
          <w:u w:val="single"/>
        </w:rPr>
        <w:t xml:space="preserve"> </w:t>
      </w:r>
      <w:r w:rsidRPr="00663F23">
        <w:rPr>
          <w:szCs w:val="24"/>
          <w:u w:val="single"/>
        </w:rPr>
        <w:tab/>
      </w:r>
      <w:r w:rsidRPr="00663F23">
        <w:rPr>
          <w:szCs w:val="24"/>
        </w:rPr>
        <w:t>.</w:t>
      </w:r>
    </w:p>
    <w:p w:rsidR="00FC1D5F" w:rsidRPr="00663F23" w:rsidRDefault="00FC1D5F" w:rsidP="00FC1D5F">
      <w:pPr>
        <w:pStyle w:val="BlockText"/>
        <w:rPr>
          <w:szCs w:val="24"/>
        </w:rPr>
      </w:pPr>
    </w:p>
    <w:p w:rsidR="00FC1D5F" w:rsidRPr="00663F23" w:rsidRDefault="00FC1D5F" w:rsidP="00FC1D5F">
      <w:pPr>
        <w:pStyle w:val="BlockText"/>
        <w:rPr>
          <w:szCs w:val="24"/>
          <w:u w:val="single"/>
        </w:rPr>
      </w:pPr>
      <w:r w:rsidRPr="00663F23">
        <w:rPr>
          <w:szCs w:val="24"/>
          <w:u w:val="single"/>
        </w:rPr>
        <w:t>Example #3</w:t>
      </w:r>
    </w:p>
    <w:p w:rsidR="00FC1D5F" w:rsidRPr="00663F23" w:rsidRDefault="00FC1D5F" w:rsidP="00FC1D5F">
      <w:pPr>
        <w:pStyle w:val="BlockText"/>
        <w:rPr>
          <w:szCs w:val="24"/>
        </w:rPr>
      </w:pPr>
      <w:r w:rsidRPr="00663F23">
        <w:rPr>
          <w:szCs w:val="24"/>
        </w:rPr>
        <w:t>“This purchase is exempt from advertising and/or competitive bidding based upon the use of existing law.” Departments shall specify the law being utilized for this exemption within the justification.</w:t>
      </w:r>
    </w:p>
    <w:bookmarkEnd w:id="142"/>
    <w:p w:rsidR="00FD103B" w:rsidRPr="00663F23" w:rsidRDefault="00FD103B" w:rsidP="00FC1D5F">
      <w:pPr>
        <w:pStyle w:val="BlockLine"/>
        <w:ind w:left="0"/>
        <w:rPr>
          <w:szCs w:val="24"/>
        </w:rPr>
      </w:pPr>
    </w:p>
    <w:p w:rsidR="00FC1D5F" w:rsidRPr="00663F23" w:rsidRDefault="00FC1D5F" w:rsidP="00FC1D5F">
      <w:pPr>
        <w:pStyle w:val="Heading5"/>
        <w:spacing w:after="120"/>
        <w:rPr>
          <w:szCs w:val="24"/>
        </w:rPr>
      </w:pPr>
      <w:bookmarkStart w:id="143" w:name="_Toc514420340"/>
      <w:bookmarkStart w:id="144" w:name="_Toc12963759"/>
      <w:bookmarkStart w:id="145" w:name="_fs_a7xAQsqlyz0yHDXj6O4YMZg" w:colFirst="0" w:colLast="0"/>
      <w:r w:rsidRPr="00663F23">
        <w:rPr>
          <w:szCs w:val="24"/>
        </w:rPr>
        <w:t>5.5.5</w:t>
      </w:r>
      <w:r w:rsidR="00087C56" w:rsidRPr="00663F23">
        <w:rPr>
          <w:szCs w:val="24"/>
        </w:rPr>
        <w:t xml:space="preserve"> </w:t>
      </w:r>
      <w:r w:rsidRPr="00663F23">
        <w:rPr>
          <w:szCs w:val="24"/>
        </w:rPr>
        <w:t>Cost Reasonableness</w:t>
      </w:r>
      <w:bookmarkEnd w:id="143"/>
      <w:bookmarkEnd w:id="144"/>
    </w:p>
    <w:p w:rsidR="00FC1D5F" w:rsidRPr="00663F23" w:rsidRDefault="00FC1D5F" w:rsidP="00FC1D5F">
      <w:pPr>
        <w:pStyle w:val="BlockText"/>
        <w:rPr>
          <w:szCs w:val="24"/>
        </w:rPr>
      </w:pPr>
      <w:r w:rsidRPr="00663F23">
        <w:rPr>
          <w:szCs w:val="24"/>
        </w:rPr>
        <w:t>Purchases although exempt by statute or policy, must be reasonable in cost and justification. Departments must provide the basis of the comparison to include items such as market rates, contract pricing, historical pricing, cost breakdown, etc. Procurement files must include documentation to support fair and reasonable pricing.</w:t>
      </w:r>
    </w:p>
    <w:bookmarkEnd w:id="145"/>
    <w:p w:rsidR="00FD103B" w:rsidRPr="00663F23" w:rsidRDefault="00FD103B" w:rsidP="00FC1D5F">
      <w:pPr>
        <w:pStyle w:val="BlockLine"/>
        <w:ind w:left="0"/>
      </w:pPr>
    </w:p>
    <w:p w:rsidR="00FC1D5F" w:rsidRPr="00663F23" w:rsidRDefault="00FC1D5F">
      <w:pPr>
        <w:rPr>
          <w:b/>
          <w:bCs/>
          <w:sz w:val="32"/>
        </w:rPr>
      </w:pPr>
      <w:bookmarkStart w:id="146" w:name="_Toc514420341"/>
      <w:bookmarkStart w:id="147" w:name="_fs_KvtEa0B2qUifgQgxlJSqtA"/>
      <w:r w:rsidRPr="00663F23">
        <w:rPr>
          <w:bCs/>
        </w:rPr>
        <w:br w:type="page"/>
      </w:r>
    </w:p>
    <w:p w:rsidR="00FD103B" w:rsidRPr="00663F23" w:rsidRDefault="00FD103B" w:rsidP="005837CC">
      <w:pPr>
        <w:pStyle w:val="Heading4"/>
        <w:rPr>
          <w:bCs/>
        </w:rPr>
      </w:pPr>
      <w:bookmarkStart w:id="148" w:name="_Toc12963760"/>
      <w:r w:rsidRPr="00663F23">
        <w:rPr>
          <w:bCs/>
        </w:rPr>
        <w:lastRenderedPageBreak/>
        <w:t>Topic 6 – Procurement Appro</w:t>
      </w:r>
      <w:r w:rsidR="000E7319" w:rsidRPr="00663F23">
        <w:rPr>
          <w:bCs/>
        </w:rPr>
        <w:t xml:space="preserve">ach for Exempt and NCB </w:t>
      </w:r>
      <w:r w:rsidR="005052B5" w:rsidRPr="00663F23">
        <w:rPr>
          <w:bCs/>
        </w:rPr>
        <w:t xml:space="preserve">Contract </w:t>
      </w:r>
      <w:r w:rsidRPr="00663F23">
        <w:rPr>
          <w:bCs/>
        </w:rPr>
        <w:t>Activities</w:t>
      </w:r>
      <w:bookmarkEnd w:id="146"/>
      <w:bookmarkEnd w:id="148"/>
    </w:p>
    <w:bookmarkEnd w:id="147"/>
    <w:p w:rsidR="00FD103B" w:rsidRPr="00663F23" w:rsidRDefault="00FD103B" w:rsidP="00242C1F">
      <w:pPr>
        <w:pStyle w:val="BlockLine"/>
        <w:ind w:left="0"/>
      </w:pPr>
    </w:p>
    <w:p w:rsidR="00242C1F" w:rsidRPr="00663F23" w:rsidRDefault="00242C1F" w:rsidP="00242C1F">
      <w:pPr>
        <w:pStyle w:val="Heading5"/>
        <w:spacing w:after="120"/>
        <w:rPr>
          <w:szCs w:val="24"/>
        </w:rPr>
      </w:pPr>
      <w:bookmarkStart w:id="149" w:name="_Toc514420342"/>
      <w:bookmarkStart w:id="150" w:name="_Toc12963761"/>
      <w:bookmarkStart w:id="151" w:name="_fs_tWj67q36kpiPl5FosZHQ" w:colFirst="0" w:colLast="0"/>
      <w:r w:rsidRPr="00663F23">
        <w:rPr>
          <w:szCs w:val="24"/>
        </w:rPr>
        <w:t>5.6.0 Acceptance of State Terms and Conditions</w:t>
      </w:r>
      <w:bookmarkEnd w:id="149"/>
      <w:bookmarkEnd w:id="150"/>
    </w:p>
    <w:p w:rsidR="00242C1F" w:rsidRPr="00663F23" w:rsidRDefault="00242C1F" w:rsidP="00242C1F">
      <w:pPr>
        <w:pStyle w:val="BlockText"/>
        <w:rPr>
          <w:szCs w:val="24"/>
        </w:rPr>
      </w:pPr>
      <w:r w:rsidRPr="00663F23">
        <w:rPr>
          <w:szCs w:val="24"/>
        </w:rPr>
        <w:t>Buyers conducting Non-IT Goods purchasing activities for transactions that are exempt from competitive bidding or advertising or that are NCB purchases shall obtain a written offer and acceptance of the state’s terms and conditions when transacting business with the only known supplier.</w:t>
      </w:r>
    </w:p>
    <w:bookmarkEnd w:id="151"/>
    <w:p w:rsidR="00FD103B" w:rsidRPr="00663F23" w:rsidRDefault="00FD103B" w:rsidP="00242C1F">
      <w:pPr>
        <w:pStyle w:val="BlockLine"/>
        <w:ind w:left="0"/>
        <w:rPr>
          <w:szCs w:val="24"/>
        </w:rPr>
      </w:pPr>
    </w:p>
    <w:p w:rsidR="00242C1F" w:rsidRPr="00663F23" w:rsidRDefault="00242C1F" w:rsidP="00242C1F">
      <w:pPr>
        <w:pStyle w:val="Heading5"/>
        <w:spacing w:after="120"/>
        <w:rPr>
          <w:szCs w:val="24"/>
        </w:rPr>
      </w:pPr>
      <w:bookmarkStart w:id="152" w:name="_Toc514420343"/>
      <w:bookmarkStart w:id="153" w:name="_Toc12963762"/>
      <w:bookmarkStart w:id="154" w:name="_fs_GTa2ExqzuEuKDtBvVIarTw" w:colFirst="0" w:colLast="0"/>
      <w:r w:rsidRPr="00663F23">
        <w:rPr>
          <w:szCs w:val="24"/>
        </w:rPr>
        <w:t>5.6.1</w:t>
      </w:r>
      <w:r w:rsidR="00087C56" w:rsidRPr="00663F23">
        <w:rPr>
          <w:szCs w:val="24"/>
        </w:rPr>
        <w:t xml:space="preserve"> </w:t>
      </w:r>
      <w:r w:rsidRPr="00663F23">
        <w:rPr>
          <w:szCs w:val="24"/>
        </w:rPr>
        <w:t>Creating a Solicitation</w:t>
      </w:r>
      <w:bookmarkEnd w:id="152"/>
      <w:bookmarkEnd w:id="153"/>
      <w:r w:rsidRPr="00663F23">
        <w:rPr>
          <w:szCs w:val="24"/>
        </w:rPr>
        <w:t xml:space="preserve"> </w:t>
      </w:r>
    </w:p>
    <w:p w:rsidR="00242C1F" w:rsidRPr="00663F23" w:rsidRDefault="00242C1F" w:rsidP="00242C1F">
      <w:pPr>
        <w:pStyle w:val="TableParagraph"/>
        <w:ind w:left="0" w:right="304"/>
        <w:rPr>
          <w:rFonts w:ascii="Arial" w:hAnsi="Arial"/>
        </w:rPr>
      </w:pPr>
      <w:r w:rsidRPr="00663F23">
        <w:rPr>
          <w:rFonts w:ascii="Arial" w:hAnsi="Arial"/>
        </w:rPr>
        <w:t xml:space="preserve">The written offer and acceptance may be obtained by having the supplier respond to a solicitation document that is only provided to the one supplier. Buyers should use the Request </w:t>
      </w:r>
      <w:proofErr w:type="gramStart"/>
      <w:r w:rsidRPr="00663F23">
        <w:rPr>
          <w:rFonts w:ascii="Arial" w:hAnsi="Arial"/>
        </w:rPr>
        <w:t>For</w:t>
      </w:r>
      <w:proofErr w:type="gramEnd"/>
      <w:r w:rsidRPr="00663F23">
        <w:rPr>
          <w:rFonts w:ascii="Arial" w:hAnsi="Arial"/>
        </w:rPr>
        <w:t xml:space="preserve"> Quotation (RFQ) format as provided in Chapter 4, Section B, Topic 3. Conversely, a buyer also has the option to develop their own solicitation document that contains the following elements:</w:t>
      </w:r>
    </w:p>
    <w:p w:rsidR="00242C1F" w:rsidRPr="00663F23" w:rsidRDefault="00242C1F" w:rsidP="00242C1F">
      <w:pPr>
        <w:pStyle w:val="TableParagraph"/>
        <w:ind w:left="0" w:right="304"/>
        <w:rPr>
          <w:rFonts w:ascii="Arial" w:hAnsi="Arial" w:cs="Arial"/>
        </w:rPr>
      </w:pPr>
    </w:p>
    <w:p w:rsidR="00242C1F" w:rsidRPr="00663F23" w:rsidRDefault="00242C1F" w:rsidP="00242C1F">
      <w:pPr>
        <w:pStyle w:val="TableParagraph"/>
        <w:numPr>
          <w:ilvl w:val="0"/>
          <w:numId w:val="47"/>
        </w:numPr>
        <w:ind w:left="450" w:right="304" w:hanging="450"/>
        <w:rPr>
          <w:rFonts w:ascii="Arial" w:hAnsi="Arial"/>
        </w:rPr>
      </w:pPr>
      <w:r w:rsidRPr="00663F23">
        <w:rPr>
          <w:rFonts w:ascii="Arial" w:hAnsi="Arial"/>
        </w:rPr>
        <w:t>Date and time the response is</w:t>
      </w:r>
      <w:r w:rsidRPr="00663F23">
        <w:rPr>
          <w:rFonts w:ascii="Arial" w:hAnsi="Arial"/>
          <w:spacing w:val="-13"/>
        </w:rPr>
        <w:t xml:space="preserve"> </w:t>
      </w:r>
      <w:r w:rsidRPr="00663F23">
        <w:rPr>
          <w:rFonts w:ascii="Arial" w:hAnsi="Arial"/>
        </w:rPr>
        <w:t>due,</w:t>
      </w:r>
    </w:p>
    <w:p w:rsidR="00242C1F" w:rsidRPr="00663F23" w:rsidRDefault="00242C1F" w:rsidP="00242C1F">
      <w:pPr>
        <w:pStyle w:val="TableParagraph"/>
        <w:numPr>
          <w:ilvl w:val="0"/>
          <w:numId w:val="38"/>
        </w:numPr>
        <w:ind w:left="450" w:right="304" w:hanging="450"/>
        <w:rPr>
          <w:rFonts w:ascii="Arial" w:hAnsi="Arial"/>
        </w:rPr>
      </w:pPr>
      <w:r w:rsidRPr="00663F23">
        <w:rPr>
          <w:rFonts w:ascii="Arial" w:hAnsi="Arial"/>
        </w:rPr>
        <w:t>Details of the purchase, including quantities, description,</w:t>
      </w:r>
      <w:r w:rsidRPr="00663F23">
        <w:rPr>
          <w:rFonts w:ascii="Arial" w:hAnsi="Arial"/>
          <w:spacing w:val="-27"/>
        </w:rPr>
        <w:t xml:space="preserve"> </w:t>
      </w:r>
      <w:r w:rsidRPr="00663F23">
        <w:rPr>
          <w:rFonts w:ascii="Arial" w:hAnsi="Arial"/>
        </w:rPr>
        <w:t>support coverage, coverage dates,</w:t>
      </w:r>
      <w:r w:rsidRPr="00663F23">
        <w:rPr>
          <w:rFonts w:ascii="Arial" w:hAnsi="Arial"/>
          <w:spacing w:val="-7"/>
        </w:rPr>
        <w:t xml:space="preserve"> </w:t>
      </w:r>
      <w:r w:rsidRPr="00663F23">
        <w:rPr>
          <w:rFonts w:ascii="Arial" w:hAnsi="Arial"/>
        </w:rPr>
        <w:t>etc.</w:t>
      </w:r>
    </w:p>
    <w:p w:rsidR="00087C56" w:rsidRPr="00663F23" w:rsidRDefault="00242C1F" w:rsidP="00087C56">
      <w:pPr>
        <w:numPr>
          <w:ilvl w:val="0"/>
          <w:numId w:val="41"/>
        </w:numPr>
        <w:ind w:left="450" w:hanging="450"/>
      </w:pPr>
      <w:r w:rsidRPr="00663F23">
        <w:rPr>
          <w:szCs w:val="24"/>
        </w:rPr>
        <w:t>Fill-in space or a cost sheet for the supplier to provide</w:t>
      </w:r>
      <w:r w:rsidRPr="00663F23">
        <w:rPr>
          <w:spacing w:val="-32"/>
          <w:szCs w:val="24"/>
        </w:rPr>
        <w:t xml:space="preserve"> </w:t>
      </w:r>
      <w:r w:rsidRPr="00663F23">
        <w:rPr>
          <w:szCs w:val="24"/>
        </w:rPr>
        <w:t>pricing, purchasing standard, EPP and SABRC (see chapter 3 for - Socio-Economic),</w:t>
      </w:r>
    </w:p>
    <w:p w:rsidR="00242C1F" w:rsidRPr="00663F23" w:rsidRDefault="00242C1F" w:rsidP="00087C56">
      <w:pPr>
        <w:numPr>
          <w:ilvl w:val="0"/>
          <w:numId w:val="41"/>
        </w:numPr>
        <w:ind w:left="450" w:hanging="450"/>
      </w:pPr>
      <w:r w:rsidRPr="00663F23">
        <w:t>Request for the signature of the authorized supplier representative that can bind the company</w:t>
      </w:r>
      <w:r w:rsidRPr="00663F23">
        <w:rPr>
          <w:spacing w:val="-16"/>
        </w:rPr>
        <w:t xml:space="preserve"> </w:t>
      </w:r>
      <w:r w:rsidRPr="00663F23">
        <w:t>contractually,</w:t>
      </w:r>
    </w:p>
    <w:p w:rsidR="00242C1F" w:rsidRPr="00663F23" w:rsidRDefault="00242C1F" w:rsidP="00242C1F">
      <w:pPr>
        <w:pStyle w:val="TableParagraph"/>
        <w:numPr>
          <w:ilvl w:val="0"/>
          <w:numId w:val="38"/>
        </w:numPr>
        <w:ind w:left="450" w:right="304" w:hanging="450"/>
        <w:rPr>
          <w:rFonts w:ascii="Arial" w:hAnsi="Arial"/>
        </w:rPr>
      </w:pPr>
      <w:r w:rsidRPr="00663F23">
        <w:rPr>
          <w:rFonts w:ascii="Arial" w:hAnsi="Arial"/>
        </w:rPr>
        <w:t>Reference or hardcopy the applicable state General Provisions and</w:t>
      </w:r>
      <w:r w:rsidRPr="00663F23">
        <w:rPr>
          <w:rFonts w:ascii="Arial" w:hAnsi="Arial"/>
          <w:spacing w:val="-32"/>
        </w:rPr>
        <w:t xml:space="preserve"> </w:t>
      </w:r>
      <w:r w:rsidRPr="00663F23">
        <w:rPr>
          <w:rFonts w:ascii="Arial" w:hAnsi="Arial"/>
        </w:rPr>
        <w:t xml:space="preserve">any additional contract modules (specific to </w:t>
      </w:r>
      <w:r w:rsidRPr="00663F23">
        <w:rPr>
          <w:rFonts w:ascii="Arial" w:hAnsi="Arial" w:cs="Arial"/>
        </w:rPr>
        <w:t>Non</w:t>
      </w:r>
      <w:r w:rsidRPr="00663F23">
        <w:rPr>
          <w:rFonts w:ascii="Arial" w:hAnsi="Arial"/>
        </w:rPr>
        <w:t xml:space="preserve">-IT </w:t>
      </w:r>
      <w:r w:rsidRPr="00663F23">
        <w:rPr>
          <w:rFonts w:ascii="Arial" w:hAnsi="Arial" w:cs="Arial"/>
        </w:rPr>
        <w:t>Goods</w:t>
      </w:r>
      <w:r w:rsidRPr="00663F23">
        <w:rPr>
          <w:rFonts w:ascii="Arial" w:hAnsi="Arial"/>
        </w:rPr>
        <w:t xml:space="preserve"> and </w:t>
      </w:r>
      <w:r w:rsidRPr="00663F23">
        <w:rPr>
          <w:rFonts w:ascii="Arial" w:hAnsi="Arial" w:cs="Arial"/>
        </w:rPr>
        <w:t>Service</w:t>
      </w:r>
      <w:r w:rsidRPr="00663F23">
        <w:rPr>
          <w:rFonts w:ascii="Arial" w:hAnsi="Arial"/>
        </w:rPr>
        <w:t>) or special provisions applicable to the</w:t>
      </w:r>
      <w:r w:rsidRPr="00663F23">
        <w:rPr>
          <w:rFonts w:ascii="Arial" w:hAnsi="Arial"/>
          <w:spacing w:val="-23"/>
        </w:rPr>
        <w:t xml:space="preserve"> </w:t>
      </w:r>
      <w:r w:rsidRPr="00663F23">
        <w:rPr>
          <w:rFonts w:ascii="Arial" w:hAnsi="Arial"/>
        </w:rPr>
        <w:t>department.</w:t>
      </w:r>
    </w:p>
    <w:p w:rsidR="00242C1F" w:rsidRPr="00663F23" w:rsidRDefault="00242C1F" w:rsidP="00242C1F">
      <w:pPr>
        <w:pStyle w:val="TableParagraph"/>
        <w:ind w:left="0"/>
        <w:rPr>
          <w:rFonts w:ascii="Arial" w:hAnsi="Arial"/>
          <w:b/>
        </w:rPr>
      </w:pPr>
    </w:p>
    <w:p w:rsidR="00242C1F" w:rsidRPr="00663F23" w:rsidRDefault="00242C1F" w:rsidP="00242C1F">
      <w:pPr>
        <w:pStyle w:val="BulletText1"/>
        <w:numPr>
          <w:ilvl w:val="0"/>
          <w:numId w:val="0"/>
        </w:numPr>
        <w:rPr>
          <w:szCs w:val="24"/>
        </w:rPr>
      </w:pPr>
      <w:r w:rsidRPr="00663F23">
        <w:rPr>
          <w:szCs w:val="24"/>
        </w:rPr>
        <w:t>When conducting business with the only known supplier, buyers must provide the supplier with an opportunity to review and accept the state’s terms and conditions prior to the State executing a purchase document. This practice avoids the possibility of a dispute with suppliers once the purchase document is executed.</w:t>
      </w:r>
    </w:p>
    <w:bookmarkEnd w:id="154"/>
    <w:p w:rsidR="00FD103B" w:rsidRPr="00663F23" w:rsidRDefault="00FD103B" w:rsidP="00242C1F">
      <w:pPr>
        <w:pStyle w:val="BlockLine"/>
        <w:ind w:left="0"/>
        <w:rPr>
          <w:szCs w:val="24"/>
        </w:rPr>
      </w:pPr>
    </w:p>
    <w:p w:rsidR="00242C1F" w:rsidRPr="00663F23" w:rsidRDefault="00242C1F" w:rsidP="00242C1F">
      <w:pPr>
        <w:pStyle w:val="Heading5"/>
        <w:spacing w:after="120"/>
        <w:rPr>
          <w:szCs w:val="24"/>
        </w:rPr>
      </w:pPr>
      <w:bookmarkStart w:id="155" w:name="_Toc514420344"/>
      <w:bookmarkStart w:id="156" w:name="_Toc12963763"/>
      <w:bookmarkStart w:id="157" w:name="_fs_KwEErUUpaUWLbguOiKFxA" w:colFirst="0" w:colLast="0"/>
      <w:r w:rsidRPr="00663F23">
        <w:rPr>
          <w:szCs w:val="24"/>
        </w:rPr>
        <w:t>5.6.2 Supplier Contracts and Forms</w:t>
      </w:r>
      <w:bookmarkEnd w:id="155"/>
      <w:bookmarkEnd w:id="156"/>
      <w:r w:rsidRPr="00663F23">
        <w:rPr>
          <w:szCs w:val="24"/>
        </w:rPr>
        <w:t xml:space="preserve"> </w:t>
      </w:r>
    </w:p>
    <w:p w:rsidR="00242C1F" w:rsidRPr="00663F23" w:rsidRDefault="00242C1F" w:rsidP="00242C1F">
      <w:pPr>
        <w:pStyle w:val="TableParagraph"/>
        <w:ind w:left="0" w:right="182"/>
        <w:rPr>
          <w:rFonts w:ascii="Arial" w:hAnsi="Arial" w:cs="Arial"/>
        </w:rPr>
      </w:pPr>
      <w:r w:rsidRPr="00663F23">
        <w:rPr>
          <w:rFonts w:ascii="Arial" w:hAnsi="Arial" w:cs="Arial"/>
        </w:rPr>
        <w:t xml:space="preserve">Contract forms, license agreements, or ordering documents provided by suppliers </w:t>
      </w:r>
      <w:r w:rsidRPr="00663F23">
        <w:rPr>
          <w:rFonts w:ascii="Arial" w:hAnsi="Arial" w:cs="Arial"/>
          <w:b/>
          <w:bCs/>
          <w:u w:val="single"/>
        </w:rPr>
        <w:t>shall</w:t>
      </w:r>
      <w:r w:rsidRPr="00663F23">
        <w:rPr>
          <w:rFonts w:ascii="Arial" w:hAnsi="Arial" w:cs="Arial"/>
          <w:u w:val="single"/>
        </w:rPr>
        <w:t xml:space="preserve"> </w:t>
      </w:r>
      <w:r w:rsidRPr="00663F23">
        <w:rPr>
          <w:rFonts w:ascii="Arial" w:hAnsi="Arial" w:cs="Arial"/>
          <w:b/>
          <w:bCs/>
          <w:u w:val="single"/>
        </w:rPr>
        <w:t>not</w:t>
      </w:r>
      <w:r w:rsidRPr="00663F23">
        <w:rPr>
          <w:rFonts w:ascii="Arial" w:hAnsi="Arial" w:cs="Arial"/>
          <w:b/>
          <w:bCs/>
        </w:rPr>
        <w:t xml:space="preserve"> </w:t>
      </w:r>
      <w:r w:rsidRPr="00663F23">
        <w:rPr>
          <w:rFonts w:ascii="Arial" w:hAnsi="Arial" w:cs="Arial"/>
        </w:rPr>
        <w:t>be signed by state employees. These most often contain terms and conditions inconsistent with the state’s contract terms and conditions and can result in conflict.</w:t>
      </w:r>
    </w:p>
    <w:p w:rsidR="00242C1F" w:rsidRPr="00663F23" w:rsidRDefault="00242C1F" w:rsidP="00242C1F">
      <w:pPr>
        <w:pStyle w:val="TableParagraph"/>
        <w:spacing w:before="2"/>
        <w:ind w:left="0"/>
        <w:rPr>
          <w:rFonts w:ascii="Arial" w:hAnsi="Arial" w:cs="Arial"/>
          <w:b/>
          <w:bCs/>
        </w:rPr>
      </w:pPr>
    </w:p>
    <w:p w:rsidR="00242C1F" w:rsidRPr="00663F23" w:rsidRDefault="00242C1F" w:rsidP="00242C1F">
      <w:pPr>
        <w:pStyle w:val="BlockText"/>
        <w:rPr>
          <w:szCs w:val="24"/>
        </w:rPr>
      </w:pPr>
      <w:r w:rsidRPr="00663F23">
        <w:rPr>
          <w:szCs w:val="24"/>
        </w:rPr>
        <w:t>Buyers shall seek department legal advice and may contact PAMS via email at:</w:t>
      </w:r>
      <w:r w:rsidR="0092612A" w:rsidRPr="00663F23">
        <w:rPr>
          <w:szCs w:val="24"/>
        </w:rPr>
        <w:t xml:space="preserve"> </w:t>
      </w:r>
      <w:hyperlink r:id="rId12" w:history="1">
        <w:r w:rsidRPr="00663F23">
          <w:rPr>
            <w:rStyle w:val="Hyperlink"/>
            <w:szCs w:val="24"/>
          </w:rPr>
          <w:t xml:space="preserve">PAMS@dgs.ca.gov </w:t>
        </w:r>
      </w:hyperlink>
      <w:r w:rsidRPr="00663F23">
        <w:rPr>
          <w:szCs w:val="24"/>
        </w:rPr>
        <w:t>for assistance.</w:t>
      </w:r>
    </w:p>
    <w:p w:rsidR="00FD103B" w:rsidRPr="00663F23" w:rsidRDefault="00FD103B" w:rsidP="00242C1F">
      <w:pPr>
        <w:pStyle w:val="BlockLine"/>
        <w:ind w:left="0"/>
      </w:pPr>
      <w:bookmarkStart w:id="158" w:name="_Toc115236884"/>
      <w:bookmarkEnd w:id="157"/>
      <w:bookmarkEnd w:id="158"/>
    </w:p>
    <w:p w:rsidR="00FD103B" w:rsidRPr="00663F23" w:rsidRDefault="00FD103B" w:rsidP="009B7FD1">
      <w:pPr>
        <w:pStyle w:val="Heading4"/>
        <w:spacing w:after="0"/>
        <w:rPr>
          <w:bCs/>
        </w:rPr>
      </w:pPr>
      <w:bookmarkStart w:id="159" w:name="_Toc514420345"/>
      <w:bookmarkStart w:id="160" w:name="_Toc12963764"/>
      <w:bookmarkStart w:id="161" w:name="_fs_XkucRzrdcUGDMWdoAO6cw"/>
      <w:r w:rsidRPr="00663F23">
        <w:rPr>
          <w:bCs/>
        </w:rPr>
        <w:lastRenderedPageBreak/>
        <w:t>Topic 7 – Fair and Reasonable (F&amp;R) Acquisition Method Purchases</w:t>
      </w:r>
      <w:bookmarkEnd w:id="159"/>
      <w:bookmarkEnd w:id="160"/>
    </w:p>
    <w:p w:rsidR="009B7FD1" w:rsidRPr="00663F23" w:rsidRDefault="009B7FD1" w:rsidP="009B7FD1">
      <w:pPr>
        <w:pStyle w:val="BlockText"/>
        <w:pBdr>
          <w:bottom w:val="single" w:sz="4" w:space="1" w:color="auto"/>
        </w:pBdr>
        <w:rPr>
          <w:szCs w:val="24"/>
        </w:rPr>
      </w:pPr>
      <w:bookmarkStart w:id="162" w:name="_fs_WRlSvlUaYEiqpyVTXRb1yg"/>
      <w:bookmarkStart w:id="163" w:name="_Toc117557778"/>
      <w:bookmarkStart w:id="164" w:name="_Toc478104337"/>
      <w:bookmarkEnd w:id="161"/>
    </w:p>
    <w:p w:rsidR="009B7FD1" w:rsidRPr="00663F23" w:rsidRDefault="009B7FD1" w:rsidP="009B7FD1">
      <w:pPr>
        <w:pStyle w:val="BulletText1"/>
        <w:numPr>
          <w:ilvl w:val="0"/>
          <w:numId w:val="0"/>
        </w:numPr>
        <w:rPr>
          <w:szCs w:val="24"/>
        </w:rPr>
      </w:pPr>
    </w:p>
    <w:p w:rsidR="00552C19" w:rsidRPr="00663F23" w:rsidRDefault="00552C19" w:rsidP="009B7FD1">
      <w:pPr>
        <w:pStyle w:val="Heading5"/>
        <w:spacing w:after="120"/>
        <w:rPr>
          <w:szCs w:val="24"/>
        </w:rPr>
      </w:pPr>
      <w:bookmarkStart w:id="165" w:name="_Toc514420346"/>
      <w:bookmarkStart w:id="166" w:name="_Toc12963765"/>
      <w:bookmarkEnd w:id="162"/>
      <w:r w:rsidRPr="00663F23">
        <w:rPr>
          <w:szCs w:val="24"/>
        </w:rPr>
        <w:t>5.7.0</w:t>
      </w:r>
      <w:r w:rsidR="00087C56" w:rsidRPr="00663F23">
        <w:rPr>
          <w:szCs w:val="24"/>
        </w:rPr>
        <w:t xml:space="preserve"> </w:t>
      </w:r>
      <w:bookmarkEnd w:id="163"/>
      <w:bookmarkEnd w:id="164"/>
      <w:r w:rsidRPr="00663F23">
        <w:rPr>
          <w:szCs w:val="24"/>
        </w:rPr>
        <w:t>Fair and Reasonable Acquisition Method</w:t>
      </w:r>
      <w:bookmarkEnd w:id="165"/>
      <w:bookmarkEnd w:id="166"/>
    </w:p>
    <w:p w:rsidR="00552C19" w:rsidRPr="00663F23" w:rsidRDefault="00552C19" w:rsidP="000E7319">
      <w:pPr>
        <w:pStyle w:val="BlockText"/>
        <w:pBdr>
          <w:bottom w:val="single" w:sz="4" w:space="1" w:color="auto"/>
        </w:pBdr>
        <w:rPr>
          <w:szCs w:val="24"/>
        </w:rPr>
      </w:pPr>
      <w:r w:rsidRPr="00663F23">
        <w:rPr>
          <w:szCs w:val="24"/>
        </w:rPr>
        <w:t xml:space="preserve">State agencies may conduct acquisitions and execute contracts using the Fair and Reasonable Acquisition Method for transactions valued less than $10,000.00. An NCB is </w:t>
      </w:r>
      <w:r w:rsidRPr="00663F23">
        <w:rPr>
          <w:b/>
          <w:szCs w:val="24"/>
        </w:rPr>
        <w:t>not</w:t>
      </w:r>
      <w:r w:rsidRPr="00663F23">
        <w:rPr>
          <w:szCs w:val="24"/>
        </w:rPr>
        <w:t xml:space="preserve"> required when using the F&amp;R acquisition method.</w:t>
      </w:r>
    </w:p>
    <w:p w:rsidR="00552C19" w:rsidRPr="00663F23" w:rsidRDefault="00552C19" w:rsidP="000E7319">
      <w:pPr>
        <w:pStyle w:val="BlockText"/>
        <w:pBdr>
          <w:bottom w:val="single" w:sz="4" w:space="1" w:color="auto"/>
        </w:pBdr>
        <w:rPr>
          <w:szCs w:val="24"/>
        </w:rPr>
      </w:pPr>
    </w:p>
    <w:p w:rsidR="00552C19" w:rsidRPr="00663F23" w:rsidRDefault="00552C19" w:rsidP="000E7319">
      <w:pPr>
        <w:pStyle w:val="BlockText"/>
        <w:pBdr>
          <w:bottom w:val="single" w:sz="4" w:space="1" w:color="auto"/>
        </w:pBdr>
        <w:rPr>
          <w:szCs w:val="24"/>
        </w:rPr>
      </w:pPr>
      <w:r w:rsidRPr="00663F23">
        <w:rPr>
          <w:szCs w:val="24"/>
        </w:rPr>
        <w:t>When using this acquisition method, it is required that the pricing be evaluated and determined fair and reasonable by following one of the techniques outlined in 5.7.1 below.</w:t>
      </w:r>
    </w:p>
    <w:p w:rsidR="00552C19" w:rsidRPr="00663F23" w:rsidRDefault="00552C19" w:rsidP="000E7319">
      <w:pPr>
        <w:pStyle w:val="BlockText"/>
        <w:pBdr>
          <w:bottom w:val="single" w:sz="4" w:space="1" w:color="auto"/>
        </w:pBdr>
        <w:rPr>
          <w:szCs w:val="24"/>
        </w:rPr>
      </w:pPr>
    </w:p>
    <w:p w:rsidR="00FD103B" w:rsidRPr="00663F23" w:rsidRDefault="00FD103B" w:rsidP="005837CC">
      <w:pPr>
        <w:rPr>
          <w:szCs w:val="24"/>
        </w:rPr>
      </w:pPr>
    </w:p>
    <w:p w:rsidR="00552C19" w:rsidRPr="00663F23" w:rsidRDefault="00552C19" w:rsidP="009B7FD1">
      <w:pPr>
        <w:pStyle w:val="Heading5"/>
        <w:spacing w:after="120"/>
        <w:rPr>
          <w:b w:val="0"/>
          <w:szCs w:val="24"/>
        </w:rPr>
      </w:pPr>
      <w:bookmarkStart w:id="167" w:name="_fs_a82H4HzZbWEO9V8f9FTSHUA"/>
      <w:bookmarkStart w:id="168" w:name="_Toc514420347"/>
      <w:bookmarkStart w:id="169" w:name="_Toc12963766"/>
      <w:r w:rsidRPr="00663F23">
        <w:rPr>
          <w:szCs w:val="24"/>
        </w:rPr>
        <w:t>5.7.1</w:t>
      </w:r>
      <w:r w:rsidR="00087C56" w:rsidRPr="00663F23">
        <w:rPr>
          <w:szCs w:val="24"/>
        </w:rPr>
        <w:t xml:space="preserve"> </w:t>
      </w:r>
      <w:r w:rsidRPr="00663F23">
        <w:rPr>
          <w:szCs w:val="24"/>
        </w:rPr>
        <w:t>Techniques to Determine Fair and Reasonable Pricin</w:t>
      </w:r>
      <w:bookmarkEnd w:id="167"/>
      <w:r w:rsidRPr="00663F23">
        <w:rPr>
          <w:szCs w:val="24"/>
        </w:rPr>
        <w:t>g</w:t>
      </w:r>
      <w:bookmarkEnd w:id="168"/>
      <w:bookmarkEnd w:id="169"/>
    </w:p>
    <w:p w:rsidR="00552C19" w:rsidRPr="00663F23" w:rsidRDefault="00552C19" w:rsidP="005837CC">
      <w:pPr>
        <w:pStyle w:val="BlockText"/>
        <w:rPr>
          <w:szCs w:val="24"/>
        </w:rPr>
      </w:pPr>
      <w:r w:rsidRPr="00663F23">
        <w:rPr>
          <w:szCs w:val="24"/>
        </w:rPr>
        <w:t>Buyers must use one of the following five techniques to determine whether or not a supplier’s price can be determined to be fair and reasonable:</w:t>
      </w:r>
    </w:p>
    <w:p w:rsidR="00FD103B" w:rsidRPr="00663F23" w:rsidRDefault="00FD103B" w:rsidP="005837CC">
      <w:pPr>
        <w:rPr>
          <w:szCs w:val="24"/>
        </w:rPr>
      </w:pP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echniques"/>
      </w:tblPr>
      <w:tblGrid>
        <w:gridCol w:w="2599"/>
        <w:gridCol w:w="6751"/>
      </w:tblGrid>
      <w:tr w:rsidR="00FD103B" w:rsidRPr="00663F23" w:rsidTr="00FC002E">
        <w:trPr>
          <w:tblHeader/>
        </w:trPr>
        <w:tc>
          <w:tcPr>
            <w:tcW w:w="1390" w:type="pct"/>
          </w:tcPr>
          <w:p w:rsidR="00FD103B" w:rsidRPr="00663F23" w:rsidRDefault="00FD103B" w:rsidP="005837CC">
            <w:pPr>
              <w:jc w:val="center"/>
              <w:rPr>
                <w:b/>
                <w:szCs w:val="24"/>
              </w:rPr>
            </w:pPr>
            <w:r w:rsidRPr="00663F23">
              <w:rPr>
                <w:b/>
                <w:szCs w:val="24"/>
              </w:rPr>
              <w:t>Technique</w:t>
            </w:r>
          </w:p>
        </w:tc>
        <w:tc>
          <w:tcPr>
            <w:tcW w:w="3610" w:type="pct"/>
          </w:tcPr>
          <w:p w:rsidR="00FD103B" w:rsidRPr="00663F23" w:rsidRDefault="00FD103B" w:rsidP="005837CC">
            <w:pPr>
              <w:jc w:val="center"/>
              <w:rPr>
                <w:b/>
                <w:bCs/>
                <w:szCs w:val="24"/>
              </w:rPr>
            </w:pPr>
            <w:r w:rsidRPr="00663F23">
              <w:rPr>
                <w:b/>
                <w:bCs/>
                <w:szCs w:val="24"/>
              </w:rPr>
              <w:t>Description</w:t>
            </w:r>
          </w:p>
        </w:tc>
      </w:tr>
      <w:tr w:rsidR="00FD103B" w:rsidRPr="00663F23" w:rsidTr="00FC002E">
        <w:tc>
          <w:tcPr>
            <w:tcW w:w="1390" w:type="pct"/>
          </w:tcPr>
          <w:p w:rsidR="00FD103B" w:rsidRPr="00663F23" w:rsidRDefault="00FD103B" w:rsidP="005837CC">
            <w:pPr>
              <w:rPr>
                <w:szCs w:val="24"/>
              </w:rPr>
            </w:pPr>
            <w:r w:rsidRPr="00663F23">
              <w:rPr>
                <w:szCs w:val="24"/>
              </w:rPr>
              <w:t>Price comparison</w:t>
            </w:r>
          </w:p>
        </w:tc>
        <w:tc>
          <w:tcPr>
            <w:tcW w:w="3610" w:type="pct"/>
          </w:tcPr>
          <w:p w:rsidR="00FD103B" w:rsidRPr="00663F23" w:rsidRDefault="00FD103B" w:rsidP="00223D20">
            <w:pPr>
              <w:rPr>
                <w:bCs/>
                <w:szCs w:val="24"/>
              </w:rPr>
            </w:pPr>
            <w:r w:rsidRPr="00663F23">
              <w:rPr>
                <w:bCs/>
                <w:szCs w:val="24"/>
              </w:rPr>
              <w:t xml:space="preserve">A buyer has obtained and documented quotes or offers within the prior </w:t>
            </w:r>
            <w:r w:rsidR="00223D20" w:rsidRPr="00663F23">
              <w:rPr>
                <w:bCs/>
                <w:szCs w:val="24"/>
              </w:rPr>
              <w:t>18-</w:t>
            </w:r>
            <w:r w:rsidRPr="00663F23">
              <w:rPr>
                <w:bCs/>
                <w:szCs w:val="24"/>
              </w:rPr>
              <w:t>month period from other responsible suppliers, which provides evidence that a price obtained is deemed fair and reasonable.</w:t>
            </w:r>
          </w:p>
        </w:tc>
      </w:tr>
      <w:tr w:rsidR="00FD103B" w:rsidRPr="00663F23" w:rsidTr="00FC002E">
        <w:tc>
          <w:tcPr>
            <w:tcW w:w="1390" w:type="pct"/>
          </w:tcPr>
          <w:p w:rsidR="00FD103B" w:rsidRPr="00663F23" w:rsidRDefault="00FD103B" w:rsidP="005837CC">
            <w:pPr>
              <w:rPr>
                <w:szCs w:val="24"/>
              </w:rPr>
            </w:pPr>
            <w:r w:rsidRPr="00663F23">
              <w:rPr>
                <w:szCs w:val="24"/>
              </w:rPr>
              <w:t>Catalog or market pricing</w:t>
            </w:r>
          </w:p>
        </w:tc>
        <w:tc>
          <w:tcPr>
            <w:tcW w:w="3610" w:type="pct"/>
          </w:tcPr>
          <w:p w:rsidR="00FD103B" w:rsidRPr="00663F23" w:rsidRDefault="00FD103B" w:rsidP="005837CC">
            <w:pPr>
              <w:rPr>
                <w:bCs/>
                <w:szCs w:val="24"/>
              </w:rPr>
            </w:pPr>
            <w:r w:rsidRPr="00663F23">
              <w:rPr>
                <w:bCs/>
                <w:szCs w:val="24"/>
              </w:rPr>
              <w:t>The price offered is supported by an established and verifiable catalog or market pricing media issued by a responsible supplier and/or through an established reputable forum</w:t>
            </w:r>
            <w:r w:rsidR="00714F9F" w:rsidRPr="00663F23">
              <w:rPr>
                <w:bCs/>
                <w:szCs w:val="24"/>
              </w:rPr>
              <w:t xml:space="preserve">. </w:t>
            </w:r>
            <w:r w:rsidRPr="00663F23">
              <w:rPr>
                <w:bCs/>
                <w:szCs w:val="24"/>
              </w:rPr>
              <w:t>In addition, the pricing structure provided is one that a prudent buyer would accept as a reasonable representation of existing market value.</w:t>
            </w:r>
          </w:p>
        </w:tc>
      </w:tr>
      <w:tr w:rsidR="00FD103B" w:rsidRPr="00663F23" w:rsidTr="00FC002E">
        <w:tc>
          <w:tcPr>
            <w:tcW w:w="1390" w:type="pct"/>
          </w:tcPr>
          <w:p w:rsidR="00FD103B" w:rsidRPr="00663F23" w:rsidRDefault="00FD103B" w:rsidP="005837CC">
            <w:pPr>
              <w:rPr>
                <w:szCs w:val="24"/>
              </w:rPr>
            </w:pPr>
            <w:r w:rsidRPr="00663F23">
              <w:rPr>
                <w:szCs w:val="24"/>
              </w:rPr>
              <w:t>Controlled pricing</w:t>
            </w:r>
          </w:p>
        </w:tc>
        <w:tc>
          <w:tcPr>
            <w:tcW w:w="3610" w:type="pct"/>
          </w:tcPr>
          <w:p w:rsidR="00FD103B" w:rsidRPr="00663F23" w:rsidRDefault="00FD103B" w:rsidP="002A38EF">
            <w:pPr>
              <w:tabs>
                <w:tab w:val="left" w:pos="1440"/>
              </w:tabs>
              <w:rPr>
                <w:bCs/>
                <w:szCs w:val="24"/>
              </w:rPr>
            </w:pPr>
            <w:r w:rsidRPr="00663F23">
              <w:rPr>
                <w:bCs/>
                <w:szCs w:val="24"/>
              </w:rPr>
              <w:t xml:space="preserve">The price offered is set by law or regulation; competitively bid master </w:t>
            </w:r>
            <w:r w:rsidR="002A38EF" w:rsidRPr="00663F23">
              <w:rPr>
                <w:bCs/>
                <w:szCs w:val="24"/>
              </w:rPr>
              <w:t xml:space="preserve">agreement </w:t>
            </w:r>
            <w:r w:rsidRPr="00663F23">
              <w:rPr>
                <w:bCs/>
                <w:szCs w:val="24"/>
              </w:rPr>
              <w:t>or statewide contracts, etc.</w:t>
            </w:r>
          </w:p>
        </w:tc>
      </w:tr>
      <w:tr w:rsidR="00FD103B" w:rsidRPr="00663F23" w:rsidTr="00FC002E">
        <w:tc>
          <w:tcPr>
            <w:tcW w:w="1390" w:type="pct"/>
          </w:tcPr>
          <w:p w:rsidR="00FD103B" w:rsidRPr="00663F23" w:rsidRDefault="00FD103B" w:rsidP="005837CC">
            <w:pPr>
              <w:rPr>
                <w:szCs w:val="24"/>
              </w:rPr>
            </w:pPr>
            <w:r w:rsidRPr="00663F23">
              <w:rPr>
                <w:szCs w:val="24"/>
              </w:rPr>
              <w:t>Historical pricing</w:t>
            </w:r>
          </w:p>
        </w:tc>
        <w:tc>
          <w:tcPr>
            <w:tcW w:w="3610" w:type="pct"/>
          </w:tcPr>
          <w:p w:rsidR="00991118" w:rsidRPr="00663F23" w:rsidRDefault="00FD103B" w:rsidP="005837CC">
            <w:pPr>
              <w:pStyle w:val="TableText"/>
              <w:rPr>
                <w:bCs/>
                <w:szCs w:val="24"/>
              </w:rPr>
            </w:pPr>
            <w:r w:rsidRPr="00663F23">
              <w:rPr>
                <w:bCs/>
                <w:szCs w:val="24"/>
              </w:rPr>
              <w:t>A buyer is able to demonstrate that other transactions occurring within</w:t>
            </w:r>
            <w:r w:rsidR="00991118" w:rsidRPr="00663F23">
              <w:rPr>
                <w:bCs/>
                <w:szCs w:val="24"/>
              </w:rPr>
              <w:t xml:space="preserve"> a</w:t>
            </w:r>
            <w:r w:rsidRPr="00663F23">
              <w:rPr>
                <w:bCs/>
                <w:szCs w:val="24"/>
              </w:rPr>
              <w:t xml:space="preserve"> prior </w:t>
            </w:r>
            <w:r w:rsidR="002A38EF" w:rsidRPr="00663F23">
              <w:rPr>
                <w:bCs/>
                <w:szCs w:val="24"/>
              </w:rPr>
              <w:t>18-</w:t>
            </w:r>
            <w:r w:rsidRPr="00663F23">
              <w:rPr>
                <w:bCs/>
                <w:szCs w:val="24"/>
              </w:rPr>
              <w:t>month period</w:t>
            </w:r>
            <w:r w:rsidR="001E5231" w:rsidRPr="00663F23">
              <w:rPr>
                <w:bCs/>
                <w:szCs w:val="24"/>
              </w:rPr>
              <w:t>,</w:t>
            </w:r>
            <w:r w:rsidRPr="00663F23">
              <w:rPr>
                <w:bCs/>
                <w:szCs w:val="24"/>
              </w:rPr>
              <w:t xml:space="preserve"> </w:t>
            </w:r>
            <w:r w:rsidR="00560535" w:rsidRPr="00663F23">
              <w:rPr>
                <w:bCs/>
                <w:szCs w:val="24"/>
              </w:rPr>
              <w:t xml:space="preserve">which </w:t>
            </w:r>
            <w:r w:rsidRPr="00663F23">
              <w:rPr>
                <w:bCs/>
                <w:szCs w:val="24"/>
              </w:rPr>
              <w:t>show</w:t>
            </w:r>
            <w:r w:rsidR="00560535" w:rsidRPr="00663F23">
              <w:rPr>
                <w:bCs/>
                <w:szCs w:val="24"/>
              </w:rPr>
              <w:t>s</w:t>
            </w:r>
            <w:r w:rsidR="00991118" w:rsidRPr="00663F23">
              <w:rPr>
                <w:bCs/>
                <w:szCs w:val="24"/>
              </w:rPr>
              <w:t xml:space="preserve"> </w:t>
            </w:r>
            <w:r w:rsidRPr="00663F23">
              <w:rPr>
                <w:bCs/>
                <w:szCs w:val="24"/>
              </w:rPr>
              <w:t>historical prices for similar acquisitions</w:t>
            </w:r>
            <w:r w:rsidR="00714F9F" w:rsidRPr="00663F23">
              <w:rPr>
                <w:bCs/>
                <w:szCs w:val="24"/>
              </w:rPr>
              <w:t>,</w:t>
            </w:r>
            <w:r w:rsidRPr="00663F23">
              <w:rPr>
                <w:bCs/>
                <w:szCs w:val="24"/>
              </w:rPr>
              <w:t xml:space="preserve"> have yielded no material change in cost.</w:t>
            </w:r>
          </w:p>
          <w:p w:rsidR="00FD103B" w:rsidRPr="00663F23" w:rsidRDefault="00FD103B" w:rsidP="005837CC">
            <w:pPr>
              <w:pStyle w:val="TableText"/>
              <w:rPr>
                <w:bCs/>
                <w:szCs w:val="24"/>
              </w:rPr>
            </w:pPr>
            <w:r w:rsidRPr="00663F23">
              <w:rPr>
                <w:bCs/>
                <w:szCs w:val="24"/>
              </w:rPr>
              <w:t xml:space="preserve"> </w:t>
            </w:r>
          </w:p>
          <w:p w:rsidR="00FD103B" w:rsidRPr="00663F23" w:rsidRDefault="00FD103B" w:rsidP="00087C56">
            <w:pPr>
              <w:rPr>
                <w:bCs/>
                <w:szCs w:val="24"/>
              </w:rPr>
            </w:pPr>
            <w:r w:rsidRPr="00663F23">
              <w:rPr>
                <w:b/>
                <w:bCs/>
                <w:szCs w:val="24"/>
              </w:rPr>
              <w:t>Note:</w:t>
            </w:r>
            <w:r w:rsidR="00087C56" w:rsidRPr="00663F23">
              <w:rPr>
                <w:b/>
                <w:bCs/>
                <w:szCs w:val="24"/>
              </w:rPr>
              <w:t xml:space="preserve"> </w:t>
            </w:r>
            <w:r w:rsidRPr="00663F23">
              <w:rPr>
                <w:bCs/>
                <w:szCs w:val="24"/>
              </w:rPr>
              <w:t>The definition of “material</w:t>
            </w:r>
            <w:r w:rsidR="00991118" w:rsidRPr="00663F23">
              <w:rPr>
                <w:bCs/>
                <w:szCs w:val="24"/>
              </w:rPr>
              <w:t xml:space="preserve"> change</w:t>
            </w:r>
            <w:r w:rsidRPr="00663F23">
              <w:rPr>
                <w:bCs/>
                <w:szCs w:val="24"/>
              </w:rPr>
              <w:t>” for this technique is deemed greater than a 15% increased difference between current and historical pricing.</w:t>
            </w:r>
          </w:p>
        </w:tc>
      </w:tr>
      <w:tr w:rsidR="00FD103B" w:rsidRPr="00663F23" w:rsidTr="00FC002E">
        <w:tc>
          <w:tcPr>
            <w:tcW w:w="1390" w:type="pct"/>
          </w:tcPr>
          <w:p w:rsidR="00FD103B" w:rsidRPr="00663F23" w:rsidRDefault="00FD103B" w:rsidP="005837CC">
            <w:pPr>
              <w:rPr>
                <w:szCs w:val="24"/>
              </w:rPr>
            </w:pPr>
            <w:r w:rsidRPr="00663F23">
              <w:rPr>
                <w:szCs w:val="24"/>
              </w:rPr>
              <w:t>Cost/benefit analysis</w:t>
            </w:r>
          </w:p>
        </w:tc>
        <w:tc>
          <w:tcPr>
            <w:tcW w:w="3610" w:type="pct"/>
          </w:tcPr>
          <w:p w:rsidR="00FD103B" w:rsidRPr="00663F23" w:rsidRDefault="00FD103B" w:rsidP="005837CC">
            <w:pPr>
              <w:rPr>
                <w:bCs/>
                <w:szCs w:val="24"/>
              </w:rPr>
            </w:pPr>
            <w:r w:rsidRPr="00663F23">
              <w:rPr>
                <w:bCs/>
                <w:szCs w:val="24"/>
              </w:rPr>
              <w:t>A buyer can demonstrate that their level of experience in the procurement field provides a sufficient knowledge base, which clearly indicates that the acquisition cost is low</w:t>
            </w:r>
            <w:r w:rsidR="00714F9F" w:rsidRPr="00663F23">
              <w:rPr>
                <w:bCs/>
                <w:szCs w:val="24"/>
              </w:rPr>
              <w:t xml:space="preserve">. </w:t>
            </w:r>
            <w:r w:rsidRPr="00663F23">
              <w:rPr>
                <w:bCs/>
                <w:szCs w:val="24"/>
              </w:rPr>
              <w:t>The cost to the state of verifying the pricing fairness would most likely be more than any potential benefit that could be reasonably gained from searching the marketplace for lower price comparable acquisitions.</w:t>
            </w:r>
          </w:p>
        </w:tc>
      </w:tr>
    </w:tbl>
    <w:p w:rsidR="00FD103B" w:rsidRPr="00663F23" w:rsidRDefault="00FD103B" w:rsidP="005837CC">
      <w:pPr>
        <w:rPr>
          <w:szCs w:val="24"/>
        </w:rPr>
      </w:pPr>
    </w:p>
    <w:p w:rsidR="009B7FD1" w:rsidRPr="00663F23" w:rsidRDefault="009B7FD1" w:rsidP="009B7FD1">
      <w:pPr>
        <w:pStyle w:val="BlockText"/>
        <w:pBdr>
          <w:bottom w:val="single" w:sz="4" w:space="1" w:color="auto"/>
        </w:pBdr>
        <w:rPr>
          <w:szCs w:val="24"/>
        </w:rPr>
      </w:pPr>
    </w:p>
    <w:p w:rsidR="009B7FD1" w:rsidRPr="00663F23" w:rsidRDefault="009B7FD1" w:rsidP="009B7FD1">
      <w:pPr>
        <w:pStyle w:val="BulletText1"/>
        <w:numPr>
          <w:ilvl w:val="0"/>
          <w:numId w:val="0"/>
        </w:numPr>
        <w:rPr>
          <w:szCs w:val="24"/>
        </w:rPr>
      </w:pPr>
    </w:p>
    <w:p w:rsidR="00552C19" w:rsidRPr="00663F23" w:rsidRDefault="00552C19" w:rsidP="009B7FD1">
      <w:pPr>
        <w:pStyle w:val="Heading5"/>
        <w:spacing w:after="120"/>
        <w:rPr>
          <w:szCs w:val="24"/>
        </w:rPr>
      </w:pPr>
      <w:bookmarkStart w:id="170" w:name="_Toc117557784"/>
      <w:bookmarkStart w:id="171" w:name="_Toc478104342"/>
      <w:bookmarkStart w:id="172" w:name="_Toc514420348"/>
      <w:bookmarkStart w:id="173" w:name="_Toc12963767"/>
      <w:r w:rsidRPr="00663F23">
        <w:rPr>
          <w:szCs w:val="24"/>
        </w:rPr>
        <w:t>5.7.2 Compare Identical Situations</w:t>
      </w:r>
      <w:bookmarkEnd w:id="170"/>
      <w:bookmarkEnd w:id="171"/>
      <w:bookmarkEnd w:id="172"/>
      <w:bookmarkEnd w:id="173"/>
    </w:p>
    <w:p w:rsidR="00552C19" w:rsidRPr="00663F23" w:rsidRDefault="00552C19" w:rsidP="005837CC">
      <w:pPr>
        <w:pStyle w:val="BlockText"/>
        <w:rPr>
          <w:szCs w:val="24"/>
        </w:rPr>
      </w:pPr>
      <w:r w:rsidRPr="00663F23">
        <w:rPr>
          <w:szCs w:val="24"/>
        </w:rPr>
        <w:t>When evaluating fair and reasonable pricing using price comparisons, catalog/market price, and/or historical pricing, buyers must base the comparisons on identical situations or those with small variations that do not affect pricing.</w:t>
      </w:r>
    </w:p>
    <w:p w:rsidR="009B7FD1" w:rsidRPr="00663F23" w:rsidRDefault="009B7FD1" w:rsidP="009B7FD1">
      <w:pPr>
        <w:pStyle w:val="BlockText"/>
        <w:pBdr>
          <w:bottom w:val="single" w:sz="4" w:space="1" w:color="auto"/>
        </w:pBdr>
        <w:rPr>
          <w:szCs w:val="24"/>
        </w:rPr>
      </w:pPr>
    </w:p>
    <w:p w:rsidR="009B7FD1" w:rsidRPr="00663F23" w:rsidRDefault="009B7FD1" w:rsidP="009B7FD1">
      <w:pPr>
        <w:pStyle w:val="BulletText1"/>
        <w:numPr>
          <w:ilvl w:val="0"/>
          <w:numId w:val="0"/>
        </w:numPr>
        <w:rPr>
          <w:szCs w:val="24"/>
        </w:rPr>
      </w:pPr>
    </w:p>
    <w:p w:rsidR="009B7FD1" w:rsidRPr="00663F23" w:rsidRDefault="009B7FD1" w:rsidP="009B7FD1">
      <w:pPr>
        <w:pStyle w:val="Heading5"/>
        <w:spacing w:after="120"/>
        <w:rPr>
          <w:szCs w:val="24"/>
        </w:rPr>
      </w:pPr>
      <w:bookmarkStart w:id="174" w:name="_Toc12963768"/>
      <w:r w:rsidRPr="00663F23">
        <w:rPr>
          <w:szCs w:val="24"/>
        </w:rPr>
        <w:t>5.7.3 Exceptions</w:t>
      </w:r>
      <w:bookmarkEnd w:id="174"/>
    </w:p>
    <w:p w:rsidR="009B7FD1" w:rsidRPr="00663F23" w:rsidRDefault="009B7FD1" w:rsidP="0084754E">
      <w:r w:rsidRPr="00663F23">
        <w:t>State agencies shall not use the F&amp;R Acquisition Method to purchase customized non-IT good requiring detailed specifications. Below are examples:</w:t>
      </w:r>
    </w:p>
    <w:p w:rsidR="009B7FD1" w:rsidRPr="00663F23" w:rsidRDefault="009B7FD1" w:rsidP="0084754E"/>
    <w:p w:rsidR="009B7FD1" w:rsidRPr="00663F23" w:rsidRDefault="009B7FD1" w:rsidP="0084754E">
      <w:pPr>
        <w:pStyle w:val="ListParagraph"/>
        <w:numPr>
          <w:ilvl w:val="0"/>
          <w:numId w:val="49"/>
        </w:numPr>
        <w:ind w:left="360"/>
        <w:rPr>
          <w:rFonts w:ascii="Arial" w:hAnsi="Arial" w:cs="Arial"/>
        </w:rPr>
      </w:pPr>
      <w:r w:rsidRPr="00663F23">
        <w:rPr>
          <w:rFonts w:ascii="Arial" w:hAnsi="Arial" w:cs="Arial"/>
        </w:rPr>
        <w:t>Vending Machines</w:t>
      </w:r>
    </w:p>
    <w:p w:rsidR="009B7FD1" w:rsidRPr="00663F23" w:rsidRDefault="009B7FD1" w:rsidP="0084754E">
      <w:pPr>
        <w:pStyle w:val="ListParagraph"/>
        <w:numPr>
          <w:ilvl w:val="0"/>
          <w:numId w:val="49"/>
        </w:numPr>
        <w:ind w:left="360"/>
        <w:rPr>
          <w:rFonts w:ascii="Arial" w:hAnsi="Arial" w:cs="Arial"/>
        </w:rPr>
      </w:pPr>
      <w:r w:rsidRPr="00663F23">
        <w:rPr>
          <w:rFonts w:ascii="Arial" w:hAnsi="Arial" w:cs="Arial"/>
        </w:rPr>
        <w:t>Wood Chippers</w:t>
      </w:r>
    </w:p>
    <w:p w:rsidR="0084754E" w:rsidRPr="00663F23" w:rsidRDefault="0084754E" w:rsidP="0084754E">
      <w:pPr>
        <w:pStyle w:val="BlockText"/>
        <w:pBdr>
          <w:bottom w:val="single" w:sz="4" w:space="1" w:color="auto"/>
        </w:pBdr>
        <w:rPr>
          <w:szCs w:val="24"/>
        </w:rPr>
      </w:pPr>
    </w:p>
    <w:p w:rsidR="0084754E" w:rsidRPr="00663F23" w:rsidRDefault="0084754E" w:rsidP="0084754E">
      <w:pPr>
        <w:pStyle w:val="BulletText1"/>
        <w:numPr>
          <w:ilvl w:val="0"/>
          <w:numId w:val="0"/>
        </w:numPr>
        <w:rPr>
          <w:szCs w:val="24"/>
        </w:rPr>
      </w:pPr>
    </w:p>
    <w:p w:rsidR="0084754E" w:rsidRPr="00663F23" w:rsidRDefault="0084754E" w:rsidP="0084754E">
      <w:pPr>
        <w:pStyle w:val="Heading5"/>
        <w:spacing w:after="120"/>
        <w:rPr>
          <w:szCs w:val="24"/>
        </w:rPr>
      </w:pPr>
      <w:bookmarkStart w:id="175" w:name="_Toc12963769"/>
      <w:r w:rsidRPr="00663F23">
        <w:rPr>
          <w:szCs w:val="24"/>
        </w:rPr>
        <w:t>5.7.4 File Documentation</w:t>
      </w:r>
      <w:bookmarkEnd w:id="175"/>
    </w:p>
    <w:p w:rsidR="00FD103B" w:rsidRDefault="0084754E">
      <w:r w:rsidRPr="00663F23">
        <w:t xml:space="preserve">By using the F&amp;R Acquisition Method, state agencies shall document the </w:t>
      </w:r>
      <w:r w:rsidR="0018540F" w:rsidRPr="00663F23">
        <w:t>technique</w:t>
      </w:r>
      <w:r w:rsidRPr="00663F23">
        <w:t xml:space="preserve"> used to support the F&amp;R pricing. Documentation shall be maintained within the procurement file. </w:t>
      </w:r>
    </w:p>
    <w:sectPr w:rsidR="00FD103B" w:rsidSect="00C93AD2">
      <w:headerReference w:type="even" r:id="rId13"/>
      <w:headerReference w:type="default" r:id="rId14"/>
      <w:footerReference w:type="even" r:id="rId15"/>
      <w:footerReference w:type="default" r:id="rId16"/>
      <w:headerReference w:type="first" r:id="rId17"/>
      <w:footerReference w:type="first" r:id="rId18"/>
      <w:pgSz w:w="12240" w:h="15840" w:code="1"/>
      <w:pgMar w:top="1152" w:right="1440" w:bottom="1008"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065" w:rsidRDefault="00051065">
      <w:r>
        <w:separator/>
      </w:r>
    </w:p>
  </w:endnote>
  <w:endnote w:type="continuationSeparator" w:id="0">
    <w:p w:rsidR="00051065" w:rsidRDefault="0005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2E" w:rsidRDefault="00FC0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944" w:rsidRDefault="00C80944" w:rsidP="004862D8">
    <w:pPr>
      <w:pStyle w:val="Footer"/>
      <w:tabs>
        <w:tab w:val="clear" w:pos="4320"/>
        <w:tab w:val="clear" w:pos="8640"/>
        <w:tab w:val="right" w:pos="9348"/>
      </w:tabs>
      <w:rPr>
        <w:sz w:val="18"/>
      </w:rPr>
    </w:pPr>
    <w:r>
      <w:rPr>
        <w:rStyle w:val="PageNumber"/>
      </w:rPr>
      <w:t>Chapter 5 – Non-Competitively Bid (NCB) Purchases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41BCE">
      <w:rPr>
        <w:rStyle w:val="PageNumber"/>
        <w:noProof/>
      </w:rPr>
      <w:t>21</w:t>
    </w:r>
    <w:r>
      <w:rPr>
        <w:rStyle w:val="PageNumber"/>
      </w:rPr>
      <w:fldChar w:fldCharType="end"/>
    </w:r>
  </w:p>
  <w:p w:rsidR="00C80944" w:rsidRPr="004862D8" w:rsidRDefault="00C80944" w:rsidP="004862D8">
    <w:pPr>
      <w:pStyle w:val="Footer"/>
      <w:tabs>
        <w:tab w:val="clear" w:pos="4320"/>
        <w:tab w:val="clear" w:pos="8640"/>
        <w:tab w:val="center" w:pos="4674"/>
        <w:tab w:val="right" w:pos="9348"/>
      </w:tabs>
      <w:rPr>
        <w:szCs w:val="24"/>
      </w:rPr>
    </w:pPr>
    <w:r w:rsidRPr="004862D8">
      <w:rPr>
        <w:szCs w:val="24"/>
      </w:rPr>
      <w:t xml:space="preserve">SCM, </w:t>
    </w:r>
    <w:r w:rsidR="00FC002E">
      <w:rPr>
        <w:szCs w:val="24"/>
      </w:rPr>
      <w:t>Vol. 2</w:t>
    </w:r>
    <w:r w:rsidR="00FC002E">
      <w:rPr>
        <w:szCs w:val="24"/>
      </w:rPr>
      <w:tab/>
    </w:r>
    <w:r w:rsidR="00FC002E">
      <w:rPr>
        <w:szCs w:val="24"/>
      </w:rPr>
      <w:tab/>
      <w:t>July</w:t>
    </w:r>
    <w:r w:rsidRPr="004862D8">
      <w:rPr>
        <w:szCs w:val="24"/>
      </w:rPr>
      <w:t xml:space="preserve"> 201</w:t>
    </w:r>
    <w:r w:rsidR="00FC002E">
      <w:rPr>
        <w:szCs w:val="24"/>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2E" w:rsidRDefault="00FC0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065" w:rsidRDefault="00051065">
      <w:r>
        <w:separator/>
      </w:r>
    </w:p>
  </w:footnote>
  <w:footnote w:type="continuationSeparator" w:id="0">
    <w:p w:rsidR="00051065" w:rsidRDefault="00051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2E" w:rsidRDefault="00FC0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2E" w:rsidRDefault="00FC0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2E" w:rsidRDefault="00FC0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1C3"/>
    <w:multiLevelType w:val="hybridMultilevel"/>
    <w:tmpl w:val="3212388A"/>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 w15:restartNumberingAfterBreak="0">
    <w:nsid w:val="061F06DF"/>
    <w:multiLevelType w:val="hybridMultilevel"/>
    <w:tmpl w:val="AEF4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D0FCC"/>
    <w:multiLevelType w:val="hybridMultilevel"/>
    <w:tmpl w:val="8706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E2CBD"/>
    <w:multiLevelType w:val="hybridMultilevel"/>
    <w:tmpl w:val="9222B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B177C"/>
    <w:multiLevelType w:val="hybridMultilevel"/>
    <w:tmpl w:val="6EEE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C557A"/>
    <w:multiLevelType w:val="hybridMultilevel"/>
    <w:tmpl w:val="4E2E9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64100"/>
    <w:multiLevelType w:val="hybridMultilevel"/>
    <w:tmpl w:val="E22A2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940B1"/>
    <w:multiLevelType w:val="hybridMultilevel"/>
    <w:tmpl w:val="163C7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30354E"/>
    <w:multiLevelType w:val="hybridMultilevel"/>
    <w:tmpl w:val="6570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A2697"/>
    <w:multiLevelType w:val="hybridMultilevel"/>
    <w:tmpl w:val="67661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9256E"/>
    <w:multiLevelType w:val="hybridMultilevel"/>
    <w:tmpl w:val="5C6C1C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338EB"/>
    <w:multiLevelType w:val="hybridMultilevel"/>
    <w:tmpl w:val="9982B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836B8"/>
    <w:multiLevelType w:val="multilevel"/>
    <w:tmpl w:val="D1DEC032"/>
    <w:lvl w:ilvl="0">
      <w:start w:val="5"/>
      <w:numFmt w:val="decimal"/>
      <w:lvlText w:val="%1"/>
      <w:lvlJc w:val="left"/>
      <w:pPr>
        <w:ind w:left="1695" w:hanging="675"/>
      </w:pPr>
      <w:rPr>
        <w:rFonts w:hint="default"/>
      </w:rPr>
    </w:lvl>
    <w:lvl w:ilvl="1">
      <w:start w:val="1"/>
      <w:numFmt w:val="decimal"/>
      <w:lvlText w:val="%1.%2"/>
      <w:lvlJc w:val="left"/>
      <w:pPr>
        <w:ind w:left="1695" w:hanging="675"/>
      </w:pPr>
      <w:rPr>
        <w:rFonts w:hint="default"/>
      </w:rPr>
    </w:lvl>
    <w:lvl w:ilvl="2">
      <w:numFmt w:val="decimal"/>
      <w:lvlText w:val="%1.%2.%3"/>
      <w:lvlJc w:val="left"/>
      <w:pPr>
        <w:ind w:left="1695" w:hanging="675"/>
      </w:pPr>
      <w:rPr>
        <w:rFonts w:ascii="Times New Roman" w:eastAsia="Arial" w:hAnsi="Times New Roman" w:cs="Times New Roman" w:hint="default"/>
        <w:spacing w:val="-1"/>
        <w:w w:val="100"/>
        <w:sz w:val="24"/>
        <w:szCs w:val="24"/>
      </w:rPr>
    </w:lvl>
    <w:lvl w:ilvl="3">
      <w:numFmt w:val="bullet"/>
      <w:lvlText w:val="•"/>
      <w:lvlJc w:val="left"/>
      <w:pPr>
        <w:ind w:left="4082" w:hanging="675"/>
      </w:pPr>
      <w:rPr>
        <w:rFonts w:hint="default"/>
      </w:rPr>
    </w:lvl>
    <w:lvl w:ilvl="4">
      <w:numFmt w:val="bullet"/>
      <w:lvlText w:val="•"/>
      <w:lvlJc w:val="left"/>
      <w:pPr>
        <w:ind w:left="4876" w:hanging="675"/>
      </w:pPr>
      <w:rPr>
        <w:rFonts w:hint="default"/>
      </w:rPr>
    </w:lvl>
    <w:lvl w:ilvl="5">
      <w:numFmt w:val="bullet"/>
      <w:lvlText w:val="•"/>
      <w:lvlJc w:val="left"/>
      <w:pPr>
        <w:ind w:left="5670" w:hanging="675"/>
      </w:pPr>
      <w:rPr>
        <w:rFonts w:hint="default"/>
      </w:rPr>
    </w:lvl>
    <w:lvl w:ilvl="6">
      <w:numFmt w:val="bullet"/>
      <w:lvlText w:val="•"/>
      <w:lvlJc w:val="left"/>
      <w:pPr>
        <w:ind w:left="6464" w:hanging="675"/>
      </w:pPr>
      <w:rPr>
        <w:rFonts w:hint="default"/>
      </w:rPr>
    </w:lvl>
    <w:lvl w:ilvl="7">
      <w:numFmt w:val="bullet"/>
      <w:lvlText w:val="•"/>
      <w:lvlJc w:val="left"/>
      <w:pPr>
        <w:ind w:left="7258" w:hanging="675"/>
      </w:pPr>
      <w:rPr>
        <w:rFonts w:hint="default"/>
      </w:rPr>
    </w:lvl>
    <w:lvl w:ilvl="8">
      <w:numFmt w:val="bullet"/>
      <w:lvlText w:val="•"/>
      <w:lvlJc w:val="left"/>
      <w:pPr>
        <w:ind w:left="8052" w:hanging="675"/>
      </w:pPr>
      <w:rPr>
        <w:rFonts w:hint="default"/>
      </w:rPr>
    </w:lvl>
  </w:abstractNum>
  <w:abstractNum w:abstractNumId="13" w15:restartNumberingAfterBreak="0">
    <w:nsid w:val="25020617"/>
    <w:multiLevelType w:val="hybridMultilevel"/>
    <w:tmpl w:val="74D69A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28B327EE"/>
    <w:multiLevelType w:val="hybridMultilevel"/>
    <w:tmpl w:val="0E1ED074"/>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5" w15:restartNumberingAfterBreak="0">
    <w:nsid w:val="348108BE"/>
    <w:multiLevelType w:val="hybridMultilevel"/>
    <w:tmpl w:val="A7A87DD0"/>
    <w:lvl w:ilvl="0" w:tplc="F8BA871C">
      <w:start w:val="1"/>
      <w:numFmt w:val="bullet"/>
      <w:pStyle w:val="BulletText3"/>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88752CC"/>
    <w:multiLevelType w:val="hybridMultilevel"/>
    <w:tmpl w:val="3882423E"/>
    <w:lvl w:ilvl="0" w:tplc="D34CC65C">
      <w:numFmt w:val="bullet"/>
      <w:lvlText w:val=""/>
      <w:lvlJc w:val="left"/>
      <w:pPr>
        <w:ind w:left="388" w:hanging="361"/>
      </w:pPr>
      <w:rPr>
        <w:rFonts w:ascii="Symbol" w:eastAsia="Symbol" w:hAnsi="Symbol" w:cs="Symbol" w:hint="default"/>
        <w:w w:val="100"/>
        <w:sz w:val="22"/>
        <w:szCs w:val="22"/>
      </w:rPr>
    </w:lvl>
    <w:lvl w:ilvl="1" w:tplc="4864916C">
      <w:numFmt w:val="bullet"/>
      <w:lvlText w:val="•"/>
      <w:lvlJc w:val="left"/>
      <w:pPr>
        <w:ind w:left="1110" w:hanging="361"/>
      </w:pPr>
      <w:rPr>
        <w:rFonts w:hint="default"/>
      </w:rPr>
    </w:lvl>
    <w:lvl w:ilvl="2" w:tplc="47FAA7E0">
      <w:numFmt w:val="bullet"/>
      <w:lvlText w:val="•"/>
      <w:lvlJc w:val="left"/>
      <w:pPr>
        <w:ind w:left="1841" w:hanging="361"/>
      </w:pPr>
      <w:rPr>
        <w:rFonts w:hint="default"/>
      </w:rPr>
    </w:lvl>
    <w:lvl w:ilvl="3" w:tplc="BD4A4448">
      <w:numFmt w:val="bullet"/>
      <w:lvlText w:val="•"/>
      <w:lvlJc w:val="left"/>
      <w:pPr>
        <w:ind w:left="2572" w:hanging="361"/>
      </w:pPr>
      <w:rPr>
        <w:rFonts w:hint="default"/>
      </w:rPr>
    </w:lvl>
    <w:lvl w:ilvl="4" w:tplc="E1ECD038">
      <w:numFmt w:val="bullet"/>
      <w:lvlText w:val="•"/>
      <w:lvlJc w:val="left"/>
      <w:pPr>
        <w:ind w:left="3303" w:hanging="361"/>
      </w:pPr>
      <w:rPr>
        <w:rFonts w:hint="default"/>
      </w:rPr>
    </w:lvl>
    <w:lvl w:ilvl="5" w:tplc="71C2C160">
      <w:numFmt w:val="bullet"/>
      <w:lvlText w:val="•"/>
      <w:lvlJc w:val="left"/>
      <w:pPr>
        <w:ind w:left="4034" w:hanging="361"/>
      </w:pPr>
      <w:rPr>
        <w:rFonts w:hint="default"/>
      </w:rPr>
    </w:lvl>
    <w:lvl w:ilvl="6" w:tplc="2D160360">
      <w:numFmt w:val="bullet"/>
      <w:lvlText w:val="•"/>
      <w:lvlJc w:val="left"/>
      <w:pPr>
        <w:ind w:left="4765" w:hanging="361"/>
      </w:pPr>
      <w:rPr>
        <w:rFonts w:hint="default"/>
      </w:rPr>
    </w:lvl>
    <w:lvl w:ilvl="7" w:tplc="BDF05814">
      <w:numFmt w:val="bullet"/>
      <w:lvlText w:val="•"/>
      <w:lvlJc w:val="left"/>
      <w:pPr>
        <w:ind w:left="5496" w:hanging="361"/>
      </w:pPr>
      <w:rPr>
        <w:rFonts w:hint="default"/>
      </w:rPr>
    </w:lvl>
    <w:lvl w:ilvl="8" w:tplc="80F258F0">
      <w:numFmt w:val="bullet"/>
      <w:lvlText w:val="•"/>
      <w:lvlJc w:val="left"/>
      <w:pPr>
        <w:ind w:left="6227" w:hanging="361"/>
      </w:pPr>
      <w:rPr>
        <w:rFonts w:hint="default"/>
      </w:rPr>
    </w:lvl>
  </w:abstractNum>
  <w:abstractNum w:abstractNumId="17" w15:restartNumberingAfterBreak="0">
    <w:nsid w:val="3923388F"/>
    <w:multiLevelType w:val="hybridMultilevel"/>
    <w:tmpl w:val="4B8224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0F049E"/>
    <w:multiLevelType w:val="hybridMultilevel"/>
    <w:tmpl w:val="AECA06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393834"/>
    <w:multiLevelType w:val="hybridMultilevel"/>
    <w:tmpl w:val="5384479A"/>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0" w15:restartNumberingAfterBreak="0">
    <w:nsid w:val="3E5F7A82"/>
    <w:multiLevelType w:val="hybridMultilevel"/>
    <w:tmpl w:val="68FC12D6"/>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1" w15:restartNumberingAfterBreak="0">
    <w:nsid w:val="41521DE9"/>
    <w:multiLevelType w:val="hybridMultilevel"/>
    <w:tmpl w:val="328EC52C"/>
    <w:lvl w:ilvl="0" w:tplc="B3B80D86">
      <w:numFmt w:val="bullet"/>
      <w:lvlText w:val=""/>
      <w:lvlJc w:val="left"/>
      <w:pPr>
        <w:ind w:left="403" w:hanging="375"/>
      </w:pPr>
      <w:rPr>
        <w:rFonts w:ascii="Symbol" w:eastAsia="Symbol" w:hAnsi="Symbol" w:cs="Symbol" w:hint="default"/>
        <w:w w:val="100"/>
        <w:sz w:val="22"/>
        <w:szCs w:val="22"/>
      </w:rPr>
    </w:lvl>
    <w:lvl w:ilvl="1" w:tplc="0EEE353C">
      <w:numFmt w:val="bullet"/>
      <w:lvlText w:val="•"/>
      <w:lvlJc w:val="left"/>
      <w:pPr>
        <w:ind w:left="1128" w:hanging="375"/>
      </w:pPr>
      <w:rPr>
        <w:rFonts w:hint="default"/>
      </w:rPr>
    </w:lvl>
    <w:lvl w:ilvl="2" w:tplc="A198D44C">
      <w:numFmt w:val="bullet"/>
      <w:lvlText w:val="•"/>
      <w:lvlJc w:val="left"/>
      <w:pPr>
        <w:ind w:left="1857" w:hanging="375"/>
      </w:pPr>
      <w:rPr>
        <w:rFonts w:hint="default"/>
      </w:rPr>
    </w:lvl>
    <w:lvl w:ilvl="3" w:tplc="0106936A">
      <w:numFmt w:val="bullet"/>
      <w:lvlText w:val="•"/>
      <w:lvlJc w:val="left"/>
      <w:pPr>
        <w:ind w:left="2586" w:hanging="375"/>
      </w:pPr>
      <w:rPr>
        <w:rFonts w:hint="default"/>
      </w:rPr>
    </w:lvl>
    <w:lvl w:ilvl="4" w:tplc="CFF6AE1A">
      <w:numFmt w:val="bullet"/>
      <w:lvlText w:val="•"/>
      <w:lvlJc w:val="left"/>
      <w:pPr>
        <w:ind w:left="3315" w:hanging="375"/>
      </w:pPr>
      <w:rPr>
        <w:rFonts w:hint="default"/>
      </w:rPr>
    </w:lvl>
    <w:lvl w:ilvl="5" w:tplc="A52041BA">
      <w:numFmt w:val="bullet"/>
      <w:lvlText w:val="•"/>
      <w:lvlJc w:val="left"/>
      <w:pPr>
        <w:ind w:left="4044" w:hanging="375"/>
      </w:pPr>
      <w:rPr>
        <w:rFonts w:hint="default"/>
      </w:rPr>
    </w:lvl>
    <w:lvl w:ilvl="6" w:tplc="F6C69B68">
      <w:numFmt w:val="bullet"/>
      <w:lvlText w:val="•"/>
      <w:lvlJc w:val="left"/>
      <w:pPr>
        <w:ind w:left="4773" w:hanging="375"/>
      </w:pPr>
      <w:rPr>
        <w:rFonts w:hint="default"/>
      </w:rPr>
    </w:lvl>
    <w:lvl w:ilvl="7" w:tplc="9242625A">
      <w:numFmt w:val="bullet"/>
      <w:lvlText w:val="•"/>
      <w:lvlJc w:val="left"/>
      <w:pPr>
        <w:ind w:left="5502" w:hanging="375"/>
      </w:pPr>
      <w:rPr>
        <w:rFonts w:hint="default"/>
      </w:rPr>
    </w:lvl>
    <w:lvl w:ilvl="8" w:tplc="99C6F194">
      <w:numFmt w:val="bullet"/>
      <w:lvlText w:val="•"/>
      <w:lvlJc w:val="left"/>
      <w:pPr>
        <w:ind w:left="6231" w:hanging="375"/>
      </w:pPr>
      <w:rPr>
        <w:rFonts w:hint="default"/>
      </w:rPr>
    </w:lvl>
  </w:abstractNum>
  <w:abstractNum w:abstractNumId="22" w15:restartNumberingAfterBreak="0">
    <w:nsid w:val="41702BC5"/>
    <w:multiLevelType w:val="hybridMultilevel"/>
    <w:tmpl w:val="BA4A5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70FAB"/>
    <w:multiLevelType w:val="hybridMultilevel"/>
    <w:tmpl w:val="4E2E9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73B5D"/>
    <w:multiLevelType w:val="hybridMultilevel"/>
    <w:tmpl w:val="5904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7948AD"/>
    <w:multiLevelType w:val="hybridMultilevel"/>
    <w:tmpl w:val="A08E1574"/>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6" w15:restartNumberingAfterBreak="0">
    <w:nsid w:val="4595335F"/>
    <w:multiLevelType w:val="hybridMultilevel"/>
    <w:tmpl w:val="E2544EBE"/>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7" w15:restartNumberingAfterBreak="0">
    <w:nsid w:val="47996A14"/>
    <w:multiLevelType w:val="hybridMultilevel"/>
    <w:tmpl w:val="8ECC8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115C43"/>
    <w:multiLevelType w:val="hybridMultilevel"/>
    <w:tmpl w:val="A454D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D630F2B"/>
    <w:multiLevelType w:val="hybridMultilevel"/>
    <w:tmpl w:val="E9B0A1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4A0AB9"/>
    <w:multiLevelType w:val="hybridMultilevel"/>
    <w:tmpl w:val="2C64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0C1C99"/>
    <w:multiLevelType w:val="hybridMultilevel"/>
    <w:tmpl w:val="8CF872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27018D"/>
    <w:multiLevelType w:val="hybridMultilevel"/>
    <w:tmpl w:val="422E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9D5CE0"/>
    <w:multiLevelType w:val="hybridMultilevel"/>
    <w:tmpl w:val="90D6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66CD8"/>
    <w:multiLevelType w:val="hybridMultilevel"/>
    <w:tmpl w:val="AF30755E"/>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35" w15:restartNumberingAfterBreak="0">
    <w:nsid w:val="60BF5859"/>
    <w:multiLevelType w:val="hybridMultilevel"/>
    <w:tmpl w:val="1B561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DB3D68"/>
    <w:multiLevelType w:val="hybridMultilevel"/>
    <w:tmpl w:val="CBC6FE0C"/>
    <w:lvl w:ilvl="0" w:tplc="21D42084">
      <w:start w:val="1"/>
      <w:numFmt w:val="bullet"/>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6D2F9D"/>
    <w:multiLevelType w:val="hybridMultilevel"/>
    <w:tmpl w:val="B54A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3053E7"/>
    <w:multiLevelType w:val="hybridMultilevel"/>
    <w:tmpl w:val="88EA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6B02AF"/>
    <w:multiLevelType w:val="singleLevel"/>
    <w:tmpl w:val="07EC2F36"/>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40" w15:restartNumberingAfterBreak="0">
    <w:nsid w:val="6E9801A8"/>
    <w:multiLevelType w:val="hybridMultilevel"/>
    <w:tmpl w:val="4F0E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12F7F"/>
    <w:multiLevelType w:val="hybridMultilevel"/>
    <w:tmpl w:val="950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6D669E"/>
    <w:multiLevelType w:val="hybridMultilevel"/>
    <w:tmpl w:val="F774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30788"/>
    <w:multiLevelType w:val="hybridMultilevel"/>
    <w:tmpl w:val="43C2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115743"/>
    <w:multiLevelType w:val="hybridMultilevel"/>
    <w:tmpl w:val="EAB48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2F1025"/>
    <w:multiLevelType w:val="hybridMultilevel"/>
    <w:tmpl w:val="106E9346"/>
    <w:lvl w:ilvl="0" w:tplc="84C4FADC">
      <w:numFmt w:val="bullet"/>
      <w:lvlText w:val=""/>
      <w:lvlJc w:val="left"/>
      <w:pPr>
        <w:ind w:left="201" w:hanging="173"/>
      </w:pPr>
      <w:rPr>
        <w:rFonts w:ascii="Symbol" w:eastAsia="Symbol" w:hAnsi="Symbol" w:cs="Symbol" w:hint="default"/>
        <w:w w:val="100"/>
        <w:sz w:val="22"/>
        <w:szCs w:val="22"/>
      </w:rPr>
    </w:lvl>
    <w:lvl w:ilvl="1" w:tplc="844827B6">
      <w:numFmt w:val="bullet"/>
      <w:lvlText w:val=""/>
      <w:lvlJc w:val="left"/>
      <w:pPr>
        <w:ind w:left="576" w:hanging="361"/>
      </w:pPr>
      <w:rPr>
        <w:rFonts w:ascii="Wingdings" w:eastAsia="Wingdings" w:hAnsi="Wingdings" w:cs="Wingdings" w:hint="default"/>
        <w:w w:val="100"/>
        <w:sz w:val="22"/>
        <w:szCs w:val="22"/>
      </w:rPr>
    </w:lvl>
    <w:lvl w:ilvl="2" w:tplc="D3C83236">
      <w:numFmt w:val="bullet"/>
      <w:lvlText w:val="•"/>
      <w:lvlJc w:val="left"/>
      <w:pPr>
        <w:ind w:left="1369" w:hanging="361"/>
      </w:pPr>
      <w:rPr>
        <w:rFonts w:hint="default"/>
      </w:rPr>
    </w:lvl>
    <w:lvl w:ilvl="3" w:tplc="CAA0E43E">
      <w:numFmt w:val="bullet"/>
      <w:lvlText w:val="•"/>
      <w:lvlJc w:val="left"/>
      <w:pPr>
        <w:ind w:left="2159" w:hanging="361"/>
      </w:pPr>
      <w:rPr>
        <w:rFonts w:hint="default"/>
      </w:rPr>
    </w:lvl>
    <w:lvl w:ilvl="4" w:tplc="E4E25136">
      <w:numFmt w:val="bullet"/>
      <w:lvlText w:val="•"/>
      <w:lvlJc w:val="left"/>
      <w:pPr>
        <w:ind w:left="2949" w:hanging="361"/>
      </w:pPr>
      <w:rPr>
        <w:rFonts w:hint="default"/>
      </w:rPr>
    </w:lvl>
    <w:lvl w:ilvl="5" w:tplc="FDAAE5E2">
      <w:numFmt w:val="bullet"/>
      <w:lvlText w:val="•"/>
      <w:lvlJc w:val="left"/>
      <w:pPr>
        <w:ind w:left="3739" w:hanging="361"/>
      </w:pPr>
      <w:rPr>
        <w:rFonts w:hint="default"/>
      </w:rPr>
    </w:lvl>
    <w:lvl w:ilvl="6" w:tplc="AAF27E20">
      <w:numFmt w:val="bullet"/>
      <w:lvlText w:val="•"/>
      <w:lvlJc w:val="left"/>
      <w:pPr>
        <w:ind w:left="4529" w:hanging="361"/>
      </w:pPr>
      <w:rPr>
        <w:rFonts w:hint="default"/>
      </w:rPr>
    </w:lvl>
    <w:lvl w:ilvl="7" w:tplc="39F288DA">
      <w:numFmt w:val="bullet"/>
      <w:lvlText w:val="•"/>
      <w:lvlJc w:val="left"/>
      <w:pPr>
        <w:ind w:left="5319" w:hanging="361"/>
      </w:pPr>
      <w:rPr>
        <w:rFonts w:hint="default"/>
      </w:rPr>
    </w:lvl>
    <w:lvl w:ilvl="8" w:tplc="7C5897FE">
      <w:numFmt w:val="bullet"/>
      <w:lvlText w:val="•"/>
      <w:lvlJc w:val="left"/>
      <w:pPr>
        <w:ind w:left="6109" w:hanging="361"/>
      </w:pPr>
      <w:rPr>
        <w:rFonts w:hint="default"/>
      </w:rPr>
    </w:lvl>
  </w:abstractNum>
  <w:abstractNum w:abstractNumId="46" w15:restartNumberingAfterBreak="0">
    <w:nsid w:val="78407290"/>
    <w:multiLevelType w:val="singleLevel"/>
    <w:tmpl w:val="5BE4CC3E"/>
    <w:lvl w:ilvl="0">
      <w:start w:val="1"/>
      <w:numFmt w:val="bullet"/>
      <w:pStyle w:val="BulletText1"/>
      <w:lvlText w:val=""/>
      <w:lvlJc w:val="left"/>
      <w:pPr>
        <w:tabs>
          <w:tab w:val="num" w:pos="173"/>
        </w:tabs>
        <w:ind w:left="173" w:hanging="173"/>
      </w:pPr>
      <w:rPr>
        <w:rFonts w:ascii="Symbol" w:hAnsi="Symbol" w:hint="default"/>
      </w:rPr>
    </w:lvl>
  </w:abstractNum>
  <w:abstractNum w:abstractNumId="47" w15:restartNumberingAfterBreak="0">
    <w:nsid w:val="792025A1"/>
    <w:multiLevelType w:val="hybridMultilevel"/>
    <w:tmpl w:val="74DE03F6"/>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48" w15:restartNumberingAfterBreak="0">
    <w:nsid w:val="79F6133F"/>
    <w:multiLevelType w:val="hybridMultilevel"/>
    <w:tmpl w:val="294E0964"/>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num w:numId="1">
    <w:abstractNumId w:val="46"/>
  </w:num>
  <w:num w:numId="2">
    <w:abstractNumId w:val="39"/>
  </w:num>
  <w:num w:numId="3">
    <w:abstractNumId w:val="20"/>
  </w:num>
  <w:num w:numId="4">
    <w:abstractNumId w:val="34"/>
  </w:num>
  <w:num w:numId="5">
    <w:abstractNumId w:val="19"/>
  </w:num>
  <w:num w:numId="6">
    <w:abstractNumId w:val="15"/>
  </w:num>
  <w:num w:numId="7">
    <w:abstractNumId w:val="11"/>
  </w:num>
  <w:num w:numId="8">
    <w:abstractNumId w:val="30"/>
  </w:num>
  <w:num w:numId="9">
    <w:abstractNumId w:val="9"/>
  </w:num>
  <w:num w:numId="10">
    <w:abstractNumId w:val="35"/>
  </w:num>
  <w:num w:numId="11">
    <w:abstractNumId w:val="17"/>
  </w:num>
  <w:num w:numId="12">
    <w:abstractNumId w:val="31"/>
  </w:num>
  <w:num w:numId="13">
    <w:abstractNumId w:val="27"/>
  </w:num>
  <w:num w:numId="14">
    <w:abstractNumId w:val="18"/>
  </w:num>
  <w:num w:numId="15">
    <w:abstractNumId w:val="29"/>
  </w:num>
  <w:num w:numId="16">
    <w:abstractNumId w:val="1"/>
  </w:num>
  <w:num w:numId="17">
    <w:abstractNumId w:val="23"/>
  </w:num>
  <w:num w:numId="18">
    <w:abstractNumId w:val="0"/>
  </w:num>
  <w:num w:numId="19">
    <w:abstractNumId w:val="16"/>
  </w:num>
  <w:num w:numId="20">
    <w:abstractNumId w:val="41"/>
  </w:num>
  <w:num w:numId="21">
    <w:abstractNumId w:val="2"/>
  </w:num>
  <w:num w:numId="22">
    <w:abstractNumId w:val="25"/>
  </w:num>
  <w:num w:numId="23">
    <w:abstractNumId w:val="38"/>
  </w:num>
  <w:num w:numId="24">
    <w:abstractNumId w:val="3"/>
  </w:num>
  <w:num w:numId="25">
    <w:abstractNumId w:val="10"/>
  </w:num>
  <w:num w:numId="26">
    <w:abstractNumId w:val="45"/>
  </w:num>
  <w:num w:numId="27">
    <w:abstractNumId w:val="7"/>
  </w:num>
  <w:num w:numId="28">
    <w:abstractNumId w:val="28"/>
  </w:num>
  <w:num w:numId="29">
    <w:abstractNumId w:val="21"/>
  </w:num>
  <w:num w:numId="30">
    <w:abstractNumId w:val="47"/>
  </w:num>
  <w:num w:numId="31">
    <w:abstractNumId w:val="4"/>
  </w:num>
  <w:num w:numId="32">
    <w:abstractNumId w:val="8"/>
  </w:num>
  <w:num w:numId="33">
    <w:abstractNumId w:val="12"/>
  </w:num>
  <w:num w:numId="34">
    <w:abstractNumId w:val="26"/>
  </w:num>
  <w:num w:numId="35">
    <w:abstractNumId w:val="14"/>
  </w:num>
  <w:num w:numId="36">
    <w:abstractNumId w:val="37"/>
  </w:num>
  <w:num w:numId="37">
    <w:abstractNumId w:val="36"/>
  </w:num>
  <w:num w:numId="38">
    <w:abstractNumId w:val="48"/>
  </w:num>
  <w:num w:numId="39">
    <w:abstractNumId w:val="5"/>
  </w:num>
  <w:num w:numId="40">
    <w:abstractNumId w:val="40"/>
  </w:num>
  <w:num w:numId="41">
    <w:abstractNumId w:val="33"/>
  </w:num>
  <w:num w:numId="42">
    <w:abstractNumId w:val="43"/>
  </w:num>
  <w:num w:numId="43">
    <w:abstractNumId w:val="6"/>
  </w:num>
  <w:num w:numId="44">
    <w:abstractNumId w:val="22"/>
  </w:num>
  <w:num w:numId="45">
    <w:abstractNumId w:val="13"/>
  </w:num>
  <w:num w:numId="46">
    <w:abstractNumId w:val="44"/>
  </w:num>
  <w:num w:numId="47">
    <w:abstractNumId w:val="24"/>
  </w:num>
  <w:num w:numId="48">
    <w:abstractNumId w:val="42"/>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AC"/>
    <w:rsid w:val="0000464F"/>
    <w:rsid w:val="0000494B"/>
    <w:rsid w:val="00011514"/>
    <w:rsid w:val="00011D3E"/>
    <w:rsid w:val="0001699F"/>
    <w:rsid w:val="00023477"/>
    <w:rsid w:val="000234FD"/>
    <w:rsid w:val="00024065"/>
    <w:rsid w:val="00026DFF"/>
    <w:rsid w:val="0003632F"/>
    <w:rsid w:val="000407F8"/>
    <w:rsid w:val="00041219"/>
    <w:rsid w:val="00041265"/>
    <w:rsid w:val="000426E8"/>
    <w:rsid w:val="000457AA"/>
    <w:rsid w:val="00045EF2"/>
    <w:rsid w:val="000475AE"/>
    <w:rsid w:val="00051065"/>
    <w:rsid w:val="000512A0"/>
    <w:rsid w:val="00052D64"/>
    <w:rsid w:val="00053F0C"/>
    <w:rsid w:val="00061927"/>
    <w:rsid w:val="000620AE"/>
    <w:rsid w:val="000622EE"/>
    <w:rsid w:val="000643F8"/>
    <w:rsid w:val="00064A6B"/>
    <w:rsid w:val="00065FBC"/>
    <w:rsid w:val="00066F5F"/>
    <w:rsid w:val="00074194"/>
    <w:rsid w:val="00075A8A"/>
    <w:rsid w:val="00080FB6"/>
    <w:rsid w:val="00087476"/>
    <w:rsid w:val="00087C56"/>
    <w:rsid w:val="0009033B"/>
    <w:rsid w:val="0009112A"/>
    <w:rsid w:val="00095F8E"/>
    <w:rsid w:val="00096239"/>
    <w:rsid w:val="00097E78"/>
    <w:rsid w:val="000A4667"/>
    <w:rsid w:val="000B179E"/>
    <w:rsid w:val="000B1A7D"/>
    <w:rsid w:val="000B27B5"/>
    <w:rsid w:val="000B2C72"/>
    <w:rsid w:val="000B4E2A"/>
    <w:rsid w:val="000C1488"/>
    <w:rsid w:val="000C30CC"/>
    <w:rsid w:val="000C37AC"/>
    <w:rsid w:val="000C3BFF"/>
    <w:rsid w:val="000C59C7"/>
    <w:rsid w:val="000C7C84"/>
    <w:rsid w:val="000D01D1"/>
    <w:rsid w:val="000D1076"/>
    <w:rsid w:val="000D2275"/>
    <w:rsid w:val="000D299C"/>
    <w:rsid w:val="000D62B3"/>
    <w:rsid w:val="000D7048"/>
    <w:rsid w:val="000E1C81"/>
    <w:rsid w:val="000E1C86"/>
    <w:rsid w:val="000E5D38"/>
    <w:rsid w:val="000E7319"/>
    <w:rsid w:val="000F1426"/>
    <w:rsid w:val="000F267E"/>
    <w:rsid w:val="000F3258"/>
    <w:rsid w:val="0010179C"/>
    <w:rsid w:val="0010469B"/>
    <w:rsid w:val="0010624B"/>
    <w:rsid w:val="001075B5"/>
    <w:rsid w:val="00113ED2"/>
    <w:rsid w:val="00113F1E"/>
    <w:rsid w:val="00120CD8"/>
    <w:rsid w:val="001223F2"/>
    <w:rsid w:val="001267C6"/>
    <w:rsid w:val="0012728C"/>
    <w:rsid w:val="00130B74"/>
    <w:rsid w:val="00141EC2"/>
    <w:rsid w:val="00141F03"/>
    <w:rsid w:val="0015088D"/>
    <w:rsid w:val="001509B5"/>
    <w:rsid w:val="001543E5"/>
    <w:rsid w:val="00162F97"/>
    <w:rsid w:val="001651E5"/>
    <w:rsid w:val="001655F3"/>
    <w:rsid w:val="001656D5"/>
    <w:rsid w:val="001659C4"/>
    <w:rsid w:val="00166965"/>
    <w:rsid w:val="00167376"/>
    <w:rsid w:val="0017010B"/>
    <w:rsid w:val="00171D0D"/>
    <w:rsid w:val="00173CDF"/>
    <w:rsid w:val="001744FB"/>
    <w:rsid w:val="00174721"/>
    <w:rsid w:val="00175FBC"/>
    <w:rsid w:val="0017674E"/>
    <w:rsid w:val="001774D9"/>
    <w:rsid w:val="00181C43"/>
    <w:rsid w:val="001829D2"/>
    <w:rsid w:val="00183E22"/>
    <w:rsid w:val="0018540F"/>
    <w:rsid w:val="00186762"/>
    <w:rsid w:val="00191C2E"/>
    <w:rsid w:val="001A2380"/>
    <w:rsid w:val="001A7D56"/>
    <w:rsid w:val="001B04C9"/>
    <w:rsid w:val="001B2DF7"/>
    <w:rsid w:val="001C39D6"/>
    <w:rsid w:val="001C4502"/>
    <w:rsid w:val="001C5036"/>
    <w:rsid w:val="001C6C4F"/>
    <w:rsid w:val="001D0122"/>
    <w:rsid w:val="001D0EEE"/>
    <w:rsid w:val="001D3AD7"/>
    <w:rsid w:val="001E0C97"/>
    <w:rsid w:val="001E14B2"/>
    <w:rsid w:val="001E3FCD"/>
    <w:rsid w:val="001E5231"/>
    <w:rsid w:val="001E6B97"/>
    <w:rsid w:val="001F1F15"/>
    <w:rsid w:val="001F5897"/>
    <w:rsid w:val="001F7D3E"/>
    <w:rsid w:val="00207084"/>
    <w:rsid w:val="00207413"/>
    <w:rsid w:val="00207749"/>
    <w:rsid w:val="00212EC5"/>
    <w:rsid w:val="00220FD9"/>
    <w:rsid w:val="00223D20"/>
    <w:rsid w:val="002248E5"/>
    <w:rsid w:val="0022688D"/>
    <w:rsid w:val="00226E53"/>
    <w:rsid w:val="00231403"/>
    <w:rsid w:val="002329F5"/>
    <w:rsid w:val="0023395A"/>
    <w:rsid w:val="00240371"/>
    <w:rsid w:val="00242C1F"/>
    <w:rsid w:val="00243006"/>
    <w:rsid w:val="00244408"/>
    <w:rsid w:val="0024721A"/>
    <w:rsid w:val="00250571"/>
    <w:rsid w:val="0025272D"/>
    <w:rsid w:val="00252EBD"/>
    <w:rsid w:val="00260591"/>
    <w:rsid w:val="00262E3A"/>
    <w:rsid w:val="00264C88"/>
    <w:rsid w:val="00267BEF"/>
    <w:rsid w:val="002704F4"/>
    <w:rsid w:val="00270BD8"/>
    <w:rsid w:val="0027472B"/>
    <w:rsid w:val="00280E84"/>
    <w:rsid w:val="00283EF9"/>
    <w:rsid w:val="00283F55"/>
    <w:rsid w:val="0028475A"/>
    <w:rsid w:val="00284D16"/>
    <w:rsid w:val="00287133"/>
    <w:rsid w:val="00291B13"/>
    <w:rsid w:val="0029227B"/>
    <w:rsid w:val="0029397F"/>
    <w:rsid w:val="00297290"/>
    <w:rsid w:val="002976D9"/>
    <w:rsid w:val="002978A6"/>
    <w:rsid w:val="002A03E8"/>
    <w:rsid w:val="002A1A5C"/>
    <w:rsid w:val="002A2241"/>
    <w:rsid w:val="002A38EF"/>
    <w:rsid w:val="002A409D"/>
    <w:rsid w:val="002A723A"/>
    <w:rsid w:val="002B351B"/>
    <w:rsid w:val="002B5453"/>
    <w:rsid w:val="002B7D0A"/>
    <w:rsid w:val="002C2969"/>
    <w:rsid w:val="002C301C"/>
    <w:rsid w:val="002D1142"/>
    <w:rsid w:val="002E0705"/>
    <w:rsid w:val="002E2960"/>
    <w:rsid w:val="002E3529"/>
    <w:rsid w:val="002E668B"/>
    <w:rsid w:val="002E693A"/>
    <w:rsid w:val="002E7C28"/>
    <w:rsid w:val="002E7DC9"/>
    <w:rsid w:val="002F1122"/>
    <w:rsid w:val="002F42E4"/>
    <w:rsid w:val="002F67AD"/>
    <w:rsid w:val="002F6A3F"/>
    <w:rsid w:val="002F6C0C"/>
    <w:rsid w:val="002F718C"/>
    <w:rsid w:val="002F7AD7"/>
    <w:rsid w:val="002F7E8D"/>
    <w:rsid w:val="00303007"/>
    <w:rsid w:val="003036F6"/>
    <w:rsid w:val="00306F77"/>
    <w:rsid w:val="00311BA1"/>
    <w:rsid w:val="00321351"/>
    <w:rsid w:val="003265F5"/>
    <w:rsid w:val="00326768"/>
    <w:rsid w:val="00327D9B"/>
    <w:rsid w:val="00327FED"/>
    <w:rsid w:val="00340BE6"/>
    <w:rsid w:val="00341DAB"/>
    <w:rsid w:val="00345B12"/>
    <w:rsid w:val="00346729"/>
    <w:rsid w:val="00347F32"/>
    <w:rsid w:val="0035225C"/>
    <w:rsid w:val="00355DDE"/>
    <w:rsid w:val="00367D6B"/>
    <w:rsid w:val="003733BC"/>
    <w:rsid w:val="00374AC1"/>
    <w:rsid w:val="00375127"/>
    <w:rsid w:val="00375FD4"/>
    <w:rsid w:val="0037688C"/>
    <w:rsid w:val="0038307C"/>
    <w:rsid w:val="00384C47"/>
    <w:rsid w:val="00384E06"/>
    <w:rsid w:val="003877F1"/>
    <w:rsid w:val="00395171"/>
    <w:rsid w:val="00395987"/>
    <w:rsid w:val="00396998"/>
    <w:rsid w:val="00396C01"/>
    <w:rsid w:val="003B2664"/>
    <w:rsid w:val="003B499B"/>
    <w:rsid w:val="003B49C3"/>
    <w:rsid w:val="003B738C"/>
    <w:rsid w:val="003C0708"/>
    <w:rsid w:val="003C0CC2"/>
    <w:rsid w:val="003C7361"/>
    <w:rsid w:val="003C79CD"/>
    <w:rsid w:val="003D3FFD"/>
    <w:rsid w:val="003D4B43"/>
    <w:rsid w:val="003D73C0"/>
    <w:rsid w:val="003D7910"/>
    <w:rsid w:val="003D79A0"/>
    <w:rsid w:val="003D7DD1"/>
    <w:rsid w:val="003E249C"/>
    <w:rsid w:val="003E70F1"/>
    <w:rsid w:val="003E772E"/>
    <w:rsid w:val="003F13A1"/>
    <w:rsid w:val="003F1ACB"/>
    <w:rsid w:val="003F30FF"/>
    <w:rsid w:val="003F78D2"/>
    <w:rsid w:val="003F7E8D"/>
    <w:rsid w:val="00401B42"/>
    <w:rsid w:val="00401E14"/>
    <w:rsid w:val="00403997"/>
    <w:rsid w:val="00411C94"/>
    <w:rsid w:val="00412685"/>
    <w:rsid w:val="004176BE"/>
    <w:rsid w:val="004222B8"/>
    <w:rsid w:val="00424264"/>
    <w:rsid w:val="004331B6"/>
    <w:rsid w:val="004345B0"/>
    <w:rsid w:val="00440DEF"/>
    <w:rsid w:val="00441C48"/>
    <w:rsid w:val="0045098D"/>
    <w:rsid w:val="00453CBD"/>
    <w:rsid w:val="00454042"/>
    <w:rsid w:val="00457472"/>
    <w:rsid w:val="00467DFC"/>
    <w:rsid w:val="0047668E"/>
    <w:rsid w:val="004862D8"/>
    <w:rsid w:val="0048733D"/>
    <w:rsid w:val="004906F0"/>
    <w:rsid w:val="00495DE7"/>
    <w:rsid w:val="004A2D3E"/>
    <w:rsid w:val="004A565B"/>
    <w:rsid w:val="004A78B2"/>
    <w:rsid w:val="004B1AC4"/>
    <w:rsid w:val="004B2339"/>
    <w:rsid w:val="004C18BC"/>
    <w:rsid w:val="004C52FC"/>
    <w:rsid w:val="004D100B"/>
    <w:rsid w:val="004D1C2B"/>
    <w:rsid w:val="004D3108"/>
    <w:rsid w:val="004E0747"/>
    <w:rsid w:val="004E215D"/>
    <w:rsid w:val="004E449E"/>
    <w:rsid w:val="004E52F8"/>
    <w:rsid w:val="004E5320"/>
    <w:rsid w:val="004F137E"/>
    <w:rsid w:val="004F2BA8"/>
    <w:rsid w:val="004F2E33"/>
    <w:rsid w:val="004F4016"/>
    <w:rsid w:val="004F5C8D"/>
    <w:rsid w:val="00500AE2"/>
    <w:rsid w:val="00501445"/>
    <w:rsid w:val="0050357D"/>
    <w:rsid w:val="00503694"/>
    <w:rsid w:val="00503B03"/>
    <w:rsid w:val="00504420"/>
    <w:rsid w:val="0050491D"/>
    <w:rsid w:val="005052B5"/>
    <w:rsid w:val="00506507"/>
    <w:rsid w:val="005078D0"/>
    <w:rsid w:val="00507C24"/>
    <w:rsid w:val="005130C9"/>
    <w:rsid w:val="00513E8A"/>
    <w:rsid w:val="0051465C"/>
    <w:rsid w:val="005154D4"/>
    <w:rsid w:val="005170FA"/>
    <w:rsid w:val="00521D8C"/>
    <w:rsid w:val="0052208C"/>
    <w:rsid w:val="00523D4A"/>
    <w:rsid w:val="00524EBB"/>
    <w:rsid w:val="00525256"/>
    <w:rsid w:val="0052562B"/>
    <w:rsid w:val="00526D4C"/>
    <w:rsid w:val="00530022"/>
    <w:rsid w:val="00532299"/>
    <w:rsid w:val="00533223"/>
    <w:rsid w:val="0053515D"/>
    <w:rsid w:val="005410B0"/>
    <w:rsid w:val="00542239"/>
    <w:rsid w:val="00543726"/>
    <w:rsid w:val="00552C19"/>
    <w:rsid w:val="005539CE"/>
    <w:rsid w:val="00555CCD"/>
    <w:rsid w:val="0055707E"/>
    <w:rsid w:val="00560535"/>
    <w:rsid w:val="00560F7F"/>
    <w:rsid w:val="005612FA"/>
    <w:rsid w:val="00561860"/>
    <w:rsid w:val="00562F4B"/>
    <w:rsid w:val="00580004"/>
    <w:rsid w:val="005813CA"/>
    <w:rsid w:val="00581D5E"/>
    <w:rsid w:val="00582069"/>
    <w:rsid w:val="00582163"/>
    <w:rsid w:val="0058238A"/>
    <w:rsid w:val="005837CC"/>
    <w:rsid w:val="00590175"/>
    <w:rsid w:val="00590726"/>
    <w:rsid w:val="005907C1"/>
    <w:rsid w:val="005916B1"/>
    <w:rsid w:val="00594E28"/>
    <w:rsid w:val="005A1965"/>
    <w:rsid w:val="005A1AA1"/>
    <w:rsid w:val="005A2BAC"/>
    <w:rsid w:val="005A68BB"/>
    <w:rsid w:val="005A7E93"/>
    <w:rsid w:val="005B4304"/>
    <w:rsid w:val="005B55C5"/>
    <w:rsid w:val="005C03BA"/>
    <w:rsid w:val="005C10D2"/>
    <w:rsid w:val="005C1BC0"/>
    <w:rsid w:val="005C3102"/>
    <w:rsid w:val="005C5596"/>
    <w:rsid w:val="005C5B01"/>
    <w:rsid w:val="005D0F49"/>
    <w:rsid w:val="005D3586"/>
    <w:rsid w:val="005D645F"/>
    <w:rsid w:val="005E44CE"/>
    <w:rsid w:val="005E65CD"/>
    <w:rsid w:val="005F17D2"/>
    <w:rsid w:val="005F4CF5"/>
    <w:rsid w:val="00605658"/>
    <w:rsid w:val="00605B39"/>
    <w:rsid w:val="0060666E"/>
    <w:rsid w:val="00611B09"/>
    <w:rsid w:val="00611F79"/>
    <w:rsid w:val="006130C0"/>
    <w:rsid w:val="006136D7"/>
    <w:rsid w:val="006142AB"/>
    <w:rsid w:val="006156A4"/>
    <w:rsid w:val="006201F0"/>
    <w:rsid w:val="00622849"/>
    <w:rsid w:val="006229CE"/>
    <w:rsid w:val="006271A4"/>
    <w:rsid w:val="0063554A"/>
    <w:rsid w:val="00635CE2"/>
    <w:rsid w:val="00637020"/>
    <w:rsid w:val="006478D5"/>
    <w:rsid w:val="0065120C"/>
    <w:rsid w:val="006557ED"/>
    <w:rsid w:val="00656746"/>
    <w:rsid w:val="00657197"/>
    <w:rsid w:val="0065738A"/>
    <w:rsid w:val="0066175C"/>
    <w:rsid w:val="00663F23"/>
    <w:rsid w:val="00664C61"/>
    <w:rsid w:val="00672017"/>
    <w:rsid w:val="0068495D"/>
    <w:rsid w:val="00684B6C"/>
    <w:rsid w:val="00687789"/>
    <w:rsid w:val="00690F00"/>
    <w:rsid w:val="0069108F"/>
    <w:rsid w:val="00691FF5"/>
    <w:rsid w:val="00696F5B"/>
    <w:rsid w:val="006975ED"/>
    <w:rsid w:val="00697753"/>
    <w:rsid w:val="006A02FF"/>
    <w:rsid w:val="006A0C5B"/>
    <w:rsid w:val="006A25E7"/>
    <w:rsid w:val="006A6EFC"/>
    <w:rsid w:val="006B0B66"/>
    <w:rsid w:val="006B2B08"/>
    <w:rsid w:val="006B59C8"/>
    <w:rsid w:val="006B6340"/>
    <w:rsid w:val="006C3D65"/>
    <w:rsid w:val="006C45EE"/>
    <w:rsid w:val="006C5A7C"/>
    <w:rsid w:val="006C73F0"/>
    <w:rsid w:val="006C7A77"/>
    <w:rsid w:val="006D1E14"/>
    <w:rsid w:val="006D53A5"/>
    <w:rsid w:val="006D5C6B"/>
    <w:rsid w:val="006D68D0"/>
    <w:rsid w:val="006E2B2B"/>
    <w:rsid w:val="006F2ECA"/>
    <w:rsid w:val="006F3093"/>
    <w:rsid w:val="006F6A62"/>
    <w:rsid w:val="006F70A7"/>
    <w:rsid w:val="00702F46"/>
    <w:rsid w:val="00706DC2"/>
    <w:rsid w:val="007075E4"/>
    <w:rsid w:val="00707621"/>
    <w:rsid w:val="00714F9F"/>
    <w:rsid w:val="007224B1"/>
    <w:rsid w:val="0072288D"/>
    <w:rsid w:val="00735319"/>
    <w:rsid w:val="007406E8"/>
    <w:rsid w:val="007439F9"/>
    <w:rsid w:val="00744DE7"/>
    <w:rsid w:val="0074688C"/>
    <w:rsid w:val="007468D0"/>
    <w:rsid w:val="0074727B"/>
    <w:rsid w:val="007479DA"/>
    <w:rsid w:val="00755855"/>
    <w:rsid w:val="007572C1"/>
    <w:rsid w:val="0076565D"/>
    <w:rsid w:val="007672DA"/>
    <w:rsid w:val="0077016A"/>
    <w:rsid w:val="00770981"/>
    <w:rsid w:val="0077288F"/>
    <w:rsid w:val="0077490D"/>
    <w:rsid w:val="007756A4"/>
    <w:rsid w:val="00776E1A"/>
    <w:rsid w:val="0078125A"/>
    <w:rsid w:val="007820B6"/>
    <w:rsid w:val="00786F3D"/>
    <w:rsid w:val="007919C7"/>
    <w:rsid w:val="00793208"/>
    <w:rsid w:val="00795C9A"/>
    <w:rsid w:val="00797329"/>
    <w:rsid w:val="007A189E"/>
    <w:rsid w:val="007A2EB9"/>
    <w:rsid w:val="007A3DF0"/>
    <w:rsid w:val="007A40FB"/>
    <w:rsid w:val="007B0759"/>
    <w:rsid w:val="007B0F8F"/>
    <w:rsid w:val="007B31C8"/>
    <w:rsid w:val="007B35DC"/>
    <w:rsid w:val="007B68C8"/>
    <w:rsid w:val="007C4406"/>
    <w:rsid w:val="007C53AF"/>
    <w:rsid w:val="007C615A"/>
    <w:rsid w:val="007C62AB"/>
    <w:rsid w:val="007C7FC8"/>
    <w:rsid w:val="007D1D8A"/>
    <w:rsid w:val="007D6E02"/>
    <w:rsid w:val="007E05A0"/>
    <w:rsid w:val="007E1185"/>
    <w:rsid w:val="007E2F97"/>
    <w:rsid w:val="007E3750"/>
    <w:rsid w:val="007E5C63"/>
    <w:rsid w:val="007F11BD"/>
    <w:rsid w:val="007F31C1"/>
    <w:rsid w:val="007F33DF"/>
    <w:rsid w:val="007F4319"/>
    <w:rsid w:val="007F5443"/>
    <w:rsid w:val="007F5A10"/>
    <w:rsid w:val="007F6A8E"/>
    <w:rsid w:val="00807FA2"/>
    <w:rsid w:val="00812670"/>
    <w:rsid w:val="00812DE4"/>
    <w:rsid w:val="0081342E"/>
    <w:rsid w:val="00815ED5"/>
    <w:rsid w:val="008168EB"/>
    <w:rsid w:val="00817BB9"/>
    <w:rsid w:val="008201AC"/>
    <w:rsid w:val="00820A8B"/>
    <w:rsid w:val="008247A3"/>
    <w:rsid w:val="008247BB"/>
    <w:rsid w:val="008305AB"/>
    <w:rsid w:val="00832EDB"/>
    <w:rsid w:val="00833143"/>
    <w:rsid w:val="00834079"/>
    <w:rsid w:val="00834CC5"/>
    <w:rsid w:val="00841BCE"/>
    <w:rsid w:val="00844334"/>
    <w:rsid w:val="0084521F"/>
    <w:rsid w:val="0084754E"/>
    <w:rsid w:val="00847726"/>
    <w:rsid w:val="00850683"/>
    <w:rsid w:val="00852B55"/>
    <w:rsid w:val="008545B0"/>
    <w:rsid w:val="00854810"/>
    <w:rsid w:val="0085778D"/>
    <w:rsid w:val="00857C83"/>
    <w:rsid w:val="00860512"/>
    <w:rsid w:val="0086379A"/>
    <w:rsid w:val="00864B95"/>
    <w:rsid w:val="00865ACD"/>
    <w:rsid w:val="0086614B"/>
    <w:rsid w:val="00876521"/>
    <w:rsid w:val="00876885"/>
    <w:rsid w:val="00885BB9"/>
    <w:rsid w:val="0088782D"/>
    <w:rsid w:val="00894FBA"/>
    <w:rsid w:val="008974DD"/>
    <w:rsid w:val="00897DFE"/>
    <w:rsid w:val="008A0C6E"/>
    <w:rsid w:val="008A1C5E"/>
    <w:rsid w:val="008A6A35"/>
    <w:rsid w:val="008A7231"/>
    <w:rsid w:val="008B116B"/>
    <w:rsid w:val="008C28A2"/>
    <w:rsid w:val="008C3B8D"/>
    <w:rsid w:val="008D0307"/>
    <w:rsid w:val="008D20D3"/>
    <w:rsid w:val="008D34EA"/>
    <w:rsid w:val="008D5BD3"/>
    <w:rsid w:val="008E6640"/>
    <w:rsid w:val="008E71D2"/>
    <w:rsid w:val="008F0D49"/>
    <w:rsid w:val="008F3EE2"/>
    <w:rsid w:val="008F556A"/>
    <w:rsid w:val="008F5ADA"/>
    <w:rsid w:val="00902780"/>
    <w:rsid w:val="00902F0B"/>
    <w:rsid w:val="00905842"/>
    <w:rsid w:val="00905B91"/>
    <w:rsid w:val="0090640C"/>
    <w:rsid w:val="00911576"/>
    <w:rsid w:val="009134F5"/>
    <w:rsid w:val="00915716"/>
    <w:rsid w:val="00925BB8"/>
    <w:rsid w:val="0092612A"/>
    <w:rsid w:val="00932059"/>
    <w:rsid w:val="00933E0C"/>
    <w:rsid w:val="00943807"/>
    <w:rsid w:val="00944216"/>
    <w:rsid w:val="009465AE"/>
    <w:rsid w:val="00952FE9"/>
    <w:rsid w:val="0095428F"/>
    <w:rsid w:val="00963A24"/>
    <w:rsid w:val="0096458F"/>
    <w:rsid w:val="00964EA1"/>
    <w:rsid w:val="00965C8F"/>
    <w:rsid w:val="00967581"/>
    <w:rsid w:val="009722E7"/>
    <w:rsid w:val="0097280D"/>
    <w:rsid w:val="00972E42"/>
    <w:rsid w:val="009734FD"/>
    <w:rsid w:val="00973E27"/>
    <w:rsid w:val="00974773"/>
    <w:rsid w:val="00975C93"/>
    <w:rsid w:val="00980398"/>
    <w:rsid w:val="00981C0D"/>
    <w:rsid w:val="00982AE9"/>
    <w:rsid w:val="00983822"/>
    <w:rsid w:val="00985233"/>
    <w:rsid w:val="00986212"/>
    <w:rsid w:val="00991111"/>
    <w:rsid w:val="00991118"/>
    <w:rsid w:val="009912DC"/>
    <w:rsid w:val="00991D91"/>
    <w:rsid w:val="00992BB4"/>
    <w:rsid w:val="00994509"/>
    <w:rsid w:val="0099460A"/>
    <w:rsid w:val="00995EC4"/>
    <w:rsid w:val="00996C3C"/>
    <w:rsid w:val="009A03FB"/>
    <w:rsid w:val="009A1A35"/>
    <w:rsid w:val="009A7CFF"/>
    <w:rsid w:val="009B063B"/>
    <w:rsid w:val="009B7FD1"/>
    <w:rsid w:val="009C09D6"/>
    <w:rsid w:val="009C0EF3"/>
    <w:rsid w:val="009C2CD5"/>
    <w:rsid w:val="009C7DA7"/>
    <w:rsid w:val="009D0C4A"/>
    <w:rsid w:val="009D2851"/>
    <w:rsid w:val="009D3C03"/>
    <w:rsid w:val="009D7A38"/>
    <w:rsid w:val="009E344A"/>
    <w:rsid w:val="00A00FC4"/>
    <w:rsid w:val="00A028A2"/>
    <w:rsid w:val="00A02C0F"/>
    <w:rsid w:val="00A0434F"/>
    <w:rsid w:val="00A0605D"/>
    <w:rsid w:val="00A10482"/>
    <w:rsid w:val="00A14DC3"/>
    <w:rsid w:val="00A17ED9"/>
    <w:rsid w:val="00A24D27"/>
    <w:rsid w:val="00A25838"/>
    <w:rsid w:val="00A25CD9"/>
    <w:rsid w:val="00A312B4"/>
    <w:rsid w:val="00A317E8"/>
    <w:rsid w:val="00A32147"/>
    <w:rsid w:val="00A32C46"/>
    <w:rsid w:val="00A34542"/>
    <w:rsid w:val="00A359BA"/>
    <w:rsid w:val="00A3662D"/>
    <w:rsid w:val="00A3730B"/>
    <w:rsid w:val="00A461FD"/>
    <w:rsid w:val="00A53423"/>
    <w:rsid w:val="00A53EDC"/>
    <w:rsid w:val="00A61689"/>
    <w:rsid w:val="00A64FA3"/>
    <w:rsid w:val="00A65210"/>
    <w:rsid w:val="00A661FF"/>
    <w:rsid w:val="00A71BA8"/>
    <w:rsid w:val="00A71E32"/>
    <w:rsid w:val="00A76D67"/>
    <w:rsid w:val="00A800DC"/>
    <w:rsid w:val="00A82004"/>
    <w:rsid w:val="00A86B9A"/>
    <w:rsid w:val="00A8761F"/>
    <w:rsid w:val="00A92BF9"/>
    <w:rsid w:val="00A9725A"/>
    <w:rsid w:val="00A97566"/>
    <w:rsid w:val="00AA3F00"/>
    <w:rsid w:val="00AA4619"/>
    <w:rsid w:val="00AB042A"/>
    <w:rsid w:val="00AB17B1"/>
    <w:rsid w:val="00AB2420"/>
    <w:rsid w:val="00AB52DD"/>
    <w:rsid w:val="00AB6EA2"/>
    <w:rsid w:val="00AC0DBD"/>
    <w:rsid w:val="00AC3BDA"/>
    <w:rsid w:val="00AC6DEB"/>
    <w:rsid w:val="00AD0245"/>
    <w:rsid w:val="00AD5BBE"/>
    <w:rsid w:val="00AE1D47"/>
    <w:rsid w:val="00AE29DC"/>
    <w:rsid w:val="00AE6746"/>
    <w:rsid w:val="00AF0B75"/>
    <w:rsid w:val="00AF153F"/>
    <w:rsid w:val="00AF39CA"/>
    <w:rsid w:val="00AF6CD3"/>
    <w:rsid w:val="00B029FC"/>
    <w:rsid w:val="00B14C0A"/>
    <w:rsid w:val="00B159D3"/>
    <w:rsid w:val="00B16D24"/>
    <w:rsid w:val="00B235F6"/>
    <w:rsid w:val="00B23920"/>
    <w:rsid w:val="00B2405D"/>
    <w:rsid w:val="00B241FA"/>
    <w:rsid w:val="00B265EC"/>
    <w:rsid w:val="00B268D4"/>
    <w:rsid w:val="00B27BCA"/>
    <w:rsid w:val="00B335C9"/>
    <w:rsid w:val="00B35207"/>
    <w:rsid w:val="00B36FA7"/>
    <w:rsid w:val="00B410B4"/>
    <w:rsid w:val="00B422C0"/>
    <w:rsid w:val="00B4264E"/>
    <w:rsid w:val="00B42E29"/>
    <w:rsid w:val="00B47832"/>
    <w:rsid w:val="00B53228"/>
    <w:rsid w:val="00B54A07"/>
    <w:rsid w:val="00B55196"/>
    <w:rsid w:val="00B5786B"/>
    <w:rsid w:val="00B60186"/>
    <w:rsid w:val="00B6023F"/>
    <w:rsid w:val="00B6204C"/>
    <w:rsid w:val="00B63E45"/>
    <w:rsid w:val="00B63ED1"/>
    <w:rsid w:val="00B643BC"/>
    <w:rsid w:val="00B64BFD"/>
    <w:rsid w:val="00B64E08"/>
    <w:rsid w:val="00B7266E"/>
    <w:rsid w:val="00B75367"/>
    <w:rsid w:val="00B809A2"/>
    <w:rsid w:val="00B941C5"/>
    <w:rsid w:val="00B94641"/>
    <w:rsid w:val="00B951AE"/>
    <w:rsid w:val="00B95605"/>
    <w:rsid w:val="00BA2C91"/>
    <w:rsid w:val="00BA393D"/>
    <w:rsid w:val="00BA49B0"/>
    <w:rsid w:val="00BB05EB"/>
    <w:rsid w:val="00BB3807"/>
    <w:rsid w:val="00BC3FB8"/>
    <w:rsid w:val="00BC47EA"/>
    <w:rsid w:val="00BC5723"/>
    <w:rsid w:val="00BD1753"/>
    <w:rsid w:val="00BD5257"/>
    <w:rsid w:val="00BD6A95"/>
    <w:rsid w:val="00BE0180"/>
    <w:rsid w:val="00BE5ADB"/>
    <w:rsid w:val="00BE74A7"/>
    <w:rsid w:val="00BF49B0"/>
    <w:rsid w:val="00BF4A6E"/>
    <w:rsid w:val="00BF4E50"/>
    <w:rsid w:val="00C0154A"/>
    <w:rsid w:val="00C124B4"/>
    <w:rsid w:val="00C12DD6"/>
    <w:rsid w:val="00C16C8B"/>
    <w:rsid w:val="00C21078"/>
    <w:rsid w:val="00C2207B"/>
    <w:rsid w:val="00C224D8"/>
    <w:rsid w:val="00C276E9"/>
    <w:rsid w:val="00C36541"/>
    <w:rsid w:val="00C40C30"/>
    <w:rsid w:val="00C41955"/>
    <w:rsid w:val="00C4325C"/>
    <w:rsid w:val="00C4402E"/>
    <w:rsid w:val="00C45CE4"/>
    <w:rsid w:val="00C5061D"/>
    <w:rsid w:val="00C51BEC"/>
    <w:rsid w:val="00C5360A"/>
    <w:rsid w:val="00C54646"/>
    <w:rsid w:val="00C60442"/>
    <w:rsid w:val="00C6075C"/>
    <w:rsid w:val="00C64032"/>
    <w:rsid w:val="00C657A5"/>
    <w:rsid w:val="00C72AF0"/>
    <w:rsid w:val="00C76C22"/>
    <w:rsid w:val="00C80944"/>
    <w:rsid w:val="00C810E5"/>
    <w:rsid w:val="00C8451D"/>
    <w:rsid w:val="00C865FD"/>
    <w:rsid w:val="00C86608"/>
    <w:rsid w:val="00C86C47"/>
    <w:rsid w:val="00C86F48"/>
    <w:rsid w:val="00C87289"/>
    <w:rsid w:val="00C93AD2"/>
    <w:rsid w:val="00C94757"/>
    <w:rsid w:val="00C9546E"/>
    <w:rsid w:val="00C973D6"/>
    <w:rsid w:val="00CA071D"/>
    <w:rsid w:val="00CA090E"/>
    <w:rsid w:val="00CA2019"/>
    <w:rsid w:val="00CA37B6"/>
    <w:rsid w:val="00CA56F3"/>
    <w:rsid w:val="00CA6302"/>
    <w:rsid w:val="00CA70F0"/>
    <w:rsid w:val="00CB1729"/>
    <w:rsid w:val="00CB222E"/>
    <w:rsid w:val="00CB2668"/>
    <w:rsid w:val="00CB28D9"/>
    <w:rsid w:val="00CB75E4"/>
    <w:rsid w:val="00CC2D39"/>
    <w:rsid w:val="00CC380C"/>
    <w:rsid w:val="00CC5A08"/>
    <w:rsid w:val="00CC6356"/>
    <w:rsid w:val="00CD4330"/>
    <w:rsid w:val="00CD4626"/>
    <w:rsid w:val="00CD672B"/>
    <w:rsid w:val="00CE0402"/>
    <w:rsid w:val="00CE0F86"/>
    <w:rsid w:val="00CE1079"/>
    <w:rsid w:val="00CE14A4"/>
    <w:rsid w:val="00CE2024"/>
    <w:rsid w:val="00CE4062"/>
    <w:rsid w:val="00CE463C"/>
    <w:rsid w:val="00CE721E"/>
    <w:rsid w:val="00CF3EA2"/>
    <w:rsid w:val="00CF5644"/>
    <w:rsid w:val="00CF6200"/>
    <w:rsid w:val="00CF7D61"/>
    <w:rsid w:val="00D1147A"/>
    <w:rsid w:val="00D1270C"/>
    <w:rsid w:val="00D129B6"/>
    <w:rsid w:val="00D139F8"/>
    <w:rsid w:val="00D146C5"/>
    <w:rsid w:val="00D16325"/>
    <w:rsid w:val="00D1699D"/>
    <w:rsid w:val="00D218D3"/>
    <w:rsid w:val="00D21CDA"/>
    <w:rsid w:val="00D255E4"/>
    <w:rsid w:val="00D30AC7"/>
    <w:rsid w:val="00D33B1C"/>
    <w:rsid w:val="00D35C69"/>
    <w:rsid w:val="00D363E0"/>
    <w:rsid w:val="00D37137"/>
    <w:rsid w:val="00D4054D"/>
    <w:rsid w:val="00D41F67"/>
    <w:rsid w:val="00D5009B"/>
    <w:rsid w:val="00D50AE2"/>
    <w:rsid w:val="00D52F19"/>
    <w:rsid w:val="00D5455C"/>
    <w:rsid w:val="00D55578"/>
    <w:rsid w:val="00D709EB"/>
    <w:rsid w:val="00D714C1"/>
    <w:rsid w:val="00D72018"/>
    <w:rsid w:val="00D77356"/>
    <w:rsid w:val="00D813C0"/>
    <w:rsid w:val="00D83819"/>
    <w:rsid w:val="00D9317C"/>
    <w:rsid w:val="00D95311"/>
    <w:rsid w:val="00D95C42"/>
    <w:rsid w:val="00D963B4"/>
    <w:rsid w:val="00D97045"/>
    <w:rsid w:val="00DA05A3"/>
    <w:rsid w:val="00DA1127"/>
    <w:rsid w:val="00DA1FB0"/>
    <w:rsid w:val="00DA466B"/>
    <w:rsid w:val="00DA7109"/>
    <w:rsid w:val="00DC354D"/>
    <w:rsid w:val="00DC709F"/>
    <w:rsid w:val="00DC775E"/>
    <w:rsid w:val="00DC7FDB"/>
    <w:rsid w:val="00DD4D56"/>
    <w:rsid w:val="00DE5031"/>
    <w:rsid w:val="00DE5D30"/>
    <w:rsid w:val="00DE667A"/>
    <w:rsid w:val="00DF0544"/>
    <w:rsid w:val="00DF1037"/>
    <w:rsid w:val="00DF32A6"/>
    <w:rsid w:val="00DF6D3B"/>
    <w:rsid w:val="00E01D5C"/>
    <w:rsid w:val="00E043C8"/>
    <w:rsid w:val="00E05E7F"/>
    <w:rsid w:val="00E16B7E"/>
    <w:rsid w:val="00E20403"/>
    <w:rsid w:val="00E21809"/>
    <w:rsid w:val="00E2331D"/>
    <w:rsid w:val="00E2418B"/>
    <w:rsid w:val="00E26D09"/>
    <w:rsid w:val="00E30065"/>
    <w:rsid w:val="00E30BF8"/>
    <w:rsid w:val="00E34D7F"/>
    <w:rsid w:val="00E3650A"/>
    <w:rsid w:val="00E37A51"/>
    <w:rsid w:val="00E42B54"/>
    <w:rsid w:val="00E456DD"/>
    <w:rsid w:val="00E460DE"/>
    <w:rsid w:val="00E526E8"/>
    <w:rsid w:val="00E547A9"/>
    <w:rsid w:val="00E55412"/>
    <w:rsid w:val="00E5589D"/>
    <w:rsid w:val="00E57088"/>
    <w:rsid w:val="00E57E90"/>
    <w:rsid w:val="00E62A27"/>
    <w:rsid w:val="00E66EDA"/>
    <w:rsid w:val="00E67909"/>
    <w:rsid w:val="00E67A8C"/>
    <w:rsid w:val="00E70362"/>
    <w:rsid w:val="00E72D52"/>
    <w:rsid w:val="00E80E7C"/>
    <w:rsid w:val="00E8172D"/>
    <w:rsid w:val="00E841BA"/>
    <w:rsid w:val="00E86B65"/>
    <w:rsid w:val="00E86C93"/>
    <w:rsid w:val="00E870D5"/>
    <w:rsid w:val="00E875A2"/>
    <w:rsid w:val="00E906C0"/>
    <w:rsid w:val="00E96C98"/>
    <w:rsid w:val="00EA43C6"/>
    <w:rsid w:val="00EA5A8A"/>
    <w:rsid w:val="00EB119D"/>
    <w:rsid w:val="00EC63F5"/>
    <w:rsid w:val="00ED2EF3"/>
    <w:rsid w:val="00ED35DA"/>
    <w:rsid w:val="00ED63D0"/>
    <w:rsid w:val="00EE18D0"/>
    <w:rsid w:val="00EE5E83"/>
    <w:rsid w:val="00EE6F57"/>
    <w:rsid w:val="00EF3582"/>
    <w:rsid w:val="00F030DE"/>
    <w:rsid w:val="00F042D1"/>
    <w:rsid w:val="00F0434C"/>
    <w:rsid w:val="00F06063"/>
    <w:rsid w:val="00F07C7D"/>
    <w:rsid w:val="00F1086F"/>
    <w:rsid w:val="00F10E04"/>
    <w:rsid w:val="00F12429"/>
    <w:rsid w:val="00F13B76"/>
    <w:rsid w:val="00F14E28"/>
    <w:rsid w:val="00F15501"/>
    <w:rsid w:val="00F172E0"/>
    <w:rsid w:val="00F21098"/>
    <w:rsid w:val="00F260FC"/>
    <w:rsid w:val="00F2644E"/>
    <w:rsid w:val="00F27B64"/>
    <w:rsid w:val="00F317B0"/>
    <w:rsid w:val="00F40021"/>
    <w:rsid w:val="00F40D1C"/>
    <w:rsid w:val="00F44ACF"/>
    <w:rsid w:val="00F500F8"/>
    <w:rsid w:val="00F5378D"/>
    <w:rsid w:val="00F55F2C"/>
    <w:rsid w:val="00F644A9"/>
    <w:rsid w:val="00F808C5"/>
    <w:rsid w:val="00F8253F"/>
    <w:rsid w:val="00F84385"/>
    <w:rsid w:val="00F859A3"/>
    <w:rsid w:val="00F85EBB"/>
    <w:rsid w:val="00F87D59"/>
    <w:rsid w:val="00F949B8"/>
    <w:rsid w:val="00FA2430"/>
    <w:rsid w:val="00FA2742"/>
    <w:rsid w:val="00FA2D14"/>
    <w:rsid w:val="00FA35DC"/>
    <w:rsid w:val="00FA3A37"/>
    <w:rsid w:val="00FB48CF"/>
    <w:rsid w:val="00FB7345"/>
    <w:rsid w:val="00FC002E"/>
    <w:rsid w:val="00FC1D5F"/>
    <w:rsid w:val="00FC282A"/>
    <w:rsid w:val="00FC2A53"/>
    <w:rsid w:val="00FC6BAA"/>
    <w:rsid w:val="00FD103B"/>
    <w:rsid w:val="00FD1374"/>
    <w:rsid w:val="00FD57C9"/>
    <w:rsid w:val="00FD5872"/>
    <w:rsid w:val="00FD5CFC"/>
    <w:rsid w:val="00FD6D5B"/>
    <w:rsid w:val="00FE2272"/>
    <w:rsid w:val="00FE614D"/>
    <w:rsid w:val="00FE67F1"/>
    <w:rsid w:val="00FE782F"/>
    <w:rsid w:val="00FF2029"/>
    <w:rsid w:val="00FF3387"/>
    <w:rsid w:val="00FF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D1FB3"/>
  <w15:chartTrackingRefBased/>
  <w15:docId w15:val="{CBC11D0D-4D90-42A9-B214-36B003C0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3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caption"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8A2"/>
  </w:style>
  <w:style w:type="paragraph" w:styleId="Heading1">
    <w:name w:val="heading 1"/>
    <w:aliases w:val="Part Title"/>
    <w:basedOn w:val="Normal"/>
    <w:next w:val="Heading4"/>
    <w:link w:val="Heading1Char"/>
    <w:qFormat/>
    <w:rsid w:val="00A028A2"/>
    <w:pPr>
      <w:spacing w:after="240"/>
      <w:jc w:val="center"/>
      <w:outlineLvl w:val="0"/>
    </w:pPr>
    <w:rPr>
      <w:b/>
      <w:sz w:val="32"/>
    </w:rPr>
  </w:style>
  <w:style w:type="paragraph" w:styleId="Heading2">
    <w:name w:val="heading 2"/>
    <w:aliases w:val="Chapter Title"/>
    <w:basedOn w:val="Normal"/>
    <w:next w:val="Heading4"/>
    <w:link w:val="Heading2Char"/>
    <w:qFormat/>
    <w:rsid w:val="00A028A2"/>
    <w:pPr>
      <w:spacing w:after="240"/>
      <w:jc w:val="center"/>
      <w:outlineLvl w:val="1"/>
    </w:pPr>
    <w:rPr>
      <w:b/>
      <w:sz w:val="32"/>
    </w:rPr>
  </w:style>
  <w:style w:type="paragraph" w:styleId="Heading3">
    <w:name w:val="heading 3"/>
    <w:aliases w:val="Section Title"/>
    <w:basedOn w:val="Normal"/>
    <w:next w:val="Heading4"/>
    <w:link w:val="Heading3Char"/>
    <w:qFormat/>
    <w:rsid w:val="00A028A2"/>
    <w:pPr>
      <w:spacing w:after="240"/>
      <w:jc w:val="center"/>
      <w:outlineLvl w:val="2"/>
    </w:pPr>
    <w:rPr>
      <w:b/>
      <w:sz w:val="32"/>
    </w:rPr>
  </w:style>
  <w:style w:type="paragraph" w:styleId="Heading4">
    <w:name w:val="heading 4"/>
    <w:aliases w:val="Map Title"/>
    <w:basedOn w:val="Normal"/>
    <w:next w:val="Normal"/>
    <w:link w:val="Heading4Char"/>
    <w:qFormat/>
    <w:rsid w:val="00A028A2"/>
    <w:pPr>
      <w:spacing w:after="240"/>
      <w:outlineLvl w:val="3"/>
    </w:pPr>
    <w:rPr>
      <w:b/>
      <w:sz w:val="32"/>
    </w:rPr>
  </w:style>
  <w:style w:type="paragraph" w:styleId="Heading5">
    <w:name w:val="heading 5"/>
    <w:aliases w:val="Block Label"/>
    <w:basedOn w:val="Normal"/>
    <w:link w:val="Heading5Char"/>
    <w:qFormat/>
    <w:rsid w:val="00A028A2"/>
    <w:pPr>
      <w:outlineLvl w:val="4"/>
    </w:pPr>
    <w:rPr>
      <w:b/>
    </w:rPr>
  </w:style>
  <w:style w:type="paragraph" w:styleId="Heading6">
    <w:name w:val="heading 6"/>
    <w:aliases w:val="Sub Label"/>
    <w:basedOn w:val="Heading5"/>
    <w:next w:val="Normal"/>
    <w:link w:val="Heading6Char"/>
    <w:qFormat/>
    <w:rsid w:val="00A028A2"/>
    <w:pPr>
      <w:spacing w:before="240" w:after="60"/>
      <w:outlineLvl w:val="5"/>
    </w:pPr>
    <w:rPr>
      <w:i/>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rPr>
  </w:style>
  <w:style w:type="paragraph" w:styleId="Heading9">
    <w:name w:val="heading 9"/>
    <w:basedOn w:val="Normal"/>
    <w:next w:val="Normal"/>
    <w:link w:val="Heading9Char"/>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link w:val="Heading4"/>
    <w:rsid w:val="007A2EB9"/>
    <w:rPr>
      <w:rFonts w:ascii="Arial" w:hAnsi="Arial" w:cs="Arial"/>
      <w:b/>
      <w:sz w:val="32"/>
      <w:szCs w:val="32"/>
      <w:lang w:val="en-US" w:eastAsia="en-US" w:bidi="ar-SA"/>
    </w:rPr>
  </w:style>
  <w:style w:type="character" w:customStyle="1" w:styleId="Heading1Char">
    <w:name w:val="Heading 1 Char"/>
    <w:aliases w:val="Part Title Char"/>
    <w:link w:val="Heading1"/>
    <w:rsid w:val="00FD103B"/>
    <w:rPr>
      <w:rFonts w:ascii="Arial" w:hAnsi="Arial" w:cs="Arial"/>
      <w:b/>
      <w:sz w:val="32"/>
      <w:szCs w:val="32"/>
    </w:rPr>
  </w:style>
  <w:style w:type="character" w:customStyle="1" w:styleId="Heading2Char">
    <w:name w:val="Heading 2 Char"/>
    <w:aliases w:val="Chapter Title Char"/>
    <w:link w:val="Heading2"/>
    <w:rsid w:val="00FD103B"/>
    <w:rPr>
      <w:rFonts w:ascii="Arial" w:hAnsi="Arial" w:cs="Arial"/>
      <w:b/>
      <w:sz w:val="32"/>
      <w:szCs w:val="32"/>
    </w:rPr>
  </w:style>
  <w:style w:type="character" w:customStyle="1" w:styleId="Heading3Char">
    <w:name w:val="Heading 3 Char"/>
    <w:aliases w:val="Section Title Char"/>
    <w:link w:val="Heading3"/>
    <w:rsid w:val="00FD103B"/>
    <w:rPr>
      <w:rFonts w:ascii="Arial" w:hAnsi="Arial" w:cs="Arial"/>
      <w:b/>
      <w:sz w:val="32"/>
      <w:szCs w:val="32"/>
    </w:rPr>
  </w:style>
  <w:style w:type="character" w:customStyle="1" w:styleId="Heading5Char">
    <w:name w:val="Heading 5 Char"/>
    <w:aliases w:val="Block Label Char"/>
    <w:link w:val="Heading5"/>
    <w:rsid w:val="00FD103B"/>
    <w:rPr>
      <w:rFonts w:ascii="Arial" w:hAnsi="Arial" w:cs="Arial"/>
      <w:b/>
      <w:sz w:val="22"/>
      <w:szCs w:val="32"/>
    </w:rPr>
  </w:style>
  <w:style w:type="character" w:customStyle="1" w:styleId="Heading6Char">
    <w:name w:val="Heading 6 Char"/>
    <w:aliases w:val="Sub Label Char"/>
    <w:link w:val="Heading6"/>
    <w:rsid w:val="00FD103B"/>
    <w:rPr>
      <w:rFonts w:ascii="Arial" w:hAnsi="Arial" w:cs="Arial"/>
      <w:b/>
      <w:i/>
      <w:sz w:val="22"/>
      <w:szCs w:val="32"/>
    </w:rPr>
  </w:style>
  <w:style w:type="character" w:customStyle="1" w:styleId="Heading7Char">
    <w:name w:val="Heading 7 Char"/>
    <w:link w:val="Heading7"/>
    <w:rsid w:val="00FD103B"/>
    <w:rPr>
      <w:rFonts w:ascii="Arial" w:hAnsi="Arial" w:cs="Arial"/>
      <w:sz w:val="24"/>
      <w:szCs w:val="32"/>
    </w:rPr>
  </w:style>
  <w:style w:type="character" w:customStyle="1" w:styleId="Heading8Char">
    <w:name w:val="Heading 8 Char"/>
    <w:link w:val="Heading8"/>
    <w:rsid w:val="00FD103B"/>
    <w:rPr>
      <w:rFonts w:ascii="Arial" w:hAnsi="Arial" w:cs="Arial"/>
      <w:i/>
      <w:sz w:val="24"/>
      <w:szCs w:val="32"/>
    </w:rPr>
  </w:style>
  <w:style w:type="character" w:customStyle="1" w:styleId="Heading9Char">
    <w:name w:val="Heading 9 Char"/>
    <w:link w:val="Heading9"/>
    <w:rsid w:val="00FD103B"/>
    <w:rPr>
      <w:rFonts w:ascii="Arial" w:hAnsi="Arial" w:cs="Arial"/>
      <w:b/>
      <w:i/>
      <w:sz w:val="18"/>
      <w:szCs w:val="32"/>
    </w:rPr>
  </w:style>
  <w:style w:type="paragraph" w:styleId="BlockText">
    <w:name w:val="Block Text"/>
    <w:basedOn w:val="Normal"/>
    <w:qFormat/>
  </w:style>
  <w:style w:type="paragraph" w:customStyle="1" w:styleId="BlockLine">
    <w:name w:val="Block Line"/>
    <w:basedOn w:val="Normal"/>
    <w:next w:val="Normal"/>
    <w:rsid w:val="00A028A2"/>
    <w:pPr>
      <w:pBdr>
        <w:top w:val="single" w:sz="6" w:space="1" w:color="auto"/>
        <w:between w:val="single" w:sz="6" w:space="1" w:color="auto"/>
      </w:pBdr>
      <w:spacing w:before="240"/>
      <w:ind w:left="1728"/>
    </w:pPr>
  </w:style>
  <w:style w:type="paragraph" w:customStyle="1" w:styleId="BulletText1">
    <w:name w:val="Bullet Text 1"/>
    <w:basedOn w:val="Normal"/>
    <w:qFormat/>
    <w:rsid w:val="00A028A2"/>
    <w:pPr>
      <w:numPr>
        <w:numId w:val="1"/>
      </w:numPr>
    </w:pPr>
  </w:style>
  <w:style w:type="paragraph" w:customStyle="1" w:styleId="BulletText2">
    <w:name w:val="Bullet Text 2"/>
    <w:basedOn w:val="Normal"/>
    <w:rsid w:val="00A028A2"/>
    <w:pPr>
      <w:numPr>
        <w:numId w:val="2"/>
      </w:numPr>
    </w:pPr>
  </w:style>
  <w:style w:type="paragraph" w:styleId="Caption">
    <w:name w:val="caption"/>
    <w:basedOn w:val="Normal"/>
    <w:next w:val="Normal"/>
    <w:qFormat/>
    <w:pPr>
      <w:spacing w:before="120" w:after="120"/>
    </w:pPr>
    <w:rPr>
      <w:b/>
    </w:rPr>
  </w:style>
  <w:style w:type="character" w:customStyle="1" w:styleId="Continued">
    <w:name w:val="Continued"/>
    <w:rPr>
      <w:rFonts w:ascii="Arial" w:hAnsi="Arial"/>
      <w:sz w:val="24"/>
    </w:rPr>
  </w:style>
  <w:style w:type="paragraph" w:customStyle="1" w:styleId="ContinuedBlockLabel">
    <w:name w:val="Continued Block Label"/>
    <w:basedOn w:val="Normal"/>
    <w:rsid w:val="00A028A2"/>
    <w:rPr>
      <w:b/>
    </w:rPr>
  </w:style>
  <w:style w:type="paragraph" w:customStyle="1" w:styleId="TableText">
    <w:name w:val="Table Text"/>
    <w:basedOn w:val="Normal"/>
    <w:rsid w:val="00A028A2"/>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FD103B"/>
    <w:rPr>
      <w:rFonts w:ascii="Arial" w:hAnsi="Arial" w:cs="Arial"/>
      <w:sz w:val="24"/>
      <w:szCs w:val="32"/>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FD103B"/>
    <w:rPr>
      <w:rFonts w:ascii="Arial" w:hAnsi="Arial" w:cs="Arial"/>
      <w:sz w:val="24"/>
      <w:szCs w:val="32"/>
    </w:rPr>
  </w:style>
  <w:style w:type="paragraph" w:customStyle="1" w:styleId="IMTOC">
    <w:name w:val="IMTOC"/>
    <w:rsid w:val="00A028A2"/>
  </w:style>
  <w:style w:type="paragraph" w:styleId="TOC4">
    <w:name w:val="toc 4"/>
    <w:basedOn w:val="Normal"/>
    <w:next w:val="Normal"/>
    <w:autoRedefine/>
    <w:uiPriority w:val="39"/>
    <w:pPr>
      <w:ind w:left="720"/>
    </w:pPr>
  </w:style>
  <w:style w:type="paragraph" w:customStyle="1" w:styleId="MapTitleContinued">
    <w:name w:val="Map Title. Continued"/>
    <w:basedOn w:val="Normal"/>
    <w:rsid w:val="00A028A2"/>
    <w:pPr>
      <w:spacing w:after="240"/>
    </w:pPr>
    <w:rPr>
      <w:b/>
      <w:sz w:val="32"/>
    </w:rPr>
  </w:style>
  <w:style w:type="paragraph" w:customStyle="1" w:styleId="MemoLine">
    <w:name w:val="Memo Line"/>
    <w:basedOn w:val="BlockLine"/>
    <w:next w:val="Normal"/>
    <w:rsid w:val="00A028A2"/>
    <w:pPr>
      <w:ind w:left="0"/>
    </w:pPr>
  </w:style>
  <w:style w:type="paragraph" w:customStyle="1" w:styleId="NoteText">
    <w:name w:val="Note Text"/>
    <w:basedOn w:val="Normal"/>
    <w:rsid w:val="00A028A2"/>
  </w:style>
  <w:style w:type="character" w:styleId="PageNumber">
    <w:name w:val="page number"/>
    <w:basedOn w:val="DefaultParagraphFont"/>
  </w:style>
  <w:style w:type="paragraph" w:customStyle="1" w:styleId="PublicationTitle">
    <w:name w:val="Publication Title"/>
    <w:basedOn w:val="Normal"/>
    <w:next w:val="Heading4"/>
    <w:rsid w:val="00A028A2"/>
    <w:pPr>
      <w:spacing w:after="240"/>
      <w:jc w:val="center"/>
    </w:pPr>
    <w:rPr>
      <w:b/>
      <w:sz w:val="32"/>
    </w:rPr>
  </w:style>
  <w:style w:type="paragraph" w:customStyle="1" w:styleId="TableHeaderText">
    <w:name w:val="Table Header Text"/>
    <w:basedOn w:val="Normal"/>
    <w:rsid w:val="00A028A2"/>
    <w:pPr>
      <w:jc w:val="center"/>
    </w:pPr>
    <w:rPr>
      <w:b/>
    </w:rPr>
  </w:style>
  <w:style w:type="paragraph" w:styleId="TOC1">
    <w:name w:val="toc 1"/>
    <w:basedOn w:val="Normal"/>
    <w:next w:val="Normal"/>
    <w:autoRedefine/>
    <w:semiHidden/>
    <w:pPr>
      <w:tabs>
        <w:tab w:val="right" w:leader="dot" w:pos="7524"/>
      </w:tabs>
      <w:spacing w:before="60" w:after="60"/>
    </w:pPr>
  </w:style>
  <w:style w:type="paragraph" w:styleId="TOC2">
    <w:name w:val="toc 2"/>
    <w:basedOn w:val="Normal"/>
    <w:next w:val="Normal"/>
    <w:autoRedefine/>
    <w:uiPriority w:val="39"/>
    <w:rsid w:val="000F1426"/>
    <w:pPr>
      <w:tabs>
        <w:tab w:val="right" w:leader="dot" w:pos="7348"/>
        <w:tab w:val="right" w:leader="dot" w:pos="9050"/>
      </w:tabs>
      <w:ind w:left="216"/>
    </w:pPr>
  </w:style>
  <w:style w:type="paragraph" w:styleId="TOC3">
    <w:name w:val="toc 3"/>
    <w:basedOn w:val="Normal"/>
    <w:next w:val="Normal"/>
    <w:autoRedefine/>
    <w:uiPriority w:val="39"/>
    <w:pPr>
      <w:tabs>
        <w:tab w:val="right" w:leader="dot" w:pos="7660"/>
        <w:tab w:val="right" w:leader="dot" w:pos="9360"/>
      </w:tabs>
      <w:spacing w:before="60" w:after="60"/>
      <w:ind w:left="440"/>
    </w:pPr>
  </w:style>
  <w:style w:type="paragraph" w:customStyle="1" w:styleId="TOCTitle">
    <w:name w:val="TOC Title"/>
    <w:basedOn w:val="Normal"/>
    <w:rsid w:val="00A028A2"/>
    <w:pPr>
      <w:widowControl w:val="0"/>
    </w:pPr>
    <w:rPr>
      <w:b/>
      <w:sz w:val="32"/>
    </w:rPr>
  </w:style>
  <w:style w:type="paragraph" w:customStyle="1" w:styleId="TOCItem">
    <w:name w:val="TOCItem"/>
    <w:basedOn w:val="Normal"/>
    <w:rsid w:val="00A028A2"/>
    <w:pPr>
      <w:tabs>
        <w:tab w:val="left" w:leader="dot" w:pos="7061"/>
        <w:tab w:val="right" w:pos="7524"/>
      </w:tabs>
      <w:spacing w:before="60" w:after="60"/>
      <w:ind w:right="465"/>
    </w:pPr>
  </w:style>
  <w:style w:type="paragraph" w:customStyle="1" w:styleId="TOCStem">
    <w:name w:val="TOCStem"/>
    <w:basedOn w:val="Normal"/>
    <w:rsid w:val="00A028A2"/>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semiHidden/>
    <w:rsid w:val="00FD103B"/>
    <w:rPr>
      <w:rFonts w:ascii="Tahoma" w:hAnsi="Tahoma" w:cs="Tahoma"/>
      <w:sz w:val="22"/>
      <w:szCs w:val="32"/>
      <w:shd w:val="clear" w:color="auto" w:fill="000080"/>
    </w:rPr>
  </w:style>
  <w:style w:type="character" w:styleId="HTMLAcronym">
    <w:name w:val="HTML Acronym"/>
    <w:basedOn w:val="DefaultParagraphFont"/>
    <w:rsid w:val="00A028A2"/>
  </w:style>
  <w:style w:type="paragraph" w:customStyle="1" w:styleId="BulletText3">
    <w:name w:val="Bullet Text 3"/>
    <w:basedOn w:val="Normal"/>
    <w:rsid w:val="00A028A2"/>
    <w:pPr>
      <w:numPr>
        <w:numId w:val="6"/>
      </w:numPr>
    </w:pPr>
  </w:style>
  <w:style w:type="paragraph" w:styleId="TOC5">
    <w:name w:val="toc 5"/>
    <w:basedOn w:val="Normal"/>
    <w:next w:val="Normal"/>
    <w:autoRedefine/>
    <w:uiPriority w:val="39"/>
    <w:pPr>
      <w:ind w:left="880"/>
    </w:pPr>
  </w:style>
  <w:style w:type="paragraph" w:styleId="TOC6">
    <w:name w:val="toc 6"/>
    <w:basedOn w:val="Normal"/>
    <w:next w:val="Normal"/>
    <w:autoRedefine/>
    <w:semiHidden/>
    <w:pPr>
      <w:ind w:left="1200"/>
    </w:pPr>
    <w:rPr>
      <w:rFonts w:ascii="Times New Roman" w:hAnsi="Times New Roman" w:cs="Times New Roman"/>
      <w:szCs w:val="24"/>
    </w:rPr>
  </w:style>
  <w:style w:type="paragraph" w:styleId="BalloonText">
    <w:name w:val="Balloon Text"/>
    <w:basedOn w:val="Normal"/>
    <w:link w:val="BalloonTextChar"/>
    <w:semiHidden/>
    <w:rsid w:val="00FA35DC"/>
    <w:rPr>
      <w:rFonts w:ascii="Tahoma" w:hAnsi="Tahoma" w:cs="Tahoma"/>
      <w:sz w:val="16"/>
      <w:szCs w:val="16"/>
    </w:rPr>
  </w:style>
  <w:style w:type="character" w:customStyle="1" w:styleId="BalloonTextChar">
    <w:name w:val="Balloon Text Char"/>
    <w:link w:val="BalloonText"/>
    <w:semiHidden/>
    <w:rsid w:val="00FD103B"/>
    <w:rPr>
      <w:rFonts w:ascii="Tahoma" w:hAnsi="Tahoma" w:cs="Tahoma"/>
      <w:sz w:val="16"/>
      <w:szCs w:val="16"/>
    </w:rPr>
  </w:style>
  <w:style w:type="paragraph" w:styleId="HTMLPreformatted">
    <w:name w:val="HTML Preformatted"/>
    <w:basedOn w:val="Normal"/>
    <w:link w:val="HTMLPreformattedChar"/>
    <w:rsid w:val="00A4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FD103B"/>
    <w:rPr>
      <w:rFonts w:ascii="Courier New" w:hAnsi="Courier New" w:cs="Courier New"/>
    </w:rPr>
  </w:style>
  <w:style w:type="character" w:styleId="CommentReference">
    <w:name w:val="annotation reference"/>
    <w:semiHidden/>
    <w:rsid w:val="00B42E29"/>
    <w:rPr>
      <w:sz w:val="16"/>
      <w:szCs w:val="16"/>
    </w:rPr>
  </w:style>
  <w:style w:type="paragraph" w:styleId="CommentText">
    <w:name w:val="annotation text"/>
    <w:basedOn w:val="Normal"/>
    <w:link w:val="CommentTextChar"/>
    <w:semiHidden/>
    <w:rsid w:val="00B42E29"/>
    <w:rPr>
      <w:sz w:val="20"/>
      <w:szCs w:val="20"/>
    </w:rPr>
  </w:style>
  <w:style w:type="character" w:customStyle="1" w:styleId="CommentTextChar">
    <w:name w:val="Comment Text Char"/>
    <w:link w:val="CommentText"/>
    <w:semiHidden/>
    <w:rsid w:val="00FD103B"/>
    <w:rPr>
      <w:rFonts w:ascii="Arial" w:hAnsi="Arial" w:cs="Arial"/>
    </w:rPr>
  </w:style>
  <w:style w:type="paragraph" w:styleId="CommentSubject">
    <w:name w:val="annotation subject"/>
    <w:basedOn w:val="CommentText"/>
    <w:next w:val="CommentText"/>
    <w:link w:val="CommentSubjectChar"/>
    <w:semiHidden/>
    <w:rsid w:val="00B42E29"/>
    <w:rPr>
      <w:b/>
      <w:bCs/>
    </w:rPr>
  </w:style>
  <w:style w:type="character" w:customStyle="1" w:styleId="CommentSubjectChar">
    <w:name w:val="Comment Subject Char"/>
    <w:link w:val="CommentSubject"/>
    <w:semiHidden/>
    <w:rsid w:val="00FD103B"/>
    <w:rPr>
      <w:rFonts w:ascii="Arial" w:hAnsi="Arial" w:cs="Arial"/>
      <w:b/>
      <w:bCs/>
    </w:rPr>
  </w:style>
  <w:style w:type="paragraph" w:styleId="NormalWeb">
    <w:name w:val="Normal (Web)"/>
    <w:basedOn w:val="Normal"/>
    <w:rsid w:val="007672DA"/>
    <w:pPr>
      <w:spacing w:before="168" w:after="216"/>
    </w:pPr>
    <w:rPr>
      <w:rFonts w:ascii="Times New Roman" w:hAnsi="Times New Roman" w:cs="Times New Roman"/>
      <w:szCs w:val="24"/>
    </w:rPr>
  </w:style>
  <w:style w:type="paragraph" w:styleId="BodyTextIndent2">
    <w:name w:val="Body Text Indent 2"/>
    <w:basedOn w:val="Normal"/>
    <w:link w:val="BodyTextIndent2Char"/>
    <w:rsid w:val="00D97045"/>
    <w:pPr>
      <w:tabs>
        <w:tab w:val="left" w:pos="720"/>
      </w:tabs>
      <w:ind w:left="1440" w:hanging="1440"/>
    </w:pPr>
    <w:rPr>
      <w:sz w:val="18"/>
    </w:rPr>
  </w:style>
  <w:style w:type="character" w:customStyle="1" w:styleId="BodyTextIndent2Char">
    <w:name w:val="Body Text Indent 2 Char"/>
    <w:link w:val="BodyTextIndent2"/>
    <w:rsid w:val="00FD103B"/>
    <w:rPr>
      <w:rFonts w:ascii="Arial" w:hAnsi="Arial" w:cs="Arial"/>
      <w:sz w:val="18"/>
      <w:szCs w:val="32"/>
    </w:rPr>
  </w:style>
  <w:style w:type="paragraph" w:styleId="BodyTextIndent3">
    <w:name w:val="Body Text Indent 3"/>
    <w:basedOn w:val="Normal"/>
    <w:link w:val="BodyTextIndent3Char"/>
    <w:rsid w:val="00D97045"/>
    <w:pPr>
      <w:ind w:left="1440"/>
    </w:pPr>
    <w:rPr>
      <w:sz w:val="18"/>
    </w:rPr>
  </w:style>
  <w:style w:type="character" w:customStyle="1" w:styleId="BodyTextIndent3Char">
    <w:name w:val="Body Text Indent 3 Char"/>
    <w:link w:val="BodyTextIndent3"/>
    <w:rsid w:val="00FD103B"/>
    <w:rPr>
      <w:rFonts w:ascii="Arial" w:hAnsi="Arial" w:cs="Arial"/>
      <w:sz w:val="18"/>
      <w:szCs w:val="32"/>
    </w:rPr>
  </w:style>
  <w:style w:type="paragraph" w:styleId="BodyTextIndent">
    <w:name w:val="Body Text Indent"/>
    <w:basedOn w:val="Normal"/>
    <w:link w:val="BodyTextIndentChar"/>
    <w:rsid w:val="00D97045"/>
    <w:pPr>
      <w:ind w:left="192"/>
    </w:pPr>
  </w:style>
  <w:style w:type="character" w:customStyle="1" w:styleId="BodyTextIndentChar">
    <w:name w:val="Body Text Indent Char"/>
    <w:link w:val="BodyTextIndent"/>
    <w:rsid w:val="00FD103B"/>
    <w:rPr>
      <w:rFonts w:ascii="Arial" w:hAnsi="Arial" w:cs="Arial"/>
      <w:sz w:val="22"/>
      <w:szCs w:val="32"/>
    </w:rPr>
  </w:style>
  <w:style w:type="paragraph" w:customStyle="1" w:styleId="letterhead">
    <w:name w:val="letterhead"/>
    <w:basedOn w:val="Normal"/>
    <w:rsid w:val="00D97045"/>
    <w:pPr>
      <w:spacing w:line="240" w:lineRule="exact"/>
    </w:pPr>
    <w:rPr>
      <w:rFonts w:ascii="lettergothic" w:hAnsi="lettergothic"/>
    </w:rPr>
  </w:style>
  <w:style w:type="paragraph" w:customStyle="1" w:styleId="content">
    <w:name w:val="content"/>
    <w:basedOn w:val="Normal"/>
    <w:rsid w:val="00D97045"/>
    <w:pPr>
      <w:spacing w:before="100" w:beforeAutospacing="1" w:after="100" w:afterAutospacing="1"/>
    </w:pPr>
    <w:rPr>
      <w:rFonts w:eastAsia="Arial Unicode MS"/>
      <w:color w:val="000000"/>
      <w:sz w:val="17"/>
      <w:szCs w:val="17"/>
    </w:rPr>
  </w:style>
  <w:style w:type="character" w:styleId="Strong">
    <w:name w:val="Strong"/>
    <w:qFormat/>
    <w:rsid w:val="00D97045"/>
    <w:rPr>
      <w:b/>
      <w:bCs/>
    </w:rPr>
  </w:style>
  <w:style w:type="paragraph" w:styleId="BodyText2">
    <w:name w:val="Body Text 2"/>
    <w:basedOn w:val="Normal"/>
    <w:link w:val="BodyText2Char"/>
    <w:rsid w:val="008168EB"/>
    <w:pPr>
      <w:spacing w:after="120" w:line="480" w:lineRule="auto"/>
    </w:pPr>
  </w:style>
  <w:style w:type="character" w:customStyle="1" w:styleId="BodyText2Char">
    <w:name w:val="Body Text 2 Char"/>
    <w:link w:val="BodyText2"/>
    <w:rsid w:val="008168EB"/>
    <w:rPr>
      <w:rFonts w:ascii="Arial" w:hAnsi="Arial" w:cs="Arial"/>
      <w:sz w:val="22"/>
      <w:szCs w:val="32"/>
    </w:rPr>
  </w:style>
  <w:style w:type="table" w:styleId="TableGrid">
    <w:name w:val="Table Grid"/>
    <w:basedOn w:val="TableNormal"/>
    <w:rsid w:val="00816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8168E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Revision">
    <w:name w:val="Revision"/>
    <w:hidden/>
    <w:uiPriority w:val="99"/>
    <w:semiHidden/>
    <w:rsid w:val="00850683"/>
    <w:rPr>
      <w:sz w:val="22"/>
    </w:rPr>
  </w:style>
  <w:style w:type="paragraph" w:customStyle="1" w:styleId="TableParagraph">
    <w:name w:val="Table Paragraph"/>
    <w:basedOn w:val="Normal"/>
    <w:uiPriority w:val="1"/>
    <w:qFormat/>
    <w:rsid w:val="00D709EB"/>
    <w:pPr>
      <w:ind w:left="200"/>
    </w:pPr>
    <w:rPr>
      <w:rFonts w:ascii="Times New Roman" w:hAnsi="Times New Roman" w:cs="Times New Roman"/>
      <w:color w:val="000000"/>
      <w:szCs w:val="24"/>
    </w:rPr>
  </w:style>
  <w:style w:type="table" w:customStyle="1" w:styleId="TableGrid1">
    <w:name w:val="Table Grid1"/>
    <w:basedOn w:val="TableNormal"/>
    <w:next w:val="TableGrid"/>
    <w:uiPriority w:val="59"/>
    <w:rsid w:val="00F06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DFE"/>
    <w:pPr>
      <w:ind w:left="720"/>
      <w:contextualSpacing/>
    </w:pPr>
    <w:rPr>
      <w:rFonts w:ascii="Times New Roman" w:hAnsi="Times New Roman" w:cs="Times New Roman"/>
      <w:color w:val="000000"/>
      <w:szCs w:val="24"/>
    </w:rPr>
  </w:style>
  <w:style w:type="paragraph" w:customStyle="1" w:styleId="BlockText0">
    <w:name w:val="Block_Text"/>
    <w:basedOn w:val="Normal"/>
    <w:link w:val="BlockTextChar"/>
    <w:rsid w:val="00AF6CD3"/>
    <w:rPr>
      <w:rFonts w:ascii="Times New Roman" w:hAnsi="Times New Roman" w:cs="Times New Roman"/>
      <w:color w:val="000000"/>
      <w:szCs w:val="20"/>
    </w:rPr>
  </w:style>
  <w:style w:type="character" w:customStyle="1" w:styleId="BlockTextChar">
    <w:name w:val="Block_Text Char"/>
    <w:link w:val="BlockText0"/>
    <w:rsid w:val="00AF6CD3"/>
    <w:rPr>
      <w:color w:val="000000"/>
      <w:sz w:val="24"/>
    </w:rPr>
  </w:style>
  <w:style w:type="table" w:styleId="TableGridLight">
    <w:name w:val="Grid Table Light"/>
    <w:basedOn w:val="TableNormal"/>
    <w:uiPriority w:val="40"/>
    <w:rsid w:val="00FC00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71685">
      <w:bodyDiv w:val="1"/>
      <w:marLeft w:val="0"/>
      <w:marRight w:val="0"/>
      <w:marTop w:val="0"/>
      <w:marBottom w:val="0"/>
      <w:divBdr>
        <w:top w:val="none" w:sz="0" w:space="0" w:color="auto"/>
        <w:left w:val="none" w:sz="0" w:space="0" w:color="auto"/>
        <w:bottom w:val="none" w:sz="0" w:space="0" w:color="auto"/>
        <w:right w:val="none" w:sz="0" w:space="0" w:color="auto"/>
      </w:divBdr>
    </w:div>
    <w:div w:id="133491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s.ca.gov/-/media/0F93C99D7E5B454DADFB295FABE4A076.ash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MS@dgs.c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s.ca.gov/-/media/F2B43E4B94F3409EADD29CD0556924D5.ash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gs.ca.gov/-/media/F4E9E9FC597840C28C6515B66BB79D0A.ash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gsapps.dgs.ca.gov/osp/StatewideFormsWeb/Forms.asp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aveler\Application%20Data\Microsoft\Templates\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DE03D-70C3-4B5C-8B53-5E8FF958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infomappro.dot</Template>
  <TotalTime>20</TotalTime>
  <Pages>22</Pages>
  <Words>6157</Words>
  <Characters>35098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v2Chapt05_10_0730</vt:lpstr>
    </vt:vector>
  </TitlesOfParts>
  <Company>Information Mapping, Inc.</Company>
  <LinksUpToDate>false</LinksUpToDate>
  <CharactersWithSpaces>41173</CharactersWithSpaces>
  <SharedDoc>false</SharedDoc>
  <HLinks>
    <vt:vector size="432" baseType="variant">
      <vt:variant>
        <vt:i4>5832725</vt:i4>
      </vt:variant>
      <vt:variant>
        <vt:i4>387</vt:i4>
      </vt:variant>
      <vt:variant>
        <vt:i4>0</vt:i4>
      </vt:variant>
      <vt:variant>
        <vt:i4>5</vt:i4>
      </vt:variant>
      <vt:variant>
        <vt:lpwstr>http://www.documents.dgs.ca.gov/pd/delegations/Fildocunder10k.pdf</vt:lpwstr>
      </vt:variant>
      <vt:variant>
        <vt:lpwstr/>
      </vt:variant>
      <vt:variant>
        <vt:i4>3997820</vt:i4>
      </vt:variant>
      <vt:variant>
        <vt:i4>384</vt:i4>
      </vt:variant>
      <vt:variant>
        <vt:i4>0</vt:i4>
      </vt:variant>
      <vt:variant>
        <vt:i4>5</vt:i4>
      </vt:variant>
      <vt:variant>
        <vt:lpwstr>http://www.documents.dgs.ca.gov/pd/poliproc/SCMvol2/v2chapt05_10_0730F&amp;R.doc</vt:lpwstr>
      </vt:variant>
      <vt:variant>
        <vt:lpwstr/>
      </vt:variant>
      <vt:variant>
        <vt:i4>3997820</vt:i4>
      </vt:variant>
      <vt:variant>
        <vt:i4>381</vt:i4>
      </vt:variant>
      <vt:variant>
        <vt:i4>0</vt:i4>
      </vt:variant>
      <vt:variant>
        <vt:i4>5</vt:i4>
      </vt:variant>
      <vt:variant>
        <vt:lpwstr>http://www.documents.dgs.ca.gov/pd/poliproc/SCMvol2/v2chapt05_10_0730F&amp;R.doc</vt:lpwstr>
      </vt:variant>
      <vt:variant>
        <vt:lpwstr/>
      </vt:variant>
      <vt:variant>
        <vt:i4>3997820</vt:i4>
      </vt:variant>
      <vt:variant>
        <vt:i4>378</vt:i4>
      </vt:variant>
      <vt:variant>
        <vt:i4>0</vt:i4>
      </vt:variant>
      <vt:variant>
        <vt:i4>5</vt:i4>
      </vt:variant>
      <vt:variant>
        <vt:lpwstr>http://www.documents.dgs.ca.gov/pd/poliproc/SCMvol2/v2chapt05_10_0730F&amp;R.doc</vt:lpwstr>
      </vt:variant>
      <vt:variant>
        <vt:lpwstr/>
      </vt:variant>
      <vt:variant>
        <vt:i4>3997820</vt:i4>
      </vt:variant>
      <vt:variant>
        <vt:i4>375</vt:i4>
      </vt:variant>
      <vt:variant>
        <vt:i4>0</vt:i4>
      </vt:variant>
      <vt:variant>
        <vt:i4>5</vt:i4>
      </vt:variant>
      <vt:variant>
        <vt:lpwstr>http://www.documents.dgs.ca.gov/pd/poliproc/SCMvol2/v2chapt05_10_0730F&amp;R.doc</vt:lpwstr>
      </vt:variant>
      <vt:variant>
        <vt:lpwstr/>
      </vt:variant>
      <vt:variant>
        <vt:i4>3997820</vt:i4>
      </vt:variant>
      <vt:variant>
        <vt:i4>372</vt:i4>
      </vt:variant>
      <vt:variant>
        <vt:i4>0</vt:i4>
      </vt:variant>
      <vt:variant>
        <vt:i4>5</vt:i4>
      </vt:variant>
      <vt:variant>
        <vt:lpwstr>http://www.documents.dgs.ca.gov/pd/poliproc/SCMvol2/v2chapt05_10_0730F&amp;R.doc</vt:lpwstr>
      </vt:variant>
      <vt:variant>
        <vt:lpwstr/>
      </vt:variant>
      <vt:variant>
        <vt:i4>393325</vt:i4>
      </vt:variant>
      <vt:variant>
        <vt:i4>369</vt:i4>
      </vt:variant>
      <vt:variant>
        <vt:i4>0</vt:i4>
      </vt:variant>
      <vt:variant>
        <vt:i4>5</vt:i4>
      </vt:variant>
      <vt:variant>
        <vt:lpwstr>mailto:PAMS@dgs.ca.gov</vt:lpwstr>
      </vt:variant>
      <vt:variant>
        <vt:lpwstr/>
      </vt:variant>
      <vt:variant>
        <vt:i4>1179774</vt:i4>
      </vt:variant>
      <vt:variant>
        <vt:i4>366</vt:i4>
      </vt:variant>
      <vt:variant>
        <vt:i4>0</vt:i4>
      </vt:variant>
      <vt:variant>
        <vt:i4>5</vt:i4>
      </vt:variant>
      <vt:variant>
        <vt:lpwstr>http://www.documents.dgs.ca.gov/pd/poliproc/scr10_0413.pdf</vt:lpwstr>
      </vt:variant>
      <vt:variant>
        <vt:lpwstr/>
      </vt:variant>
      <vt:variant>
        <vt:i4>196725</vt:i4>
      </vt:variant>
      <vt:variant>
        <vt:i4>363</vt:i4>
      </vt:variant>
      <vt:variant>
        <vt:i4>0</vt:i4>
      </vt:variant>
      <vt:variant>
        <vt:i4>5</vt:i4>
      </vt:variant>
      <vt:variant>
        <vt:lpwstr>http://www.documents.dgs.ca.gov/pd/poliproc/scr10_0413.doc</vt:lpwstr>
      </vt:variant>
      <vt:variant>
        <vt:lpwstr/>
      </vt:variant>
      <vt:variant>
        <vt:i4>3997820</vt:i4>
      </vt:variant>
      <vt:variant>
        <vt:i4>360</vt:i4>
      </vt:variant>
      <vt:variant>
        <vt:i4>0</vt:i4>
      </vt:variant>
      <vt:variant>
        <vt:i4>5</vt:i4>
      </vt:variant>
      <vt:variant>
        <vt:lpwstr>http://www.documents.dgs.ca.gov/pd/poliproc/SCMvol2/v2chapt05_10_0730F&amp;R.doc</vt:lpwstr>
      </vt:variant>
      <vt:variant>
        <vt:lpwstr/>
      </vt:variant>
      <vt:variant>
        <vt:i4>5374031</vt:i4>
      </vt:variant>
      <vt:variant>
        <vt:i4>357</vt:i4>
      </vt:variant>
      <vt:variant>
        <vt:i4>0</vt:i4>
      </vt:variant>
      <vt:variant>
        <vt:i4>5</vt:i4>
      </vt:variant>
      <vt:variant>
        <vt:lpwstr>http://www.documents.dgs.ca.gov/pd/delegations/ncbfiledoc618.pdf</vt:lpwstr>
      </vt:variant>
      <vt:variant>
        <vt:lpwstr/>
      </vt:variant>
      <vt:variant>
        <vt:i4>2883699</vt:i4>
      </vt:variant>
      <vt:variant>
        <vt:i4>354</vt:i4>
      </vt:variant>
      <vt:variant>
        <vt:i4>0</vt:i4>
      </vt:variant>
      <vt:variant>
        <vt:i4>5</vt:i4>
      </vt:variant>
      <vt:variant>
        <vt:lpwstr>https://www.dgsapps.dgs.ca.gov/osp/StatewideFormsWeb/Forms.aspx</vt:lpwstr>
      </vt:variant>
      <vt:variant>
        <vt:lpwstr/>
      </vt:variant>
      <vt:variant>
        <vt:i4>655439</vt:i4>
      </vt:variant>
      <vt:variant>
        <vt:i4>351</vt:i4>
      </vt:variant>
      <vt:variant>
        <vt:i4>0</vt:i4>
      </vt:variant>
      <vt:variant>
        <vt:i4>5</vt:i4>
      </vt:variant>
      <vt:variant>
        <vt:lpwstr>http://www.documents.dgs.ca.gov/pd/poliproc/ncb10-413.pdf</vt:lpwstr>
      </vt:variant>
      <vt:variant>
        <vt:lpwstr/>
      </vt:variant>
      <vt:variant>
        <vt:i4>65627</vt:i4>
      </vt:variant>
      <vt:variant>
        <vt:i4>348</vt:i4>
      </vt:variant>
      <vt:variant>
        <vt:i4>0</vt:i4>
      </vt:variant>
      <vt:variant>
        <vt:i4>5</vt:i4>
      </vt:variant>
      <vt:variant>
        <vt:lpwstr>http://www.documents.dgs.ca.gov/pd/poliproc/ncb10-413.doc</vt:lpwstr>
      </vt:variant>
      <vt:variant>
        <vt:lpwstr/>
      </vt:variant>
      <vt:variant>
        <vt:i4>1376270</vt:i4>
      </vt:variant>
      <vt:variant>
        <vt:i4>345</vt:i4>
      </vt:variant>
      <vt:variant>
        <vt:i4>0</vt:i4>
      </vt:variant>
      <vt:variant>
        <vt:i4>5</vt:i4>
      </vt:variant>
      <vt:variant>
        <vt:lpwstr>http://www.documents.dgs.ca.gov/pd/poliproc/SCMvol2/v2chapt05_10_30NCB.docx</vt:lpwstr>
      </vt:variant>
      <vt:variant>
        <vt:lpwstr/>
      </vt:variant>
      <vt:variant>
        <vt:i4>1638459</vt:i4>
      </vt:variant>
      <vt:variant>
        <vt:i4>338</vt:i4>
      </vt:variant>
      <vt:variant>
        <vt:i4>0</vt:i4>
      </vt:variant>
      <vt:variant>
        <vt:i4>5</vt:i4>
      </vt:variant>
      <vt:variant>
        <vt:lpwstr/>
      </vt:variant>
      <vt:variant>
        <vt:lpwstr>_Toc515980369</vt:lpwstr>
      </vt:variant>
      <vt:variant>
        <vt:i4>1638459</vt:i4>
      </vt:variant>
      <vt:variant>
        <vt:i4>332</vt:i4>
      </vt:variant>
      <vt:variant>
        <vt:i4>0</vt:i4>
      </vt:variant>
      <vt:variant>
        <vt:i4>5</vt:i4>
      </vt:variant>
      <vt:variant>
        <vt:lpwstr/>
      </vt:variant>
      <vt:variant>
        <vt:lpwstr>_Toc515980368</vt:lpwstr>
      </vt:variant>
      <vt:variant>
        <vt:i4>1638459</vt:i4>
      </vt:variant>
      <vt:variant>
        <vt:i4>326</vt:i4>
      </vt:variant>
      <vt:variant>
        <vt:i4>0</vt:i4>
      </vt:variant>
      <vt:variant>
        <vt:i4>5</vt:i4>
      </vt:variant>
      <vt:variant>
        <vt:lpwstr/>
      </vt:variant>
      <vt:variant>
        <vt:lpwstr>_Toc515980367</vt:lpwstr>
      </vt:variant>
      <vt:variant>
        <vt:i4>1638459</vt:i4>
      </vt:variant>
      <vt:variant>
        <vt:i4>320</vt:i4>
      </vt:variant>
      <vt:variant>
        <vt:i4>0</vt:i4>
      </vt:variant>
      <vt:variant>
        <vt:i4>5</vt:i4>
      </vt:variant>
      <vt:variant>
        <vt:lpwstr/>
      </vt:variant>
      <vt:variant>
        <vt:lpwstr>_Toc515980366</vt:lpwstr>
      </vt:variant>
      <vt:variant>
        <vt:i4>1638459</vt:i4>
      </vt:variant>
      <vt:variant>
        <vt:i4>314</vt:i4>
      </vt:variant>
      <vt:variant>
        <vt:i4>0</vt:i4>
      </vt:variant>
      <vt:variant>
        <vt:i4>5</vt:i4>
      </vt:variant>
      <vt:variant>
        <vt:lpwstr/>
      </vt:variant>
      <vt:variant>
        <vt:lpwstr>_Toc515980365</vt:lpwstr>
      </vt:variant>
      <vt:variant>
        <vt:i4>1638459</vt:i4>
      </vt:variant>
      <vt:variant>
        <vt:i4>308</vt:i4>
      </vt:variant>
      <vt:variant>
        <vt:i4>0</vt:i4>
      </vt:variant>
      <vt:variant>
        <vt:i4>5</vt:i4>
      </vt:variant>
      <vt:variant>
        <vt:lpwstr/>
      </vt:variant>
      <vt:variant>
        <vt:lpwstr>_Toc515980364</vt:lpwstr>
      </vt:variant>
      <vt:variant>
        <vt:i4>1638459</vt:i4>
      </vt:variant>
      <vt:variant>
        <vt:i4>302</vt:i4>
      </vt:variant>
      <vt:variant>
        <vt:i4>0</vt:i4>
      </vt:variant>
      <vt:variant>
        <vt:i4>5</vt:i4>
      </vt:variant>
      <vt:variant>
        <vt:lpwstr/>
      </vt:variant>
      <vt:variant>
        <vt:lpwstr>_Toc515980363</vt:lpwstr>
      </vt:variant>
      <vt:variant>
        <vt:i4>1638459</vt:i4>
      </vt:variant>
      <vt:variant>
        <vt:i4>296</vt:i4>
      </vt:variant>
      <vt:variant>
        <vt:i4>0</vt:i4>
      </vt:variant>
      <vt:variant>
        <vt:i4>5</vt:i4>
      </vt:variant>
      <vt:variant>
        <vt:lpwstr/>
      </vt:variant>
      <vt:variant>
        <vt:lpwstr>_Toc515980362</vt:lpwstr>
      </vt:variant>
      <vt:variant>
        <vt:i4>1638459</vt:i4>
      </vt:variant>
      <vt:variant>
        <vt:i4>290</vt:i4>
      </vt:variant>
      <vt:variant>
        <vt:i4>0</vt:i4>
      </vt:variant>
      <vt:variant>
        <vt:i4>5</vt:i4>
      </vt:variant>
      <vt:variant>
        <vt:lpwstr/>
      </vt:variant>
      <vt:variant>
        <vt:lpwstr>_Toc515980361</vt:lpwstr>
      </vt:variant>
      <vt:variant>
        <vt:i4>1638459</vt:i4>
      </vt:variant>
      <vt:variant>
        <vt:i4>284</vt:i4>
      </vt:variant>
      <vt:variant>
        <vt:i4>0</vt:i4>
      </vt:variant>
      <vt:variant>
        <vt:i4>5</vt:i4>
      </vt:variant>
      <vt:variant>
        <vt:lpwstr/>
      </vt:variant>
      <vt:variant>
        <vt:lpwstr>_Toc515980360</vt:lpwstr>
      </vt:variant>
      <vt:variant>
        <vt:i4>1703995</vt:i4>
      </vt:variant>
      <vt:variant>
        <vt:i4>278</vt:i4>
      </vt:variant>
      <vt:variant>
        <vt:i4>0</vt:i4>
      </vt:variant>
      <vt:variant>
        <vt:i4>5</vt:i4>
      </vt:variant>
      <vt:variant>
        <vt:lpwstr/>
      </vt:variant>
      <vt:variant>
        <vt:lpwstr>_Toc515980359</vt:lpwstr>
      </vt:variant>
      <vt:variant>
        <vt:i4>1703995</vt:i4>
      </vt:variant>
      <vt:variant>
        <vt:i4>272</vt:i4>
      </vt:variant>
      <vt:variant>
        <vt:i4>0</vt:i4>
      </vt:variant>
      <vt:variant>
        <vt:i4>5</vt:i4>
      </vt:variant>
      <vt:variant>
        <vt:lpwstr/>
      </vt:variant>
      <vt:variant>
        <vt:lpwstr>_Toc515980358</vt:lpwstr>
      </vt:variant>
      <vt:variant>
        <vt:i4>1703995</vt:i4>
      </vt:variant>
      <vt:variant>
        <vt:i4>266</vt:i4>
      </vt:variant>
      <vt:variant>
        <vt:i4>0</vt:i4>
      </vt:variant>
      <vt:variant>
        <vt:i4>5</vt:i4>
      </vt:variant>
      <vt:variant>
        <vt:lpwstr/>
      </vt:variant>
      <vt:variant>
        <vt:lpwstr>_Toc515980357</vt:lpwstr>
      </vt:variant>
      <vt:variant>
        <vt:i4>1703995</vt:i4>
      </vt:variant>
      <vt:variant>
        <vt:i4>260</vt:i4>
      </vt:variant>
      <vt:variant>
        <vt:i4>0</vt:i4>
      </vt:variant>
      <vt:variant>
        <vt:i4>5</vt:i4>
      </vt:variant>
      <vt:variant>
        <vt:lpwstr/>
      </vt:variant>
      <vt:variant>
        <vt:lpwstr>_Toc515980356</vt:lpwstr>
      </vt:variant>
      <vt:variant>
        <vt:i4>1703995</vt:i4>
      </vt:variant>
      <vt:variant>
        <vt:i4>254</vt:i4>
      </vt:variant>
      <vt:variant>
        <vt:i4>0</vt:i4>
      </vt:variant>
      <vt:variant>
        <vt:i4>5</vt:i4>
      </vt:variant>
      <vt:variant>
        <vt:lpwstr/>
      </vt:variant>
      <vt:variant>
        <vt:lpwstr>_Toc515980355</vt:lpwstr>
      </vt:variant>
      <vt:variant>
        <vt:i4>1703995</vt:i4>
      </vt:variant>
      <vt:variant>
        <vt:i4>248</vt:i4>
      </vt:variant>
      <vt:variant>
        <vt:i4>0</vt:i4>
      </vt:variant>
      <vt:variant>
        <vt:i4>5</vt:i4>
      </vt:variant>
      <vt:variant>
        <vt:lpwstr/>
      </vt:variant>
      <vt:variant>
        <vt:lpwstr>_Toc515980354</vt:lpwstr>
      </vt:variant>
      <vt:variant>
        <vt:i4>1703995</vt:i4>
      </vt:variant>
      <vt:variant>
        <vt:i4>242</vt:i4>
      </vt:variant>
      <vt:variant>
        <vt:i4>0</vt:i4>
      </vt:variant>
      <vt:variant>
        <vt:i4>5</vt:i4>
      </vt:variant>
      <vt:variant>
        <vt:lpwstr/>
      </vt:variant>
      <vt:variant>
        <vt:lpwstr>_Toc515980353</vt:lpwstr>
      </vt:variant>
      <vt:variant>
        <vt:i4>1703995</vt:i4>
      </vt:variant>
      <vt:variant>
        <vt:i4>236</vt:i4>
      </vt:variant>
      <vt:variant>
        <vt:i4>0</vt:i4>
      </vt:variant>
      <vt:variant>
        <vt:i4>5</vt:i4>
      </vt:variant>
      <vt:variant>
        <vt:lpwstr/>
      </vt:variant>
      <vt:variant>
        <vt:lpwstr>_Toc515980352</vt:lpwstr>
      </vt:variant>
      <vt:variant>
        <vt:i4>1703995</vt:i4>
      </vt:variant>
      <vt:variant>
        <vt:i4>230</vt:i4>
      </vt:variant>
      <vt:variant>
        <vt:i4>0</vt:i4>
      </vt:variant>
      <vt:variant>
        <vt:i4>5</vt:i4>
      </vt:variant>
      <vt:variant>
        <vt:lpwstr/>
      </vt:variant>
      <vt:variant>
        <vt:lpwstr>_Toc515980351</vt:lpwstr>
      </vt:variant>
      <vt:variant>
        <vt:i4>1703995</vt:i4>
      </vt:variant>
      <vt:variant>
        <vt:i4>224</vt:i4>
      </vt:variant>
      <vt:variant>
        <vt:i4>0</vt:i4>
      </vt:variant>
      <vt:variant>
        <vt:i4>5</vt:i4>
      </vt:variant>
      <vt:variant>
        <vt:lpwstr/>
      </vt:variant>
      <vt:variant>
        <vt:lpwstr>_Toc515980350</vt:lpwstr>
      </vt:variant>
      <vt:variant>
        <vt:i4>1769531</vt:i4>
      </vt:variant>
      <vt:variant>
        <vt:i4>218</vt:i4>
      </vt:variant>
      <vt:variant>
        <vt:i4>0</vt:i4>
      </vt:variant>
      <vt:variant>
        <vt:i4>5</vt:i4>
      </vt:variant>
      <vt:variant>
        <vt:lpwstr/>
      </vt:variant>
      <vt:variant>
        <vt:lpwstr>_Toc515980349</vt:lpwstr>
      </vt:variant>
      <vt:variant>
        <vt:i4>1769531</vt:i4>
      </vt:variant>
      <vt:variant>
        <vt:i4>212</vt:i4>
      </vt:variant>
      <vt:variant>
        <vt:i4>0</vt:i4>
      </vt:variant>
      <vt:variant>
        <vt:i4>5</vt:i4>
      </vt:variant>
      <vt:variant>
        <vt:lpwstr/>
      </vt:variant>
      <vt:variant>
        <vt:lpwstr>_Toc515980348</vt:lpwstr>
      </vt:variant>
      <vt:variant>
        <vt:i4>1769531</vt:i4>
      </vt:variant>
      <vt:variant>
        <vt:i4>206</vt:i4>
      </vt:variant>
      <vt:variant>
        <vt:i4>0</vt:i4>
      </vt:variant>
      <vt:variant>
        <vt:i4>5</vt:i4>
      </vt:variant>
      <vt:variant>
        <vt:lpwstr/>
      </vt:variant>
      <vt:variant>
        <vt:lpwstr>_Toc515980347</vt:lpwstr>
      </vt:variant>
      <vt:variant>
        <vt:i4>1769531</vt:i4>
      </vt:variant>
      <vt:variant>
        <vt:i4>200</vt:i4>
      </vt:variant>
      <vt:variant>
        <vt:i4>0</vt:i4>
      </vt:variant>
      <vt:variant>
        <vt:i4>5</vt:i4>
      </vt:variant>
      <vt:variant>
        <vt:lpwstr/>
      </vt:variant>
      <vt:variant>
        <vt:lpwstr>_Toc515980346</vt:lpwstr>
      </vt:variant>
      <vt:variant>
        <vt:i4>1769531</vt:i4>
      </vt:variant>
      <vt:variant>
        <vt:i4>194</vt:i4>
      </vt:variant>
      <vt:variant>
        <vt:i4>0</vt:i4>
      </vt:variant>
      <vt:variant>
        <vt:i4>5</vt:i4>
      </vt:variant>
      <vt:variant>
        <vt:lpwstr/>
      </vt:variant>
      <vt:variant>
        <vt:lpwstr>_Toc515980345</vt:lpwstr>
      </vt:variant>
      <vt:variant>
        <vt:i4>1769531</vt:i4>
      </vt:variant>
      <vt:variant>
        <vt:i4>188</vt:i4>
      </vt:variant>
      <vt:variant>
        <vt:i4>0</vt:i4>
      </vt:variant>
      <vt:variant>
        <vt:i4>5</vt:i4>
      </vt:variant>
      <vt:variant>
        <vt:lpwstr/>
      </vt:variant>
      <vt:variant>
        <vt:lpwstr>_Toc515980344</vt:lpwstr>
      </vt:variant>
      <vt:variant>
        <vt:i4>1769531</vt:i4>
      </vt:variant>
      <vt:variant>
        <vt:i4>182</vt:i4>
      </vt:variant>
      <vt:variant>
        <vt:i4>0</vt:i4>
      </vt:variant>
      <vt:variant>
        <vt:i4>5</vt:i4>
      </vt:variant>
      <vt:variant>
        <vt:lpwstr/>
      </vt:variant>
      <vt:variant>
        <vt:lpwstr>_Toc515980343</vt:lpwstr>
      </vt:variant>
      <vt:variant>
        <vt:i4>1769531</vt:i4>
      </vt:variant>
      <vt:variant>
        <vt:i4>176</vt:i4>
      </vt:variant>
      <vt:variant>
        <vt:i4>0</vt:i4>
      </vt:variant>
      <vt:variant>
        <vt:i4>5</vt:i4>
      </vt:variant>
      <vt:variant>
        <vt:lpwstr/>
      </vt:variant>
      <vt:variant>
        <vt:lpwstr>_Toc515980342</vt:lpwstr>
      </vt:variant>
      <vt:variant>
        <vt:i4>1769531</vt:i4>
      </vt:variant>
      <vt:variant>
        <vt:i4>170</vt:i4>
      </vt:variant>
      <vt:variant>
        <vt:i4>0</vt:i4>
      </vt:variant>
      <vt:variant>
        <vt:i4>5</vt:i4>
      </vt:variant>
      <vt:variant>
        <vt:lpwstr/>
      </vt:variant>
      <vt:variant>
        <vt:lpwstr>_Toc515980341</vt:lpwstr>
      </vt:variant>
      <vt:variant>
        <vt:i4>1769531</vt:i4>
      </vt:variant>
      <vt:variant>
        <vt:i4>164</vt:i4>
      </vt:variant>
      <vt:variant>
        <vt:i4>0</vt:i4>
      </vt:variant>
      <vt:variant>
        <vt:i4>5</vt:i4>
      </vt:variant>
      <vt:variant>
        <vt:lpwstr/>
      </vt:variant>
      <vt:variant>
        <vt:lpwstr>_Toc515980340</vt:lpwstr>
      </vt:variant>
      <vt:variant>
        <vt:i4>1835067</vt:i4>
      </vt:variant>
      <vt:variant>
        <vt:i4>158</vt:i4>
      </vt:variant>
      <vt:variant>
        <vt:i4>0</vt:i4>
      </vt:variant>
      <vt:variant>
        <vt:i4>5</vt:i4>
      </vt:variant>
      <vt:variant>
        <vt:lpwstr/>
      </vt:variant>
      <vt:variant>
        <vt:lpwstr>_Toc515980339</vt:lpwstr>
      </vt:variant>
      <vt:variant>
        <vt:i4>1835067</vt:i4>
      </vt:variant>
      <vt:variant>
        <vt:i4>152</vt:i4>
      </vt:variant>
      <vt:variant>
        <vt:i4>0</vt:i4>
      </vt:variant>
      <vt:variant>
        <vt:i4>5</vt:i4>
      </vt:variant>
      <vt:variant>
        <vt:lpwstr/>
      </vt:variant>
      <vt:variant>
        <vt:lpwstr>_Toc515980338</vt:lpwstr>
      </vt:variant>
      <vt:variant>
        <vt:i4>1835067</vt:i4>
      </vt:variant>
      <vt:variant>
        <vt:i4>146</vt:i4>
      </vt:variant>
      <vt:variant>
        <vt:i4>0</vt:i4>
      </vt:variant>
      <vt:variant>
        <vt:i4>5</vt:i4>
      </vt:variant>
      <vt:variant>
        <vt:lpwstr/>
      </vt:variant>
      <vt:variant>
        <vt:lpwstr>_Toc515980337</vt:lpwstr>
      </vt:variant>
      <vt:variant>
        <vt:i4>1835067</vt:i4>
      </vt:variant>
      <vt:variant>
        <vt:i4>140</vt:i4>
      </vt:variant>
      <vt:variant>
        <vt:i4>0</vt:i4>
      </vt:variant>
      <vt:variant>
        <vt:i4>5</vt:i4>
      </vt:variant>
      <vt:variant>
        <vt:lpwstr/>
      </vt:variant>
      <vt:variant>
        <vt:lpwstr>_Toc515980336</vt:lpwstr>
      </vt:variant>
      <vt:variant>
        <vt:i4>1835067</vt:i4>
      </vt:variant>
      <vt:variant>
        <vt:i4>134</vt:i4>
      </vt:variant>
      <vt:variant>
        <vt:i4>0</vt:i4>
      </vt:variant>
      <vt:variant>
        <vt:i4>5</vt:i4>
      </vt:variant>
      <vt:variant>
        <vt:lpwstr/>
      </vt:variant>
      <vt:variant>
        <vt:lpwstr>_Toc515980335</vt:lpwstr>
      </vt:variant>
      <vt:variant>
        <vt:i4>1835067</vt:i4>
      </vt:variant>
      <vt:variant>
        <vt:i4>128</vt:i4>
      </vt:variant>
      <vt:variant>
        <vt:i4>0</vt:i4>
      </vt:variant>
      <vt:variant>
        <vt:i4>5</vt:i4>
      </vt:variant>
      <vt:variant>
        <vt:lpwstr/>
      </vt:variant>
      <vt:variant>
        <vt:lpwstr>_Toc515980334</vt:lpwstr>
      </vt:variant>
      <vt:variant>
        <vt:i4>1835067</vt:i4>
      </vt:variant>
      <vt:variant>
        <vt:i4>122</vt:i4>
      </vt:variant>
      <vt:variant>
        <vt:i4>0</vt:i4>
      </vt:variant>
      <vt:variant>
        <vt:i4>5</vt:i4>
      </vt:variant>
      <vt:variant>
        <vt:lpwstr/>
      </vt:variant>
      <vt:variant>
        <vt:lpwstr>_Toc515980333</vt:lpwstr>
      </vt:variant>
      <vt:variant>
        <vt:i4>1835067</vt:i4>
      </vt:variant>
      <vt:variant>
        <vt:i4>116</vt:i4>
      </vt:variant>
      <vt:variant>
        <vt:i4>0</vt:i4>
      </vt:variant>
      <vt:variant>
        <vt:i4>5</vt:i4>
      </vt:variant>
      <vt:variant>
        <vt:lpwstr/>
      </vt:variant>
      <vt:variant>
        <vt:lpwstr>_Toc515980332</vt:lpwstr>
      </vt:variant>
      <vt:variant>
        <vt:i4>1835067</vt:i4>
      </vt:variant>
      <vt:variant>
        <vt:i4>110</vt:i4>
      </vt:variant>
      <vt:variant>
        <vt:i4>0</vt:i4>
      </vt:variant>
      <vt:variant>
        <vt:i4>5</vt:i4>
      </vt:variant>
      <vt:variant>
        <vt:lpwstr/>
      </vt:variant>
      <vt:variant>
        <vt:lpwstr>_Toc515980331</vt:lpwstr>
      </vt:variant>
      <vt:variant>
        <vt:i4>1835067</vt:i4>
      </vt:variant>
      <vt:variant>
        <vt:i4>104</vt:i4>
      </vt:variant>
      <vt:variant>
        <vt:i4>0</vt:i4>
      </vt:variant>
      <vt:variant>
        <vt:i4>5</vt:i4>
      </vt:variant>
      <vt:variant>
        <vt:lpwstr/>
      </vt:variant>
      <vt:variant>
        <vt:lpwstr>_Toc515980330</vt:lpwstr>
      </vt:variant>
      <vt:variant>
        <vt:i4>1900603</vt:i4>
      </vt:variant>
      <vt:variant>
        <vt:i4>98</vt:i4>
      </vt:variant>
      <vt:variant>
        <vt:i4>0</vt:i4>
      </vt:variant>
      <vt:variant>
        <vt:i4>5</vt:i4>
      </vt:variant>
      <vt:variant>
        <vt:lpwstr/>
      </vt:variant>
      <vt:variant>
        <vt:lpwstr>_Toc515980329</vt:lpwstr>
      </vt:variant>
      <vt:variant>
        <vt:i4>1900603</vt:i4>
      </vt:variant>
      <vt:variant>
        <vt:i4>92</vt:i4>
      </vt:variant>
      <vt:variant>
        <vt:i4>0</vt:i4>
      </vt:variant>
      <vt:variant>
        <vt:i4>5</vt:i4>
      </vt:variant>
      <vt:variant>
        <vt:lpwstr/>
      </vt:variant>
      <vt:variant>
        <vt:lpwstr>_Toc515980328</vt:lpwstr>
      </vt:variant>
      <vt:variant>
        <vt:i4>1900603</vt:i4>
      </vt:variant>
      <vt:variant>
        <vt:i4>86</vt:i4>
      </vt:variant>
      <vt:variant>
        <vt:i4>0</vt:i4>
      </vt:variant>
      <vt:variant>
        <vt:i4>5</vt:i4>
      </vt:variant>
      <vt:variant>
        <vt:lpwstr/>
      </vt:variant>
      <vt:variant>
        <vt:lpwstr>_Toc515980327</vt:lpwstr>
      </vt:variant>
      <vt:variant>
        <vt:i4>1900603</vt:i4>
      </vt:variant>
      <vt:variant>
        <vt:i4>80</vt:i4>
      </vt:variant>
      <vt:variant>
        <vt:i4>0</vt:i4>
      </vt:variant>
      <vt:variant>
        <vt:i4>5</vt:i4>
      </vt:variant>
      <vt:variant>
        <vt:lpwstr/>
      </vt:variant>
      <vt:variant>
        <vt:lpwstr>_Toc515980326</vt:lpwstr>
      </vt:variant>
      <vt:variant>
        <vt:i4>1900603</vt:i4>
      </vt:variant>
      <vt:variant>
        <vt:i4>74</vt:i4>
      </vt:variant>
      <vt:variant>
        <vt:i4>0</vt:i4>
      </vt:variant>
      <vt:variant>
        <vt:i4>5</vt:i4>
      </vt:variant>
      <vt:variant>
        <vt:lpwstr/>
      </vt:variant>
      <vt:variant>
        <vt:lpwstr>_Toc515980325</vt:lpwstr>
      </vt:variant>
      <vt:variant>
        <vt:i4>1900603</vt:i4>
      </vt:variant>
      <vt:variant>
        <vt:i4>68</vt:i4>
      </vt:variant>
      <vt:variant>
        <vt:i4>0</vt:i4>
      </vt:variant>
      <vt:variant>
        <vt:i4>5</vt:i4>
      </vt:variant>
      <vt:variant>
        <vt:lpwstr/>
      </vt:variant>
      <vt:variant>
        <vt:lpwstr>_Toc515980324</vt:lpwstr>
      </vt:variant>
      <vt:variant>
        <vt:i4>1900603</vt:i4>
      </vt:variant>
      <vt:variant>
        <vt:i4>62</vt:i4>
      </vt:variant>
      <vt:variant>
        <vt:i4>0</vt:i4>
      </vt:variant>
      <vt:variant>
        <vt:i4>5</vt:i4>
      </vt:variant>
      <vt:variant>
        <vt:lpwstr/>
      </vt:variant>
      <vt:variant>
        <vt:lpwstr>_Toc515980323</vt:lpwstr>
      </vt:variant>
      <vt:variant>
        <vt:i4>1900603</vt:i4>
      </vt:variant>
      <vt:variant>
        <vt:i4>56</vt:i4>
      </vt:variant>
      <vt:variant>
        <vt:i4>0</vt:i4>
      </vt:variant>
      <vt:variant>
        <vt:i4>5</vt:i4>
      </vt:variant>
      <vt:variant>
        <vt:lpwstr/>
      </vt:variant>
      <vt:variant>
        <vt:lpwstr>_Toc515980322</vt:lpwstr>
      </vt:variant>
      <vt:variant>
        <vt:i4>1900603</vt:i4>
      </vt:variant>
      <vt:variant>
        <vt:i4>50</vt:i4>
      </vt:variant>
      <vt:variant>
        <vt:i4>0</vt:i4>
      </vt:variant>
      <vt:variant>
        <vt:i4>5</vt:i4>
      </vt:variant>
      <vt:variant>
        <vt:lpwstr/>
      </vt:variant>
      <vt:variant>
        <vt:lpwstr>_Toc515980321</vt:lpwstr>
      </vt:variant>
      <vt:variant>
        <vt:i4>1900603</vt:i4>
      </vt:variant>
      <vt:variant>
        <vt:i4>44</vt:i4>
      </vt:variant>
      <vt:variant>
        <vt:i4>0</vt:i4>
      </vt:variant>
      <vt:variant>
        <vt:i4>5</vt:i4>
      </vt:variant>
      <vt:variant>
        <vt:lpwstr/>
      </vt:variant>
      <vt:variant>
        <vt:lpwstr>_Toc515980320</vt:lpwstr>
      </vt:variant>
      <vt:variant>
        <vt:i4>1966139</vt:i4>
      </vt:variant>
      <vt:variant>
        <vt:i4>38</vt:i4>
      </vt:variant>
      <vt:variant>
        <vt:i4>0</vt:i4>
      </vt:variant>
      <vt:variant>
        <vt:i4>5</vt:i4>
      </vt:variant>
      <vt:variant>
        <vt:lpwstr/>
      </vt:variant>
      <vt:variant>
        <vt:lpwstr>_Toc515980319</vt:lpwstr>
      </vt:variant>
      <vt:variant>
        <vt:i4>1966139</vt:i4>
      </vt:variant>
      <vt:variant>
        <vt:i4>32</vt:i4>
      </vt:variant>
      <vt:variant>
        <vt:i4>0</vt:i4>
      </vt:variant>
      <vt:variant>
        <vt:i4>5</vt:i4>
      </vt:variant>
      <vt:variant>
        <vt:lpwstr/>
      </vt:variant>
      <vt:variant>
        <vt:lpwstr>_Toc515980318</vt:lpwstr>
      </vt:variant>
      <vt:variant>
        <vt:i4>1966139</vt:i4>
      </vt:variant>
      <vt:variant>
        <vt:i4>26</vt:i4>
      </vt:variant>
      <vt:variant>
        <vt:i4>0</vt:i4>
      </vt:variant>
      <vt:variant>
        <vt:i4>5</vt:i4>
      </vt:variant>
      <vt:variant>
        <vt:lpwstr/>
      </vt:variant>
      <vt:variant>
        <vt:lpwstr>_Toc515980317</vt:lpwstr>
      </vt:variant>
      <vt:variant>
        <vt:i4>1966139</vt:i4>
      </vt:variant>
      <vt:variant>
        <vt:i4>20</vt:i4>
      </vt:variant>
      <vt:variant>
        <vt:i4>0</vt:i4>
      </vt:variant>
      <vt:variant>
        <vt:i4>5</vt:i4>
      </vt:variant>
      <vt:variant>
        <vt:lpwstr/>
      </vt:variant>
      <vt:variant>
        <vt:lpwstr>_Toc515980316</vt:lpwstr>
      </vt:variant>
      <vt:variant>
        <vt:i4>1966139</vt:i4>
      </vt:variant>
      <vt:variant>
        <vt:i4>14</vt:i4>
      </vt:variant>
      <vt:variant>
        <vt:i4>0</vt:i4>
      </vt:variant>
      <vt:variant>
        <vt:i4>5</vt:i4>
      </vt:variant>
      <vt:variant>
        <vt:lpwstr/>
      </vt:variant>
      <vt:variant>
        <vt:lpwstr>_Toc515980315</vt:lpwstr>
      </vt:variant>
      <vt:variant>
        <vt:i4>1966139</vt:i4>
      </vt:variant>
      <vt:variant>
        <vt:i4>8</vt:i4>
      </vt:variant>
      <vt:variant>
        <vt:i4>0</vt:i4>
      </vt:variant>
      <vt:variant>
        <vt:i4>5</vt:i4>
      </vt:variant>
      <vt:variant>
        <vt:lpwstr/>
      </vt:variant>
      <vt:variant>
        <vt:lpwstr>_Toc515980314</vt:lpwstr>
      </vt:variant>
      <vt:variant>
        <vt:i4>1966139</vt:i4>
      </vt:variant>
      <vt:variant>
        <vt:i4>2</vt:i4>
      </vt:variant>
      <vt:variant>
        <vt:i4>0</vt:i4>
      </vt:variant>
      <vt:variant>
        <vt:i4>5</vt:i4>
      </vt:variant>
      <vt:variant>
        <vt:lpwstr/>
      </vt:variant>
      <vt:variant>
        <vt:lpwstr>_Toc515980313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v2Chapt05_10_0730</dc:title>
  <dc:subject/>
  <dc:creator>Lower, Michael@DGS</dc:creator>
  <cp:keywords/>
  <dc:description/>
  <cp:lastModifiedBy>Reynaga, Martin@DGS</cp:lastModifiedBy>
  <cp:revision>12</cp:revision>
  <cp:lastPrinted>2018-05-09T18:55:00Z</cp:lastPrinted>
  <dcterms:created xsi:type="dcterms:W3CDTF">2019-07-02T21:10:00Z</dcterms:created>
  <dcterms:modified xsi:type="dcterms:W3CDTF">2020-01-07T17:49:00Z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y fmtid="{D5CDD505-2E9C-101B-9397-08002B2CF9AE}" pid="3" name="_DocHome">
    <vt:i4>-1685104218</vt:i4>
  </property>
  <property fmtid="{D5CDD505-2E9C-101B-9397-08002B2CF9AE}" pid="4" name="FSProSettings">
    <vt:lpwstr>Complete</vt:lpwstr>
  </property>
</Properties>
</file>