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E5" w:rsidRDefault="00024B11" w:rsidP="002D36F1">
      <w:pPr>
        <w:pStyle w:val="Title"/>
      </w:pPr>
      <w:r>
        <w:t>OFFICE EQUIPMENT</w:t>
      </w:r>
    </w:p>
    <w:p w:rsidR="002D36F1" w:rsidRDefault="002D36F1" w:rsidP="002D36F1"/>
    <w:p w:rsidR="002D36F1" w:rsidRDefault="00695F08" w:rsidP="00B264E4">
      <w:pPr>
        <w:pStyle w:val="Heading1"/>
      </w:pPr>
      <w:r>
        <w:t>Enterprise Servers</w:t>
      </w:r>
    </w:p>
    <w:p w:rsidR="00024B11" w:rsidRPr="00024B11" w:rsidRDefault="00024B11" w:rsidP="00695F08">
      <w:r>
        <w:t xml:space="preserve">Insert picture </w:t>
      </w:r>
      <w:r w:rsidR="00695F08">
        <w:t>“Enterprise Servers</w:t>
      </w:r>
      <w:r>
        <w:t>”</w:t>
      </w:r>
    </w:p>
    <w:p w:rsidR="00695F08" w:rsidRDefault="00482D22" w:rsidP="00695F08">
      <w:pPr>
        <w:rPr>
          <w:shd w:val="clear" w:color="auto" w:fill="FFFFFF"/>
        </w:rPr>
      </w:pPr>
      <w:r>
        <w:rPr>
          <w:shd w:val="clear" w:color="auto" w:fill="FFFFFF"/>
        </w:rPr>
        <w:t>E</w:t>
      </w:r>
      <w:r w:rsidR="00695F08">
        <w:rPr>
          <w:shd w:val="clear" w:color="auto" w:fill="FFFFFF"/>
        </w:rPr>
        <w:t xml:space="preserve">nterprise servers provide high-speed centric data handling, computing, storage and communications to large geographically and diverse organizational operations. Enterprise servers are often multiple units in data centers where the hardware is left consistently operational. Therefore, energy efficiency </w:t>
      </w:r>
      <w:r>
        <w:rPr>
          <w:shd w:val="clear" w:color="auto" w:fill="FFFFFF"/>
        </w:rPr>
        <w:t>is</w:t>
      </w:r>
      <w:r w:rsidR="00695F08">
        <w:rPr>
          <w:shd w:val="clear" w:color="auto" w:fill="FFFFFF"/>
        </w:rPr>
        <w:t xml:space="preserve"> a key environmental consideration when purchasing enterprise servers.</w:t>
      </w:r>
    </w:p>
    <w:p w:rsidR="002D36F1" w:rsidRDefault="00A208F9" w:rsidP="002D36F1">
      <w:pPr>
        <w:pStyle w:val="Heading2"/>
      </w:pPr>
      <w:r>
        <w:t>Green Contracts</w:t>
      </w:r>
    </w:p>
    <w:p w:rsidR="00695F08" w:rsidRPr="00695F08" w:rsidRDefault="00482D22" w:rsidP="00695F08">
      <w:pPr>
        <w:rPr>
          <w:rFonts w:eastAsia="Times New Roman"/>
        </w:rPr>
      </w:pPr>
      <w:bookmarkStart w:id="0" w:name="_GoBack"/>
      <w:r>
        <w:rPr>
          <w:rFonts w:eastAsia="Times New Roman"/>
        </w:rPr>
        <w:t>S</w:t>
      </w:r>
      <w:r w:rsidRPr="00695F08">
        <w:rPr>
          <w:rFonts w:eastAsia="Times New Roman"/>
        </w:rPr>
        <w:t xml:space="preserve">tatewide </w:t>
      </w:r>
      <w:r w:rsidR="00695F08" w:rsidRPr="00695F08">
        <w:rPr>
          <w:rFonts w:eastAsia="Times New Roman"/>
        </w:rPr>
        <w:t>contracts for mid-range and high-end enterprise servers are available and listed by brand.</w:t>
      </w:r>
    </w:p>
    <w:p w:rsidR="00695F08" w:rsidRPr="00695F08" w:rsidRDefault="00695F08" w:rsidP="00695F08">
      <w:pPr>
        <w:rPr>
          <w:rFonts w:eastAsia="Times New Roman"/>
        </w:rPr>
      </w:pPr>
      <w:r w:rsidRPr="00695F08">
        <w:rPr>
          <w:rFonts w:eastAsia="Times New Roman"/>
        </w:rPr>
        <w:t>Contract Name: </w:t>
      </w:r>
      <w:hyperlink r:id="rId5" w:history="1">
        <w:r w:rsidRPr="00CC5A28">
          <w:rPr>
            <w:rStyle w:val="Hyperlink"/>
            <w:rFonts w:eastAsia="Times New Roman"/>
            <w:b/>
            <w:bdr w:val="none" w:sz="0" w:space="0" w:color="auto" w:frame="1"/>
          </w:rPr>
          <w:t>Enterprise Servers – Oracle Brand – Dynamic Systems</w:t>
        </w:r>
        <w:r w:rsidRPr="00CC5A28">
          <w:rPr>
            <w:rStyle w:val="Hyperlink"/>
            <w:rFonts w:eastAsia="Times New Roman"/>
          </w:rPr>
          <w:t> </w:t>
        </w:r>
      </w:hyperlink>
      <w:r w:rsidRPr="00695F08">
        <w:rPr>
          <w:rFonts w:eastAsia="Times New Roman"/>
        </w:rPr>
        <w:br/>
        <w:t>Contract ID/Number: </w:t>
      </w:r>
      <w:r w:rsidRPr="00CC5A28">
        <w:rPr>
          <w:rFonts w:eastAsia="Times New Roman"/>
          <w:b/>
          <w:bdr w:val="none" w:sz="0" w:space="0" w:color="auto" w:frame="1"/>
        </w:rPr>
        <w:t>1-12-70-15B</w:t>
      </w:r>
    </w:p>
    <w:p w:rsidR="00695F08" w:rsidRPr="00CC5A28" w:rsidRDefault="00695F08" w:rsidP="00695F08">
      <w:pPr>
        <w:rPr>
          <w:rFonts w:eastAsia="Times New Roman"/>
          <w:b/>
        </w:rPr>
      </w:pPr>
      <w:r w:rsidRPr="00695F08">
        <w:rPr>
          <w:rFonts w:eastAsia="Times New Roman"/>
        </w:rPr>
        <w:t>Contract Name: </w:t>
      </w:r>
      <w:hyperlink r:id="rId6" w:history="1">
        <w:r w:rsidRPr="00CC5A28">
          <w:rPr>
            <w:rStyle w:val="Hyperlink"/>
            <w:rFonts w:eastAsia="Times New Roman"/>
            <w:b/>
            <w:bdr w:val="none" w:sz="0" w:space="0" w:color="auto" w:frame="1"/>
          </w:rPr>
          <w:t>Enterprise Servers – HP Brand – Hewlett Packard Corporation</w:t>
        </w:r>
        <w:r w:rsidRPr="00CC5A28">
          <w:rPr>
            <w:rStyle w:val="Hyperlink"/>
            <w:rFonts w:eastAsia="Times New Roman"/>
          </w:rPr>
          <w:t> </w:t>
        </w:r>
      </w:hyperlink>
      <w:r w:rsidRPr="00695F08">
        <w:rPr>
          <w:rFonts w:eastAsia="Times New Roman"/>
        </w:rPr>
        <w:br/>
        <w:t>Contract ID/Number: </w:t>
      </w:r>
      <w:r w:rsidRPr="00CC5A28">
        <w:rPr>
          <w:rFonts w:eastAsia="Times New Roman"/>
          <w:b/>
          <w:bdr w:val="none" w:sz="0" w:space="0" w:color="auto" w:frame="1"/>
        </w:rPr>
        <w:t>1-12-70-16</w:t>
      </w:r>
    </w:p>
    <w:p w:rsidR="00695F08" w:rsidRDefault="00695F08" w:rsidP="00695F08">
      <w:pPr>
        <w:rPr>
          <w:rFonts w:eastAsia="Times New Roman"/>
          <w:bdr w:val="none" w:sz="0" w:space="0" w:color="auto" w:frame="1"/>
        </w:rPr>
      </w:pPr>
      <w:r w:rsidRPr="00695F08">
        <w:rPr>
          <w:rFonts w:eastAsia="Times New Roman"/>
        </w:rPr>
        <w:t>Contract Name: </w:t>
      </w:r>
      <w:hyperlink r:id="rId7" w:history="1">
        <w:r w:rsidRPr="00CC5A28">
          <w:rPr>
            <w:rStyle w:val="Hyperlink"/>
            <w:rFonts w:eastAsia="Times New Roman"/>
            <w:b/>
            <w:bdr w:val="none" w:sz="0" w:space="0" w:color="auto" w:frame="1"/>
          </w:rPr>
          <w:t>Enterprise Servers (IBM Brand) – Direct Systems Support</w:t>
        </w:r>
        <w:r w:rsidRPr="00CC5A28">
          <w:rPr>
            <w:rStyle w:val="Hyperlink"/>
            <w:rFonts w:eastAsia="Times New Roman"/>
          </w:rPr>
          <w:t> </w:t>
        </w:r>
      </w:hyperlink>
      <w:r w:rsidRPr="00695F08">
        <w:rPr>
          <w:rFonts w:eastAsia="Times New Roman"/>
        </w:rPr>
        <w:br/>
        <w:t>Contract ID/Number: </w:t>
      </w:r>
      <w:r w:rsidRPr="00CC5A28">
        <w:rPr>
          <w:rFonts w:eastAsia="Times New Roman"/>
          <w:b/>
          <w:bdr w:val="none" w:sz="0" w:space="0" w:color="auto" w:frame="1"/>
        </w:rPr>
        <w:t>1-12-70-17A</w:t>
      </w:r>
    </w:p>
    <w:bookmarkEnd w:id="0"/>
    <w:p w:rsidR="00A208F9" w:rsidRDefault="00A208F9" w:rsidP="00B264E4">
      <w:pPr>
        <w:pStyle w:val="Heading2"/>
      </w:pPr>
      <w:r>
        <w:t>Specifications</w:t>
      </w:r>
    </w:p>
    <w:p w:rsidR="000F2FA4" w:rsidRPr="00E31647" w:rsidRDefault="000F2FA4" w:rsidP="000F2FA4">
      <w:pPr>
        <w:rPr>
          <w:rFonts w:eastAsia="Times New Roman" w:cstheme="minorHAnsi"/>
        </w:rPr>
      </w:pPr>
      <w:r w:rsidRPr="000E6AD1">
        <w:rPr>
          <w:rFonts w:eastAsia="Times New Roman" w:cstheme="minorHAnsi"/>
        </w:rPr>
        <w:t>The following technical and environmental specifications are incorporated in the state's contract(s) and are linked here for informational purposes only.</w:t>
      </w:r>
    </w:p>
    <w:p w:rsidR="000F2FA4" w:rsidRDefault="000F2FA4" w:rsidP="00CC5A28">
      <w:pPr>
        <w:spacing w:after="0" w:line="240" w:lineRule="auto"/>
        <w:rPr>
          <w:rFonts w:eastAsia="Times New Roman" w:cstheme="minorHAnsi"/>
          <w:b/>
          <w:bdr w:val="none" w:sz="0" w:space="0" w:color="auto" w:frame="1"/>
        </w:rPr>
      </w:pPr>
      <w:r w:rsidRPr="00CC5A28">
        <w:rPr>
          <w:rFonts w:eastAsia="Times New Roman" w:cstheme="minorHAnsi"/>
          <w:b/>
          <w:bdr w:val="none" w:sz="0" w:space="0" w:color="auto" w:frame="1"/>
        </w:rPr>
        <w:t>Enterprise Servers: Oracle/HP/IBM</w:t>
      </w:r>
    </w:p>
    <w:p w:rsidR="00CC5A28" w:rsidRPr="00CC5A28" w:rsidRDefault="00653C21" w:rsidP="00CC5A28">
      <w:pPr>
        <w:spacing w:after="0" w:line="240" w:lineRule="auto"/>
        <w:rPr>
          <w:rFonts w:eastAsia="Times New Roman" w:cstheme="minorHAnsi"/>
          <w:b/>
        </w:rPr>
      </w:pPr>
      <w:r>
        <w:rPr>
          <w:rFonts w:eastAsia="Times New Roman" w:cstheme="minorHAnsi"/>
          <w:color w:val="000000" w:themeColor="text1"/>
          <w:bdr w:val="none" w:sz="0" w:space="0" w:color="auto" w:frame="1"/>
        </w:rPr>
        <w:t>“</w:t>
      </w:r>
      <w:r w:rsidR="00CC5A28">
        <w:rPr>
          <w:rFonts w:eastAsia="Times New Roman" w:cstheme="minorHAnsi"/>
          <w:color w:val="000000" w:themeColor="text1"/>
          <w:bdr w:val="none" w:sz="0" w:space="0" w:color="auto" w:frame="1"/>
        </w:rPr>
        <w:t>Copy specification from media library</w:t>
      </w:r>
      <w:r>
        <w:rPr>
          <w:rFonts w:eastAsia="Times New Roman" w:cstheme="minorHAnsi"/>
          <w:color w:val="000000" w:themeColor="text1"/>
          <w:bdr w:val="none" w:sz="0" w:space="0" w:color="auto" w:frame="1"/>
        </w:rPr>
        <w:t>”</w:t>
      </w:r>
    </w:p>
    <w:p w:rsidR="000F2FA4" w:rsidRDefault="000D7027" w:rsidP="00CC5A28">
      <w:pPr>
        <w:spacing w:after="0" w:line="240" w:lineRule="auto"/>
        <w:rPr>
          <w:rFonts w:eastAsia="Times New Roman" w:cstheme="minorHAnsi"/>
          <w:color w:val="000000" w:themeColor="text1"/>
          <w:bdr w:val="none" w:sz="0" w:space="0" w:color="auto" w:frame="1"/>
        </w:rPr>
      </w:pPr>
      <w:r w:rsidRPr="00CC5A28">
        <w:rPr>
          <w:rFonts w:eastAsia="Times New Roman" w:cstheme="minorHAnsi"/>
          <w:color w:val="000000" w:themeColor="text1"/>
          <w:bdr w:val="none" w:sz="0" w:space="0" w:color="auto" w:frame="1"/>
        </w:rPr>
        <w:t>DGS 0911-005 Environmental Specification</w:t>
      </w:r>
    </w:p>
    <w:p w:rsidR="0099614C" w:rsidRPr="00CC5A28" w:rsidRDefault="0099614C" w:rsidP="00CC5A28">
      <w:pPr>
        <w:spacing w:after="0" w:line="240" w:lineRule="auto"/>
        <w:rPr>
          <w:rFonts w:eastAsia="Times New Roman" w:cstheme="minorHAnsi"/>
          <w:color w:val="000000" w:themeColor="text1"/>
        </w:rPr>
      </w:pPr>
    </w:p>
    <w:p w:rsidR="00A208F9" w:rsidRDefault="00A208F9" w:rsidP="00A208F9">
      <w:pPr>
        <w:pStyle w:val="Heading2"/>
      </w:pPr>
      <w:r>
        <w:t>Laws, Regulations and Policy</w:t>
      </w:r>
    </w:p>
    <w:p w:rsidR="008646D2" w:rsidRDefault="008646D2" w:rsidP="008646D2">
      <w:pPr>
        <w:pStyle w:val="Heading3"/>
      </w:pPr>
      <w:r>
        <w:t>Laws</w:t>
      </w:r>
    </w:p>
    <w:p w:rsidR="00482D22" w:rsidRPr="000F2FA4" w:rsidRDefault="00482D22" w:rsidP="008646D2">
      <w:pPr>
        <w:rPr>
          <w:rFonts w:eastAsia="Times New Roman"/>
        </w:rPr>
      </w:pPr>
      <w:r>
        <w:rPr>
          <w:rFonts w:eastAsia="Times New Roman"/>
        </w:rPr>
        <w:t>None</w:t>
      </w:r>
    </w:p>
    <w:p w:rsidR="008646D2" w:rsidRPr="008646D2" w:rsidRDefault="008646D2" w:rsidP="008646D2">
      <w:pPr>
        <w:pStyle w:val="Heading3"/>
      </w:pPr>
      <w:r>
        <w:t>Regulations</w:t>
      </w:r>
    </w:p>
    <w:p w:rsidR="000F2FA4" w:rsidRPr="000F2FA4" w:rsidRDefault="000F2FA4" w:rsidP="000F2FA4">
      <w:pPr>
        <w:rPr>
          <w:rFonts w:eastAsia="Times New Roman"/>
        </w:rPr>
      </w:pPr>
      <w:r w:rsidRPr="000F2FA4">
        <w:rPr>
          <w:rFonts w:eastAsia="Times New Roman"/>
        </w:rPr>
        <w:t>California Code of Regulations, Title 22, Division 4.5, Chapter 23 - Standards for Universal Waste Management</w:t>
      </w:r>
    </w:p>
    <w:p w:rsidR="008646D2" w:rsidRPr="008646D2" w:rsidRDefault="008646D2" w:rsidP="008646D2">
      <w:pPr>
        <w:pStyle w:val="Heading3"/>
      </w:pPr>
      <w:r>
        <w:t>Policy</w:t>
      </w:r>
    </w:p>
    <w:p w:rsidR="00A208F9" w:rsidRPr="008513F1" w:rsidRDefault="000F2FA4" w:rsidP="00A208F9">
      <w:pPr>
        <w:rPr>
          <w:rFonts w:eastAsia="Times New Roman"/>
        </w:rPr>
      </w:pPr>
      <w:r>
        <w:rPr>
          <w:rFonts w:eastAsia="Times New Roman"/>
        </w:rPr>
        <w:t>None</w:t>
      </w:r>
    </w:p>
    <w:p w:rsidR="00A208F9" w:rsidRDefault="00A208F9" w:rsidP="00A208F9">
      <w:pPr>
        <w:pStyle w:val="Heading2"/>
      </w:pPr>
      <w:r>
        <w:t xml:space="preserve">References and Resources  </w:t>
      </w:r>
    </w:p>
    <w:p w:rsidR="003B2898" w:rsidRPr="007B6C53" w:rsidRDefault="002726F5" w:rsidP="002726F5">
      <w:pPr>
        <w:spacing w:after="0" w:line="240" w:lineRule="auto"/>
        <w:rPr>
          <w:rFonts w:eastAsia="Times New Roman"/>
        </w:rPr>
      </w:pPr>
      <w:hyperlink r:id="rId8" w:tgtFrame="_blank" w:history="1">
        <w:r w:rsidR="002E208A" w:rsidRPr="007B6C53">
          <w:rPr>
            <w:rFonts w:eastAsia="Times New Roman"/>
            <w:color w:val="0066EE"/>
            <w:u w:val="single"/>
            <w:bdr w:val="none" w:sz="0" w:space="0" w:color="auto" w:frame="1"/>
          </w:rPr>
          <w:t>E</w:t>
        </w:r>
        <w:r w:rsidR="002E208A">
          <w:rPr>
            <w:rFonts w:eastAsia="Times New Roman"/>
            <w:color w:val="0066EE"/>
            <w:u w:val="single"/>
            <w:bdr w:val="none" w:sz="0" w:space="0" w:color="auto" w:frame="1"/>
          </w:rPr>
          <w:t>NERGY STAR</w:t>
        </w:r>
        <w:r w:rsidR="002E208A" w:rsidRPr="00CC5A28">
          <w:rPr>
            <w:rFonts w:eastAsia="Times New Roman"/>
            <w:color w:val="0066EE"/>
            <w:u w:val="single"/>
            <w:bdr w:val="none" w:sz="0" w:space="0" w:color="auto" w:frame="1"/>
          </w:rPr>
          <w:t>®</w:t>
        </w:r>
        <w:r w:rsidR="002E208A" w:rsidRPr="007B6C53">
          <w:rPr>
            <w:rFonts w:eastAsia="Times New Roman"/>
            <w:color w:val="0066EE"/>
            <w:u w:val="single"/>
            <w:bdr w:val="none" w:sz="0" w:space="0" w:color="auto" w:frame="1"/>
          </w:rPr>
          <w:t> for Enterprise Servers</w:t>
        </w:r>
      </w:hyperlink>
    </w:p>
    <w:p w:rsidR="003B2898" w:rsidRDefault="00D65ED4" w:rsidP="002726F5">
      <w:pPr>
        <w:spacing w:after="0" w:line="240" w:lineRule="auto"/>
        <w:rPr>
          <w:rFonts w:eastAsia="Times New Roman"/>
          <w:color w:val="551A8B"/>
          <w:u w:val="single"/>
          <w:bdr w:val="none" w:sz="0" w:space="0" w:color="auto" w:frame="1"/>
        </w:rPr>
      </w:pPr>
      <w:hyperlink r:id="rId9" w:tgtFrame="_blank" w:history="1">
        <w:r w:rsidR="003B2898" w:rsidRPr="007B6C53">
          <w:rPr>
            <w:rFonts w:eastAsia="Times New Roman"/>
            <w:color w:val="551A8B"/>
            <w:u w:val="single"/>
            <w:bdr w:val="none" w:sz="0" w:space="0" w:color="auto" w:frame="1"/>
          </w:rPr>
          <w:t xml:space="preserve">California </w:t>
        </w:r>
        <w:r w:rsidR="00482D22" w:rsidRPr="007B6C53">
          <w:rPr>
            <w:rFonts w:eastAsia="Times New Roman"/>
            <w:color w:val="551A8B"/>
            <w:u w:val="single"/>
            <w:bdr w:val="none" w:sz="0" w:space="0" w:color="auto" w:frame="1"/>
          </w:rPr>
          <w:t xml:space="preserve">Department of </w:t>
        </w:r>
        <w:r w:rsidR="003B2898" w:rsidRPr="007B6C53">
          <w:rPr>
            <w:rFonts w:eastAsia="Times New Roman"/>
            <w:color w:val="551A8B"/>
            <w:u w:val="single"/>
            <w:bdr w:val="none" w:sz="0" w:space="0" w:color="auto" w:frame="1"/>
          </w:rPr>
          <w:t>Technology IT Policy Letters</w:t>
        </w:r>
      </w:hyperlink>
    </w:p>
    <w:p w:rsidR="00D65ED4" w:rsidRPr="007B6C53" w:rsidRDefault="00D65ED4" w:rsidP="002726F5">
      <w:pPr>
        <w:spacing w:after="0" w:line="240" w:lineRule="auto"/>
        <w:rPr>
          <w:rFonts w:eastAsia="Times New Roman"/>
        </w:rPr>
      </w:pPr>
    </w:p>
    <w:p w:rsidR="00D65ED4" w:rsidRDefault="00D65ED4" w:rsidP="00D65ED4">
      <w:pPr>
        <w:pStyle w:val="Heading2"/>
      </w:pPr>
      <w:r>
        <w:t xml:space="preserve">Buying Tips </w:t>
      </w:r>
    </w:p>
    <w:p w:rsidR="00D65ED4" w:rsidRPr="00800802" w:rsidRDefault="00D65ED4" w:rsidP="00D65ED4">
      <w:pPr>
        <w:rPr>
          <w:rFonts w:cstheme="minorHAnsi"/>
        </w:rPr>
      </w:pPr>
      <w:r w:rsidRPr="00E31647">
        <w:rPr>
          <w:rFonts w:cstheme="minorHAnsi"/>
          <w:shd w:val="clear" w:color="auto" w:fill="FFFFFF"/>
        </w:rPr>
        <w:t xml:space="preserve">Considering performance needs, buy </w:t>
      </w:r>
      <w:r>
        <w:rPr>
          <w:rFonts w:cstheme="minorHAnsi"/>
          <w:shd w:val="clear" w:color="auto" w:fill="FFFFFF"/>
        </w:rPr>
        <w:t>ENERGY STAR</w:t>
      </w:r>
      <w:r w:rsidRPr="00E31647">
        <w:rPr>
          <w:rFonts w:cstheme="minorHAnsi"/>
          <w:shd w:val="clear" w:color="auto" w:fill="FFFFFF"/>
        </w:rPr>
        <w:t xml:space="preserve">® </w:t>
      </w:r>
      <w:r w:rsidRPr="00800802">
        <w:rPr>
          <w:rFonts w:cstheme="minorHAnsi"/>
          <w:shd w:val="clear" w:color="auto" w:fill="FFFFFF"/>
        </w:rPr>
        <w:t>Enterprise Servers. Energy efficiency from the perspective of the whole data center should be considered. Energy Star® has a data center webpage (</w:t>
      </w:r>
      <w:hyperlink r:id="rId10" w:tgtFrame="_blank" w:history="1">
        <w:r>
          <w:rPr>
            <w:rStyle w:val="Hyperlink"/>
            <w:rFonts w:cstheme="minorHAnsi"/>
            <w:color w:val="551A8B"/>
            <w:bdr w:val="none" w:sz="0" w:space="0" w:color="auto" w:frame="1"/>
            <w:shd w:val="clear" w:color="auto" w:fill="FFFFFF"/>
          </w:rPr>
          <w:t>ENERGY STAR</w:t>
        </w:r>
        <w:r w:rsidRPr="00CC5A28">
          <w:rPr>
            <w:rStyle w:val="Hyperlink"/>
            <w:rFonts w:cstheme="minorHAnsi" w:hint="eastAsia"/>
            <w:color w:val="551A8B"/>
            <w:bdr w:val="none" w:sz="0" w:space="0" w:color="auto" w:frame="1"/>
            <w:shd w:val="clear" w:color="auto" w:fill="FFFFFF"/>
          </w:rPr>
          <w:t>®</w:t>
        </w:r>
        <w:r w:rsidRPr="00CC5A28">
          <w:rPr>
            <w:rStyle w:val="apple-converted-space"/>
            <w:rFonts w:cstheme="minorHAnsi"/>
            <w:color w:val="551A8B"/>
            <w:u w:val="single"/>
            <w:bdr w:val="none" w:sz="0" w:space="0" w:color="auto" w:frame="1"/>
            <w:shd w:val="clear" w:color="auto" w:fill="FFFFFF"/>
          </w:rPr>
          <w:t> </w:t>
        </w:r>
        <w:r w:rsidRPr="00CC5A28">
          <w:rPr>
            <w:rStyle w:val="Hyperlink"/>
            <w:rFonts w:cstheme="minorHAnsi"/>
            <w:color w:val="551A8B"/>
            <w:bdr w:val="none" w:sz="0" w:space="0" w:color="auto" w:frame="1"/>
            <w:shd w:val="clear" w:color="auto" w:fill="FFFFFF"/>
          </w:rPr>
          <w:t>Server Efficiency</w:t>
        </w:r>
      </w:hyperlink>
      <w:r w:rsidRPr="000E6AD1">
        <w:rPr>
          <w:rFonts w:cstheme="minorHAnsi"/>
          <w:shd w:val="clear" w:color="auto" w:fill="FFFFFF"/>
        </w:rPr>
        <w:t xml:space="preserve">) for guidance and the California Department of Technology </w:t>
      </w:r>
      <w:r w:rsidRPr="00E31647">
        <w:rPr>
          <w:rFonts w:cstheme="minorHAnsi"/>
          <w:shd w:val="clear" w:color="auto" w:fill="FFFFFF"/>
        </w:rPr>
        <w:t>has various Information Technology Policy Letters that address data centers.</w:t>
      </w:r>
    </w:p>
    <w:p w:rsidR="002D36F1" w:rsidRDefault="002D36F1"/>
    <w:sectPr w:rsidR="002D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039E"/>
    <w:multiLevelType w:val="multilevel"/>
    <w:tmpl w:val="D1729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D5583"/>
    <w:multiLevelType w:val="multilevel"/>
    <w:tmpl w:val="8432E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96A6C"/>
    <w:multiLevelType w:val="multilevel"/>
    <w:tmpl w:val="19B81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16A0C"/>
    <w:multiLevelType w:val="multilevel"/>
    <w:tmpl w:val="2D047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E35E3"/>
    <w:multiLevelType w:val="multilevel"/>
    <w:tmpl w:val="FFC02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F1D14"/>
    <w:multiLevelType w:val="multilevel"/>
    <w:tmpl w:val="80A6C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35A07"/>
    <w:multiLevelType w:val="multilevel"/>
    <w:tmpl w:val="FA2C3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330F8"/>
    <w:multiLevelType w:val="multilevel"/>
    <w:tmpl w:val="CB46F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75E13C4"/>
    <w:multiLevelType w:val="multilevel"/>
    <w:tmpl w:val="0292E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E30E2"/>
    <w:multiLevelType w:val="multilevel"/>
    <w:tmpl w:val="F5AED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97CF9"/>
    <w:multiLevelType w:val="multilevel"/>
    <w:tmpl w:val="5B2AF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A14FD"/>
    <w:multiLevelType w:val="multilevel"/>
    <w:tmpl w:val="E3003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A8474D3"/>
    <w:multiLevelType w:val="multilevel"/>
    <w:tmpl w:val="0BD40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2"/>
  </w:num>
  <w:num w:numId="4">
    <w:abstractNumId w:val="14"/>
  </w:num>
  <w:num w:numId="5">
    <w:abstractNumId w:val="18"/>
  </w:num>
  <w:num w:numId="6">
    <w:abstractNumId w:val="19"/>
  </w:num>
  <w:num w:numId="7">
    <w:abstractNumId w:val="9"/>
  </w:num>
  <w:num w:numId="8">
    <w:abstractNumId w:val="13"/>
  </w:num>
  <w:num w:numId="9">
    <w:abstractNumId w:val="1"/>
  </w:num>
  <w:num w:numId="10">
    <w:abstractNumId w:val="16"/>
  </w:num>
  <w:num w:numId="11">
    <w:abstractNumId w:val="3"/>
  </w:num>
  <w:num w:numId="12">
    <w:abstractNumId w:val="4"/>
  </w:num>
  <w:num w:numId="13">
    <w:abstractNumId w:val="6"/>
  </w:num>
  <w:num w:numId="14">
    <w:abstractNumId w:val="10"/>
  </w:num>
  <w:num w:numId="15">
    <w:abstractNumId w:val="2"/>
  </w:num>
  <w:num w:numId="16">
    <w:abstractNumId w:val="7"/>
  </w:num>
  <w:num w:numId="17">
    <w:abstractNumId w:val="0"/>
  </w:num>
  <w:num w:numId="18">
    <w:abstractNumId w:val="15"/>
  </w:num>
  <w:num w:numId="19">
    <w:abstractNumId w:val="2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024B11"/>
    <w:rsid w:val="000D7027"/>
    <w:rsid w:val="000E6AD1"/>
    <w:rsid w:val="000F2FA4"/>
    <w:rsid w:val="00233DBF"/>
    <w:rsid w:val="002726F5"/>
    <w:rsid w:val="002D36F1"/>
    <w:rsid w:val="002E208A"/>
    <w:rsid w:val="003B2898"/>
    <w:rsid w:val="00432FE5"/>
    <w:rsid w:val="00482D22"/>
    <w:rsid w:val="005846A9"/>
    <w:rsid w:val="00653C21"/>
    <w:rsid w:val="00695F08"/>
    <w:rsid w:val="007B6C53"/>
    <w:rsid w:val="00800802"/>
    <w:rsid w:val="00812D8F"/>
    <w:rsid w:val="008513F1"/>
    <w:rsid w:val="008646D2"/>
    <w:rsid w:val="009275A7"/>
    <w:rsid w:val="00986E94"/>
    <w:rsid w:val="0099614C"/>
    <w:rsid w:val="009D01EF"/>
    <w:rsid w:val="00A04265"/>
    <w:rsid w:val="00A208F9"/>
    <w:rsid w:val="00B264E4"/>
    <w:rsid w:val="00CC5A28"/>
    <w:rsid w:val="00D65ED4"/>
    <w:rsid w:val="00E31647"/>
    <w:rsid w:val="00E4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E66"/>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13F1"/>
  </w:style>
  <w:style w:type="character" w:styleId="Hyperlink">
    <w:name w:val="Hyperlink"/>
    <w:basedOn w:val="DefaultParagraphFont"/>
    <w:uiPriority w:val="99"/>
    <w:unhideWhenUsed/>
    <w:rsid w:val="008513F1"/>
    <w:rPr>
      <w:color w:val="0000FF"/>
      <w:u w:val="single"/>
    </w:rPr>
  </w:style>
  <w:style w:type="character" w:styleId="FollowedHyperlink">
    <w:name w:val="FollowedHyperlink"/>
    <w:basedOn w:val="DefaultParagraphFont"/>
    <w:uiPriority w:val="99"/>
    <w:semiHidden/>
    <w:unhideWhenUsed/>
    <w:rsid w:val="00482D22"/>
    <w:rPr>
      <w:color w:val="954F72" w:themeColor="followedHyperlink"/>
      <w:u w:val="single"/>
    </w:rPr>
  </w:style>
  <w:style w:type="paragraph" w:styleId="BalloonText">
    <w:name w:val="Balloon Text"/>
    <w:basedOn w:val="Normal"/>
    <w:link w:val="BalloonTextChar"/>
    <w:uiPriority w:val="99"/>
    <w:semiHidden/>
    <w:unhideWhenUsed/>
    <w:rsid w:val="000E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059337">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66984700">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234227">
      <w:bodyDiv w:val="1"/>
      <w:marLeft w:val="0"/>
      <w:marRight w:val="0"/>
      <w:marTop w:val="0"/>
      <w:marBottom w:val="0"/>
      <w:divBdr>
        <w:top w:val="none" w:sz="0" w:space="0" w:color="auto"/>
        <w:left w:val="none" w:sz="0" w:space="0" w:color="auto"/>
        <w:bottom w:val="none" w:sz="0" w:space="0" w:color="auto"/>
        <w:right w:val="none" w:sz="0" w:space="0" w:color="auto"/>
      </w:divBdr>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930951">
      <w:bodyDiv w:val="1"/>
      <w:marLeft w:val="0"/>
      <w:marRight w:val="0"/>
      <w:marTop w:val="0"/>
      <w:marBottom w:val="0"/>
      <w:divBdr>
        <w:top w:val="none" w:sz="0" w:space="0" w:color="auto"/>
        <w:left w:val="none" w:sz="0" w:space="0" w:color="auto"/>
        <w:bottom w:val="none" w:sz="0" w:space="0" w:color="auto"/>
        <w:right w:val="none" w:sz="0" w:space="0" w:color="auto"/>
      </w:divBdr>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162447">
      <w:bodyDiv w:val="1"/>
      <w:marLeft w:val="0"/>
      <w:marRight w:val="0"/>
      <w:marTop w:val="0"/>
      <w:marBottom w:val="0"/>
      <w:divBdr>
        <w:top w:val="none" w:sz="0" w:space="0" w:color="auto"/>
        <w:left w:val="none" w:sz="0" w:space="0" w:color="auto"/>
        <w:bottom w:val="none" w:sz="0" w:space="0" w:color="auto"/>
        <w:right w:val="none" w:sz="0" w:space="0" w:color="auto"/>
      </w:divBdr>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313767">
      <w:bodyDiv w:val="1"/>
      <w:marLeft w:val="0"/>
      <w:marRight w:val="0"/>
      <w:marTop w:val="0"/>
      <w:marBottom w:val="0"/>
      <w:divBdr>
        <w:top w:val="none" w:sz="0" w:space="0" w:color="auto"/>
        <w:left w:val="none" w:sz="0" w:space="0" w:color="auto"/>
        <w:bottom w:val="none" w:sz="0" w:space="0" w:color="auto"/>
        <w:right w:val="none" w:sz="0" w:space="0" w:color="auto"/>
      </w:divBdr>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08227">
      <w:bodyDiv w:val="1"/>
      <w:marLeft w:val="0"/>
      <w:marRight w:val="0"/>
      <w:marTop w:val="0"/>
      <w:marBottom w:val="0"/>
      <w:divBdr>
        <w:top w:val="none" w:sz="0" w:space="0" w:color="auto"/>
        <w:left w:val="none" w:sz="0" w:space="0" w:color="auto"/>
        <w:bottom w:val="none" w:sz="0" w:space="0" w:color="auto"/>
        <w:right w:val="none" w:sz="0" w:space="0" w:color="auto"/>
      </w:divBdr>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029311">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069762">
      <w:bodyDiv w:val="1"/>
      <w:marLeft w:val="0"/>
      <w:marRight w:val="0"/>
      <w:marTop w:val="0"/>
      <w:marBottom w:val="0"/>
      <w:divBdr>
        <w:top w:val="none" w:sz="0" w:space="0" w:color="auto"/>
        <w:left w:val="none" w:sz="0" w:space="0" w:color="auto"/>
        <w:bottom w:val="none" w:sz="0" w:space="0" w:color="auto"/>
        <w:right w:val="none" w:sz="0" w:space="0" w:color="auto"/>
      </w:divBdr>
    </w:div>
    <w:div w:id="1820459690">
      <w:bodyDiv w:val="1"/>
      <w:marLeft w:val="0"/>
      <w:marRight w:val="0"/>
      <w:marTop w:val="0"/>
      <w:marBottom w:val="0"/>
      <w:divBdr>
        <w:top w:val="none" w:sz="0" w:space="0" w:color="auto"/>
        <w:left w:val="none" w:sz="0" w:space="0" w:color="auto"/>
        <w:bottom w:val="none" w:sz="0" w:space="0" w:color="auto"/>
        <w:right w:val="none" w:sz="0" w:space="0" w:color="auto"/>
      </w:divBdr>
    </w:div>
    <w:div w:id="1897202418">
      <w:bodyDiv w:val="1"/>
      <w:marLeft w:val="0"/>
      <w:marRight w:val="0"/>
      <w:marTop w:val="0"/>
      <w:marBottom w:val="0"/>
      <w:divBdr>
        <w:top w:val="none" w:sz="0" w:space="0" w:color="auto"/>
        <w:left w:val="none" w:sz="0" w:space="0" w:color="auto"/>
        <w:bottom w:val="none" w:sz="0" w:space="0" w:color="auto"/>
        <w:right w:val="none" w:sz="0" w:space="0" w:color="auto"/>
      </w:divBdr>
    </w:div>
    <w:div w:id="19599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index.cfm?fuseaction=find_a_product.showProductGroup&amp;pgw_code=DC" TargetMode="External"/><Relationship Id="rId3" Type="http://schemas.openxmlformats.org/officeDocument/2006/relationships/settings" Target="settings.xml"/><Relationship Id="rId7" Type="http://schemas.openxmlformats.org/officeDocument/2006/relationships/hyperlink" Target="https://caleprocure.ca.gov/PSRelay/ZZ_PO.ZZ_CTR_SUP_CMP.GBL?Page=ZZ_CTR_SUP_PG&amp;Action=U&amp;SETID=STATE&amp;CNTRCT_ID=1-12-70-17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procure.ca.gov/PSRelay/ZZ_PO.ZZ_CTR_SUP_CMP.GBL?Page=ZZ_CTR_SUP_PG&amp;Action=U&amp;SETID=STATE&amp;CNTRCT_ID=1-12-70-16" TargetMode="External"/><Relationship Id="rId11" Type="http://schemas.openxmlformats.org/officeDocument/2006/relationships/fontTable" Target="fontTable.xml"/><Relationship Id="rId5" Type="http://schemas.openxmlformats.org/officeDocument/2006/relationships/hyperlink" Target="https://caleprocure.ca.gov/PSRelay/ZZ_PO.ZZ_CTR_SUP_CMP.GBL?Page=ZZ_CTR_SUP_PG&amp;Action=U&amp;SETID=STATE&amp;CNTRCT_ID=1-12-70-15B" TargetMode="External"/><Relationship Id="rId10" Type="http://schemas.openxmlformats.org/officeDocument/2006/relationships/hyperlink" Target="http://www.energystar.gov/index.cfm?c=prod_development.server_efficiency" TargetMode="External"/><Relationship Id="rId4" Type="http://schemas.openxmlformats.org/officeDocument/2006/relationships/webSettings" Target="webSettings.xml"/><Relationship Id="rId9" Type="http://schemas.openxmlformats.org/officeDocument/2006/relationships/hyperlink" Target="http://www.cio.ca.gov/Government/IT_Policy/T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21</cp:revision>
  <dcterms:created xsi:type="dcterms:W3CDTF">2018-05-02T22:12:00Z</dcterms:created>
  <dcterms:modified xsi:type="dcterms:W3CDTF">2018-10-09T00:06:00Z</dcterms:modified>
</cp:coreProperties>
</file>