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DD78" w14:textId="77777777" w:rsidR="00432FE5" w:rsidRDefault="00A208F9" w:rsidP="002D36F1">
      <w:pPr>
        <w:pStyle w:val="Title"/>
      </w:pPr>
      <w:r>
        <w:t>building and maintenance</w:t>
      </w:r>
    </w:p>
    <w:p w14:paraId="7AE0EFAD" w14:textId="77777777" w:rsidR="002D36F1" w:rsidRDefault="002D36F1" w:rsidP="002D36F1"/>
    <w:p w14:paraId="2257AAB3" w14:textId="77777777" w:rsidR="002D36F1" w:rsidRDefault="00A208F9" w:rsidP="00B264E4">
      <w:pPr>
        <w:pStyle w:val="Heading1"/>
      </w:pPr>
      <w:r>
        <w:t>Furniture</w:t>
      </w:r>
    </w:p>
    <w:p w14:paraId="183C4968" w14:textId="77777777" w:rsidR="000A25DD" w:rsidRPr="000A25DD" w:rsidRDefault="000A25DD" w:rsidP="000A25DD">
      <w:r>
        <w:t>Insert picture “Furniture”</w:t>
      </w:r>
    </w:p>
    <w:p w14:paraId="5BD8CCFB" w14:textId="75533D63" w:rsidR="00893F8C" w:rsidRPr="009C7961" w:rsidRDefault="006F0A38" w:rsidP="002D36F1">
      <w:pPr>
        <w:rPr>
          <w:lang w:val="en"/>
        </w:rPr>
      </w:pPr>
      <w:r>
        <w:rPr>
          <w:lang w:val="en"/>
        </w:rPr>
        <w:t>T</w:t>
      </w:r>
      <w:r w:rsidR="008646D2" w:rsidRPr="00986E94">
        <w:rPr>
          <w:lang w:val="en"/>
        </w:rPr>
        <w:t xml:space="preserve">he state strives to procure furniture that has a reduced impact on the environment and human health. </w:t>
      </w:r>
      <w:r w:rsidR="00EA751F">
        <w:rPr>
          <w:lang w:val="en"/>
        </w:rPr>
        <w:t>R</w:t>
      </w:r>
      <w:r w:rsidR="00640CB4">
        <w:rPr>
          <w:lang w:val="en"/>
        </w:rPr>
        <w:t xml:space="preserve">estricting </w:t>
      </w:r>
      <w:r w:rsidR="008646D2" w:rsidRPr="00986E94">
        <w:rPr>
          <w:lang w:val="en"/>
        </w:rPr>
        <w:t xml:space="preserve">chemical additives </w:t>
      </w:r>
      <w:r w:rsidR="00640CB4">
        <w:rPr>
          <w:lang w:val="en"/>
        </w:rPr>
        <w:t xml:space="preserve">in furniture </w:t>
      </w:r>
      <w:r w:rsidR="008646D2" w:rsidRPr="00986E94">
        <w:rPr>
          <w:lang w:val="en"/>
        </w:rPr>
        <w:t xml:space="preserve">can </w:t>
      </w:r>
      <w:r w:rsidR="00EA751F">
        <w:rPr>
          <w:lang w:val="en"/>
        </w:rPr>
        <w:t>reduce</w:t>
      </w:r>
      <w:r w:rsidR="008646D2" w:rsidRPr="00986E94">
        <w:rPr>
          <w:lang w:val="en"/>
        </w:rPr>
        <w:t xml:space="preserve"> impact</w:t>
      </w:r>
      <w:r w:rsidR="00EA751F">
        <w:rPr>
          <w:lang w:val="en"/>
        </w:rPr>
        <w:t>s</w:t>
      </w:r>
      <w:r w:rsidR="008646D2" w:rsidRPr="00986E94">
        <w:rPr>
          <w:lang w:val="en"/>
        </w:rPr>
        <w:t xml:space="preserve"> </w:t>
      </w:r>
      <w:r w:rsidR="00EA751F">
        <w:rPr>
          <w:lang w:val="en"/>
        </w:rPr>
        <w:t>t</w:t>
      </w:r>
      <w:r w:rsidR="008646D2" w:rsidRPr="00986E94">
        <w:rPr>
          <w:lang w:val="en"/>
        </w:rPr>
        <w:t>o indoor air quality.</w:t>
      </w:r>
      <w:r w:rsidR="00640CB4">
        <w:rPr>
          <w:lang w:val="en"/>
        </w:rPr>
        <w:t xml:space="preserve"> Furniture made with recycled content promote waste diversion and conservation of natural resources.</w:t>
      </w:r>
      <w:r w:rsidR="008646D2" w:rsidRPr="00986E94">
        <w:rPr>
          <w:lang w:val="en"/>
        </w:rPr>
        <w:t xml:space="preserve"> Furthermore, </w:t>
      </w:r>
      <w:r w:rsidR="00640CB4">
        <w:rPr>
          <w:lang w:val="en"/>
        </w:rPr>
        <w:t>products</w:t>
      </w:r>
      <w:r w:rsidR="00640CB4" w:rsidRPr="00986E94">
        <w:rPr>
          <w:lang w:val="en"/>
        </w:rPr>
        <w:t xml:space="preserve"> </w:t>
      </w:r>
      <w:r w:rsidR="008646D2" w:rsidRPr="00986E94">
        <w:rPr>
          <w:lang w:val="en"/>
        </w:rPr>
        <w:t xml:space="preserve">with third-party environmental certification may help </w:t>
      </w:r>
      <w:r w:rsidR="009F364E">
        <w:rPr>
          <w:lang w:val="en"/>
        </w:rPr>
        <w:t>s</w:t>
      </w:r>
      <w:r w:rsidR="008646D2" w:rsidRPr="00986E94">
        <w:rPr>
          <w:lang w:val="en"/>
        </w:rPr>
        <w:t>tate buildings obtain Leadership in Energy and Environmental Design (LEED) certification.</w:t>
      </w:r>
    </w:p>
    <w:p w14:paraId="273CADD9" w14:textId="77777777" w:rsidR="002D36F1" w:rsidRDefault="00A208F9" w:rsidP="002D36F1">
      <w:pPr>
        <w:pStyle w:val="Heading2"/>
      </w:pPr>
      <w:r>
        <w:t>Green Contracts</w:t>
      </w:r>
    </w:p>
    <w:p w14:paraId="5DE6308D" w14:textId="221B5322" w:rsidR="00A208F9" w:rsidRPr="004314BB" w:rsidRDefault="00A208F9" w:rsidP="00B264E4">
      <w:pPr>
        <w:rPr>
          <w:rFonts w:cstheme="minorHAnsi"/>
          <w:lang w:val="en"/>
        </w:rPr>
      </w:pPr>
      <w:r w:rsidRPr="004314BB">
        <w:rPr>
          <w:rFonts w:cstheme="minorHAnsi"/>
          <w:lang w:val="en"/>
        </w:rPr>
        <w:t xml:space="preserve">Contract Name:  </w:t>
      </w:r>
      <w:hyperlink r:id="rId5" w:history="1">
        <w:r w:rsidRPr="00C93392">
          <w:rPr>
            <w:rStyle w:val="Hyperlink"/>
            <w:rFonts w:cstheme="minorHAnsi"/>
            <w:lang w:val="en"/>
          </w:rPr>
          <w:t>Modular Systems Furniture</w:t>
        </w:r>
      </w:hyperlink>
      <w:r w:rsidRPr="004314BB">
        <w:rPr>
          <w:rFonts w:cstheme="minorHAnsi"/>
          <w:lang w:val="en"/>
        </w:rPr>
        <w:br/>
        <w:t xml:space="preserve">Contract ID/Number:  </w:t>
      </w:r>
      <w:r w:rsidRPr="009C7961">
        <w:rPr>
          <w:rStyle w:val="Strong"/>
          <w:rFonts w:cstheme="minorHAnsi"/>
          <w:color w:val="444444"/>
          <w:lang w:val="en"/>
        </w:rPr>
        <w:t xml:space="preserve">1-16-71-52 </w:t>
      </w:r>
    </w:p>
    <w:p w14:paraId="7FE2F34E" w14:textId="77777777" w:rsidR="00A208F9" w:rsidRDefault="00A208F9" w:rsidP="00B264E4">
      <w:pPr>
        <w:pStyle w:val="Heading2"/>
      </w:pPr>
      <w:r>
        <w:t>Specifications</w:t>
      </w:r>
    </w:p>
    <w:p w14:paraId="409CEEB2" w14:textId="77777777" w:rsidR="00A208F9" w:rsidRPr="009C7961" w:rsidRDefault="00A208F9" w:rsidP="00A639E4">
      <w:pPr>
        <w:pStyle w:val="NormalWeb"/>
        <w:shd w:val="clear" w:color="auto" w:fill="FFFFFF"/>
        <w:spacing w:after="0"/>
        <w:rPr>
          <w:rStyle w:val="Strong"/>
          <w:rFonts w:asciiTheme="minorHAnsi" w:hAnsiTheme="minorHAnsi" w:cstheme="minorHAnsi"/>
          <w:color w:val="444444"/>
          <w:sz w:val="22"/>
          <w:szCs w:val="22"/>
          <w:lang w:val="en"/>
        </w:rPr>
      </w:pPr>
      <w:r w:rsidRPr="009C7961">
        <w:rPr>
          <w:rStyle w:val="Strong"/>
          <w:rFonts w:asciiTheme="minorHAnsi" w:hAnsiTheme="minorHAnsi" w:cstheme="minorHAnsi"/>
          <w:color w:val="444444"/>
          <w:sz w:val="22"/>
          <w:szCs w:val="22"/>
          <w:lang w:val="en"/>
        </w:rPr>
        <w:t>Modular Systems Furniture</w:t>
      </w:r>
    </w:p>
    <w:p w14:paraId="24044A85" w14:textId="77777777" w:rsidR="00A639E4" w:rsidRDefault="00A639E4" w:rsidP="00A639E4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14:paraId="5F7E0A23" w14:textId="4E821ED9" w:rsidR="004D4830" w:rsidRDefault="000A25DD" w:rsidP="00A639E4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  <w:r w:rsidRPr="00C82E85">
        <w:rPr>
          <w:rFonts w:eastAsia="Times New Roman" w:cstheme="minorHAnsi"/>
          <w:color w:val="000000" w:themeColor="text1"/>
          <w:bdr w:val="none" w:sz="0" w:space="0" w:color="auto" w:frame="1"/>
        </w:rPr>
        <w:t>DGS 7110-3045 REV. 6 Engineering &amp; Environmental Specification</w:t>
      </w:r>
    </w:p>
    <w:p w14:paraId="70E652C1" w14:textId="77777777" w:rsidR="00A639E4" w:rsidRPr="00C82E85" w:rsidRDefault="00A639E4" w:rsidP="00A639E4">
      <w:pPr>
        <w:spacing w:after="0" w:line="240" w:lineRule="auto"/>
        <w:rPr>
          <w:rFonts w:eastAsia="Times New Roman" w:cstheme="minorHAnsi"/>
          <w:color w:val="000000" w:themeColor="text1"/>
          <w:bdr w:val="none" w:sz="0" w:space="0" w:color="auto" w:frame="1"/>
        </w:rPr>
      </w:pPr>
    </w:p>
    <w:p w14:paraId="56F3CC33" w14:textId="77777777" w:rsidR="00A208F9" w:rsidRDefault="00A208F9" w:rsidP="00A208F9">
      <w:pPr>
        <w:pStyle w:val="Heading2"/>
      </w:pPr>
      <w:r>
        <w:t>DGS Purchasing Standards</w:t>
      </w:r>
    </w:p>
    <w:p w14:paraId="61ED96FE" w14:textId="062798D3" w:rsidR="008646D2" w:rsidRPr="0002289E" w:rsidRDefault="008646D2" w:rsidP="00B264E4">
      <w:pPr>
        <w:rPr>
          <w:rFonts w:eastAsia="Times New Roman" w:cstheme="minorHAnsi"/>
          <w:lang w:val="en"/>
        </w:rPr>
      </w:pPr>
      <w:r w:rsidRPr="004314BB">
        <w:rPr>
          <w:rFonts w:eastAsia="Times New Roman" w:cstheme="minorHAnsi"/>
          <w:lang w:val="en"/>
        </w:rPr>
        <w:t xml:space="preserve">DGS </w:t>
      </w:r>
      <w:r w:rsidR="004314BB">
        <w:rPr>
          <w:rFonts w:eastAsia="Times New Roman" w:cstheme="minorHAnsi"/>
          <w:lang w:val="en"/>
        </w:rPr>
        <w:t>p</w:t>
      </w:r>
      <w:r w:rsidRPr="004314BB">
        <w:rPr>
          <w:rFonts w:eastAsia="Times New Roman" w:cstheme="minorHAnsi"/>
          <w:lang w:val="en"/>
        </w:rPr>
        <w:t xml:space="preserve">urchasing </w:t>
      </w:r>
      <w:r w:rsidR="004314BB">
        <w:rPr>
          <w:rFonts w:eastAsia="Times New Roman" w:cstheme="minorHAnsi"/>
          <w:lang w:val="en"/>
        </w:rPr>
        <w:t>s</w:t>
      </w:r>
      <w:r w:rsidRPr="004314BB">
        <w:rPr>
          <w:rFonts w:eastAsia="Times New Roman" w:cstheme="minorHAnsi"/>
          <w:lang w:val="en"/>
        </w:rPr>
        <w:t xml:space="preserve">tandards provide the minimum criteria purchases must meet to be considered </w:t>
      </w:r>
      <w:r w:rsidR="0002289E">
        <w:rPr>
          <w:rFonts w:eastAsia="Times New Roman" w:cstheme="minorHAnsi"/>
          <w:lang w:val="en"/>
        </w:rPr>
        <w:t>e</w:t>
      </w:r>
      <w:r w:rsidRPr="004314BB">
        <w:rPr>
          <w:rFonts w:eastAsia="Times New Roman" w:cstheme="minorHAnsi"/>
          <w:lang w:val="en"/>
        </w:rPr>
        <w:t xml:space="preserve">nvironmentally </w:t>
      </w:r>
      <w:r w:rsidR="00A639E4">
        <w:rPr>
          <w:rFonts w:eastAsia="Times New Roman" w:cstheme="minorHAnsi"/>
          <w:lang w:val="en"/>
        </w:rPr>
        <w:t>p</w:t>
      </w:r>
      <w:r w:rsidR="00A639E4" w:rsidRPr="004314BB">
        <w:rPr>
          <w:rFonts w:eastAsia="Times New Roman" w:cstheme="minorHAnsi"/>
          <w:lang w:val="en"/>
        </w:rPr>
        <w:t>referable,</w:t>
      </w:r>
      <w:r w:rsidRPr="004314BB">
        <w:rPr>
          <w:rFonts w:eastAsia="Times New Roman" w:cstheme="minorHAnsi"/>
          <w:lang w:val="en"/>
        </w:rPr>
        <w:t xml:space="preserve"> aka “green” by the </w:t>
      </w:r>
      <w:r w:rsidR="0002289E">
        <w:rPr>
          <w:rFonts w:eastAsia="Times New Roman" w:cstheme="minorHAnsi"/>
          <w:lang w:val="en"/>
        </w:rPr>
        <w:t>s</w:t>
      </w:r>
      <w:r w:rsidRPr="004314BB">
        <w:rPr>
          <w:rFonts w:eastAsia="Times New Roman" w:cstheme="minorHAnsi"/>
          <w:lang w:val="en"/>
        </w:rPr>
        <w:t>tate of California. They establish a mechanism for incorporating performance and environmental requirements that meet the state’s environmentally preferable goals into procurement and policy.</w:t>
      </w:r>
      <w:r w:rsidR="00016F3E" w:rsidRPr="00674B81">
        <w:rPr>
          <w:rFonts w:eastAsia="Times New Roman" w:cstheme="minorHAnsi"/>
          <w:lang w:val="en"/>
        </w:rPr>
        <w:t xml:space="preserve"> The </w:t>
      </w:r>
      <w:r w:rsidR="00016F3E" w:rsidRPr="009F364E">
        <w:rPr>
          <w:rFonts w:eastAsia="Times New Roman" w:cstheme="minorHAnsi"/>
          <w:lang w:val="en"/>
        </w:rPr>
        <w:t>following purchasing standard contains EPP criteria for seating.</w:t>
      </w:r>
    </w:p>
    <w:p w14:paraId="441B8999" w14:textId="3446E954" w:rsidR="008646D2" w:rsidRPr="0002289E" w:rsidRDefault="007360CD" w:rsidP="00B264E4">
      <w:pPr>
        <w:rPr>
          <w:rFonts w:eastAsia="Times New Roman" w:cstheme="minorHAnsi"/>
          <w:lang w:val="en"/>
        </w:rPr>
      </w:pPr>
      <w:hyperlink r:id="rId6" w:tgtFrame="_blank" w:history="1">
        <w:r w:rsidR="008646D2" w:rsidRPr="009C7961">
          <w:rPr>
            <w:rFonts w:eastAsia="Times New Roman" w:cstheme="minorHAnsi"/>
            <w:color w:val="1F70A7"/>
            <w:u w:val="single"/>
            <w:lang w:val="en"/>
          </w:rPr>
          <w:t>DGS Purchasing Standard 56112100 Seating</w:t>
        </w:r>
      </w:hyperlink>
    </w:p>
    <w:p w14:paraId="4CE54BD6" w14:textId="195E95A8" w:rsidR="004D4830" w:rsidRDefault="00016F3E" w:rsidP="00A208F9">
      <w:pPr>
        <w:rPr>
          <w:rStyle w:val="Hyperlink"/>
          <w:rFonts w:cstheme="minorHAnsi"/>
        </w:rPr>
      </w:pPr>
      <w:r w:rsidRPr="004314BB">
        <w:rPr>
          <w:rFonts w:cstheme="minorHAnsi"/>
        </w:rPr>
        <w:t xml:space="preserve">Visit the </w:t>
      </w:r>
      <w:hyperlink r:id="rId7" w:tgtFrame="_blank" w:history="1">
        <w:r w:rsidR="008646D2" w:rsidRPr="009C7961">
          <w:rPr>
            <w:rStyle w:val="Hyperlink"/>
            <w:rFonts w:cstheme="minorHAnsi"/>
          </w:rPr>
          <w:t>California Prison Industry Authority Catalog</w:t>
        </w:r>
        <w:r w:rsidRPr="009C7961">
          <w:rPr>
            <w:rStyle w:val="Hyperlink"/>
            <w:rFonts w:cstheme="minorHAnsi"/>
          </w:rPr>
          <w:t xml:space="preserve"> to purchase modular </w:t>
        </w:r>
        <w:r w:rsidR="004917C6" w:rsidRPr="009C7961">
          <w:rPr>
            <w:rStyle w:val="Hyperlink"/>
            <w:rFonts w:cstheme="minorHAnsi"/>
          </w:rPr>
          <w:t>system</w:t>
        </w:r>
        <w:r w:rsidRPr="009C7961">
          <w:rPr>
            <w:rStyle w:val="Hyperlink"/>
            <w:rFonts w:cstheme="minorHAnsi"/>
          </w:rPr>
          <w:t xml:space="preserve"> furniture.</w:t>
        </w:r>
      </w:hyperlink>
    </w:p>
    <w:p w14:paraId="00D6F05E" w14:textId="77777777" w:rsidR="007360CD" w:rsidRDefault="007360CD" w:rsidP="007360CD">
      <w:pPr>
        <w:pStyle w:val="Heading2"/>
      </w:pPr>
      <w:r>
        <w:t>Laws, Regulations and Policy</w:t>
      </w:r>
    </w:p>
    <w:p w14:paraId="50D00769" w14:textId="77777777" w:rsidR="007360CD" w:rsidRDefault="007360CD" w:rsidP="007360CD">
      <w:pPr>
        <w:pStyle w:val="Heading3"/>
      </w:pPr>
      <w:r>
        <w:t>Laws</w:t>
      </w:r>
    </w:p>
    <w:p w14:paraId="57B92900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Business and Professions Code Sections 19000 - 19221 Home Furnishings</w:t>
      </w:r>
    </w:p>
    <w:p w14:paraId="7566D2D8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Health and Safety Code Sections 44300 - 44394 - Air Toxics Hot Spots Information and Assessment Act </w:t>
      </w:r>
    </w:p>
    <w:p w14:paraId="04B38D40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Health and Safety Code Section 108920 - </w:t>
      </w:r>
      <w:proofErr w:type="spellStart"/>
      <w:r w:rsidRPr="008646D2">
        <w:rPr>
          <w:rFonts w:eastAsia="Times New Roman"/>
          <w:lang w:val="en"/>
        </w:rPr>
        <w:t>Polybrominated</w:t>
      </w:r>
      <w:proofErr w:type="spellEnd"/>
      <w:r w:rsidRPr="008646D2">
        <w:rPr>
          <w:rFonts w:eastAsia="Times New Roman"/>
          <w:lang w:val="en"/>
        </w:rPr>
        <w:t xml:space="preserve"> Diphenyl Ethers Requirements </w:t>
      </w:r>
    </w:p>
    <w:p w14:paraId="773E8F90" w14:textId="77777777" w:rsidR="007360CD" w:rsidRDefault="007360CD" w:rsidP="007360CD">
      <w:pPr>
        <w:spacing w:after="0" w:line="240" w:lineRule="auto"/>
      </w:pPr>
      <w:r w:rsidRPr="008646D2">
        <w:rPr>
          <w:rFonts w:eastAsia="Times New Roman"/>
          <w:lang w:val="en"/>
        </w:rPr>
        <w:t>Public Contract Code Sections 12200 - 12217 - State Agency Buy Recycle</w:t>
      </w:r>
      <w:r>
        <w:rPr>
          <w:rFonts w:eastAsia="Times New Roman"/>
          <w:lang w:val="en"/>
        </w:rPr>
        <w:t>d</w:t>
      </w:r>
      <w:r w:rsidRPr="008646D2">
        <w:rPr>
          <w:rFonts w:eastAsia="Times New Roman"/>
          <w:lang w:val="en"/>
        </w:rPr>
        <w:t xml:space="preserve"> Campaign </w:t>
      </w:r>
    </w:p>
    <w:p w14:paraId="361673CF" w14:textId="77777777" w:rsidR="007360CD" w:rsidRPr="008646D2" w:rsidRDefault="007360CD" w:rsidP="007360CD">
      <w:pPr>
        <w:pStyle w:val="Heading3"/>
      </w:pPr>
      <w:r>
        <w:t>Regulations</w:t>
      </w:r>
    </w:p>
    <w:p w14:paraId="1665A6A4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California Code of Regulations, Title 4, Section 1374 - Flammability; Upholstered and Reupholstered Furniture</w:t>
      </w:r>
    </w:p>
    <w:p w14:paraId="54B69E45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California Code of Regulations, Title 17, Sections 93120-93120.12 - Air Toxic Control Measure to Reduce Formaldehyde Emission from Composite Wood Products  </w:t>
      </w:r>
    </w:p>
    <w:p w14:paraId="7CE29BD9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lastRenderedPageBreak/>
        <w:t>California Code of Regulations, Title 20, Sections 1601-1608 - Appliance Efficiency Regulations</w:t>
      </w:r>
    </w:p>
    <w:p w14:paraId="1C81CB6C" w14:textId="77777777" w:rsidR="007360CD" w:rsidRPr="008646D2" w:rsidRDefault="007360CD" w:rsidP="007360CD">
      <w:pPr>
        <w:pStyle w:val="Heading3"/>
      </w:pPr>
      <w:r>
        <w:t>Policy</w:t>
      </w:r>
    </w:p>
    <w:p w14:paraId="3A659DD1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Executive Order B-18-12 - Governor's Green Buildings Initiative</w:t>
      </w:r>
    </w:p>
    <w:p w14:paraId="67641B83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Management Memo 11-01 - Cost-Effective Reuse of Surplus Furniture </w:t>
      </w:r>
    </w:p>
    <w:p w14:paraId="06806076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Management Memo 14-05 - Indoor Environmental Quality: New, Renovated, and Existing Buildings </w:t>
      </w:r>
    </w:p>
    <w:p w14:paraId="0601499D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Management Memo 14-07 - Standard Operating Procedures </w:t>
      </w:r>
      <w:r>
        <w:rPr>
          <w:rFonts w:eastAsia="Times New Roman"/>
          <w:lang w:val="en"/>
        </w:rPr>
        <w:t>f</w:t>
      </w:r>
      <w:r w:rsidRPr="008646D2">
        <w:rPr>
          <w:rFonts w:eastAsia="Times New Roman"/>
          <w:lang w:val="en"/>
        </w:rPr>
        <w:t xml:space="preserve">or Energy Management </w:t>
      </w:r>
      <w:proofErr w:type="gramStart"/>
      <w:r w:rsidRPr="008646D2">
        <w:rPr>
          <w:rFonts w:eastAsia="Times New Roman"/>
          <w:lang w:val="en"/>
        </w:rPr>
        <w:t>In</w:t>
      </w:r>
      <w:proofErr w:type="gramEnd"/>
      <w:r w:rsidRPr="008646D2">
        <w:rPr>
          <w:rFonts w:eastAsia="Times New Roman"/>
          <w:lang w:val="en"/>
        </w:rPr>
        <w:t xml:space="preserve"> State Buildings </w:t>
      </w:r>
    </w:p>
    <w:p w14:paraId="7A71CF18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Management Memo 15-05 - Policy and Procedures for Acquiring Modular Systems Furniture</w:t>
      </w:r>
    </w:p>
    <w:p w14:paraId="7B22BB5C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State Administrative Manual 1321.17 - Modular Systems Furniture </w:t>
      </w:r>
    </w:p>
    <w:p w14:paraId="7E7AAB22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State Administrative Manual 3505, 3672 - Prison Industry Authority </w:t>
      </w:r>
    </w:p>
    <w:p w14:paraId="43043B27" w14:textId="77777777" w:rsidR="007360CD" w:rsidRPr="000A25D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State Administrative Manual 3520 - Disposal of Surplus Personal Property</w:t>
      </w:r>
    </w:p>
    <w:p w14:paraId="5C9FFDC2" w14:textId="77777777" w:rsidR="007360CD" w:rsidRDefault="007360CD" w:rsidP="00A208F9">
      <w:pPr>
        <w:rPr>
          <w:rStyle w:val="Hyperlink"/>
          <w:rFonts w:cstheme="minorHAnsi"/>
        </w:rPr>
      </w:pPr>
      <w:bookmarkStart w:id="0" w:name="_GoBack"/>
      <w:bookmarkEnd w:id="0"/>
    </w:p>
    <w:p w14:paraId="03DA5DB0" w14:textId="77777777" w:rsidR="007360CD" w:rsidRDefault="007360CD" w:rsidP="007360CD">
      <w:pPr>
        <w:pStyle w:val="Heading2"/>
      </w:pPr>
      <w:r>
        <w:t xml:space="preserve">Certifications and Standards </w:t>
      </w:r>
    </w:p>
    <w:p w14:paraId="6B48CF26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American National Standard Institute / Business &amp; Institutional Furniture Manufacturers Association (ANSI/BIFMA) e3-2014e – Furniture Sustainability Standard</w:t>
      </w:r>
    </w:p>
    <w:p w14:paraId="633FD712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ANSI/BIFMA X7.1 - Standard for Formaldehyde and VOC Emissions of Low-emitting Office Furniture and Seating</w:t>
      </w:r>
    </w:p>
    <w:p w14:paraId="232AA788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Business Institutional Furniture Manufacturers Association (BIFMA) level® certification</w:t>
      </w:r>
    </w:p>
    <w:p w14:paraId="3669C5A7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 xml:space="preserve">California Department of Public Health / Environmental Health Laboratory Branch Standard Method for the Testing and Evaluation of Volatile Organic Chemical Emissions from Indoor Sources Using Environmental Chambers Version 1.1 (CDPH/EHLB Standard Method V1.1 – 2010) </w:t>
      </w:r>
    </w:p>
    <w:p w14:paraId="12D068D2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Forest Stewardship Council</w:t>
      </w:r>
      <w:r>
        <w:rPr>
          <w:rFonts w:eastAsia="Times New Roman"/>
          <w:lang w:val="en"/>
        </w:rPr>
        <w:t xml:space="preserve"> (FSC)</w:t>
      </w:r>
      <w:r w:rsidRPr="009C7961">
        <w:rPr>
          <w:rFonts w:eastAsia="Times New Roman"/>
          <w:lang w:val="en"/>
        </w:rPr>
        <w:t>®</w:t>
      </w:r>
      <w:r w:rsidRPr="00DC779D">
        <w:rPr>
          <w:rFonts w:eastAsia="Times New Roman"/>
          <w:lang w:val="en"/>
        </w:rPr>
        <w:t xml:space="preserve"> </w:t>
      </w:r>
    </w:p>
    <w:p w14:paraId="6051E8E6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GREENGUARD Gold</w:t>
      </w:r>
    </w:p>
    <w:p w14:paraId="4160AAA1" w14:textId="77777777" w:rsidR="007360CD" w:rsidRPr="00DC779D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DC779D">
        <w:rPr>
          <w:rFonts w:eastAsia="Times New Roman"/>
          <w:lang w:val="en"/>
        </w:rPr>
        <w:t>SCS Indoor Advantage™ Gold</w:t>
      </w:r>
    </w:p>
    <w:p w14:paraId="4934A63D" w14:textId="77777777" w:rsidR="007360CD" w:rsidRPr="009C7961" w:rsidRDefault="007360CD" w:rsidP="00A208F9">
      <w:pPr>
        <w:rPr>
          <w:rFonts w:eastAsia="Times New Roman" w:cstheme="minorHAnsi"/>
          <w:color w:val="1F70A7"/>
          <w:u w:val="single"/>
          <w:lang w:val="en"/>
        </w:rPr>
      </w:pPr>
    </w:p>
    <w:p w14:paraId="139B2364" w14:textId="77777777" w:rsidR="00A208F9" w:rsidRDefault="00A208F9" w:rsidP="00A208F9">
      <w:pPr>
        <w:pStyle w:val="Heading2"/>
      </w:pPr>
      <w:r>
        <w:t xml:space="preserve">References and Resources  </w:t>
      </w:r>
    </w:p>
    <w:p w14:paraId="41A97437" w14:textId="256A6396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8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>(ANSI/BIFMA)</w:t>
        </w:r>
      </w:hyperlink>
    </w:p>
    <w:p w14:paraId="1CDC475C" w14:textId="77777777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9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>California Air Resources Board Composite Wood Products ACTM</w:t>
        </w:r>
      </w:hyperlink>
      <w:r w:rsidR="008646D2" w:rsidRPr="00C93392">
        <w:rPr>
          <w:rFonts w:eastAsia="Times New Roman"/>
          <w:color w:val="4472C4" w:themeColor="accent5"/>
          <w:u w:val="single"/>
          <w:lang w:val="en"/>
        </w:rPr>
        <w:t xml:space="preserve"> </w:t>
      </w:r>
    </w:p>
    <w:p w14:paraId="49AA650B" w14:textId="77777777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10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>California Bureau of Electronic and Appliance Repair, Home Furnishings and Thermal Insulation’s (BEARHFTI) Technical Bulletin (TB) 117-2013 Requirements, Test Procedure and Apparatus for Testing the Smolder Resistance of Materials Used in Upholstered Furniture</w:t>
        </w:r>
      </w:hyperlink>
    </w:p>
    <w:p w14:paraId="28F341EC" w14:textId="0D96B99E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11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>California BEARHFTI TB</w:t>
        </w:r>
        <w:r w:rsidR="0002289E" w:rsidRPr="00C93392">
          <w:rPr>
            <w:rFonts w:eastAsia="Times New Roman"/>
            <w:color w:val="4472C4" w:themeColor="accent5"/>
            <w:u w:val="single"/>
            <w:lang w:val="en"/>
          </w:rPr>
          <w:t xml:space="preserve"> </w:t>
        </w:r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>133 - Flammability Test Procedure for Seating Furniture for Use in Public Occupancies</w:t>
        </w:r>
      </w:hyperlink>
    </w:p>
    <w:p w14:paraId="1734B5EE" w14:textId="2D0062EF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12" w:tgtFrame="_blank" w:history="1">
        <w:r w:rsidR="00A3145E" w:rsidRPr="00C93392">
          <w:rPr>
            <w:rFonts w:eastAsia="Times New Roman"/>
            <w:color w:val="4472C4" w:themeColor="accent5"/>
            <w:u w:val="single"/>
            <w:lang w:val="en"/>
          </w:rPr>
          <w:t>FSC</w:t>
        </w:r>
      </w:hyperlink>
    </w:p>
    <w:p w14:paraId="5C3431F8" w14:textId="02E03A67" w:rsidR="008646D2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13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 xml:space="preserve">International Organization for Standardization </w:t>
        </w:r>
      </w:hyperlink>
      <w:r w:rsidR="008646D2" w:rsidRPr="00C93392">
        <w:rPr>
          <w:rFonts w:eastAsia="Times New Roman"/>
          <w:color w:val="4472C4" w:themeColor="accent5"/>
          <w:u w:val="single"/>
          <w:lang w:val="en"/>
        </w:rPr>
        <w:t xml:space="preserve"> </w:t>
      </w:r>
    </w:p>
    <w:p w14:paraId="596DCE02" w14:textId="465485DE" w:rsidR="008646D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  <w:hyperlink r:id="rId14" w:tgtFrame="_blank" w:history="1">
        <w:r w:rsidR="008646D2" w:rsidRPr="00C93392">
          <w:rPr>
            <w:rFonts w:eastAsia="Times New Roman"/>
            <w:color w:val="4472C4" w:themeColor="accent5"/>
            <w:u w:val="single"/>
            <w:lang w:val="en"/>
          </w:rPr>
          <w:t xml:space="preserve">State Agency Buy Recycled Campaign </w:t>
        </w:r>
      </w:hyperlink>
    </w:p>
    <w:p w14:paraId="33A064EC" w14:textId="77777777" w:rsidR="007360CD" w:rsidRPr="00C93392" w:rsidRDefault="007360CD" w:rsidP="00A639E4">
      <w:pPr>
        <w:spacing w:after="0" w:line="240" w:lineRule="auto"/>
        <w:rPr>
          <w:rFonts w:eastAsia="Times New Roman"/>
          <w:color w:val="4472C4" w:themeColor="accent5"/>
          <w:u w:val="single"/>
          <w:lang w:val="en"/>
        </w:rPr>
      </w:pPr>
    </w:p>
    <w:p w14:paraId="3CE591C8" w14:textId="77777777" w:rsidR="007360CD" w:rsidRDefault="007360CD" w:rsidP="007360CD">
      <w:pPr>
        <w:pStyle w:val="Heading2"/>
      </w:pPr>
      <w:r>
        <w:t xml:space="preserve">Buying Tips </w:t>
      </w:r>
    </w:p>
    <w:p w14:paraId="4E167335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Consider products that are certified to BIFMA level®, GREENGUARD Gold, or SCS Indoor Advantage</w:t>
      </w:r>
      <w:r w:rsidRPr="00DC779D">
        <w:rPr>
          <w:rFonts w:eastAsia="Times New Roman"/>
          <w:lang w:val="en"/>
        </w:rPr>
        <w:t>™</w:t>
      </w:r>
      <w:r w:rsidRPr="008646D2">
        <w:rPr>
          <w:rFonts w:eastAsia="Times New Roman"/>
          <w:lang w:val="en"/>
        </w:rPr>
        <w:t xml:space="preserve"> Gold, especially when the products will be used in a LEED certified building. </w:t>
      </w:r>
    </w:p>
    <w:p w14:paraId="4E4E9204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When purchasing certified products, ask for the certification(s) and verify the information. </w:t>
      </w:r>
    </w:p>
    <w:p w14:paraId="37449485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 xml:space="preserve">Look for LED desk lights and include occupancy sensors when feasible. </w:t>
      </w:r>
    </w:p>
    <w:p w14:paraId="5D028FD3" w14:textId="77777777" w:rsidR="007360CD" w:rsidRPr="008646D2" w:rsidRDefault="007360CD" w:rsidP="007360CD">
      <w:pPr>
        <w:spacing w:after="0" w:line="240" w:lineRule="auto"/>
        <w:rPr>
          <w:rFonts w:eastAsia="Times New Roman"/>
          <w:lang w:val="en"/>
        </w:rPr>
      </w:pPr>
      <w:r w:rsidRPr="008646D2">
        <w:rPr>
          <w:rFonts w:eastAsia="Times New Roman"/>
          <w:lang w:val="en"/>
        </w:rPr>
        <w:t>Consider wood products that are</w:t>
      </w:r>
      <w:r>
        <w:rPr>
          <w:rFonts w:eastAsia="Times New Roman"/>
          <w:lang w:val="en"/>
        </w:rPr>
        <w:t xml:space="preserve"> </w:t>
      </w:r>
      <w:r w:rsidRPr="008646D2">
        <w:rPr>
          <w:rFonts w:eastAsia="Times New Roman"/>
          <w:lang w:val="en"/>
        </w:rPr>
        <w:t>FSC</w:t>
      </w:r>
      <w:r w:rsidRPr="00F47EB4">
        <w:rPr>
          <w:rFonts w:eastAsia="Times New Roman"/>
          <w:lang w:val="en"/>
        </w:rPr>
        <w:t>®</w:t>
      </w:r>
      <w:r w:rsidRPr="008646D2">
        <w:rPr>
          <w:rFonts w:eastAsia="Times New Roman"/>
          <w:lang w:val="en"/>
        </w:rPr>
        <w:t xml:space="preserve"> certified.</w:t>
      </w:r>
    </w:p>
    <w:p w14:paraId="6485178A" w14:textId="77777777"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46BA4"/>
    <w:multiLevelType w:val="multilevel"/>
    <w:tmpl w:val="91DC3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016F3E"/>
    <w:rsid w:val="0002289E"/>
    <w:rsid w:val="000A25DD"/>
    <w:rsid w:val="001564AD"/>
    <w:rsid w:val="00216DFF"/>
    <w:rsid w:val="002D36F1"/>
    <w:rsid w:val="003407BF"/>
    <w:rsid w:val="004158AF"/>
    <w:rsid w:val="004249A6"/>
    <w:rsid w:val="004314BB"/>
    <w:rsid w:val="00432FE5"/>
    <w:rsid w:val="004917C6"/>
    <w:rsid w:val="004D4830"/>
    <w:rsid w:val="00566FD6"/>
    <w:rsid w:val="00640CB4"/>
    <w:rsid w:val="00674B81"/>
    <w:rsid w:val="006E7D00"/>
    <w:rsid w:val="006F0A38"/>
    <w:rsid w:val="007360CD"/>
    <w:rsid w:val="007E1F28"/>
    <w:rsid w:val="007F53C8"/>
    <w:rsid w:val="008646D2"/>
    <w:rsid w:val="00893F8C"/>
    <w:rsid w:val="00986E94"/>
    <w:rsid w:val="009C7961"/>
    <w:rsid w:val="009D01EF"/>
    <w:rsid w:val="009F364E"/>
    <w:rsid w:val="00A208F9"/>
    <w:rsid w:val="00A3145E"/>
    <w:rsid w:val="00A639E4"/>
    <w:rsid w:val="00B264E4"/>
    <w:rsid w:val="00C82E85"/>
    <w:rsid w:val="00C93392"/>
    <w:rsid w:val="00DC779D"/>
    <w:rsid w:val="00EA751F"/>
    <w:rsid w:val="00E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0598F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5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5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6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1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fma.org/?page=standardsoverview" TargetMode="External"/><Relationship Id="rId13" Type="http://schemas.openxmlformats.org/officeDocument/2006/relationships/hyperlink" Target="http://www.iso.org/iso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calpia.ca.gov/" TargetMode="External"/><Relationship Id="rId12" Type="http://schemas.openxmlformats.org/officeDocument/2006/relationships/hyperlink" Target="https://us.fsc.org/en-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ocuments.dgs.ca.gov/pd/engineering/purchasingstandards/20170605_Seating_PurStnd_FINAL.pdf" TargetMode="External"/><Relationship Id="rId11" Type="http://schemas.openxmlformats.org/officeDocument/2006/relationships/hyperlink" Target="http://www.bearhfti.ca.gov/industry/tb133.pdf" TargetMode="External"/><Relationship Id="rId5" Type="http://schemas.openxmlformats.org/officeDocument/2006/relationships/hyperlink" Target="https://caleprocure.ca.gov/PSRelay/ZZ_PO.ZZ_CTR_SUP_CMP.GBL?Page=ZZ_CTR_SUP_PG&amp;Action=U&amp;SETID=STATE&amp;CNTRCT_ID=1-16-71-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earhfti.ca.gov/about_us/tb117_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b.ca.gov/toxics/compwood/compwood.htm" TargetMode="External"/><Relationship Id="rId14" Type="http://schemas.openxmlformats.org/officeDocument/2006/relationships/hyperlink" Target="http://www.calrecycle.ca.gov/buyrecycled/stateagen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22</cp:revision>
  <dcterms:created xsi:type="dcterms:W3CDTF">2018-05-03T21:18:00Z</dcterms:created>
  <dcterms:modified xsi:type="dcterms:W3CDTF">2018-10-08T18:10:00Z</dcterms:modified>
</cp:coreProperties>
</file>