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B6" w:rsidRDefault="00337F9A" w:rsidP="0001322F">
      <w:pPr>
        <w:pStyle w:val="Title"/>
        <w:jc w:val="center"/>
        <w:rPr>
          <w:rFonts w:ascii="Arial" w:hAnsi="Arial" w:cs="Arial"/>
          <w:b/>
          <w:sz w:val="28"/>
          <w:szCs w:val="28"/>
          <w:u w:val="single"/>
        </w:rPr>
      </w:pPr>
      <w:r w:rsidRPr="00337F9A">
        <w:rPr>
          <w:rFonts w:ascii="Arial" w:hAnsi="Arial" w:cs="Arial"/>
          <w:b/>
          <w:sz w:val="28"/>
          <w:szCs w:val="28"/>
          <w:u w:val="single"/>
        </w:rPr>
        <w:t>GS $Mart Payment Schedule Format, Provisions, and Notes</w:t>
      </w:r>
    </w:p>
    <w:p w:rsidR="0001322F" w:rsidRPr="0001322F" w:rsidRDefault="0001322F" w:rsidP="0001322F">
      <w:pPr>
        <w:spacing w:after="0"/>
      </w:pPr>
    </w:p>
    <w:p w:rsidR="009016B6" w:rsidRPr="009016B6" w:rsidRDefault="009016B6" w:rsidP="009016B6">
      <w:pPr>
        <w:rPr>
          <w:rFonts w:ascii="Arial" w:hAnsi="Arial" w:cs="Arial"/>
          <w:sz w:val="24"/>
          <w:szCs w:val="24"/>
        </w:rPr>
      </w:pPr>
      <w:r w:rsidRPr="009016B6">
        <w:rPr>
          <w:rFonts w:ascii="Arial" w:hAnsi="Arial" w:cs="Arial"/>
          <w:b/>
          <w:sz w:val="24"/>
          <w:szCs w:val="24"/>
        </w:rPr>
        <w:t>Lenders:</w:t>
      </w:r>
      <w:r w:rsidRPr="009016B6">
        <w:rPr>
          <w:rFonts w:ascii="Arial" w:hAnsi="Arial" w:cs="Arial"/>
          <w:sz w:val="24"/>
          <w:szCs w:val="24"/>
        </w:rPr>
        <w:t xml:space="preserve"> Rates quoted for all GS $Mart transactions must be valid for a period of at least 30 days, unless otherwise specified. In your response, you must include a dated amortization schedule, following the format of the Payment Schedule Format, Provisions and Notes. The only way that an interest rate may be adjusted is if you make sure you include the provisions, with all blanks filled in, as part of your response. All payment schedules must be subtotaled by the State's fiscal year (July 1st through June 30th).  </w:t>
      </w:r>
    </w:p>
    <w:p w:rsidR="009016B6" w:rsidRDefault="009016B6" w:rsidP="009016B6">
      <w:pPr>
        <w:rPr>
          <w:rFonts w:ascii="Arial" w:hAnsi="Arial" w:cs="Arial"/>
          <w:sz w:val="24"/>
          <w:szCs w:val="24"/>
        </w:rPr>
      </w:pPr>
      <w:r w:rsidRPr="009016B6">
        <w:rPr>
          <w:rFonts w:ascii="Arial" w:hAnsi="Arial" w:cs="Arial"/>
          <w:b/>
          <w:sz w:val="24"/>
          <w:szCs w:val="24"/>
        </w:rPr>
        <w:t>Agency:</w:t>
      </w:r>
      <w:r w:rsidRPr="009016B6">
        <w:rPr>
          <w:rFonts w:ascii="Arial" w:hAnsi="Arial" w:cs="Arial"/>
          <w:sz w:val="24"/>
          <w:szCs w:val="24"/>
        </w:rPr>
        <w:t xml:space="preserve"> The actual payment schedule to be used in your financing is the one provided by the Lender for that specific contract. The format of that schedule will be substantially similar to the one below: if you receive a payment schedule that is different, contact the </w:t>
      </w:r>
      <w:r>
        <w:rPr>
          <w:rFonts w:ascii="Arial" w:hAnsi="Arial" w:cs="Arial"/>
          <w:sz w:val="24"/>
          <w:szCs w:val="24"/>
        </w:rPr>
        <w:t xml:space="preserve">GS </w:t>
      </w:r>
      <w:r w:rsidRPr="009016B6">
        <w:rPr>
          <w:rFonts w:ascii="Arial" w:hAnsi="Arial" w:cs="Arial"/>
          <w:sz w:val="24"/>
          <w:szCs w:val="24"/>
        </w:rPr>
        <w:t>$Mart Manager immediately.</w:t>
      </w:r>
    </w:p>
    <w:p w:rsidR="0001322F" w:rsidRDefault="009016B6" w:rsidP="0001322F">
      <w:pPr>
        <w:pStyle w:val="Heading1"/>
        <w:rPr>
          <w:rFonts w:ascii="Arial" w:hAnsi="Arial" w:cs="Arial"/>
          <w:b/>
          <w:color w:val="auto"/>
          <w:sz w:val="24"/>
          <w:szCs w:val="24"/>
          <w:u w:val="single"/>
        </w:rPr>
      </w:pPr>
      <w:r w:rsidRPr="0001322F">
        <w:rPr>
          <w:rFonts w:ascii="Arial" w:hAnsi="Arial" w:cs="Arial"/>
          <w:b/>
          <w:color w:val="auto"/>
          <w:sz w:val="24"/>
          <w:szCs w:val="24"/>
          <w:u w:val="single"/>
        </w:rPr>
        <w:t>Payment Schedule Format</w:t>
      </w:r>
    </w:p>
    <w:p w:rsidR="0001322F" w:rsidRPr="0001322F" w:rsidRDefault="0001322F" w:rsidP="0001322F">
      <w:pPr>
        <w:spacing w:after="0"/>
      </w:pPr>
    </w:p>
    <w:p w:rsidR="009016B6" w:rsidRPr="009016B6" w:rsidRDefault="009016B6" w:rsidP="009016B6">
      <w:pPr>
        <w:rPr>
          <w:rFonts w:ascii="Arial" w:hAnsi="Arial" w:cs="Arial"/>
          <w:sz w:val="24"/>
          <w:szCs w:val="24"/>
        </w:rPr>
      </w:pPr>
      <w:r w:rsidRPr="009016B6">
        <w:rPr>
          <w:rFonts w:ascii="Arial" w:hAnsi="Arial" w:cs="Arial"/>
          <w:sz w:val="24"/>
          <w:szCs w:val="24"/>
        </w:rPr>
        <w:t xml:space="preserve">Below is the required format of a payment schedule, which the Lender will provide as their response to a Request for Rate Quote (RFRQ).  This payment schedule will be used for any financing plan and payment period based on the State's requirements. Scheduled Provisions and Notes (example found below) must accompany the payment schedule provided and be incorporated in the final financing contract. All payment schedules must be subtotaled by the State's fiscal year (July 1st through June 30th). </w:t>
      </w:r>
    </w:p>
    <w:p w:rsidR="009016B6" w:rsidRDefault="009016B6" w:rsidP="009016B6">
      <w:pPr>
        <w:rPr>
          <w:rFonts w:ascii="Arial" w:hAnsi="Arial" w:cs="Arial"/>
          <w:b/>
          <w:sz w:val="24"/>
          <w:szCs w:val="24"/>
        </w:rPr>
      </w:pPr>
      <w:r w:rsidRPr="00842D57">
        <w:rPr>
          <w:rFonts w:ascii="Arial" w:hAnsi="Arial" w:cs="Arial"/>
          <w:b/>
          <w:sz w:val="24"/>
          <w:szCs w:val="24"/>
        </w:rPr>
        <w:t>On the payment schedule, the Lender must list</w:t>
      </w:r>
      <w:r w:rsidR="00842D57" w:rsidRPr="00842D57">
        <w:rPr>
          <w:rFonts w:ascii="Arial" w:hAnsi="Arial" w:cs="Arial"/>
          <w:b/>
          <w:sz w:val="24"/>
          <w:szCs w:val="24"/>
        </w:rPr>
        <w:t xml:space="preserve"> the proposal date,</w:t>
      </w:r>
      <w:r w:rsidRPr="00842D57">
        <w:rPr>
          <w:rFonts w:ascii="Arial" w:hAnsi="Arial" w:cs="Arial"/>
          <w:b/>
          <w:sz w:val="24"/>
          <w:szCs w:val="24"/>
        </w:rPr>
        <w:t xml:space="preserve"> their company's name and address, their contact information, as well as the company’s standard remit to address.</w:t>
      </w:r>
    </w:p>
    <w:p w:rsidR="0001322F" w:rsidRDefault="0001322F" w:rsidP="0001322F">
      <w:pPr>
        <w:pStyle w:val="Subtitle"/>
        <w:rPr>
          <w:rFonts w:ascii="Arial" w:hAnsi="Arial" w:cs="Arial"/>
          <w:b/>
          <w:color w:val="auto"/>
          <w:sz w:val="24"/>
          <w:szCs w:val="24"/>
        </w:rPr>
      </w:pPr>
      <w:r w:rsidRPr="0001322F">
        <w:rPr>
          <w:rFonts w:ascii="Arial" w:hAnsi="Arial" w:cs="Arial"/>
          <w:b/>
          <w:color w:val="auto"/>
          <w:sz w:val="24"/>
          <w:szCs w:val="24"/>
        </w:rPr>
        <w:t>Payment Schedule</w:t>
      </w:r>
    </w:p>
    <w:p w:rsidR="006761E1" w:rsidRDefault="00114754" w:rsidP="006761E1">
      <w:pPr>
        <w:spacing w:after="0"/>
        <w:ind w:left="720"/>
        <w:rPr>
          <w:rFonts w:ascii="Arial" w:hAnsi="Arial" w:cs="Arial"/>
          <w:b/>
          <w:sz w:val="24"/>
          <w:szCs w:val="24"/>
        </w:rPr>
      </w:pPr>
      <w:r w:rsidRPr="00114754">
        <w:rPr>
          <w:rFonts w:ascii="Arial" w:hAnsi="Arial" w:cs="Arial"/>
          <w:b/>
          <w:sz w:val="24"/>
          <w:szCs w:val="24"/>
        </w:rPr>
        <w:t xml:space="preserve">Amount to be financed </w:t>
      </w:r>
    </w:p>
    <w:p w:rsidR="006761E1" w:rsidRDefault="00114754" w:rsidP="006761E1">
      <w:pPr>
        <w:spacing w:after="0"/>
        <w:ind w:left="720"/>
        <w:rPr>
          <w:rFonts w:ascii="Arial" w:hAnsi="Arial" w:cs="Arial"/>
          <w:b/>
          <w:sz w:val="24"/>
          <w:szCs w:val="24"/>
        </w:rPr>
      </w:pPr>
      <w:r w:rsidRPr="00114754">
        <w:rPr>
          <w:rFonts w:ascii="Arial" w:hAnsi="Arial" w:cs="Arial"/>
          <w:b/>
          <w:sz w:val="24"/>
          <w:szCs w:val="24"/>
        </w:rPr>
        <w:t>(zero-dollar a</w:t>
      </w:r>
      <w:r w:rsidR="006761E1">
        <w:rPr>
          <w:rFonts w:ascii="Arial" w:hAnsi="Arial" w:cs="Arial"/>
          <w:b/>
          <w:sz w:val="24"/>
          <w:szCs w:val="24"/>
        </w:rPr>
        <w:t>mount do not need to be shown)</w:t>
      </w:r>
    </w:p>
    <w:p w:rsidR="006761E1" w:rsidRDefault="006761E1" w:rsidP="006761E1">
      <w:pPr>
        <w:spacing w:after="0"/>
        <w:rPr>
          <w:rFonts w:ascii="Arial" w:hAnsi="Arial" w:cs="Arial"/>
          <w:sz w:val="24"/>
          <w:szCs w:val="24"/>
        </w:rPr>
      </w:pPr>
      <w:r>
        <w:rPr>
          <w:rFonts w:ascii="Arial" w:hAnsi="Arial" w:cs="Arial"/>
          <w:b/>
          <w:sz w:val="24"/>
          <w:szCs w:val="24"/>
        </w:rPr>
        <w:tab/>
      </w:r>
      <w:r w:rsidRPr="006761E1">
        <w:rPr>
          <w:rFonts w:ascii="Arial" w:hAnsi="Arial" w:cs="Arial"/>
          <w:sz w:val="24"/>
          <w:szCs w:val="24"/>
        </w:rPr>
        <w:t>Total asset and software costs</w:t>
      </w:r>
      <w:r w:rsidR="00723E8C">
        <w:rPr>
          <w:rFonts w:ascii="Arial" w:hAnsi="Arial" w:cs="Arial"/>
          <w:sz w:val="24"/>
          <w:szCs w:val="24"/>
        </w:rPr>
        <w:t xml:space="preserve"> </w:t>
      </w:r>
      <w:r w:rsidR="00723E8C">
        <w:rPr>
          <w:rFonts w:ascii="Arial" w:hAnsi="Arial" w:cs="Arial"/>
          <w:sz w:val="24"/>
          <w:szCs w:val="24"/>
        </w:rPr>
        <w:tab/>
      </w:r>
      <w:r w:rsidR="00723E8C">
        <w:rPr>
          <w:rFonts w:ascii="Arial" w:hAnsi="Arial" w:cs="Arial"/>
          <w:sz w:val="24"/>
          <w:szCs w:val="24"/>
        </w:rPr>
        <w:tab/>
      </w:r>
      <w:r w:rsidR="00723E8C">
        <w:rPr>
          <w:rFonts w:ascii="Arial" w:hAnsi="Arial" w:cs="Arial"/>
          <w:sz w:val="24"/>
          <w:szCs w:val="24"/>
        </w:rPr>
        <w:tab/>
      </w:r>
      <w:r w:rsidR="00723E8C">
        <w:rPr>
          <w:rFonts w:ascii="Arial" w:hAnsi="Arial" w:cs="Arial"/>
          <w:sz w:val="24"/>
          <w:szCs w:val="24"/>
        </w:rPr>
        <w:tab/>
      </w:r>
      <w:r w:rsidRPr="006761E1">
        <w:rPr>
          <w:rFonts w:ascii="Arial" w:hAnsi="Arial" w:cs="Arial"/>
          <w:sz w:val="24"/>
          <w:szCs w:val="24"/>
        </w:rPr>
        <w:t xml:space="preserve">$ </w:t>
      </w:r>
      <w:proofErr w:type="spellStart"/>
      <w:proofErr w:type="gramStart"/>
      <w:r w:rsidRPr="006761E1">
        <w:rPr>
          <w:rFonts w:ascii="Arial" w:hAnsi="Arial" w:cs="Arial"/>
          <w:sz w:val="24"/>
          <w:szCs w:val="24"/>
        </w:rPr>
        <w:t>xx,xxx</w:t>
      </w:r>
      <w:proofErr w:type="gramEnd"/>
      <w:r w:rsidRPr="006761E1">
        <w:rPr>
          <w:rFonts w:ascii="Arial" w:hAnsi="Arial" w:cs="Arial"/>
          <w:sz w:val="24"/>
          <w:szCs w:val="24"/>
        </w:rPr>
        <w:t>,xxx.xx</w:t>
      </w:r>
      <w:proofErr w:type="spellEnd"/>
    </w:p>
    <w:p w:rsidR="00723E8C" w:rsidRDefault="00723E8C" w:rsidP="006761E1">
      <w:pPr>
        <w:spacing w:after="0"/>
        <w:rPr>
          <w:rFonts w:ascii="Arial" w:hAnsi="Arial" w:cs="Arial"/>
          <w:sz w:val="24"/>
          <w:szCs w:val="24"/>
        </w:rPr>
      </w:pPr>
    </w:p>
    <w:p w:rsidR="006761E1" w:rsidRDefault="006761E1" w:rsidP="006761E1">
      <w:pPr>
        <w:spacing w:after="0"/>
        <w:rPr>
          <w:rFonts w:ascii="Arial" w:hAnsi="Arial" w:cs="Arial"/>
          <w:sz w:val="24"/>
          <w:szCs w:val="24"/>
        </w:rPr>
      </w:pPr>
      <w:r>
        <w:rPr>
          <w:rFonts w:ascii="Arial" w:hAnsi="Arial" w:cs="Arial"/>
          <w:sz w:val="24"/>
          <w:szCs w:val="24"/>
        </w:rPr>
        <w:tab/>
        <w:t xml:space="preserve">Other costs </w:t>
      </w:r>
    </w:p>
    <w:p w:rsidR="006761E1" w:rsidRDefault="006761E1" w:rsidP="006761E1">
      <w:pPr>
        <w:spacing w:after="0"/>
        <w:rPr>
          <w:rFonts w:ascii="Arial" w:hAnsi="Arial" w:cs="Arial"/>
          <w:sz w:val="24"/>
          <w:szCs w:val="24"/>
        </w:rPr>
      </w:pPr>
      <w:r>
        <w:rPr>
          <w:rFonts w:ascii="Arial" w:hAnsi="Arial" w:cs="Arial"/>
          <w:sz w:val="24"/>
          <w:szCs w:val="24"/>
        </w:rPr>
        <w:tab/>
        <w:t>(i.e., installation, freight, bond counsel fees, etc.)</w:t>
      </w:r>
      <w:r>
        <w:rPr>
          <w:rFonts w:ascii="Arial" w:hAnsi="Arial" w:cs="Arial"/>
          <w:sz w:val="24"/>
          <w:szCs w:val="24"/>
        </w:rPr>
        <w:tab/>
      </w:r>
      <w:r w:rsidRPr="006761E1">
        <w:rPr>
          <w:rFonts w:ascii="Arial" w:hAnsi="Arial" w:cs="Arial"/>
          <w:sz w:val="24"/>
          <w:szCs w:val="24"/>
        </w:rPr>
        <w:t xml:space="preserve">$ </w:t>
      </w:r>
      <w:proofErr w:type="spellStart"/>
      <w:proofErr w:type="gramStart"/>
      <w:r w:rsidRPr="006761E1">
        <w:rPr>
          <w:rFonts w:ascii="Arial" w:hAnsi="Arial" w:cs="Arial"/>
          <w:sz w:val="24"/>
          <w:szCs w:val="24"/>
        </w:rPr>
        <w:t>xx,xxx</w:t>
      </w:r>
      <w:proofErr w:type="gramEnd"/>
      <w:r w:rsidRPr="006761E1">
        <w:rPr>
          <w:rFonts w:ascii="Arial" w:hAnsi="Arial" w:cs="Arial"/>
          <w:sz w:val="24"/>
          <w:szCs w:val="24"/>
        </w:rPr>
        <w:t>,xxx.xx</w:t>
      </w:r>
      <w:proofErr w:type="spellEnd"/>
    </w:p>
    <w:p w:rsidR="006761E1" w:rsidRPr="006761E1" w:rsidRDefault="006761E1" w:rsidP="006761E1">
      <w:pPr>
        <w:spacing w:after="0"/>
        <w:rPr>
          <w:rFonts w:ascii="Arial" w:hAnsi="Arial" w:cs="Arial"/>
          <w:b/>
          <w:sz w:val="24"/>
          <w:szCs w:val="24"/>
        </w:rPr>
      </w:pPr>
    </w:p>
    <w:p w:rsidR="006761E1" w:rsidRDefault="006761E1" w:rsidP="006761E1">
      <w:pPr>
        <w:spacing w:after="0"/>
        <w:rPr>
          <w:rFonts w:ascii="Arial" w:hAnsi="Arial" w:cs="Arial"/>
          <w:b/>
          <w:sz w:val="24"/>
          <w:szCs w:val="24"/>
        </w:rPr>
      </w:pPr>
      <w:r w:rsidRPr="006761E1">
        <w:rPr>
          <w:rFonts w:ascii="Arial" w:hAnsi="Arial" w:cs="Arial"/>
          <w:b/>
          <w:sz w:val="24"/>
          <w:szCs w:val="24"/>
        </w:rPr>
        <w:tab/>
      </w:r>
      <w:r w:rsidRPr="006761E1">
        <w:rPr>
          <w:rFonts w:ascii="Arial" w:hAnsi="Arial" w:cs="Arial"/>
          <w:b/>
          <w:sz w:val="24"/>
          <w:szCs w:val="24"/>
        </w:rPr>
        <w:tab/>
      </w:r>
      <w:r w:rsidRPr="006761E1">
        <w:rPr>
          <w:rFonts w:ascii="Arial" w:hAnsi="Arial" w:cs="Arial"/>
          <w:b/>
          <w:sz w:val="24"/>
          <w:szCs w:val="24"/>
        </w:rPr>
        <w:tab/>
      </w:r>
      <w:r w:rsidRPr="006761E1">
        <w:rPr>
          <w:rFonts w:ascii="Arial" w:hAnsi="Arial" w:cs="Arial"/>
          <w:b/>
          <w:sz w:val="24"/>
          <w:szCs w:val="24"/>
        </w:rPr>
        <w:tab/>
      </w:r>
      <w:r w:rsidRPr="006761E1">
        <w:rPr>
          <w:rFonts w:ascii="Arial" w:hAnsi="Arial" w:cs="Arial"/>
          <w:b/>
          <w:sz w:val="24"/>
          <w:szCs w:val="24"/>
        </w:rPr>
        <w:tab/>
      </w:r>
      <w:r w:rsidRPr="006761E1">
        <w:rPr>
          <w:rFonts w:ascii="Arial" w:hAnsi="Arial" w:cs="Arial"/>
          <w:b/>
          <w:sz w:val="24"/>
          <w:szCs w:val="24"/>
        </w:rPr>
        <w:tab/>
        <w:t xml:space="preserve">Subtotal: </w:t>
      </w:r>
      <w:r w:rsidRPr="006761E1">
        <w:rPr>
          <w:rFonts w:ascii="Arial" w:hAnsi="Arial" w:cs="Arial"/>
          <w:b/>
          <w:sz w:val="24"/>
          <w:szCs w:val="24"/>
        </w:rPr>
        <w:tab/>
      </w:r>
      <w:r w:rsidRPr="006761E1">
        <w:rPr>
          <w:rFonts w:ascii="Arial" w:hAnsi="Arial" w:cs="Arial"/>
          <w:b/>
          <w:sz w:val="24"/>
          <w:szCs w:val="24"/>
        </w:rPr>
        <w:tab/>
        <w:t xml:space="preserve">$ </w:t>
      </w:r>
      <w:proofErr w:type="spellStart"/>
      <w:proofErr w:type="gramStart"/>
      <w:r w:rsidRPr="006761E1">
        <w:rPr>
          <w:rFonts w:ascii="Arial" w:hAnsi="Arial" w:cs="Arial"/>
          <w:b/>
          <w:sz w:val="24"/>
          <w:szCs w:val="24"/>
        </w:rPr>
        <w:t>xx,xxx</w:t>
      </w:r>
      <w:proofErr w:type="gramEnd"/>
      <w:r w:rsidRPr="006761E1">
        <w:rPr>
          <w:rFonts w:ascii="Arial" w:hAnsi="Arial" w:cs="Arial"/>
          <w:b/>
          <w:sz w:val="24"/>
          <w:szCs w:val="24"/>
        </w:rPr>
        <w:t>,xxx.xx</w:t>
      </w:r>
      <w:proofErr w:type="spellEnd"/>
    </w:p>
    <w:p w:rsidR="006761E1" w:rsidRDefault="006761E1" w:rsidP="006761E1">
      <w:pPr>
        <w:spacing w:after="0"/>
        <w:rPr>
          <w:rFonts w:ascii="Arial" w:hAnsi="Arial" w:cs="Arial"/>
          <w:b/>
          <w:sz w:val="24"/>
          <w:szCs w:val="24"/>
        </w:rPr>
      </w:pPr>
    </w:p>
    <w:p w:rsidR="006761E1" w:rsidRDefault="006761E1" w:rsidP="006761E1">
      <w:pPr>
        <w:spacing w:after="0"/>
        <w:rPr>
          <w:rFonts w:ascii="Arial" w:hAnsi="Arial" w:cs="Arial"/>
          <w:sz w:val="24"/>
          <w:szCs w:val="24"/>
        </w:rPr>
      </w:pPr>
      <w:r>
        <w:rPr>
          <w:rFonts w:ascii="Arial" w:hAnsi="Arial" w:cs="Arial"/>
          <w:b/>
          <w:sz w:val="24"/>
          <w:szCs w:val="24"/>
        </w:rPr>
        <w:tab/>
      </w:r>
      <w:r w:rsidRPr="006761E1">
        <w:rPr>
          <w:rFonts w:ascii="Arial" w:hAnsi="Arial" w:cs="Arial"/>
          <w:sz w:val="24"/>
          <w:szCs w:val="24"/>
        </w:rPr>
        <w:t>Less salvage amount</w:t>
      </w:r>
      <w:r w:rsidRPr="006761E1">
        <w:rPr>
          <w:rFonts w:ascii="Arial" w:hAnsi="Arial" w:cs="Arial"/>
          <w:sz w:val="24"/>
          <w:szCs w:val="24"/>
        </w:rPr>
        <w:tab/>
      </w:r>
      <w:r w:rsidRPr="006761E1">
        <w:rPr>
          <w:rFonts w:ascii="Arial" w:hAnsi="Arial" w:cs="Arial"/>
          <w:sz w:val="24"/>
          <w:szCs w:val="24"/>
        </w:rPr>
        <w:tab/>
      </w:r>
      <w:r w:rsidRPr="006761E1">
        <w:rPr>
          <w:rFonts w:ascii="Arial" w:hAnsi="Arial" w:cs="Arial"/>
          <w:sz w:val="24"/>
          <w:szCs w:val="24"/>
        </w:rPr>
        <w:tab/>
      </w:r>
      <w:r w:rsidRPr="006761E1">
        <w:rPr>
          <w:rFonts w:ascii="Arial" w:hAnsi="Arial" w:cs="Arial"/>
          <w:sz w:val="24"/>
          <w:szCs w:val="24"/>
        </w:rPr>
        <w:tab/>
      </w:r>
      <w:r w:rsidRPr="006761E1">
        <w:rPr>
          <w:rFonts w:ascii="Arial" w:hAnsi="Arial" w:cs="Arial"/>
          <w:sz w:val="24"/>
          <w:szCs w:val="24"/>
        </w:rPr>
        <w:tab/>
      </w:r>
      <w:r w:rsidR="00261F34">
        <w:rPr>
          <w:rFonts w:ascii="Arial" w:hAnsi="Arial" w:cs="Arial"/>
          <w:sz w:val="24"/>
          <w:szCs w:val="24"/>
        </w:rPr>
        <w:t xml:space="preserve">$ </w:t>
      </w:r>
      <w:proofErr w:type="spellStart"/>
      <w:r w:rsidR="00261F34">
        <w:rPr>
          <w:rFonts w:ascii="Arial" w:hAnsi="Arial" w:cs="Arial"/>
          <w:sz w:val="24"/>
          <w:szCs w:val="24"/>
        </w:rPr>
        <w:t>x</w:t>
      </w:r>
      <w:r w:rsidRPr="006761E1">
        <w:rPr>
          <w:rFonts w:ascii="Arial" w:hAnsi="Arial" w:cs="Arial"/>
          <w:sz w:val="24"/>
          <w:szCs w:val="24"/>
        </w:rPr>
        <w:t>x,xxx,xxx.xx</w:t>
      </w:r>
      <w:proofErr w:type="spellEnd"/>
    </w:p>
    <w:p w:rsidR="006761E1" w:rsidRDefault="006761E1" w:rsidP="006761E1">
      <w:pPr>
        <w:spacing w:after="0"/>
        <w:rPr>
          <w:rFonts w:ascii="Arial" w:hAnsi="Arial" w:cs="Arial"/>
          <w:sz w:val="24"/>
          <w:szCs w:val="24"/>
        </w:rPr>
      </w:pPr>
    </w:p>
    <w:p w:rsidR="006761E1" w:rsidRDefault="006761E1" w:rsidP="006761E1">
      <w:pPr>
        <w:spacing w:after="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761E1">
        <w:rPr>
          <w:rFonts w:ascii="Arial" w:hAnsi="Arial" w:cs="Arial"/>
          <w:b/>
          <w:sz w:val="24"/>
          <w:szCs w:val="24"/>
        </w:rPr>
        <w:t>TOTAL AMOUNT FINANCED:</w:t>
      </w:r>
      <w:r>
        <w:rPr>
          <w:rFonts w:ascii="Arial" w:hAnsi="Arial" w:cs="Arial"/>
          <w:b/>
          <w:sz w:val="24"/>
          <w:szCs w:val="24"/>
        </w:rPr>
        <w:tab/>
      </w:r>
      <w:r>
        <w:rPr>
          <w:rFonts w:ascii="Arial" w:hAnsi="Arial" w:cs="Arial"/>
          <w:b/>
          <w:sz w:val="24"/>
          <w:szCs w:val="24"/>
        </w:rPr>
        <w:tab/>
      </w:r>
      <w:r w:rsidRPr="006761E1">
        <w:rPr>
          <w:rFonts w:ascii="Arial" w:hAnsi="Arial" w:cs="Arial"/>
          <w:b/>
          <w:sz w:val="24"/>
          <w:szCs w:val="24"/>
        </w:rPr>
        <w:t xml:space="preserve">$ </w:t>
      </w:r>
      <w:proofErr w:type="spellStart"/>
      <w:proofErr w:type="gramStart"/>
      <w:r w:rsidRPr="006761E1">
        <w:rPr>
          <w:rFonts w:ascii="Arial" w:hAnsi="Arial" w:cs="Arial"/>
          <w:b/>
          <w:sz w:val="24"/>
          <w:szCs w:val="24"/>
        </w:rPr>
        <w:t>xx,xxx</w:t>
      </w:r>
      <w:proofErr w:type="gramEnd"/>
      <w:r w:rsidRPr="006761E1">
        <w:rPr>
          <w:rFonts w:ascii="Arial" w:hAnsi="Arial" w:cs="Arial"/>
          <w:b/>
          <w:sz w:val="24"/>
          <w:szCs w:val="24"/>
        </w:rPr>
        <w:t>,xxx.xx</w:t>
      </w:r>
      <w:proofErr w:type="spellEnd"/>
    </w:p>
    <w:p w:rsidR="006761E1" w:rsidRDefault="006761E1" w:rsidP="006761E1">
      <w:pPr>
        <w:spacing w:after="0"/>
        <w:rPr>
          <w:rFonts w:ascii="Arial" w:hAnsi="Arial" w:cs="Arial"/>
          <w:b/>
          <w:sz w:val="24"/>
          <w:szCs w:val="24"/>
        </w:rPr>
      </w:pPr>
      <w:r>
        <w:rPr>
          <w:rFonts w:ascii="Arial" w:hAnsi="Arial" w:cs="Arial"/>
          <w:b/>
          <w:sz w:val="24"/>
          <w:szCs w:val="24"/>
        </w:rPr>
        <w:tab/>
      </w:r>
    </w:p>
    <w:p w:rsidR="00723E8C" w:rsidRDefault="006761E1" w:rsidP="006761E1">
      <w:pPr>
        <w:spacing w:after="0"/>
        <w:rPr>
          <w:rFonts w:ascii="Arial" w:hAnsi="Arial" w:cs="Arial"/>
          <w:sz w:val="24"/>
          <w:szCs w:val="24"/>
        </w:rPr>
      </w:pPr>
      <w:r>
        <w:rPr>
          <w:rFonts w:ascii="Arial" w:hAnsi="Arial" w:cs="Arial"/>
          <w:b/>
          <w:sz w:val="24"/>
          <w:szCs w:val="24"/>
        </w:rPr>
        <w:tab/>
      </w:r>
      <w:r w:rsidRPr="006761E1">
        <w:rPr>
          <w:rFonts w:ascii="Arial" w:hAnsi="Arial" w:cs="Arial"/>
          <w:sz w:val="24"/>
          <w:szCs w:val="24"/>
        </w:rPr>
        <w:t>Amortized interest rate used:</w:t>
      </w:r>
      <w:r w:rsidRPr="006761E1">
        <w:rPr>
          <w:rFonts w:ascii="Arial" w:hAnsi="Arial" w:cs="Arial"/>
          <w:sz w:val="24"/>
          <w:szCs w:val="24"/>
        </w:rPr>
        <w:tab/>
      </w:r>
      <w:r w:rsidRPr="006761E1">
        <w:rPr>
          <w:rFonts w:ascii="Arial" w:hAnsi="Arial" w:cs="Arial"/>
          <w:sz w:val="24"/>
          <w:szCs w:val="24"/>
        </w:rPr>
        <w:tab/>
      </w:r>
      <w:r w:rsidRPr="006761E1">
        <w:rPr>
          <w:rFonts w:ascii="Arial" w:hAnsi="Arial" w:cs="Arial"/>
          <w:sz w:val="24"/>
          <w:szCs w:val="24"/>
        </w:rPr>
        <w:tab/>
      </w:r>
      <w:r w:rsidRPr="006761E1">
        <w:rPr>
          <w:rFonts w:ascii="Arial" w:hAnsi="Arial" w:cs="Arial"/>
          <w:sz w:val="24"/>
          <w:szCs w:val="24"/>
        </w:rPr>
        <w:tab/>
        <w:t>%</w:t>
      </w:r>
    </w:p>
    <w:p w:rsidR="00723E8C" w:rsidRDefault="00723E8C" w:rsidP="00723E8C">
      <w:r>
        <w:br w:type="page"/>
      </w:r>
    </w:p>
    <w:tbl>
      <w:tblPr>
        <w:tblStyle w:val="TableGrid"/>
        <w:tblW w:w="0" w:type="auto"/>
        <w:tblLook w:val="04A0" w:firstRow="1" w:lastRow="0" w:firstColumn="1" w:lastColumn="0" w:noHBand="0" w:noVBand="1"/>
        <w:tblDescription w:val="Table showing format for payment schedule. 6 columns. 7 rows. "/>
      </w:tblPr>
      <w:tblGrid>
        <w:gridCol w:w="1325"/>
        <w:gridCol w:w="1378"/>
        <w:gridCol w:w="1675"/>
        <w:gridCol w:w="1604"/>
        <w:gridCol w:w="1604"/>
        <w:gridCol w:w="1764"/>
      </w:tblGrid>
      <w:tr w:rsidR="00723E8C" w:rsidTr="00CC2852">
        <w:trPr>
          <w:tblHeader/>
        </w:trPr>
        <w:tc>
          <w:tcPr>
            <w:tcW w:w="1473" w:type="dxa"/>
          </w:tcPr>
          <w:p w:rsidR="00723E8C" w:rsidRDefault="00723E8C" w:rsidP="006761E1">
            <w:pPr>
              <w:rPr>
                <w:rFonts w:ascii="Arial" w:hAnsi="Arial" w:cs="Arial"/>
                <w:sz w:val="24"/>
                <w:szCs w:val="24"/>
              </w:rPr>
            </w:pPr>
            <w:r>
              <w:rPr>
                <w:rFonts w:ascii="Arial" w:hAnsi="Arial" w:cs="Arial"/>
                <w:sz w:val="24"/>
                <w:szCs w:val="24"/>
              </w:rPr>
              <w:lastRenderedPageBreak/>
              <w:t>Payment Number</w:t>
            </w:r>
          </w:p>
        </w:tc>
        <w:tc>
          <w:tcPr>
            <w:tcW w:w="1463" w:type="dxa"/>
          </w:tcPr>
          <w:p w:rsidR="00723E8C" w:rsidRDefault="00723E8C" w:rsidP="006761E1">
            <w:pPr>
              <w:rPr>
                <w:rFonts w:ascii="Arial" w:hAnsi="Arial" w:cs="Arial"/>
                <w:sz w:val="24"/>
                <w:szCs w:val="24"/>
              </w:rPr>
            </w:pPr>
            <w:r>
              <w:rPr>
                <w:rFonts w:ascii="Arial" w:hAnsi="Arial" w:cs="Arial"/>
                <w:sz w:val="24"/>
                <w:szCs w:val="24"/>
              </w:rPr>
              <w:t>Payment Date</w:t>
            </w:r>
          </w:p>
        </w:tc>
        <w:tc>
          <w:tcPr>
            <w:tcW w:w="1764" w:type="dxa"/>
          </w:tcPr>
          <w:p w:rsidR="00723E8C" w:rsidRDefault="00723E8C" w:rsidP="006761E1">
            <w:pPr>
              <w:rPr>
                <w:rFonts w:ascii="Arial" w:hAnsi="Arial" w:cs="Arial"/>
                <w:sz w:val="24"/>
                <w:szCs w:val="24"/>
              </w:rPr>
            </w:pPr>
            <w:r>
              <w:rPr>
                <w:rFonts w:ascii="Arial" w:hAnsi="Arial" w:cs="Arial"/>
                <w:sz w:val="24"/>
                <w:szCs w:val="24"/>
              </w:rPr>
              <w:t>Payment Amount</w:t>
            </w:r>
          </w:p>
        </w:tc>
        <w:tc>
          <w:tcPr>
            <w:tcW w:w="1457" w:type="dxa"/>
          </w:tcPr>
          <w:p w:rsidR="00723E8C" w:rsidRDefault="00723E8C" w:rsidP="006761E1">
            <w:pPr>
              <w:rPr>
                <w:rFonts w:ascii="Arial" w:hAnsi="Arial" w:cs="Arial"/>
                <w:sz w:val="24"/>
                <w:szCs w:val="24"/>
              </w:rPr>
            </w:pPr>
            <w:r>
              <w:rPr>
                <w:rFonts w:ascii="Arial" w:hAnsi="Arial" w:cs="Arial"/>
                <w:sz w:val="24"/>
                <w:szCs w:val="24"/>
              </w:rPr>
              <w:t>Principle</w:t>
            </w:r>
          </w:p>
        </w:tc>
        <w:tc>
          <w:tcPr>
            <w:tcW w:w="1429" w:type="dxa"/>
          </w:tcPr>
          <w:p w:rsidR="00723E8C" w:rsidRDefault="00723E8C" w:rsidP="006761E1">
            <w:pPr>
              <w:rPr>
                <w:rFonts w:ascii="Arial" w:hAnsi="Arial" w:cs="Arial"/>
                <w:sz w:val="24"/>
                <w:szCs w:val="24"/>
              </w:rPr>
            </w:pPr>
            <w:r>
              <w:rPr>
                <w:rFonts w:ascii="Arial" w:hAnsi="Arial" w:cs="Arial"/>
                <w:sz w:val="24"/>
                <w:szCs w:val="24"/>
              </w:rPr>
              <w:t>Interest</w:t>
            </w:r>
          </w:p>
        </w:tc>
        <w:tc>
          <w:tcPr>
            <w:tcW w:w="1764" w:type="dxa"/>
          </w:tcPr>
          <w:p w:rsidR="00723E8C" w:rsidRDefault="00723E8C" w:rsidP="006761E1">
            <w:pPr>
              <w:rPr>
                <w:rFonts w:ascii="Arial" w:hAnsi="Arial" w:cs="Arial"/>
                <w:sz w:val="24"/>
                <w:szCs w:val="24"/>
              </w:rPr>
            </w:pPr>
            <w:r>
              <w:rPr>
                <w:rFonts w:ascii="Arial" w:hAnsi="Arial" w:cs="Arial"/>
                <w:sz w:val="24"/>
                <w:szCs w:val="24"/>
              </w:rPr>
              <w:t>Unpaid Principle Balance</w:t>
            </w:r>
          </w:p>
        </w:tc>
      </w:tr>
      <w:tr w:rsidR="00723E8C" w:rsidTr="00CC2852">
        <w:trPr>
          <w:tblHeader/>
        </w:trPr>
        <w:tc>
          <w:tcPr>
            <w:tcW w:w="1473" w:type="dxa"/>
          </w:tcPr>
          <w:p w:rsidR="00723E8C" w:rsidRDefault="00CC2852" w:rsidP="006761E1">
            <w:pPr>
              <w:rPr>
                <w:rFonts w:ascii="Arial" w:hAnsi="Arial" w:cs="Arial"/>
                <w:sz w:val="24"/>
                <w:szCs w:val="24"/>
              </w:rPr>
            </w:pPr>
            <w:r>
              <w:rPr>
                <w:rFonts w:ascii="Arial" w:hAnsi="Arial" w:cs="Arial"/>
                <w:sz w:val="24"/>
                <w:szCs w:val="24"/>
              </w:rPr>
              <w:t>Total Financed Amount</w:t>
            </w:r>
          </w:p>
        </w:tc>
        <w:tc>
          <w:tcPr>
            <w:tcW w:w="1463" w:type="dxa"/>
          </w:tcPr>
          <w:p w:rsidR="00723E8C" w:rsidRDefault="00723E8C" w:rsidP="006761E1">
            <w:pPr>
              <w:rPr>
                <w:rFonts w:ascii="Arial" w:hAnsi="Arial" w:cs="Arial"/>
                <w:sz w:val="24"/>
                <w:szCs w:val="24"/>
              </w:rPr>
            </w:pPr>
          </w:p>
        </w:tc>
        <w:tc>
          <w:tcPr>
            <w:tcW w:w="1764" w:type="dxa"/>
          </w:tcPr>
          <w:p w:rsidR="00723E8C" w:rsidRDefault="00723E8C" w:rsidP="006761E1">
            <w:pPr>
              <w:rPr>
                <w:rFonts w:ascii="Arial" w:hAnsi="Arial" w:cs="Arial"/>
                <w:sz w:val="24"/>
                <w:szCs w:val="24"/>
              </w:rPr>
            </w:pPr>
          </w:p>
        </w:tc>
        <w:tc>
          <w:tcPr>
            <w:tcW w:w="1457" w:type="dxa"/>
          </w:tcPr>
          <w:p w:rsidR="00723E8C" w:rsidRDefault="00723E8C" w:rsidP="006761E1">
            <w:pPr>
              <w:rPr>
                <w:rFonts w:ascii="Arial" w:hAnsi="Arial" w:cs="Arial"/>
                <w:sz w:val="24"/>
                <w:szCs w:val="24"/>
              </w:rPr>
            </w:pPr>
          </w:p>
        </w:tc>
        <w:tc>
          <w:tcPr>
            <w:tcW w:w="1429" w:type="dxa"/>
          </w:tcPr>
          <w:p w:rsidR="00723E8C" w:rsidRDefault="00723E8C" w:rsidP="006761E1">
            <w:pPr>
              <w:rPr>
                <w:rFonts w:ascii="Arial" w:hAnsi="Arial" w:cs="Arial"/>
                <w:sz w:val="24"/>
                <w:szCs w:val="24"/>
              </w:rPr>
            </w:pPr>
          </w:p>
        </w:tc>
        <w:tc>
          <w:tcPr>
            <w:tcW w:w="1764" w:type="dxa"/>
          </w:tcPr>
          <w:p w:rsidR="00723E8C" w:rsidRDefault="00CC2852" w:rsidP="006761E1">
            <w:pPr>
              <w:rPr>
                <w:rFonts w:ascii="Arial" w:hAnsi="Arial" w:cs="Arial"/>
                <w:sz w:val="24"/>
                <w:szCs w:val="24"/>
              </w:rPr>
            </w:pPr>
            <w:r>
              <w:rPr>
                <w:rFonts w:ascii="Arial" w:hAnsi="Arial" w:cs="Arial"/>
                <w:sz w:val="24"/>
                <w:szCs w:val="24"/>
              </w:rPr>
              <w:t>$XX,XXX,XXX</w:t>
            </w:r>
          </w:p>
        </w:tc>
      </w:tr>
      <w:tr w:rsidR="00CC2852" w:rsidTr="00CC2852">
        <w:trPr>
          <w:tblHeader/>
        </w:trPr>
        <w:tc>
          <w:tcPr>
            <w:tcW w:w="1473" w:type="dxa"/>
          </w:tcPr>
          <w:p w:rsidR="00CC2852" w:rsidRDefault="00CC2852" w:rsidP="00CC2852">
            <w:pPr>
              <w:rPr>
                <w:rFonts w:ascii="Arial" w:hAnsi="Arial" w:cs="Arial"/>
                <w:sz w:val="24"/>
                <w:szCs w:val="24"/>
              </w:rPr>
            </w:pPr>
            <w:r>
              <w:rPr>
                <w:rFonts w:ascii="Arial" w:hAnsi="Arial" w:cs="Arial"/>
                <w:sz w:val="24"/>
                <w:szCs w:val="24"/>
              </w:rPr>
              <w:t>1</w:t>
            </w:r>
          </w:p>
        </w:tc>
        <w:tc>
          <w:tcPr>
            <w:tcW w:w="1463" w:type="dxa"/>
          </w:tcPr>
          <w:p w:rsidR="00CC2852" w:rsidRDefault="00CC2852" w:rsidP="00CC2852">
            <w:pPr>
              <w:rPr>
                <w:rFonts w:ascii="Arial" w:hAnsi="Arial" w:cs="Arial"/>
                <w:sz w:val="24"/>
                <w:szCs w:val="24"/>
              </w:rPr>
            </w:pPr>
            <w:r>
              <w:rPr>
                <w:rFonts w:ascii="Arial" w:hAnsi="Arial" w:cs="Arial"/>
                <w:sz w:val="24"/>
                <w:szCs w:val="24"/>
              </w:rPr>
              <w:t>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57"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29"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r>
      <w:tr w:rsidR="00CC2852" w:rsidTr="00CC2852">
        <w:trPr>
          <w:tblHeader/>
        </w:trPr>
        <w:tc>
          <w:tcPr>
            <w:tcW w:w="1473" w:type="dxa"/>
          </w:tcPr>
          <w:p w:rsidR="00CC2852" w:rsidRDefault="00CC2852" w:rsidP="00CC2852">
            <w:pPr>
              <w:rPr>
                <w:rFonts w:ascii="Arial" w:hAnsi="Arial" w:cs="Arial"/>
                <w:sz w:val="24"/>
                <w:szCs w:val="24"/>
              </w:rPr>
            </w:pPr>
            <w:r>
              <w:rPr>
                <w:rFonts w:ascii="Arial" w:hAnsi="Arial" w:cs="Arial"/>
                <w:sz w:val="24"/>
                <w:szCs w:val="24"/>
              </w:rPr>
              <w:t>2</w:t>
            </w:r>
          </w:p>
        </w:tc>
        <w:tc>
          <w:tcPr>
            <w:tcW w:w="1463" w:type="dxa"/>
          </w:tcPr>
          <w:p w:rsidR="00CC2852" w:rsidRDefault="00CC2852" w:rsidP="00CC2852">
            <w:pPr>
              <w:rPr>
                <w:rFonts w:ascii="Arial" w:hAnsi="Arial" w:cs="Arial"/>
                <w:sz w:val="24"/>
                <w:szCs w:val="24"/>
              </w:rPr>
            </w:pPr>
            <w:r w:rsidRPr="00CC2852">
              <w:rPr>
                <w:rFonts w:ascii="Arial" w:hAnsi="Arial" w:cs="Arial"/>
                <w:sz w:val="24"/>
                <w:szCs w:val="24"/>
              </w:rPr>
              <w:t>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57"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29"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r>
      <w:tr w:rsidR="00CC2852" w:rsidTr="00CC2852">
        <w:trPr>
          <w:tblHeader/>
        </w:trPr>
        <w:tc>
          <w:tcPr>
            <w:tcW w:w="1473" w:type="dxa"/>
          </w:tcPr>
          <w:p w:rsidR="00CC2852" w:rsidRDefault="00CC2852" w:rsidP="00CC2852">
            <w:pPr>
              <w:rPr>
                <w:rFonts w:ascii="Arial" w:hAnsi="Arial" w:cs="Arial"/>
                <w:sz w:val="24"/>
                <w:szCs w:val="24"/>
              </w:rPr>
            </w:pPr>
            <w:r>
              <w:rPr>
                <w:rFonts w:ascii="Arial" w:hAnsi="Arial" w:cs="Arial"/>
                <w:sz w:val="24"/>
                <w:szCs w:val="24"/>
              </w:rPr>
              <w:t>…</w:t>
            </w:r>
          </w:p>
        </w:tc>
        <w:tc>
          <w:tcPr>
            <w:tcW w:w="1463" w:type="dxa"/>
          </w:tcPr>
          <w:p w:rsidR="00CC2852" w:rsidRDefault="00CC2852" w:rsidP="00CC2852">
            <w:pPr>
              <w:rPr>
                <w:rFonts w:ascii="Arial" w:hAnsi="Arial" w:cs="Arial"/>
                <w:sz w:val="24"/>
                <w:szCs w:val="24"/>
              </w:rPr>
            </w:pPr>
            <w:r w:rsidRPr="00CC2852">
              <w:rPr>
                <w:rFonts w:ascii="Arial" w:hAnsi="Arial" w:cs="Arial"/>
                <w:sz w:val="24"/>
                <w:szCs w:val="24"/>
              </w:rPr>
              <w:t>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57"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29"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r>
      <w:tr w:rsidR="00CC2852" w:rsidTr="00CC2852">
        <w:trPr>
          <w:tblHeader/>
        </w:trPr>
        <w:tc>
          <w:tcPr>
            <w:tcW w:w="1473" w:type="dxa"/>
          </w:tcPr>
          <w:p w:rsidR="00CC2852" w:rsidRDefault="00CC2852" w:rsidP="00CC2852">
            <w:pPr>
              <w:rPr>
                <w:rFonts w:ascii="Arial" w:hAnsi="Arial" w:cs="Arial"/>
                <w:sz w:val="24"/>
                <w:szCs w:val="24"/>
              </w:rPr>
            </w:pPr>
            <w:r>
              <w:rPr>
                <w:rFonts w:ascii="Arial" w:hAnsi="Arial" w:cs="Arial"/>
                <w:sz w:val="24"/>
                <w:szCs w:val="24"/>
              </w:rPr>
              <w:t>n</w:t>
            </w:r>
          </w:p>
        </w:tc>
        <w:tc>
          <w:tcPr>
            <w:tcW w:w="1463" w:type="dxa"/>
          </w:tcPr>
          <w:p w:rsidR="00CC2852" w:rsidRDefault="00CC2852" w:rsidP="00CC2852">
            <w:pPr>
              <w:rPr>
                <w:rFonts w:ascii="Arial" w:hAnsi="Arial" w:cs="Arial"/>
                <w:sz w:val="24"/>
                <w:szCs w:val="24"/>
              </w:rPr>
            </w:pPr>
            <w:r w:rsidRPr="00CC2852">
              <w:rPr>
                <w:rFonts w:ascii="Arial" w:hAnsi="Arial" w:cs="Arial"/>
                <w:sz w:val="24"/>
                <w:szCs w:val="24"/>
              </w:rPr>
              <w:t>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57"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29"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r>
      <w:tr w:rsidR="00CC2852" w:rsidTr="00CC2852">
        <w:trPr>
          <w:tblHeader/>
        </w:trPr>
        <w:tc>
          <w:tcPr>
            <w:tcW w:w="1473" w:type="dxa"/>
          </w:tcPr>
          <w:p w:rsidR="00CC2852" w:rsidRDefault="00CC2852" w:rsidP="00CC2852">
            <w:pPr>
              <w:rPr>
                <w:rFonts w:ascii="Arial" w:hAnsi="Arial" w:cs="Arial"/>
                <w:sz w:val="24"/>
                <w:szCs w:val="24"/>
              </w:rPr>
            </w:pPr>
            <w:r>
              <w:rPr>
                <w:rFonts w:ascii="Arial" w:hAnsi="Arial" w:cs="Arial"/>
                <w:sz w:val="24"/>
                <w:szCs w:val="24"/>
              </w:rPr>
              <w:t>Totals</w:t>
            </w:r>
          </w:p>
        </w:tc>
        <w:tc>
          <w:tcPr>
            <w:tcW w:w="1463" w:type="dxa"/>
          </w:tcPr>
          <w:p w:rsidR="00CC2852" w:rsidRDefault="00CC2852" w:rsidP="00CC2852">
            <w:pPr>
              <w:rPr>
                <w:rFonts w:ascii="Arial" w:hAnsi="Arial" w:cs="Arial"/>
                <w:sz w:val="24"/>
                <w:szCs w:val="24"/>
              </w:rPr>
            </w:pPr>
            <w:r w:rsidRPr="00CC2852">
              <w:rPr>
                <w:rFonts w:ascii="Arial" w:hAnsi="Arial" w:cs="Arial"/>
                <w:sz w:val="24"/>
                <w:szCs w:val="24"/>
              </w:rPr>
              <w:t>XX/XX/XX</w:t>
            </w:r>
          </w:p>
        </w:tc>
        <w:tc>
          <w:tcPr>
            <w:tcW w:w="1764"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57"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429" w:type="dxa"/>
          </w:tcPr>
          <w:p w:rsidR="00CC2852" w:rsidRPr="00CC2852" w:rsidRDefault="00CC2852" w:rsidP="00CC2852">
            <w:pPr>
              <w:rPr>
                <w:rFonts w:ascii="Arial" w:hAnsi="Arial" w:cs="Arial"/>
                <w:sz w:val="24"/>
                <w:szCs w:val="24"/>
              </w:rPr>
            </w:pPr>
            <w:r w:rsidRPr="00CC2852">
              <w:rPr>
                <w:rFonts w:ascii="Arial" w:hAnsi="Arial" w:cs="Arial"/>
                <w:sz w:val="24"/>
                <w:szCs w:val="24"/>
              </w:rPr>
              <w:t>$X,XXX,XXX</w:t>
            </w:r>
          </w:p>
        </w:tc>
        <w:tc>
          <w:tcPr>
            <w:tcW w:w="1764" w:type="dxa"/>
          </w:tcPr>
          <w:p w:rsidR="00CC2852" w:rsidRPr="00CC2852" w:rsidRDefault="00CC2852" w:rsidP="00CC2852">
            <w:pPr>
              <w:rPr>
                <w:rFonts w:ascii="Arial" w:hAnsi="Arial" w:cs="Arial"/>
                <w:sz w:val="24"/>
                <w:szCs w:val="24"/>
              </w:rPr>
            </w:pPr>
          </w:p>
        </w:tc>
      </w:tr>
    </w:tbl>
    <w:p w:rsidR="006761E1" w:rsidRPr="006761E1" w:rsidRDefault="006761E1" w:rsidP="006761E1">
      <w:pPr>
        <w:spacing w:after="0"/>
        <w:rPr>
          <w:rFonts w:ascii="Arial" w:hAnsi="Arial" w:cs="Arial"/>
          <w:sz w:val="24"/>
          <w:szCs w:val="24"/>
        </w:rPr>
      </w:pPr>
    </w:p>
    <w:p w:rsidR="006761E1" w:rsidRPr="00CC2852" w:rsidRDefault="00CC2852" w:rsidP="00CC2852">
      <w:pPr>
        <w:pStyle w:val="Subtitle"/>
        <w:rPr>
          <w:rFonts w:ascii="Arial" w:hAnsi="Arial" w:cs="Arial"/>
          <w:b/>
          <w:color w:val="auto"/>
          <w:sz w:val="24"/>
          <w:szCs w:val="24"/>
        </w:rPr>
      </w:pPr>
      <w:r w:rsidRPr="00CC2852">
        <w:rPr>
          <w:rFonts w:ascii="Arial" w:hAnsi="Arial" w:cs="Arial"/>
          <w:b/>
          <w:color w:val="auto"/>
          <w:sz w:val="24"/>
          <w:szCs w:val="24"/>
        </w:rPr>
        <w:t xml:space="preserve">Schedule Provisions </w:t>
      </w:r>
    </w:p>
    <w:p w:rsidR="00CC2852" w:rsidRDefault="00CC2852" w:rsidP="00CC2852">
      <w:pPr>
        <w:pStyle w:val="ListParagraph"/>
        <w:numPr>
          <w:ilvl w:val="0"/>
          <w:numId w:val="1"/>
        </w:numPr>
        <w:spacing w:after="0"/>
        <w:rPr>
          <w:rFonts w:ascii="Arial" w:hAnsi="Arial" w:cs="Arial"/>
          <w:sz w:val="24"/>
          <w:szCs w:val="24"/>
        </w:rPr>
      </w:pPr>
      <w:r w:rsidRPr="00CC2852">
        <w:rPr>
          <w:rFonts w:ascii="Arial" w:hAnsi="Arial" w:cs="Arial"/>
          <w:sz w:val="24"/>
          <w:szCs w:val="24"/>
        </w:rPr>
        <w:t>Per the California Prompt Payment Act (California Government Code Section 927 et seq.), correct invoices must be submitted at least forty-five (45) days prior to the payment schedule dates. Delayed invoices may delay payments.</w:t>
      </w:r>
    </w:p>
    <w:p w:rsidR="00CC2852" w:rsidRDefault="00CC2852" w:rsidP="00CC2852">
      <w:pPr>
        <w:pStyle w:val="ListParagraph"/>
        <w:numPr>
          <w:ilvl w:val="0"/>
          <w:numId w:val="1"/>
        </w:numPr>
        <w:spacing w:after="0"/>
        <w:rPr>
          <w:rFonts w:ascii="Arial" w:hAnsi="Arial" w:cs="Arial"/>
          <w:sz w:val="24"/>
          <w:szCs w:val="24"/>
        </w:rPr>
      </w:pPr>
      <w:r w:rsidRPr="00CC2852">
        <w:rPr>
          <w:rFonts w:ascii="Arial" w:hAnsi="Arial" w:cs="Arial"/>
          <w:sz w:val="24"/>
          <w:szCs w:val="24"/>
        </w:rPr>
        <w:t>If the contract requires an acceptance testing period, interest shall be owed on the accepted assets from the first day of the successful acceptance test period. If the contract does not contain an acceptance test, interest shall be owed from a date no later than the acceptance date of the asset purchased pursuant to the contract</w:t>
      </w:r>
    </w:p>
    <w:p w:rsidR="00CC2852" w:rsidRPr="00CC2852" w:rsidRDefault="00CC2852" w:rsidP="00CC2852">
      <w:pPr>
        <w:pStyle w:val="ListParagraph"/>
        <w:numPr>
          <w:ilvl w:val="0"/>
          <w:numId w:val="1"/>
        </w:numPr>
        <w:spacing w:after="0"/>
        <w:rPr>
          <w:rFonts w:ascii="Arial" w:hAnsi="Arial" w:cs="Arial"/>
          <w:sz w:val="24"/>
          <w:szCs w:val="24"/>
        </w:rPr>
      </w:pPr>
      <w:r w:rsidRPr="00CC2852">
        <w:rPr>
          <w:rFonts w:ascii="Arial" w:hAnsi="Arial" w:cs="Arial"/>
          <w:sz w:val="24"/>
          <w:szCs w:val="24"/>
        </w:rPr>
        <w:t>Should acceptance not occur by the agreed upon anticipated acceptance date, the payment schedule may be adjusted pro rata (up or down) based on the change greater than 10 basis points (if the change is positive, then the rate could move up. If the change is negative, then the rate could move down.) to the US Treasury securities rate for the payment term from the time of rate quote to the date of acceptance. Lender has provided rates to the State agency with any limitations clearly identified including the possibility of a payment schedule revision. The US Treasury securities rate as of the rate quote date is _________% for __________ term. The Payment Schedule Format, Provisions cite the U.S. Treasury securities rate.  However, the GS $Mart Manager recognizes that Lenders may use various indexes dependent upon the institution’s policies.  In this case the</w:t>
      </w:r>
      <w:r>
        <w:rPr>
          <w:rFonts w:ascii="Arial" w:hAnsi="Arial" w:cs="Arial"/>
          <w:sz w:val="24"/>
          <w:szCs w:val="24"/>
        </w:rPr>
        <w:t xml:space="preserve"> </w:t>
      </w:r>
      <w:r w:rsidRPr="00CC2852">
        <w:rPr>
          <w:rFonts w:ascii="Arial" w:hAnsi="Arial" w:cs="Arial"/>
          <w:sz w:val="24"/>
          <w:szCs w:val="24"/>
        </w:rPr>
        <w:t>GS $Mart Manager requires that the Lender submits clear documentation readily accessible for review.  Any index source that requires a paid subscription is unacceptable.  The GS $Mart Manager reviews and determines the acceptance of any payment schedule changes. See Page 3 -How to calculate changes in proposed interest rates to GS $Mart Manager.</w:t>
      </w:r>
    </w:p>
    <w:p w:rsidR="00CC2852" w:rsidRDefault="00CC2852" w:rsidP="00CC2852">
      <w:pPr>
        <w:pStyle w:val="ListParagraph"/>
        <w:numPr>
          <w:ilvl w:val="0"/>
          <w:numId w:val="1"/>
        </w:numPr>
        <w:spacing w:after="0"/>
        <w:rPr>
          <w:rFonts w:ascii="Arial" w:hAnsi="Arial" w:cs="Arial"/>
          <w:sz w:val="24"/>
          <w:szCs w:val="24"/>
        </w:rPr>
      </w:pPr>
      <w:r w:rsidRPr="00CC2852">
        <w:rPr>
          <w:rFonts w:ascii="Arial" w:hAnsi="Arial" w:cs="Arial"/>
          <w:sz w:val="24"/>
          <w:szCs w:val="24"/>
        </w:rPr>
        <w:t>Subsequent revised payment schedules for proposed refunding of the original issue will not be allowed unless it is in the best interest of the State. The GS $Mart Manager reviews and determines the acceptance of any payment schedule changes.</w:t>
      </w:r>
    </w:p>
    <w:p w:rsidR="00CC2852" w:rsidRDefault="00CC2852" w:rsidP="00CC2852">
      <w:pPr>
        <w:pStyle w:val="ListParagraph"/>
        <w:numPr>
          <w:ilvl w:val="0"/>
          <w:numId w:val="1"/>
        </w:numPr>
        <w:spacing w:after="0"/>
        <w:rPr>
          <w:rFonts w:ascii="Arial" w:hAnsi="Arial" w:cs="Arial"/>
          <w:sz w:val="24"/>
          <w:szCs w:val="24"/>
        </w:rPr>
      </w:pPr>
      <w:r w:rsidRPr="00CC2852">
        <w:rPr>
          <w:rFonts w:ascii="Arial" w:hAnsi="Arial" w:cs="Arial"/>
          <w:sz w:val="24"/>
          <w:szCs w:val="24"/>
        </w:rPr>
        <w:lastRenderedPageBreak/>
        <w:t>Unless otherwise specified, the interest portion for any payment will be calculated by using the following formula: Interest = (Annual Net Interest Rate/100) x (Number of Days from Last Payment/360) x (Previous Unpaid Principal Balance).</w:t>
      </w:r>
    </w:p>
    <w:p w:rsidR="009E096B" w:rsidRDefault="009E096B" w:rsidP="009E096B">
      <w:pPr>
        <w:spacing w:after="0"/>
        <w:ind w:left="360"/>
        <w:rPr>
          <w:rFonts w:ascii="Arial" w:hAnsi="Arial" w:cs="Arial"/>
          <w:sz w:val="24"/>
          <w:szCs w:val="24"/>
        </w:rPr>
      </w:pPr>
    </w:p>
    <w:p w:rsidR="009E096B" w:rsidRDefault="009E096B" w:rsidP="009E096B">
      <w:pPr>
        <w:pStyle w:val="Subtitle"/>
        <w:rPr>
          <w:rFonts w:ascii="Arial" w:hAnsi="Arial" w:cs="Arial"/>
          <w:b/>
          <w:color w:val="auto"/>
          <w:sz w:val="24"/>
          <w:szCs w:val="24"/>
        </w:rPr>
      </w:pPr>
      <w:r w:rsidRPr="009E096B">
        <w:rPr>
          <w:rFonts w:ascii="Arial" w:hAnsi="Arial" w:cs="Arial"/>
          <w:b/>
          <w:color w:val="auto"/>
          <w:sz w:val="24"/>
          <w:szCs w:val="24"/>
        </w:rPr>
        <w:t>Notes</w:t>
      </w:r>
    </w:p>
    <w:p w:rsidR="009E096B" w:rsidRPr="00854370" w:rsidRDefault="00854370" w:rsidP="00854370">
      <w:pPr>
        <w:pStyle w:val="ListParagraph"/>
        <w:numPr>
          <w:ilvl w:val="0"/>
          <w:numId w:val="2"/>
        </w:numPr>
        <w:rPr>
          <w:rFonts w:ascii="Arial" w:hAnsi="Arial" w:cs="Arial"/>
          <w:sz w:val="24"/>
          <w:szCs w:val="24"/>
        </w:rPr>
      </w:pPr>
      <w:r w:rsidRPr="00854370">
        <w:rPr>
          <w:rFonts w:ascii="Arial" w:hAnsi="Arial" w:cs="Arial"/>
          <w:sz w:val="24"/>
          <w:szCs w:val="24"/>
        </w:rPr>
        <w:t>The date of the first payment will be identified by the State agency when requesting a rate quote along with other payment information such as down payment amount, term desired, financed amount, financing plan, and other purchase contract characteristics (e.g. whether there is an acceptance testing period and how long if there is one, the Supplier's name, the contract number, and anticipated award and acceptance dates).</w:t>
      </w:r>
    </w:p>
    <w:p w:rsidR="00854370" w:rsidRPr="00854370" w:rsidRDefault="00854370" w:rsidP="00854370">
      <w:pPr>
        <w:pStyle w:val="ListParagraph"/>
        <w:numPr>
          <w:ilvl w:val="0"/>
          <w:numId w:val="2"/>
        </w:numPr>
        <w:rPr>
          <w:rFonts w:ascii="Arial" w:hAnsi="Arial" w:cs="Arial"/>
          <w:sz w:val="24"/>
          <w:szCs w:val="24"/>
        </w:rPr>
      </w:pPr>
      <w:r w:rsidRPr="00854370">
        <w:rPr>
          <w:rFonts w:ascii="Arial" w:hAnsi="Arial" w:cs="Arial"/>
          <w:sz w:val="24"/>
          <w:szCs w:val="24"/>
        </w:rPr>
        <w:t>All payment schedules for a plan will be based on the plan's terms, conditions, and closing documents as described for that plan and are guaranteed for a minimum of 30 days when provided via electronic (e-mail) document from the Lender. Once the contract is executed with the payment schedule provided by the Lender, a commitment is made to that Lender for that lease purchase.</w:t>
      </w:r>
    </w:p>
    <w:p w:rsidR="00854370" w:rsidRPr="00854370" w:rsidRDefault="00854370" w:rsidP="00854370">
      <w:pPr>
        <w:pStyle w:val="ListParagraph"/>
        <w:numPr>
          <w:ilvl w:val="0"/>
          <w:numId w:val="2"/>
        </w:numPr>
        <w:rPr>
          <w:rFonts w:ascii="Arial" w:hAnsi="Arial" w:cs="Arial"/>
          <w:sz w:val="24"/>
          <w:szCs w:val="24"/>
        </w:rPr>
      </w:pPr>
      <w:r w:rsidRPr="00854370">
        <w:rPr>
          <w:rFonts w:ascii="Arial" w:hAnsi="Arial" w:cs="Arial"/>
          <w:sz w:val="24"/>
          <w:szCs w:val="24"/>
        </w:rPr>
        <w:t>For more information or additional financing plans and rates, contact the $Mart Managers.</w:t>
      </w:r>
    </w:p>
    <w:p w:rsidR="00854370" w:rsidRPr="00854370" w:rsidRDefault="00854370" w:rsidP="00854370">
      <w:pPr>
        <w:pStyle w:val="ListParagraph"/>
        <w:numPr>
          <w:ilvl w:val="0"/>
          <w:numId w:val="2"/>
        </w:numPr>
        <w:rPr>
          <w:rFonts w:ascii="Arial" w:hAnsi="Arial" w:cs="Arial"/>
          <w:sz w:val="24"/>
          <w:szCs w:val="24"/>
        </w:rPr>
      </w:pPr>
      <w:r w:rsidRPr="00854370">
        <w:rPr>
          <w:rFonts w:ascii="Arial" w:hAnsi="Arial" w:cs="Arial"/>
          <w:sz w:val="24"/>
          <w:szCs w:val="24"/>
        </w:rPr>
        <w:t>Payments will be fixed, approximately equal installment amounts as shown in the payment schedule (unless specified otherwise).</w:t>
      </w:r>
    </w:p>
    <w:p w:rsidR="00854370" w:rsidRPr="00854370" w:rsidRDefault="00854370" w:rsidP="00854370">
      <w:pPr>
        <w:pStyle w:val="ListParagraph"/>
        <w:numPr>
          <w:ilvl w:val="0"/>
          <w:numId w:val="2"/>
        </w:numPr>
        <w:rPr>
          <w:rFonts w:ascii="Arial" w:hAnsi="Arial" w:cs="Arial"/>
          <w:sz w:val="24"/>
          <w:szCs w:val="24"/>
        </w:rPr>
      </w:pPr>
      <w:r w:rsidRPr="00854370">
        <w:rPr>
          <w:rFonts w:ascii="Arial" w:hAnsi="Arial" w:cs="Arial"/>
          <w:sz w:val="24"/>
          <w:szCs w:val="24"/>
        </w:rPr>
        <w:t>The annual amortization interest rate for the payment schedule is based on a 360-day year.</w:t>
      </w:r>
    </w:p>
    <w:p w:rsidR="00854370" w:rsidRPr="00854370" w:rsidRDefault="00854370" w:rsidP="00854370">
      <w:pPr>
        <w:pStyle w:val="ListParagraph"/>
        <w:numPr>
          <w:ilvl w:val="0"/>
          <w:numId w:val="2"/>
        </w:numPr>
        <w:rPr>
          <w:rFonts w:ascii="Arial" w:hAnsi="Arial" w:cs="Arial"/>
          <w:sz w:val="24"/>
          <w:szCs w:val="24"/>
        </w:rPr>
      </w:pPr>
      <w:r w:rsidRPr="00854370">
        <w:rPr>
          <w:rFonts w:ascii="Arial" w:hAnsi="Arial" w:cs="Arial"/>
          <w:sz w:val="24"/>
          <w:szCs w:val="24"/>
        </w:rPr>
        <w:t>The State has no financial obligation to pay for the purchased goods until they are accepted by the State. However, in order to offer rates, Lenders rely on the State to provide an accurate acceptance date. Should acceptance not occur as pledged to the Lender, financing costs may increase or decrease, which would require a new Payment Schedule which would be included in a contract revision.</w:t>
      </w:r>
    </w:p>
    <w:p w:rsidR="00854370" w:rsidRDefault="00854370" w:rsidP="00854370">
      <w:pPr>
        <w:pStyle w:val="ListParagraph"/>
        <w:numPr>
          <w:ilvl w:val="0"/>
          <w:numId w:val="2"/>
        </w:numPr>
        <w:rPr>
          <w:rFonts w:ascii="Arial" w:hAnsi="Arial" w:cs="Arial"/>
          <w:sz w:val="24"/>
          <w:szCs w:val="24"/>
        </w:rPr>
      </w:pPr>
      <w:r w:rsidRPr="00854370">
        <w:rPr>
          <w:rFonts w:ascii="Arial" w:hAnsi="Arial" w:cs="Arial"/>
          <w:sz w:val="24"/>
          <w:szCs w:val="24"/>
        </w:rPr>
        <w:t>The State will only pay interest on assets that have been accepted by the State. Interest charges will commence on the date of acceptance and on the amount of the assets accepted.</w:t>
      </w:r>
    </w:p>
    <w:p w:rsidR="00B3570B" w:rsidRDefault="00B3570B">
      <w:pPr>
        <w:rPr>
          <w:rFonts w:ascii="Arial" w:hAnsi="Arial" w:cs="Arial"/>
          <w:b/>
          <w:sz w:val="24"/>
          <w:szCs w:val="24"/>
        </w:rPr>
      </w:pPr>
      <w:r>
        <w:rPr>
          <w:rFonts w:ascii="Arial" w:hAnsi="Arial" w:cs="Arial"/>
          <w:b/>
          <w:sz w:val="24"/>
          <w:szCs w:val="24"/>
        </w:rPr>
        <w:br w:type="page"/>
      </w:r>
    </w:p>
    <w:p w:rsidR="00820631" w:rsidRDefault="00820631" w:rsidP="005749FF">
      <w:pPr>
        <w:ind w:left="720" w:firstLine="720"/>
        <w:rPr>
          <w:rFonts w:ascii="Arial" w:hAnsi="Arial" w:cs="Arial"/>
          <w:sz w:val="24"/>
          <w:szCs w:val="24"/>
        </w:rPr>
      </w:pPr>
      <w:bookmarkStart w:id="0" w:name="_GoBack"/>
      <w:bookmarkEnd w:id="0"/>
    </w:p>
    <w:p w:rsidR="00820631" w:rsidRDefault="00820631" w:rsidP="005749FF">
      <w:pPr>
        <w:ind w:left="720" w:firstLine="720"/>
        <w:rPr>
          <w:rFonts w:ascii="Arial" w:hAnsi="Arial" w:cs="Arial"/>
          <w:sz w:val="24"/>
          <w:szCs w:val="24"/>
        </w:rPr>
      </w:pPr>
    </w:p>
    <w:p w:rsidR="00820631" w:rsidRPr="005749FF" w:rsidRDefault="00820631" w:rsidP="005749FF">
      <w:pPr>
        <w:ind w:left="720" w:firstLine="720"/>
        <w:rPr>
          <w:rFonts w:ascii="Arial" w:hAnsi="Arial" w:cs="Arial"/>
          <w:sz w:val="24"/>
          <w:szCs w:val="24"/>
        </w:rPr>
        <w:sectPr w:rsidR="00820631" w:rsidRPr="005749FF">
          <w:pgSz w:w="12240" w:h="15840"/>
          <w:pgMar w:top="1440" w:right="1440" w:bottom="1440" w:left="1440" w:header="720" w:footer="720" w:gutter="0"/>
          <w:cols w:space="720"/>
          <w:docGrid w:linePitch="360"/>
        </w:sectPr>
      </w:pPr>
    </w:p>
    <w:p w:rsidR="00CC2852" w:rsidRPr="00CC2852" w:rsidRDefault="00CC2852" w:rsidP="00CC2852">
      <w:pPr>
        <w:pStyle w:val="Subtitle"/>
        <w:ind w:right="450"/>
        <w:rPr>
          <w:rFonts w:ascii="Arial" w:hAnsi="Arial" w:cs="Arial"/>
          <w:b/>
          <w:color w:val="auto"/>
          <w:sz w:val="24"/>
          <w:szCs w:val="24"/>
        </w:rPr>
        <w:sectPr w:rsidR="00CC2852" w:rsidRPr="00CC2852" w:rsidSect="00CC2852">
          <w:type w:val="continuous"/>
          <w:pgSz w:w="12240" w:h="15840"/>
          <w:pgMar w:top="1440" w:right="1440" w:bottom="1440" w:left="1440" w:header="720" w:footer="720" w:gutter="0"/>
          <w:cols w:space="720"/>
          <w:docGrid w:linePitch="360"/>
        </w:sectPr>
      </w:pPr>
    </w:p>
    <w:p w:rsidR="00114754" w:rsidRPr="004A37F8" w:rsidRDefault="00114754" w:rsidP="00CC2852">
      <w:pPr>
        <w:spacing w:after="0"/>
        <w:ind w:right="-2160"/>
        <w:rPr>
          <w:rFonts w:ascii="Arial" w:hAnsi="Arial" w:cs="Arial"/>
          <w:sz w:val="24"/>
          <w:szCs w:val="24"/>
        </w:rPr>
      </w:pPr>
    </w:p>
    <w:sectPr w:rsidR="00114754" w:rsidRPr="004A37F8" w:rsidSect="00CC2852">
      <w:type w:val="continuous"/>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74FE"/>
    <w:multiLevelType w:val="hybridMultilevel"/>
    <w:tmpl w:val="1F5A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B59B1"/>
    <w:multiLevelType w:val="hybridMultilevel"/>
    <w:tmpl w:val="27E4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251CB"/>
    <w:multiLevelType w:val="hybridMultilevel"/>
    <w:tmpl w:val="2AC89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9A"/>
    <w:rsid w:val="0001322F"/>
    <w:rsid w:val="00094F9C"/>
    <w:rsid w:val="00114754"/>
    <w:rsid w:val="0015576B"/>
    <w:rsid w:val="00261F34"/>
    <w:rsid w:val="002B3DFB"/>
    <w:rsid w:val="00337F9A"/>
    <w:rsid w:val="003E6D5A"/>
    <w:rsid w:val="004A37F8"/>
    <w:rsid w:val="005749FF"/>
    <w:rsid w:val="005857C9"/>
    <w:rsid w:val="005F0488"/>
    <w:rsid w:val="006761E1"/>
    <w:rsid w:val="006E78A1"/>
    <w:rsid w:val="006F3579"/>
    <w:rsid w:val="00723E8C"/>
    <w:rsid w:val="007370E8"/>
    <w:rsid w:val="00820631"/>
    <w:rsid w:val="00835752"/>
    <w:rsid w:val="00842D57"/>
    <w:rsid w:val="00854370"/>
    <w:rsid w:val="009016B6"/>
    <w:rsid w:val="009E096B"/>
    <w:rsid w:val="00AE3FA1"/>
    <w:rsid w:val="00B3570B"/>
    <w:rsid w:val="00CC2852"/>
    <w:rsid w:val="00D55C03"/>
    <w:rsid w:val="00F55C65"/>
    <w:rsid w:val="00FA1AE6"/>
    <w:rsid w:val="00FC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EABE7-9D28-4B2C-942B-38A74782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3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7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6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16B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1322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2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518D-E353-4D01-B4C9-59C9958F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6064</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DGS</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Longhofer, Sam@DGS</dc:creator>
  <cp:keywords/>
  <dc:description/>
  <cp:lastModifiedBy>Longhofer, Sam@DGS</cp:lastModifiedBy>
  <cp:revision>22</cp:revision>
  <dcterms:created xsi:type="dcterms:W3CDTF">2019-05-15T16:50:00Z</dcterms:created>
  <dcterms:modified xsi:type="dcterms:W3CDTF">2019-06-18T14:08:00Z</dcterms:modified>
</cp:coreProperties>
</file>