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B9E6EAD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571C76">
        <w:t>01-02-2026</w:t>
      </w:r>
      <w:r w:rsidR="00F31940" w:rsidRPr="00F31940">
        <w:t xml:space="preserve"> to </w:t>
      </w:r>
      <w:r w:rsidR="000E647B">
        <w:t>01</w:t>
      </w:r>
      <w:r w:rsidR="00F31940" w:rsidRPr="00F31940">
        <w:t>-</w:t>
      </w:r>
      <w:r w:rsidR="00B35446">
        <w:t>0</w:t>
      </w:r>
      <w:r w:rsidR="00571C76">
        <w:t>8</w:t>
      </w:r>
      <w:r w:rsidR="00F31940" w:rsidRPr="00F31940">
        <w:t>-202</w:t>
      </w:r>
      <w:r w:rsidR="00B35446">
        <w:t>6</w:t>
      </w:r>
    </w:p>
    <w:p w14:paraId="665A9610" w14:textId="4D480815" w:rsidR="007D404D" w:rsidRPr="007D404D" w:rsidRDefault="00571C76" w:rsidP="007D404D">
      <w:pPr>
        <w:pStyle w:val="Heading1"/>
      </w:pPr>
      <w:r>
        <w:t>January 02,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C58DD30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71C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126C1B5C" w:rsidR="00986952" w:rsidRPr="00A00DC9" w:rsidRDefault="00AA4064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49D062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bookmarkEnd w:id="0"/>
    <w:p w14:paraId="2183C0D8" w14:textId="406B9F92" w:rsidR="009C5AE9" w:rsidRPr="000E494D" w:rsidRDefault="00571C76" w:rsidP="000E494D">
      <w:pPr>
        <w:pStyle w:val="Heading1"/>
      </w:pPr>
      <w:r>
        <w:t xml:space="preserve">January 03, 2026 </w:t>
      </w:r>
      <w:r w:rsidR="00AD30EE">
        <w:t xml:space="preserve">and </w:t>
      </w:r>
      <w:r>
        <w:t xml:space="preserve">January 04, 2026 </w:t>
      </w:r>
      <w:r w:rsidR="009C5AE9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A406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32EA6A2C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2748CCA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AA406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41EED523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47764116" w14:textId="0E8192BF" w:rsidR="009C5AE9" w:rsidRPr="00A00DC9" w:rsidRDefault="00571C76" w:rsidP="000E494D">
      <w:pPr>
        <w:pStyle w:val="Heading1"/>
      </w:pPr>
      <w:r>
        <w:t xml:space="preserve">January 05,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A406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7836AB9C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3043D7F8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AA406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CC3E8E2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47A85BB" w14:textId="526040DB" w:rsidR="009C5AE9" w:rsidRPr="00A00DC9" w:rsidRDefault="00571C76" w:rsidP="000E494D">
      <w:pPr>
        <w:pStyle w:val="Heading1"/>
      </w:pPr>
      <w:r>
        <w:t xml:space="preserve">January 06,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A406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D5664F1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DDEC580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AA406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3BE20050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6BEF334" w14:textId="4D517FC3" w:rsidR="009C5AE9" w:rsidRPr="00A00DC9" w:rsidRDefault="00571C76" w:rsidP="000E494D">
      <w:pPr>
        <w:pStyle w:val="Heading1"/>
      </w:pPr>
      <w:r>
        <w:t xml:space="preserve">January 07,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A406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B01DADD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7282A741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AA406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4A683F92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9107D60" w14:textId="5AC3CFE5" w:rsidR="009C5AE9" w:rsidRPr="00474BEF" w:rsidRDefault="00CF02BB" w:rsidP="000E494D">
      <w:pPr>
        <w:pStyle w:val="Heading1"/>
      </w:pPr>
      <w:r>
        <w:t>January 0</w:t>
      </w:r>
      <w:r w:rsidR="00571C76">
        <w:t>8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A406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5CF3315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458BB65A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 data</w:t>
            </w:r>
          </w:p>
        </w:tc>
      </w:tr>
      <w:tr w:rsidR="00AA406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AA4064" w:rsidRPr="00CE712D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65FC83A6" w:rsidR="00AA4064" w:rsidRPr="00A00DC9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AA4064" w:rsidRPr="00A00DC9" w14:paraId="61C24983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64D13FF0" w14:textId="77777777" w:rsidR="00AA4064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A8EC256" w14:textId="77777777" w:rsidR="00AA4064" w:rsidRDefault="00AA4064" w:rsidP="00AA406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89DCA" w14:textId="482C5DC6" w:rsidR="003E6E3E" w:rsidRPr="00A00DC9" w:rsidRDefault="00AA4064" w:rsidP="00AA4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4064">
        <w:rPr>
          <w:rFonts w:ascii="Arial" w:hAnsi="Arial" w:cs="Arial"/>
          <w:sz w:val="24"/>
          <w:szCs w:val="24"/>
        </w:rPr>
        <w:t xml:space="preserve">*Editor's Note: Due to circumstances beyond our control, BPN did not receive a pricing update for CHS Inc. this week. We are working with the CHS team to resume regular                                                                                                        reporting of the usual posting prices as soon as possible.  We </w:t>
      </w:r>
      <w:r>
        <w:rPr>
          <w:rFonts w:ascii="Arial" w:hAnsi="Arial" w:cs="Arial"/>
          <w:sz w:val="24"/>
          <w:szCs w:val="24"/>
        </w:rPr>
        <w:t>a</w:t>
      </w:r>
      <w:r w:rsidRPr="00AA4064">
        <w:rPr>
          <w:rFonts w:ascii="Arial" w:hAnsi="Arial" w:cs="Arial"/>
          <w:sz w:val="24"/>
          <w:szCs w:val="24"/>
        </w:rPr>
        <w:t>ppreciate your</w:t>
      </w:r>
      <w:r>
        <w:rPr>
          <w:rFonts w:ascii="Arial" w:hAnsi="Arial" w:cs="Arial"/>
          <w:sz w:val="24"/>
          <w:szCs w:val="24"/>
        </w:rPr>
        <w:t xml:space="preserve"> </w:t>
      </w:r>
      <w:r w:rsidRPr="00AA4064">
        <w:rPr>
          <w:rFonts w:ascii="Arial" w:hAnsi="Arial" w:cs="Arial"/>
          <w:sz w:val="24"/>
          <w:szCs w:val="24"/>
        </w:rPr>
        <w:t>understanding.</w:t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792D" w14:textId="77777777" w:rsidR="0053240E" w:rsidRDefault="0053240E">
      <w:pPr>
        <w:spacing w:after="0" w:line="240" w:lineRule="auto"/>
      </w:pPr>
      <w:r>
        <w:separator/>
      </w:r>
    </w:p>
  </w:endnote>
  <w:endnote w:type="continuationSeparator" w:id="0">
    <w:p w14:paraId="3BD014AF" w14:textId="77777777" w:rsidR="0053240E" w:rsidRDefault="0053240E">
      <w:pPr>
        <w:spacing w:after="0" w:line="240" w:lineRule="auto"/>
      </w:pPr>
      <w:r>
        <w:continuationSeparator/>
      </w:r>
    </w:p>
  </w:endnote>
  <w:endnote w:type="continuationNotice" w:id="1">
    <w:p w14:paraId="42CEF703" w14:textId="77777777" w:rsidR="0053240E" w:rsidRDefault="00532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5F8A" w14:textId="77777777" w:rsidR="0053240E" w:rsidRDefault="0053240E">
      <w:pPr>
        <w:spacing w:after="0" w:line="240" w:lineRule="auto"/>
      </w:pPr>
      <w:r>
        <w:separator/>
      </w:r>
    </w:p>
  </w:footnote>
  <w:footnote w:type="continuationSeparator" w:id="0">
    <w:p w14:paraId="432C330F" w14:textId="77777777" w:rsidR="0053240E" w:rsidRDefault="0053240E">
      <w:pPr>
        <w:spacing w:after="0" w:line="240" w:lineRule="auto"/>
      </w:pPr>
      <w:r>
        <w:continuationSeparator/>
      </w:r>
    </w:p>
  </w:footnote>
  <w:footnote w:type="continuationNotice" w:id="1">
    <w:p w14:paraId="188B553B" w14:textId="77777777" w:rsidR="0053240E" w:rsidRDefault="0053240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5yZFM5mG3rtVqyLeCsv2Kwib/qt/Yi0PhanLH0tUc5llqgpTXZ0mYForjfjOVaD+cpNM36v7qEULiVJ0yPJvg==" w:salt="2bQwP2B0spwQY1nKeEBRr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07311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0E1D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12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2026-01-02T23:35:00Z</dcterms:created>
  <dcterms:modified xsi:type="dcterms:W3CDTF">2026-01-02T23:35:00Z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