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8A6" w:rsidRPr="00690BA0" w:rsidRDefault="006558A6" w:rsidP="001816D4">
      <w:pPr>
        <w:tabs>
          <w:tab w:val="right" w:pos="10260"/>
        </w:tabs>
        <w:spacing w:line="1000" w:lineRule="exact"/>
        <w:rPr>
          <w:rFonts w:ascii="Arial Bold" w:hAnsi="Arial Bold" w:cs="Arial"/>
          <w:snapToGrid w:val="0"/>
          <w:sz w:val="106"/>
          <w:szCs w:val="96"/>
        </w:rPr>
      </w:pPr>
      <w:r>
        <w:rPr>
          <w:noProof/>
        </w:rPr>
        <w:drawing>
          <wp:inline distT="0" distB="0" distL="0" distR="0" wp14:anchorId="6FCC530B" wp14:editId="0C9AC602">
            <wp:extent cx="1859280" cy="449580"/>
            <wp:effectExtent l="0" t="0" r="7620" b="7620"/>
            <wp:docPr id="1" name="Picture 1" descr="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r>
        <w:rPr>
          <w:noProof/>
        </w:rPr>
        <w:tab/>
      </w:r>
    </w:p>
    <w:p w:rsidR="006558A6" w:rsidRPr="00CF4E5F" w:rsidRDefault="00E155D8" w:rsidP="00C96DA6">
      <w:pPr>
        <w:pStyle w:val="Heading1"/>
        <w:pBdr>
          <w:top w:val="single" w:sz="4" w:space="1" w:color="auto"/>
        </w:pBdr>
      </w:pPr>
      <w:r w:rsidRPr="00CF4E5F">
        <w:t xml:space="preserve">DSA </w:t>
      </w:r>
      <w:r w:rsidR="006558A6" w:rsidRPr="00CF4E5F">
        <w:t xml:space="preserve">Code Amendment </w:t>
      </w:r>
      <w:r w:rsidR="00045956" w:rsidRPr="00CF4E5F">
        <w:t>development</w:t>
      </w:r>
      <w:r w:rsidR="00192104" w:rsidRPr="00CF4E5F">
        <w:tab/>
      </w:r>
    </w:p>
    <w:p w:rsidR="006558A6" w:rsidRDefault="006558A6" w:rsidP="00045956">
      <w:pPr>
        <w:rPr>
          <w:rFonts w:cs="Arial"/>
        </w:rPr>
      </w:pPr>
    </w:p>
    <w:p w:rsidR="00130630" w:rsidRDefault="00130630">
      <w:pPr>
        <w:rPr>
          <w:rFonts w:cs="Arial"/>
        </w:rPr>
        <w:sectPr w:rsidR="00130630" w:rsidSect="008913ED">
          <w:footerReference w:type="default" r:id="rId8"/>
          <w:footerReference w:type="first" r:id="rId9"/>
          <w:pgSz w:w="12240" w:h="15840"/>
          <w:pgMar w:top="720" w:right="1080" w:bottom="1080" w:left="1080" w:header="720" w:footer="720" w:gutter="0"/>
          <w:cols w:space="720"/>
          <w:docGrid w:linePitch="360"/>
        </w:sectPr>
      </w:pPr>
    </w:p>
    <w:p w:rsidR="00130630" w:rsidRPr="00EE13F6" w:rsidRDefault="00130630">
      <w:pPr>
        <w:rPr>
          <w:rFonts w:cs="Arial"/>
          <w:sz w:val="12"/>
          <w:szCs w:val="12"/>
        </w:rPr>
      </w:pPr>
    </w:p>
    <w:tbl>
      <w:tblPr>
        <w:tblStyle w:val="TableGrid"/>
        <w:tblW w:w="6624" w:type="dxa"/>
        <w:tblInd w:w="144" w:type="dxa"/>
        <w:tblLook w:val="04A0" w:firstRow="1" w:lastRow="0" w:firstColumn="1" w:lastColumn="0" w:noHBand="0" w:noVBand="1"/>
        <w:tblDescription w:val="Applicable Code"/>
      </w:tblPr>
      <w:tblGrid>
        <w:gridCol w:w="6624"/>
      </w:tblGrid>
      <w:tr w:rsidR="005F2173" w:rsidTr="005839FD">
        <w:trPr>
          <w:trHeight w:val="360"/>
          <w:tblHeader/>
        </w:trPr>
        <w:tc>
          <w:tcPr>
            <w:tcW w:w="6624" w:type="dxa"/>
            <w:shd w:val="clear" w:color="auto" w:fill="000000" w:themeFill="text1"/>
            <w:vAlign w:val="center"/>
          </w:tcPr>
          <w:p w:rsidR="005F2173" w:rsidRPr="00CF4E5F" w:rsidRDefault="005839FD" w:rsidP="00CF4E5F">
            <w:pPr>
              <w:pStyle w:val="Heading2"/>
              <w:outlineLvl w:val="1"/>
            </w:pPr>
            <w:r w:rsidRPr="00CF4E5F">
              <w:t>Tracking</w:t>
            </w:r>
          </w:p>
        </w:tc>
      </w:tr>
      <w:tr w:rsidR="005F2173" w:rsidTr="005839FD">
        <w:trPr>
          <w:trHeight w:val="432"/>
        </w:trPr>
        <w:tc>
          <w:tcPr>
            <w:tcW w:w="6624" w:type="dxa"/>
          </w:tcPr>
          <w:p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Date Received:</w:t>
            </w:r>
            <w:r w:rsidR="00D30386">
              <w:rPr>
                <w:rFonts w:ascii="Arial Narrow" w:hAnsi="Arial Narrow" w:cs="Arial"/>
                <w:szCs w:val="22"/>
              </w:rPr>
              <w:tab/>
            </w:r>
            <w:r w:rsidR="00024DBE">
              <w:rPr>
                <w:rFonts w:ascii="Arial Narrow" w:hAnsi="Arial Narrow" w:cs="Arial"/>
                <w:szCs w:val="22"/>
              </w:rPr>
              <w:t>-</w:t>
            </w:r>
          </w:p>
        </w:tc>
      </w:tr>
      <w:tr w:rsidR="005F2173" w:rsidTr="005839FD">
        <w:trPr>
          <w:trHeight w:val="432"/>
        </w:trPr>
        <w:tc>
          <w:tcPr>
            <w:tcW w:w="6624" w:type="dxa"/>
          </w:tcPr>
          <w:p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DSA Tracking Number:</w:t>
            </w:r>
            <w:r w:rsidR="00D30386">
              <w:rPr>
                <w:rFonts w:ascii="Arial Narrow" w:hAnsi="Arial Narrow" w:cs="Arial"/>
                <w:szCs w:val="22"/>
              </w:rPr>
              <w:tab/>
            </w:r>
            <w:r w:rsidR="00024DBE">
              <w:rPr>
                <w:rFonts w:ascii="Arial Narrow" w:hAnsi="Arial Narrow" w:cs="Arial"/>
                <w:szCs w:val="22"/>
              </w:rPr>
              <w:t>N/A</w:t>
            </w:r>
          </w:p>
        </w:tc>
      </w:tr>
      <w:tr w:rsidR="00FF2CC3" w:rsidTr="005839FD">
        <w:trPr>
          <w:trHeight w:val="432"/>
        </w:trPr>
        <w:tc>
          <w:tcPr>
            <w:tcW w:w="6624" w:type="dxa"/>
          </w:tcPr>
          <w:p w:rsidR="00FF2CC3" w:rsidRPr="00291BAA" w:rsidRDefault="00FF2CC3" w:rsidP="008604BF">
            <w:pPr>
              <w:ind w:left="2196" w:hanging="2196"/>
              <w:rPr>
                <w:rFonts w:ascii="Arial Narrow" w:hAnsi="Arial Narrow" w:cs="Arial"/>
                <w:szCs w:val="22"/>
              </w:rPr>
            </w:pPr>
            <w:r>
              <w:rPr>
                <w:rFonts w:ascii="Arial Narrow" w:hAnsi="Arial Narrow" w:cs="Arial"/>
                <w:szCs w:val="22"/>
              </w:rPr>
              <w:t>Date Reviewed:</w:t>
            </w:r>
            <w:r w:rsidR="00D30386">
              <w:rPr>
                <w:rFonts w:ascii="Arial Narrow" w:hAnsi="Arial Narrow" w:cs="Arial"/>
                <w:szCs w:val="22"/>
              </w:rPr>
              <w:tab/>
            </w:r>
            <w:r w:rsidR="008604BF">
              <w:rPr>
                <w:rFonts w:ascii="Arial Narrow" w:hAnsi="Arial Narrow" w:cs="Arial"/>
                <w:szCs w:val="22"/>
              </w:rPr>
              <w:t>8</w:t>
            </w:r>
            <w:r w:rsidR="008D46AC">
              <w:rPr>
                <w:rFonts w:ascii="Arial Narrow" w:hAnsi="Arial Narrow" w:cs="Arial"/>
                <w:szCs w:val="22"/>
              </w:rPr>
              <w:t>/16</w:t>
            </w:r>
            <w:r w:rsidR="00024DBE">
              <w:rPr>
                <w:rFonts w:ascii="Arial Narrow" w:hAnsi="Arial Narrow" w:cs="Arial"/>
                <w:szCs w:val="22"/>
              </w:rPr>
              <w:t>/1</w:t>
            </w:r>
            <w:r w:rsidR="008604BF">
              <w:rPr>
                <w:rFonts w:ascii="Arial Narrow" w:hAnsi="Arial Narrow" w:cs="Arial"/>
                <w:szCs w:val="22"/>
              </w:rPr>
              <w:t>9</w:t>
            </w:r>
          </w:p>
        </w:tc>
      </w:tr>
      <w:tr w:rsidR="00FF2CC3" w:rsidTr="005839FD">
        <w:trPr>
          <w:trHeight w:val="432"/>
        </w:trPr>
        <w:tc>
          <w:tcPr>
            <w:tcW w:w="6624" w:type="dxa"/>
          </w:tcPr>
          <w:p w:rsidR="00FF2CC3" w:rsidRPr="00291BAA" w:rsidRDefault="002B595E" w:rsidP="00D30386">
            <w:pPr>
              <w:ind w:left="2196" w:hanging="2196"/>
              <w:rPr>
                <w:rFonts w:ascii="Arial Narrow" w:hAnsi="Arial Narrow" w:cs="Arial"/>
                <w:szCs w:val="22"/>
              </w:rPr>
            </w:pPr>
            <w:r>
              <w:rPr>
                <w:rFonts w:ascii="Arial Narrow" w:hAnsi="Arial Narrow" w:cs="Arial"/>
                <w:szCs w:val="22"/>
              </w:rPr>
              <w:t>Status</w:t>
            </w:r>
            <w:r w:rsidR="00FF2CC3">
              <w:rPr>
                <w:rFonts w:ascii="Arial Narrow" w:hAnsi="Arial Narrow" w:cs="Arial"/>
                <w:szCs w:val="22"/>
              </w:rPr>
              <w:t>:</w:t>
            </w:r>
            <w:r w:rsidR="00D30386">
              <w:rPr>
                <w:rFonts w:ascii="Arial Narrow" w:hAnsi="Arial Narrow" w:cs="Arial"/>
                <w:szCs w:val="22"/>
              </w:rPr>
              <w:tab/>
            </w:r>
            <w:r w:rsidR="00024DBE">
              <w:rPr>
                <w:rFonts w:ascii="Arial Narrow" w:hAnsi="Arial Narrow" w:cs="Arial"/>
                <w:szCs w:val="22"/>
              </w:rPr>
              <w:t>Under consideration</w:t>
            </w:r>
          </w:p>
        </w:tc>
      </w:tr>
    </w:tbl>
    <w:p w:rsidR="006558A6" w:rsidRPr="005839FD" w:rsidRDefault="005839FD">
      <w:pPr>
        <w:rPr>
          <w:rFonts w:cs="Arial"/>
          <w:sz w:val="12"/>
          <w:szCs w:val="12"/>
        </w:rPr>
      </w:pPr>
      <w:r>
        <w:rPr>
          <w:rFonts w:cs="Arial"/>
          <w:sz w:val="12"/>
          <w:szCs w:val="12"/>
        </w:rPr>
        <w:br w:type="column"/>
      </w:r>
    </w:p>
    <w:tbl>
      <w:tblPr>
        <w:tblStyle w:val="TableGrid"/>
        <w:tblW w:w="0" w:type="auto"/>
        <w:tblLook w:val="04A0" w:firstRow="1" w:lastRow="0" w:firstColumn="1" w:lastColumn="0" w:noHBand="0" w:noVBand="1"/>
        <w:tblDescription w:val="Applicable Code"/>
      </w:tblPr>
      <w:tblGrid>
        <w:gridCol w:w="3168"/>
      </w:tblGrid>
      <w:tr w:rsidR="00085A97" w:rsidTr="00F774E0">
        <w:trPr>
          <w:trHeight w:val="360"/>
          <w:tblHeader/>
        </w:trPr>
        <w:tc>
          <w:tcPr>
            <w:tcW w:w="3168" w:type="dxa"/>
            <w:shd w:val="clear" w:color="auto" w:fill="000000" w:themeFill="text1"/>
            <w:vAlign w:val="center"/>
          </w:tcPr>
          <w:p w:rsidR="00085A97" w:rsidRPr="00CF4E5F" w:rsidRDefault="00085A97" w:rsidP="00CF4E5F">
            <w:pPr>
              <w:pStyle w:val="Heading2"/>
              <w:outlineLvl w:val="1"/>
            </w:pPr>
            <w:r w:rsidRPr="00CF4E5F">
              <w:t>Applicable Code</w:t>
            </w:r>
          </w:p>
        </w:tc>
      </w:tr>
      <w:tr w:rsidR="00085A97" w:rsidTr="00F774E0">
        <w:trPr>
          <w:trHeight w:val="864"/>
        </w:trPr>
        <w:tc>
          <w:tcPr>
            <w:tcW w:w="3168" w:type="dxa"/>
          </w:tcPr>
          <w:p w:rsidR="00085A97" w:rsidRDefault="00085A97" w:rsidP="004E3C48">
            <w:pPr>
              <w:rPr>
                <w:rFonts w:ascii="Arial Narrow" w:hAnsi="Arial Narrow" w:cs="Arial"/>
                <w:szCs w:val="22"/>
              </w:rPr>
            </w:pPr>
            <w:r w:rsidRPr="00291BAA">
              <w:rPr>
                <w:rFonts w:ascii="Arial Narrow" w:hAnsi="Arial Narrow" w:cs="Arial"/>
                <w:szCs w:val="22"/>
              </w:rPr>
              <w:t xml:space="preserve">Applicable Code </w:t>
            </w:r>
            <w:r w:rsidR="004E3C48">
              <w:rPr>
                <w:rFonts w:ascii="Arial Narrow" w:hAnsi="Arial Narrow" w:cs="Arial"/>
                <w:szCs w:val="22"/>
              </w:rPr>
              <w:t>Section</w:t>
            </w:r>
            <w:r w:rsidRPr="00291BAA">
              <w:rPr>
                <w:rFonts w:ascii="Arial Narrow" w:hAnsi="Arial Narrow" w:cs="Arial"/>
                <w:szCs w:val="22"/>
              </w:rPr>
              <w:t>(</w:t>
            </w:r>
            <w:r w:rsidR="004E3C48">
              <w:rPr>
                <w:rFonts w:ascii="Arial Narrow" w:hAnsi="Arial Narrow" w:cs="Arial"/>
                <w:szCs w:val="22"/>
              </w:rPr>
              <w:t>s</w:t>
            </w:r>
            <w:r w:rsidRPr="00291BAA">
              <w:rPr>
                <w:rFonts w:ascii="Arial Narrow" w:hAnsi="Arial Narrow" w:cs="Arial"/>
                <w:szCs w:val="22"/>
              </w:rPr>
              <w:t>):</w:t>
            </w:r>
          </w:p>
          <w:p w:rsidR="004E3C48" w:rsidRPr="00291BAA" w:rsidRDefault="008604BF" w:rsidP="004E3C48">
            <w:pPr>
              <w:rPr>
                <w:rFonts w:ascii="Arial Narrow" w:hAnsi="Arial Narrow" w:cs="Arial"/>
                <w:szCs w:val="22"/>
              </w:rPr>
            </w:pPr>
            <w:r>
              <w:rPr>
                <w:rFonts w:ascii="Arial Narrow" w:hAnsi="Arial Narrow" w:cs="Arial"/>
                <w:szCs w:val="22"/>
              </w:rPr>
              <w:t>CALGreen Ch. 5, Sec. 5.106.5.3</w:t>
            </w:r>
          </w:p>
        </w:tc>
      </w:tr>
      <w:tr w:rsidR="00085A97" w:rsidTr="002B595E">
        <w:trPr>
          <w:trHeight w:val="864"/>
        </w:trPr>
        <w:tc>
          <w:tcPr>
            <w:tcW w:w="3168" w:type="dxa"/>
          </w:tcPr>
          <w:p w:rsidR="00085A97" w:rsidRDefault="004E3C48">
            <w:pPr>
              <w:rPr>
                <w:rFonts w:ascii="Arial Narrow" w:hAnsi="Arial Narrow" w:cs="Arial"/>
                <w:szCs w:val="22"/>
              </w:rPr>
            </w:pPr>
            <w:r>
              <w:rPr>
                <w:rFonts w:ascii="Arial Narrow" w:hAnsi="Arial Narrow" w:cs="Arial"/>
                <w:szCs w:val="22"/>
              </w:rPr>
              <w:t>Topic</w:t>
            </w:r>
            <w:r w:rsidR="00085A97" w:rsidRPr="00291BAA">
              <w:rPr>
                <w:rFonts w:ascii="Arial Narrow" w:hAnsi="Arial Narrow" w:cs="Arial"/>
                <w:szCs w:val="22"/>
              </w:rPr>
              <w:t>:</w:t>
            </w:r>
          </w:p>
          <w:p w:rsidR="004E3C48" w:rsidRPr="00291BAA" w:rsidRDefault="008604BF">
            <w:pPr>
              <w:rPr>
                <w:rFonts w:ascii="Arial Narrow" w:hAnsi="Arial Narrow" w:cs="Arial"/>
                <w:szCs w:val="22"/>
              </w:rPr>
            </w:pPr>
            <w:r>
              <w:rPr>
                <w:rFonts w:ascii="Arial Narrow" w:hAnsi="Arial Narrow" w:cs="Arial"/>
                <w:szCs w:val="22"/>
              </w:rPr>
              <w:t>Electric Vehicle Charging</w:t>
            </w:r>
          </w:p>
        </w:tc>
      </w:tr>
    </w:tbl>
    <w:p w:rsidR="00280A53" w:rsidRPr="00EE13F6" w:rsidRDefault="00280A53">
      <w:pPr>
        <w:rPr>
          <w:rFonts w:cs="Arial"/>
          <w:sz w:val="12"/>
          <w:szCs w:val="12"/>
        </w:rPr>
      </w:pPr>
    </w:p>
    <w:p w:rsidR="00130630" w:rsidRDefault="00130630">
      <w:pPr>
        <w:rPr>
          <w:rFonts w:cs="Arial"/>
        </w:rPr>
        <w:sectPr w:rsidR="00130630" w:rsidSect="00B5502F">
          <w:type w:val="continuous"/>
          <w:pgSz w:w="12240" w:h="15840"/>
          <w:pgMar w:top="1080" w:right="1080" w:bottom="1080" w:left="1080" w:header="720" w:footer="720" w:gutter="0"/>
          <w:cols w:num="2" w:space="432" w:equalWidth="0">
            <w:col w:w="6624" w:space="432"/>
            <w:col w:w="3024"/>
          </w:cols>
          <w:titlePg/>
          <w:docGrid w:linePitch="360"/>
        </w:sectPr>
      </w:pPr>
    </w:p>
    <w:p w:rsidR="00AD21E3" w:rsidRPr="00EE13F6" w:rsidRDefault="00AD21E3">
      <w:pPr>
        <w:rPr>
          <w:rFonts w:cs="Arial"/>
          <w:sz w:val="12"/>
          <w:szCs w:val="12"/>
        </w:rPr>
      </w:pPr>
    </w:p>
    <w:tbl>
      <w:tblPr>
        <w:tblStyle w:val="TableGrid"/>
        <w:tblW w:w="0" w:type="auto"/>
        <w:tblInd w:w="144" w:type="dxa"/>
        <w:tblLook w:val="04A0" w:firstRow="1" w:lastRow="0" w:firstColumn="1" w:lastColumn="0" w:noHBand="0" w:noVBand="1"/>
        <w:tblDescription w:val="Suggested Text of Proposed Amendments"/>
      </w:tblPr>
      <w:tblGrid>
        <w:gridCol w:w="10080"/>
      </w:tblGrid>
      <w:tr w:rsidR="0039609A" w:rsidTr="001816D4">
        <w:trPr>
          <w:trHeight w:val="360"/>
          <w:tblHeader/>
        </w:trPr>
        <w:tc>
          <w:tcPr>
            <w:tcW w:w="10080" w:type="dxa"/>
            <w:shd w:val="clear" w:color="auto" w:fill="000000" w:themeFill="text1"/>
            <w:vAlign w:val="center"/>
          </w:tcPr>
          <w:p w:rsidR="0039609A" w:rsidRPr="00CF4E5F" w:rsidRDefault="00BC074F" w:rsidP="00CF4E5F">
            <w:pPr>
              <w:pStyle w:val="Heading2"/>
              <w:outlineLvl w:val="1"/>
            </w:pPr>
            <w:r w:rsidRPr="00CF4E5F">
              <w:t>Current Code Language</w:t>
            </w:r>
          </w:p>
        </w:tc>
      </w:tr>
    </w:tbl>
    <w:p w:rsidR="00A7686A" w:rsidRPr="002B595E" w:rsidRDefault="00A7686A" w:rsidP="00A7686A">
      <w:pPr>
        <w:rPr>
          <w:rFonts w:cs="Arial"/>
          <w:sz w:val="12"/>
          <w:szCs w:val="12"/>
        </w:rPr>
      </w:pPr>
    </w:p>
    <w:p w:rsidR="00D663C1" w:rsidRDefault="00D663C1" w:rsidP="000E3054">
      <w:pPr>
        <w:autoSpaceDE w:val="0"/>
        <w:autoSpaceDN w:val="0"/>
        <w:adjustRightInd w:val="0"/>
        <w:spacing w:after="240"/>
        <w:rPr>
          <w:rFonts w:eastAsia="SimSun" w:cs="Arial"/>
          <w:b/>
          <w:bCs/>
        </w:rPr>
      </w:pPr>
      <w:r w:rsidRPr="00082479">
        <w:rPr>
          <w:rFonts w:eastAsia="SimSun" w:cs="Arial"/>
          <w:b/>
          <w:bCs/>
        </w:rPr>
        <w:t>5.106.5.3 Electric vehicle (EV) charging</w:t>
      </w:r>
      <w:r w:rsidR="00663253">
        <w:rPr>
          <w:rFonts w:eastAsia="SimSun" w:cs="Arial"/>
          <w:b/>
          <w:bCs/>
        </w:rPr>
        <w:t>. [N]</w:t>
      </w:r>
      <w:r w:rsidR="00663253" w:rsidRPr="00663253">
        <w:rPr>
          <w:rFonts w:eastAsia="SimSun" w:cs="Arial"/>
          <w:bCs/>
        </w:rPr>
        <w:t xml:space="preserve"> …</w:t>
      </w:r>
    </w:p>
    <w:p w:rsidR="00D663C1" w:rsidRPr="00082479" w:rsidRDefault="00D663C1" w:rsidP="00D663C1">
      <w:pPr>
        <w:autoSpaceDE w:val="0"/>
        <w:autoSpaceDN w:val="0"/>
        <w:adjustRightInd w:val="0"/>
        <w:ind w:left="360"/>
        <w:rPr>
          <w:rFonts w:eastAsia="SimSun" w:cs="Arial"/>
          <w:bCs/>
        </w:rPr>
      </w:pPr>
      <w:r w:rsidRPr="00082479">
        <w:rPr>
          <w:rFonts w:eastAsia="SimSun" w:cs="Arial"/>
          <w:b/>
          <w:bCs/>
        </w:rPr>
        <w:t>5.106.5.3.1 Single charging space requirements</w:t>
      </w:r>
      <w:r>
        <w:rPr>
          <w:rFonts w:eastAsia="SimSun" w:cs="Arial"/>
          <w:b/>
          <w:bCs/>
        </w:rPr>
        <w:t xml:space="preserve"> [N]</w:t>
      </w:r>
      <w:r w:rsidR="00663253">
        <w:rPr>
          <w:rFonts w:eastAsia="SimSun" w:cs="Arial"/>
          <w:bCs/>
        </w:rPr>
        <w:t xml:space="preserve"> </w:t>
      </w:r>
      <w:r w:rsidRPr="00082479">
        <w:rPr>
          <w:rFonts w:eastAsia="SimSun" w:cs="Arial"/>
          <w:bCs/>
        </w:rPr>
        <w:t>When only a single</w:t>
      </w:r>
      <w:r w:rsidR="003D29E1">
        <w:rPr>
          <w:rFonts w:eastAsia="SimSun" w:cs="Arial"/>
          <w:bCs/>
        </w:rPr>
        <w:t xml:space="preserve"> … </w:t>
      </w:r>
      <w:r>
        <w:rPr>
          <w:rFonts w:eastAsia="SimSun" w:cs="Arial"/>
          <w:bCs/>
        </w:rPr>
        <w:t xml:space="preserve">the </w:t>
      </w:r>
      <w:r w:rsidRPr="00082479">
        <w:rPr>
          <w:rFonts w:eastAsia="SimSun" w:cs="Arial"/>
          <w:bCs/>
        </w:rPr>
        <w:t>following:</w:t>
      </w:r>
    </w:p>
    <w:p w:rsidR="00D663C1" w:rsidRPr="00EB15C9" w:rsidRDefault="00663253" w:rsidP="00663253">
      <w:pPr>
        <w:autoSpaceDE w:val="0"/>
        <w:autoSpaceDN w:val="0"/>
        <w:adjustRightInd w:val="0"/>
        <w:ind w:left="1080" w:hanging="360"/>
        <w:rPr>
          <w:rFonts w:eastAsia="SimSun" w:cs="Arial"/>
          <w:bCs/>
        </w:rPr>
      </w:pPr>
      <w:r w:rsidRPr="00EB15C9">
        <w:rPr>
          <w:rFonts w:eastAsia="SimSun" w:cs="Arial"/>
          <w:bCs/>
        </w:rPr>
        <w:t>1.</w:t>
      </w:r>
      <w:r w:rsidRPr="00EB15C9">
        <w:rPr>
          <w:rFonts w:eastAsia="SimSun" w:cs="Arial"/>
          <w:bCs/>
        </w:rPr>
        <w:tab/>
        <w:t>…</w:t>
      </w:r>
    </w:p>
    <w:p w:rsidR="00D663C1" w:rsidRPr="00EB15C9" w:rsidRDefault="00663253" w:rsidP="00663253">
      <w:pPr>
        <w:autoSpaceDE w:val="0"/>
        <w:autoSpaceDN w:val="0"/>
        <w:adjustRightInd w:val="0"/>
        <w:ind w:left="1080" w:hanging="360"/>
        <w:rPr>
          <w:rFonts w:eastAsia="SimSun" w:cs="Arial"/>
          <w:bCs/>
        </w:rPr>
      </w:pPr>
      <w:r w:rsidRPr="00EB15C9">
        <w:rPr>
          <w:rFonts w:eastAsia="SimSun" w:cs="Arial"/>
          <w:bCs/>
        </w:rPr>
        <w:t>2.</w:t>
      </w:r>
      <w:r w:rsidRPr="00EB15C9">
        <w:rPr>
          <w:rFonts w:eastAsia="SimSun" w:cs="Arial"/>
          <w:bCs/>
        </w:rPr>
        <w:tab/>
        <w:t>…</w:t>
      </w:r>
    </w:p>
    <w:p w:rsidR="00D663C1" w:rsidRPr="00EB15C9" w:rsidRDefault="00D663C1" w:rsidP="00663253">
      <w:pPr>
        <w:autoSpaceDE w:val="0"/>
        <w:autoSpaceDN w:val="0"/>
        <w:adjustRightInd w:val="0"/>
        <w:ind w:left="1080" w:hanging="360"/>
        <w:rPr>
          <w:rFonts w:eastAsia="SimSun" w:cs="Arial"/>
          <w:bCs/>
        </w:rPr>
      </w:pPr>
      <w:r w:rsidRPr="00EB15C9">
        <w:rPr>
          <w:rFonts w:eastAsia="SimSun" w:cs="Arial"/>
          <w:bCs/>
        </w:rPr>
        <w:t>3.</w:t>
      </w:r>
      <w:r w:rsidR="00663253" w:rsidRPr="00EB15C9">
        <w:rPr>
          <w:rFonts w:eastAsia="SimSun" w:cs="Arial"/>
          <w:bCs/>
        </w:rPr>
        <w:tab/>
        <w:t>…</w:t>
      </w:r>
    </w:p>
    <w:p w:rsidR="00D663C1" w:rsidRPr="00EB15C9" w:rsidRDefault="00663253" w:rsidP="00663253">
      <w:pPr>
        <w:autoSpaceDE w:val="0"/>
        <w:autoSpaceDN w:val="0"/>
        <w:adjustRightInd w:val="0"/>
        <w:ind w:left="1080" w:hanging="360"/>
        <w:rPr>
          <w:rFonts w:eastAsia="SimSun" w:cs="Arial"/>
          <w:bCs/>
        </w:rPr>
      </w:pPr>
      <w:r w:rsidRPr="00EB15C9">
        <w:rPr>
          <w:rFonts w:eastAsia="SimSun" w:cs="Arial"/>
          <w:bCs/>
        </w:rPr>
        <w:t>4.</w:t>
      </w:r>
      <w:r w:rsidRPr="00EB15C9">
        <w:rPr>
          <w:rFonts w:eastAsia="SimSun" w:cs="Arial"/>
          <w:bCs/>
        </w:rPr>
        <w:tab/>
        <w:t>…</w:t>
      </w:r>
    </w:p>
    <w:p w:rsidR="00D663C1" w:rsidRPr="00EB15C9" w:rsidRDefault="00663253" w:rsidP="00663253">
      <w:pPr>
        <w:autoSpaceDE w:val="0"/>
        <w:autoSpaceDN w:val="0"/>
        <w:adjustRightInd w:val="0"/>
        <w:ind w:left="1080" w:hanging="360"/>
        <w:rPr>
          <w:rFonts w:eastAsia="SimSun" w:cs="Arial"/>
          <w:bCs/>
        </w:rPr>
      </w:pPr>
      <w:r w:rsidRPr="00EB15C9">
        <w:rPr>
          <w:rFonts w:eastAsia="SimSun" w:cs="Arial"/>
          <w:bCs/>
        </w:rPr>
        <w:t>5.</w:t>
      </w:r>
      <w:r w:rsidRPr="00EB15C9">
        <w:rPr>
          <w:rFonts w:eastAsia="SimSun" w:cs="Arial"/>
          <w:bCs/>
        </w:rPr>
        <w:tab/>
        <w:t>…</w:t>
      </w:r>
    </w:p>
    <w:p w:rsidR="00D663C1" w:rsidRPr="00CB228B" w:rsidRDefault="00D663C1" w:rsidP="00D663C1">
      <w:pPr>
        <w:autoSpaceDE w:val="0"/>
        <w:autoSpaceDN w:val="0"/>
        <w:adjustRightInd w:val="0"/>
        <w:ind w:left="720"/>
        <w:rPr>
          <w:rFonts w:eastAsia="SimSun" w:cs="Arial"/>
          <w:bCs/>
          <w:u w:val="single"/>
        </w:rPr>
      </w:pPr>
    </w:p>
    <w:p w:rsidR="00D663C1" w:rsidRPr="00082479" w:rsidRDefault="00D663C1" w:rsidP="00D663C1">
      <w:pPr>
        <w:autoSpaceDE w:val="0"/>
        <w:autoSpaceDN w:val="0"/>
        <w:adjustRightInd w:val="0"/>
        <w:ind w:left="360"/>
        <w:rPr>
          <w:rFonts w:eastAsia="SimSun" w:cs="Arial"/>
          <w:bCs/>
        </w:rPr>
      </w:pPr>
      <w:r w:rsidRPr="00082479">
        <w:rPr>
          <w:rFonts w:eastAsia="SimSun" w:cs="Arial"/>
          <w:b/>
          <w:bCs/>
        </w:rPr>
        <w:t>5.106.5.3.2 Multiple charging space requirements</w:t>
      </w:r>
      <w:r w:rsidR="00663253">
        <w:rPr>
          <w:rFonts w:eastAsia="SimSun" w:cs="Arial"/>
          <w:b/>
          <w:bCs/>
        </w:rPr>
        <w:t>. [N]</w:t>
      </w:r>
      <w:r w:rsidR="00663253">
        <w:rPr>
          <w:rFonts w:eastAsia="SimSun" w:cs="Arial"/>
          <w:bCs/>
        </w:rPr>
        <w:t xml:space="preserve"> </w:t>
      </w:r>
      <w:r w:rsidRPr="00082479">
        <w:rPr>
          <w:rFonts w:eastAsia="SimSun" w:cs="Arial"/>
          <w:bCs/>
        </w:rPr>
        <w:t>When multiple charging spaces</w:t>
      </w:r>
      <w:r w:rsidR="00663253">
        <w:rPr>
          <w:rFonts w:eastAsia="SimSun" w:cs="Arial"/>
          <w:bCs/>
        </w:rPr>
        <w:t xml:space="preserve"> … </w:t>
      </w:r>
      <w:r w:rsidRPr="00A430FC">
        <w:rPr>
          <w:rFonts w:eastAsia="SimSun" w:cs="Arial"/>
          <w:bCs/>
        </w:rPr>
        <w:t>the</w:t>
      </w:r>
      <w:r>
        <w:rPr>
          <w:rFonts w:eastAsia="SimSun" w:cs="Arial"/>
          <w:b/>
          <w:bCs/>
        </w:rPr>
        <w:t xml:space="preserve"> </w:t>
      </w:r>
      <w:r w:rsidRPr="00082479">
        <w:rPr>
          <w:rFonts w:eastAsia="SimSun" w:cs="Arial"/>
          <w:bCs/>
        </w:rPr>
        <w:t>following:</w:t>
      </w:r>
    </w:p>
    <w:p w:rsidR="00663253" w:rsidRPr="00EB15C9" w:rsidRDefault="00663253" w:rsidP="00663253">
      <w:pPr>
        <w:autoSpaceDE w:val="0"/>
        <w:autoSpaceDN w:val="0"/>
        <w:adjustRightInd w:val="0"/>
        <w:ind w:left="1080" w:hanging="360"/>
        <w:rPr>
          <w:rFonts w:eastAsia="SimSun" w:cs="Arial"/>
          <w:bCs/>
        </w:rPr>
      </w:pPr>
      <w:r w:rsidRPr="00EB15C9">
        <w:rPr>
          <w:rFonts w:eastAsia="SimSun" w:cs="Arial"/>
          <w:bCs/>
        </w:rPr>
        <w:t>1.</w:t>
      </w:r>
      <w:r w:rsidRPr="00EB15C9">
        <w:rPr>
          <w:rFonts w:eastAsia="SimSun" w:cs="Arial"/>
          <w:bCs/>
        </w:rPr>
        <w:tab/>
        <w:t>…</w:t>
      </w:r>
    </w:p>
    <w:p w:rsidR="00663253" w:rsidRPr="00EB15C9" w:rsidRDefault="00663253" w:rsidP="00663253">
      <w:pPr>
        <w:autoSpaceDE w:val="0"/>
        <w:autoSpaceDN w:val="0"/>
        <w:adjustRightInd w:val="0"/>
        <w:ind w:left="1080" w:hanging="360"/>
        <w:rPr>
          <w:rFonts w:eastAsia="SimSun" w:cs="Arial"/>
          <w:bCs/>
        </w:rPr>
      </w:pPr>
      <w:r w:rsidRPr="00EB15C9">
        <w:rPr>
          <w:rFonts w:eastAsia="SimSun" w:cs="Arial"/>
          <w:bCs/>
        </w:rPr>
        <w:t>2.</w:t>
      </w:r>
      <w:r w:rsidRPr="00EB15C9">
        <w:rPr>
          <w:rFonts w:eastAsia="SimSun" w:cs="Arial"/>
          <w:bCs/>
        </w:rPr>
        <w:tab/>
        <w:t>…</w:t>
      </w:r>
    </w:p>
    <w:p w:rsidR="00663253" w:rsidRPr="00EB15C9" w:rsidRDefault="00663253" w:rsidP="00663253">
      <w:pPr>
        <w:autoSpaceDE w:val="0"/>
        <w:autoSpaceDN w:val="0"/>
        <w:adjustRightInd w:val="0"/>
        <w:ind w:left="1080" w:hanging="360"/>
        <w:rPr>
          <w:rFonts w:eastAsia="SimSun" w:cs="Arial"/>
          <w:bCs/>
        </w:rPr>
      </w:pPr>
      <w:r w:rsidRPr="00EB15C9">
        <w:rPr>
          <w:rFonts w:eastAsia="SimSun" w:cs="Arial"/>
          <w:bCs/>
        </w:rPr>
        <w:t>3.</w:t>
      </w:r>
      <w:r w:rsidRPr="00EB15C9">
        <w:rPr>
          <w:rFonts w:eastAsia="SimSun" w:cs="Arial"/>
          <w:bCs/>
        </w:rPr>
        <w:tab/>
        <w:t>…</w:t>
      </w:r>
    </w:p>
    <w:p w:rsidR="00663253" w:rsidRPr="00EB15C9" w:rsidRDefault="00663253" w:rsidP="00663253">
      <w:pPr>
        <w:autoSpaceDE w:val="0"/>
        <w:autoSpaceDN w:val="0"/>
        <w:adjustRightInd w:val="0"/>
        <w:ind w:left="1080" w:hanging="360"/>
        <w:rPr>
          <w:rFonts w:eastAsia="SimSun" w:cs="Arial"/>
          <w:bCs/>
        </w:rPr>
      </w:pPr>
      <w:r w:rsidRPr="00EB15C9">
        <w:rPr>
          <w:rFonts w:eastAsia="SimSun" w:cs="Arial"/>
          <w:bCs/>
        </w:rPr>
        <w:t>4.</w:t>
      </w:r>
      <w:r w:rsidRPr="00EB15C9">
        <w:rPr>
          <w:rFonts w:eastAsia="SimSun" w:cs="Arial"/>
          <w:bCs/>
        </w:rPr>
        <w:tab/>
        <w:t>…</w:t>
      </w:r>
    </w:p>
    <w:p w:rsidR="00D663C1" w:rsidRPr="00EB15C9" w:rsidRDefault="00663253" w:rsidP="00663253">
      <w:pPr>
        <w:autoSpaceDE w:val="0"/>
        <w:autoSpaceDN w:val="0"/>
        <w:adjustRightInd w:val="0"/>
        <w:ind w:left="1080" w:hanging="360"/>
        <w:rPr>
          <w:rFonts w:eastAsia="SimSun" w:cs="Arial"/>
          <w:bCs/>
        </w:rPr>
      </w:pPr>
      <w:r w:rsidRPr="00EB15C9">
        <w:rPr>
          <w:rFonts w:eastAsia="SimSun" w:cs="Arial"/>
          <w:bCs/>
        </w:rPr>
        <w:t>5.</w:t>
      </w:r>
      <w:r w:rsidRPr="00EB15C9">
        <w:rPr>
          <w:rFonts w:eastAsia="SimSun" w:cs="Arial"/>
          <w:bCs/>
        </w:rPr>
        <w:tab/>
        <w:t>…</w:t>
      </w:r>
    </w:p>
    <w:p w:rsidR="00D663C1" w:rsidRPr="00663253" w:rsidRDefault="00663253" w:rsidP="00D663C1">
      <w:pPr>
        <w:autoSpaceDE w:val="0"/>
        <w:autoSpaceDN w:val="0"/>
        <w:adjustRightInd w:val="0"/>
        <w:rPr>
          <w:rFonts w:eastAsia="SimSun" w:cs="Arial"/>
          <w:bCs/>
        </w:rPr>
      </w:pPr>
      <w:r w:rsidRPr="00663253">
        <w:rPr>
          <w:rFonts w:eastAsia="SimSun" w:cs="Arial"/>
          <w:bCs/>
        </w:rPr>
        <w:t>…</w:t>
      </w:r>
    </w:p>
    <w:p w:rsidR="00D663C1" w:rsidRPr="00082479" w:rsidRDefault="00D663C1" w:rsidP="00D663C1">
      <w:pPr>
        <w:autoSpaceDE w:val="0"/>
        <w:autoSpaceDN w:val="0"/>
        <w:adjustRightInd w:val="0"/>
        <w:jc w:val="center"/>
        <w:rPr>
          <w:rFonts w:cs="Arial"/>
          <w:b/>
          <w:color w:val="000000"/>
        </w:rPr>
      </w:pPr>
      <w:r w:rsidRPr="00082479">
        <w:rPr>
          <w:rFonts w:cs="Arial"/>
          <w:b/>
          <w:color w:val="000000"/>
        </w:rPr>
        <w:t>TABLE 5.106.5.3.3</w:t>
      </w:r>
    </w:p>
    <w:p w:rsidR="00D663C1" w:rsidRPr="00082479" w:rsidRDefault="00D663C1" w:rsidP="00D663C1">
      <w:pPr>
        <w:jc w:val="center"/>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420"/>
      </w:tblGrid>
      <w:tr w:rsidR="00D663C1" w:rsidRPr="00082479" w:rsidTr="00663253">
        <w:trPr>
          <w:trHeight w:val="247"/>
          <w:tblHeader/>
          <w:jc w:val="center"/>
        </w:trPr>
        <w:tc>
          <w:tcPr>
            <w:tcW w:w="3600" w:type="dxa"/>
            <w:shd w:val="clear" w:color="auto" w:fill="auto"/>
          </w:tcPr>
          <w:p w:rsidR="00D663C1" w:rsidRPr="00994B0D" w:rsidRDefault="00D663C1" w:rsidP="00AD0C7D">
            <w:pPr>
              <w:jc w:val="center"/>
              <w:rPr>
                <w:rFonts w:cs="Arial"/>
                <w:b/>
                <w:color w:val="000000"/>
              </w:rPr>
            </w:pPr>
            <w:r w:rsidRPr="00994B0D">
              <w:rPr>
                <w:rFonts w:cs="Arial"/>
                <w:b/>
                <w:color w:val="000000"/>
              </w:rPr>
              <w:t xml:space="preserve">TOTAL NUMBER OF </w:t>
            </w:r>
          </w:p>
          <w:p w:rsidR="00D663C1" w:rsidRPr="00994B0D" w:rsidRDefault="00D663C1" w:rsidP="00AD0C7D">
            <w:pPr>
              <w:jc w:val="center"/>
              <w:rPr>
                <w:rFonts w:cs="Arial"/>
                <w:b/>
                <w:color w:val="000000"/>
              </w:rPr>
            </w:pPr>
            <w:r w:rsidRPr="00994B0D">
              <w:rPr>
                <w:rFonts w:cs="Arial"/>
                <w:b/>
                <w:color w:val="000000"/>
              </w:rPr>
              <w:t>ACTUAL PARKING SPACES</w:t>
            </w:r>
          </w:p>
        </w:tc>
        <w:tc>
          <w:tcPr>
            <w:tcW w:w="3420" w:type="dxa"/>
            <w:shd w:val="clear" w:color="auto" w:fill="auto"/>
          </w:tcPr>
          <w:p w:rsidR="00D663C1" w:rsidRPr="00D663C1" w:rsidRDefault="00D663C1" w:rsidP="00AD0C7D">
            <w:pPr>
              <w:jc w:val="center"/>
              <w:rPr>
                <w:rFonts w:cs="Arial"/>
                <w:b/>
                <w:color w:val="000000"/>
              </w:rPr>
            </w:pPr>
            <w:r w:rsidRPr="00D663C1">
              <w:rPr>
                <w:rFonts w:cs="Arial"/>
                <w:b/>
                <w:color w:val="000000"/>
              </w:rPr>
              <w:t>NUMBER OF REQUIRED EV CHARGING SPACES</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0-9</w:t>
            </w:r>
          </w:p>
        </w:tc>
        <w:tc>
          <w:tcPr>
            <w:tcW w:w="3420" w:type="dxa"/>
            <w:shd w:val="clear" w:color="auto" w:fill="auto"/>
          </w:tcPr>
          <w:p w:rsidR="00D663C1" w:rsidRPr="00D663C1" w:rsidRDefault="00D663C1" w:rsidP="00AD0C7D">
            <w:pPr>
              <w:jc w:val="center"/>
              <w:rPr>
                <w:rFonts w:cs="Arial"/>
                <w:color w:val="000000"/>
              </w:rPr>
            </w:pPr>
            <w:r w:rsidRPr="00D663C1">
              <w:rPr>
                <w:rFonts w:cs="Arial"/>
                <w:color w:val="000000"/>
              </w:rPr>
              <w:t>0</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10-25</w:t>
            </w:r>
          </w:p>
        </w:tc>
        <w:tc>
          <w:tcPr>
            <w:tcW w:w="3420" w:type="dxa"/>
            <w:shd w:val="clear" w:color="auto" w:fill="auto"/>
          </w:tcPr>
          <w:p w:rsidR="00D663C1" w:rsidRPr="00D663C1" w:rsidRDefault="00D663C1" w:rsidP="00AD0C7D">
            <w:pPr>
              <w:jc w:val="center"/>
              <w:rPr>
                <w:rFonts w:cs="Arial"/>
                <w:color w:val="000000"/>
              </w:rPr>
            </w:pPr>
            <w:r w:rsidRPr="00D663C1">
              <w:rPr>
                <w:rFonts w:cs="Arial"/>
                <w:color w:val="000000"/>
              </w:rPr>
              <w:t>1</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26-50</w:t>
            </w:r>
          </w:p>
        </w:tc>
        <w:tc>
          <w:tcPr>
            <w:tcW w:w="3420" w:type="dxa"/>
            <w:shd w:val="clear" w:color="auto" w:fill="auto"/>
          </w:tcPr>
          <w:p w:rsidR="00D663C1" w:rsidRPr="00D663C1" w:rsidRDefault="00D663C1" w:rsidP="00AD0C7D">
            <w:pPr>
              <w:jc w:val="center"/>
              <w:rPr>
                <w:rFonts w:cs="Arial"/>
                <w:color w:val="000000"/>
              </w:rPr>
            </w:pPr>
            <w:r w:rsidRPr="00D663C1">
              <w:rPr>
                <w:rFonts w:cs="Arial"/>
                <w:color w:val="000000"/>
              </w:rPr>
              <w:t>2</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51-75</w:t>
            </w:r>
          </w:p>
        </w:tc>
        <w:tc>
          <w:tcPr>
            <w:tcW w:w="3420" w:type="dxa"/>
            <w:shd w:val="clear" w:color="auto" w:fill="auto"/>
          </w:tcPr>
          <w:p w:rsidR="00D663C1" w:rsidRPr="00D663C1" w:rsidRDefault="00D663C1" w:rsidP="00AD0C7D">
            <w:pPr>
              <w:jc w:val="center"/>
              <w:rPr>
                <w:rFonts w:cs="Arial"/>
                <w:color w:val="000000"/>
              </w:rPr>
            </w:pPr>
            <w:r w:rsidRPr="00D663C1">
              <w:rPr>
                <w:rFonts w:cs="Arial"/>
                <w:color w:val="000000"/>
              </w:rPr>
              <w:t>4</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76-100</w:t>
            </w:r>
          </w:p>
        </w:tc>
        <w:tc>
          <w:tcPr>
            <w:tcW w:w="3420" w:type="dxa"/>
            <w:shd w:val="clear" w:color="auto" w:fill="auto"/>
          </w:tcPr>
          <w:p w:rsidR="00D663C1" w:rsidRPr="00D663C1" w:rsidRDefault="00D663C1" w:rsidP="00AD0C7D">
            <w:pPr>
              <w:jc w:val="center"/>
              <w:rPr>
                <w:rFonts w:cs="Arial"/>
                <w:color w:val="000000"/>
              </w:rPr>
            </w:pPr>
            <w:r w:rsidRPr="00D663C1">
              <w:rPr>
                <w:rFonts w:cs="Arial"/>
                <w:color w:val="000000"/>
              </w:rPr>
              <w:t>5</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101-150</w:t>
            </w:r>
          </w:p>
        </w:tc>
        <w:tc>
          <w:tcPr>
            <w:tcW w:w="3420" w:type="dxa"/>
            <w:shd w:val="clear" w:color="auto" w:fill="auto"/>
          </w:tcPr>
          <w:p w:rsidR="00D663C1" w:rsidRPr="00D663C1" w:rsidRDefault="00D663C1" w:rsidP="00AD0C7D">
            <w:pPr>
              <w:jc w:val="center"/>
              <w:rPr>
                <w:rFonts w:cs="Arial"/>
                <w:color w:val="000000"/>
              </w:rPr>
            </w:pPr>
            <w:r w:rsidRPr="00D663C1">
              <w:rPr>
                <w:rFonts w:cs="Arial"/>
                <w:color w:val="000000"/>
              </w:rPr>
              <w:t>7</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151-200</w:t>
            </w:r>
          </w:p>
        </w:tc>
        <w:tc>
          <w:tcPr>
            <w:tcW w:w="3420" w:type="dxa"/>
            <w:shd w:val="clear" w:color="auto" w:fill="auto"/>
          </w:tcPr>
          <w:p w:rsidR="00D663C1" w:rsidRPr="00D663C1" w:rsidRDefault="00D663C1" w:rsidP="00AD0C7D">
            <w:pPr>
              <w:jc w:val="center"/>
              <w:rPr>
                <w:rFonts w:cs="Arial"/>
                <w:color w:val="000000"/>
              </w:rPr>
            </w:pPr>
            <w:r w:rsidRPr="00D663C1">
              <w:rPr>
                <w:rFonts w:cs="Arial"/>
                <w:color w:val="000000"/>
              </w:rPr>
              <w:t xml:space="preserve"> 10</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201 and over</w:t>
            </w:r>
          </w:p>
        </w:tc>
        <w:tc>
          <w:tcPr>
            <w:tcW w:w="3420" w:type="dxa"/>
            <w:shd w:val="clear" w:color="auto" w:fill="auto"/>
          </w:tcPr>
          <w:p w:rsidR="00D663C1" w:rsidRPr="00D663C1" w:rsidRDefault="00D663C1" w:rsidP="00AD0C7D">
            <w:pPr>
              <w:jc w:val="center"/>
              <w:rPr>
                <w:rFonts w:cs="Arial"/>
                <w:color w:val="000000"/>
              </w:rPr>
            </w:pPr>
            <w:r w:rsidRPr="00D663C1">
              <w:rPr>
                <w:rFonts w:cs="Arial"/>
                <w:color w:val="000000"/>
              </w:rPr>
              <w:t xml:space="preserve"> 6 percent of total</w:t>
            </w:r>
            <w:r w:rsidRPr="00D663C1">
              <w:rPr>
                <w:rFonts w:cs="Arial"/>
                <w:color w:val="000000"/>
                <w:vertAlign w:val="superscript"/>
              </w:rPr>
              <w:t>1</w:t>
            </w:r>
          </w:p>
        </w:tc>
      </w:tr>
    </w:tbl>
    <w:p w:rsidR="00D663C1" w:rsidRPr="00A430FC" w:rsidRDefault="00D663C1" w:rsidP="00D663C1">
      <w:pPr>
        <w:numPr>
          <w:ilvl w:val="0"/>
          <w:numId w:val="4"/>
        </w:numPr>
        <w:spacing w:before="120"/>
        <w:rPr>
          <w:rFonts w:cs="Arial"/>
        </w:rPr>
      </w:pPr>
      <w:r w:rsidRPr="00A430FC">
        <w:rPr>
          <w:rFonts w:cs="Arial"/>
          <w:color w:val="000000"/>
        </w:rPr>
        <w:t>Calculation for spaces shall be rounded up to the nearest whole number.</w:t>
      </w:r>
    </w:p>
    <w:p w:rsidR="00D663C1" w:rsidRPr="00663253" w:rsidRDefault="00663253" w:rsidP="00D663C1">
      <w:pPr>
        <w:rPr>
          <w:rFonts w:cs="Arial"/>
        </w:rPr>
      </w:pPr>
      <w:r w:rsidRPr="00663253">
        <w:rPr>
          <w:rFonts w:cs="Arial"/>
        </w:rPr>
        <w:t>…</w:t>
      </w:r>
    </w:p>
    <w:p w:rsidR="00D663C1" w:rsidRPr="00EB15C9" w:rsidRDefault="00D663C1" w:rsidP="00D663C1">
      <w:pPr>
        <w:rPr>
          <w:rFonts w:cs="Arial"/>
          <w:color w:val="000000"/>
        </w:rPr>
      </w:pPr>
    </w:p>
    <w:p w:rsidR="00D663C1" w:rsidRPr="00A430FC" w:rsidRDefault="00D663C1" w:rsidP="00D663C1">
      <w:pPr>
        <w:ind w:left="360"/>
        <w:rPr>
          <w:rFonts w:cs="Arial"/>
          <w:color w:val="000000"/>
        </w:rPr>
      </w:pPr>
      <w:r w:rsidRPr="00A430FC">
        <w:rPr>
          <w:rFonts w:cs="Arial"/>
          <w:b/>
          <w:color w:val="000000"/>
        </w:rPr>
        <w:t>5.106.5.3.5</w:t>
      </w:r>
      <w:r>
        <w:rPr>
          <w:rFonts w:cs="Arial"/>
          <w:b/>
          <w:color w:val="000000"/>
        </w:rPr>
        <w:t xml:space="preserve"> [N] </w:t>
      </w:r>
      <w:r w:rsidRPr="00FA2DBE">
        <w:rPr>
          <w:rFonts w:cs="Arial"/>
          <w:b/>
          <w:color w:val="000000"/>
        </w:rPr>
        <w:t>Future charging spaces.</w:t>
      </w:r>
      <w:r w:rsidR="003D29E1">
        <w:rPr>
          <w:rFonts w:cs="Arial"/>
          <w:color w:val="000000"/>
        </w:rPr>
        <w:t xml:space="preserve"> </w:t>
      </w:r>
      <w:r w:rsidRPr="00A430FC">
        <w:rPr>
          <w:rFonts w:cs="Arial"/>
          <w:color w:val="000000"/>
        </w:rPr>
        <w:t>Future charging spaces qualify as</w:t>
      </w:r>
      <w:r w:rsidR="008F3F63">
        <w:rPr>
          <w:rFonts w:cs="Arial"/>
          <w:color w:val="000000"/>
        </w:rPr>
        <w:t xml:space="preserve"> … </w:t>
      </w:r>
      <w:r w:rsidRPr="00A430FC">
        <w:rPr>
          <w:rFonts w:cs="Arial"/>
          <w:color w:val="000000"/>
        </w:rPr>
        <w:t>clean air vehicles.</w:t>
      </w:r>
    </w:p>
    <w:p w:rsidR="005F2173" w:rsidRPr="00A56FE1" w:rsidRDefault="005F2173" w:rsidP="00BC074F">
      <w:pPr>
        <w:spacing w:after="200"/>
        <w:rPr>
          <w:rFonts w:cs="Arial"/>
          <w:szCs w:val="22"/>
        </w:rPr>
      </w:pPr>
    </w:p>
    <w:tbl>
      <w:tblPr>
        <w:tblStyle w:val="TableGrid"/>
        <w:tblW w:w="0" w:type="auto"/>
        <w:tblInd w:w="144" w:type="dxa"/>
        <w:tblLook w:val="04A0" w:firstRow="1" w:lastRow="0" w:firstColumn="1" w:lastColumn="0" w:noHBand="0" w:noVBand="1"/>
        <w:tblDescription w:val="Suggested Text of Proposed Amendments"/>
      </w:tblPr>
      <w:tblGrid>
        <w:gridCol w:w="10080"/>
      </w:tblGrid>
      <w:tr w:rsidR="00BC074F" w:rsidTr="00610CE3">
        <w:trPr>
          <w:trHeight w:val="360"/>
          <w:tblHeader/>
        </w:trPr>
        <w:tc>
          <w:tcPr>
            <w:tcW w:w="10080" w:type="dxa"/>
            <w:shd w:val="clear" w:color="auto" w:fill="000000" w:themeFill="text1"/>
            <w:vAlign w:val="center"/>
          </w:tcPr>
          <w:p w:rsidR="00BC074F" w:rsidRPr="00CF4E5F" w:rsidRDefault="00BC074F" w:rsidP="00CF4E5F">
            <w:pPr>
              <w:pStyle w:val="Heading2"/>
              <w:outlineLvl w:val="1"/>
            </w:pPr>
            <w:r w:rsidRPr="00CF4E5F">
              <w:lastRenderedPageBreak/>
              <w:t>Suggested Text of Proposed Amendment</w:t>
            </w:r>
          </w:p>
        </w:tc>
      </w:tr>
    </w:tbl>
    <w:p w:rsidR="00A7686A" w:rsidRPr="002B595E" w:rsidRDefault="00A7686A" w:rsidP="00A7686A">
      <w:pPr>
        <w:rPr>
          <w:rFonts w:cs="Arial"/>
          <w:sz w:val="12"/>
          <w:szCs w:val="12"/>
        </w:rPr>
      </w:pPr>
    </w:p>
    <w:p w:rsidR="00D663C1" w:rsidRPr="00663253" w:rsidRDefault="00D663C1" w:rsidP="00D663C1">
      <w:pPr>
        <w:autoSpaceDE w:val="0"/>
        <w:autoSpaceDN w:val="0"/>
        <w:adjustRightInd w:val="0"/>
        <w:rPr>
          <w:rFonts w:eastAsia="SimSun" w:cs="Arial"/>
          <w:bCs/>
        </w:rPr>
      </w:pPr>
      <w:r w:rsidRPr="00082479">
        <w:rPr>
          <w:rFonts w:eastAsia="SimSun" w:cs="Arial"/>
          <w:b/>
          <w:bCs/>
        </w:rPr>
        <w:t>5.106.5.3 Electric vehicle (EV) charging</w:t>
      </w:r>
      <w:r w:rsidR="00663253">
        <w:rPr>
          <w:rFonts w:eastAsia="SimSun" w:cs="Arial"/>
          <w:b/>
          <w:bCs/>
        </w:rPr>
        <w:t>. [N]</w:t>
      </w:r>
      <w:r w:rsidR="00663253">
        <w:rPr>
          <w:rFonts w:eastAsia="SimSun" w:cs="Arial"/>
          <w:bCs/>
        </w:rPr>
        <w:t xml:space="preserve"> …</w:t>
      </w:r>
    </w:p>
    <w:p w:rsidR="00D663C1" w:rsidRPr="00EB15C9" w:rsidRDefault="00D663C1" w:rsidP="00D663C1">
      <w:pPr>
        <w:autoSpaceDE w:val="0"/>
        <w:autoSpaceDN w:val="0"/>
        <w:adjustRightInd w:val="0"/>
        <w:rPr>
          <w:rFonts w:eastAsia="SimSun" w:cs="Arial"/>
          <w:bCs/>
        </w:rPr>
      </w:pPr>
    </w:p>
    <w:p w:rsidR="00D663C1" w:rsidRPr="00663253" w:rsidRDefault="00D663C1" w:rsidP="00D663C1">
      <w:pPr>
        <w:autoSpaceDE w:val="0"/>
        <w:autoSpaceDN w:val="0"/>
        <w:adjustRightInd w:val="0"/>
        <w:ind w:left="360"/>
        <w:rPr>
          <w:rFonts w:eastAsia="SimSun" w:cs="Arial"/>
          <w:bCs/>
        </w:rPr>
      </w:pPr>
      <w:r w:rsidRPr="00082479">
        <w:rPr>
          <w:rFonts w:eastAsia="SimSun" w:cs="Arial"/>
          <w:b/>
          <w:bCs/>
        </w:rPr>
        <w:t>5.106.5.3.1 Single charging space requirements</w:t>
      </w:r>
      <w:r>
        <w:rPr>
          <w:rFonts w:eastAsia="SimSun" w:cs="Arial"/>
          <w:b/>
          <w:bCs/>
        </w:rPr>
        <w:t xml:space="preserve"> [N]</w:t>
      </w:r>
      <w:r w:rsidR="00663253">
        <w:rPr>
          <w:rFonts w:eastAsia="SimSun" w:cs="Arial"/>
          <w:bCs/>
        </w:rPr>
        <w:t xml:space="preserve"> </w:t>
      </w:r>
      <w:r w:rsidRPr="00663253">
        <w:rPr>
          <w:rFonts w:eastAsia="SimSun" w:cs="Arial"/>
          <w:bCs/>
        </w:rPr>
        <w:t xml:space="preserve">When only a single </w:t>
      </w:r>
      <w:r w:rsidR="00663253" w:rsidRPr="00663253">
        <w:rPr>
          <w:rFonts w:eastAsia="SimSun" w:cs="Arial"/>
          <w:bCs/>
        </w:rPr>
        <w:t xml:space="preserve">… </w:t>
      </w:r>
      <w:r w:rsidRPr="00663253">
        <w:rPr>
          <w:rFonts w:eastAsia="SimSun" w:cs="Arial"/>
          <w:bCs/>
        </w:rPr>
        <w:t>the following:</w:t>
      </w:r>
    </w:p>
    <w:p w:rsidR="00663253" w:rsidRPr="00EB15C9" w:rsidRDefault="00663253" w:rsidP="00663253">
      <w:pPr>
        <w:autoSpaceDE w:val="0"/>
        <w:autoSpaceDN w:val="0"/>
        <w:adjustRightInd w:val="0"/>
        <w:ind w:left="1080" w:hanging="360"/>
        <w:rPr>
          <w:rFonts w:eastAsia="SimSun" w:cs="Arial"/>
          <w:bCs/>
        </w:rPr>
      </w:pPr>
      <w:r w:rsidRPr="00EB15C9">
        <w:rPr>
          <w:rFonts w:eastAsia="SimSun" w:cs="Arial"/>
          <w:bCs/>
        </w:rPr>
        <w:t>1.</w:t>
      </w:r>
      <w:r w:rsidRPr="00EB15C9">
        <w:rPr>
          <w:rFonts w:eastAsia="SimSun" w:cs="Arial"/>
          <w:bCs/>
        </w:rPr>
        <w:tab/>
        <w:t>…</w:t>
      </w:r>
    </w:p>
    <w:p w:rsidR="00663253" w:rsidRPr="00EB15C9" w:rsidRDefault="00663253" w:rsidP="00663253">
      <w:pPr>
        <w:autoSpaceDE w:val="0"/>
        <w:autoSpaceDN w:val="0"/>
        <w:adjustRightInd w:val="0"/>
        <w:ind w:left="1080" w:hanging="360"/>
        <w:rPr>
          <w:rFonts w:eastAsia="SimSun" w:cs="Arial"/>
          <w:bCs/>
        </w:rPr>
      </w:pPr>
      <w:r w:rsidRPr="00EB15C9">
        <w:rPr>
          <w:rFonts w:eastAsia="SimSun" w:cs="Arial"/>
          <w:bCs/>
        </w:rPr>
        <w:t>2.</w:t>
      </w:r>
      <w:r w:rsidRPr="00EB15C9">
        <w:rPr>
          <w:rFonts w:eastAsia="SimSun" w:cs="Arial"/>
          <w:bCs/>
        </w:rPr>
        <w:tab/>
        <w:t>…</w:t>
      </w:r>
    </w:p>
    <w:p w:rsidR="00663253" w:rsidRPr="00EB15C9" w:rsidRDefault="00663253" w:rsidP="00663253">
      <w:pPr>
        <w:autoSpaceDE w:val="0"/>
        <w:autoSpaceDN w:val="0"/>
        <w:adjustRightInd w:val="0"/>
        <w:ind w:left="1080" w:hanging="360"/>
        <w:rPr>
          <w:rFonts w:eastAsia="SimSun" w:cs="Arial"/>
          <w:bCs/>
        </w:rPr>
      </w:pPr>
      <w:r w:rsidRPr="00EB15C9">
        <w:rPr>
          <w:rFonts w:eastAsia="SimSun" w:cs="Arial"/>
          <w:bCs/>
        </w:rPr>
        <w:t>3.</w:t>
      </w:r>
      <w:r w:rsidRPr="00EB15C9">
        <w:rPr>
          <w:rFonts w:eastAsia="SimSun" w:cs="Arial"/>
          <w:bCs/>
        </w:rPr>
        <w:tab/>
        <w:t>…</w:t>
      </w:r>
    </w:p>
    <w:p w:rsidR="00663253" w:rsidRPr="00EB15C9" w:rsidRDefault="00663253" w:rsidP="00663253">
      <w:pPr>
        <w:autoSpaceDE w:val="0"/>
        <w:autoSpaceDN w:val="0"/>
        <w:adjustRightInd w:val="0"/>
        <w:ind w:left="1080" w:hanging="360"/>
        <w:rPr>
          <w:rFonts w:eastAsia="SimSun" w:cs="Arial"/>
          <w:bCs/>
        </w:rPr>
      </w:pPr>
      <w:r w:rsidRPr="00EB15C9">
        <w:rPr>
          <w:rFonts w:eastAsia="SimSun" w:cs="Arial"/>
          <w:bCs/>
        </w:rPr>
        <w:t>4.</w:t>
      </w:r>
      <w:r w:rsidRPr="00EB15C9">
        <w:rPr>
          <w:rFonts w:eastAsia="SimSun" w:cs="Arial"/>
          <w:bCs/>
        </w:rPr>
        <w:tab/>
        <w:t>…</w:t>
      </w:r>
    </w:p>
    <w:p w:rsidR="00663253" w:rsidRPr="00EB15C9" w:rsidRDefault="00663253" w:rsidP="000E3054">
      <w:pPr>
        <w:autoSpaceDE w:val="0"/>
        <w:autoSpaceDN w:val="0"/>
        <w:adjustRightInd w:val="0"/>
        <w:spacing w:after="240"/>
        <w:ind w:left="1080" w:hanging="360"/>
        <w:rPr>
          <w:rFonts w:eastAsia="SimSun" w:cs="Arial"/>
          <w:bCs/>
        </w:rPr>
      </w:pPr>
      <w:r w:rsidRPr="00EB15C9">
        <w:rPr>
          <w:rFonts w:eastAsia="SimSun" w:cs="Arial"/>
          <w:bCs/>
        </w:rPr>
        <w:t>5.</w:t>
      </w:r>
      <w:r w:rsidRPr="00EB15C9">
        <w:rPr>
          <w:rFonts w:eastAsia="SimSun" w:cs="Arial"/>
          <w:bCs/>
        </w:rPr>
        <w:tab/>
        <w:t>…</w:t>
      </w:r>
    </w:p>
    <w:p w:rsidR="00D663C1" w:rsidRDefault="00D663C1" w:rsidP="000E3054">
      <w:pPr>
        <w:autoSpaceDE w:val="0"/>
        <w:autoSpaceDN w:val="0"/>
        <w:adjustRightInd w:val="0"/>
        <w:spacing w:after="240"/>
        <w:ind w:left="720"/>
        <w:rPr>
          <w:rFonts w:eastAsia="SimSun" w:cs="Arial"/>
          <w:bCs/>
          <w:u w:val="single"/>
        </w:rPr>
      </w:pPr>
      <w:r w:rsidRPr="00CB228B">
        <w:rPr>
          <w:rFonts w:eastAsia="SimSun" w:cs="Arial"/>
          <w:b/>
          <w:bCs/>
          <w:u w:val="single"/>
        </w:rPr>
        <w:t xml:space="preserve">Exception: </w:t>
      </w:r>
      <w:r w:rsidRPr="00CB228B">
        <w:rPr>
          <w:rFonts w:eastAsia="SimSun" w:cs="Arial"/>
          <w:bCs/>
          <w:u w:val="single"/>
        </w:rPr>
        <w:t>Capacity to simultaneously charge all EVs at all required EV spaces at the full rated amperage of the EVSE is not required when an energy management system is installed in accordance with the California Electrical Code.</w:t>
      </w:r>
    </w:p>
    <w:p w:rsidR="00D663C1" w:rsidRPr="00082479" w:rsidRDefault="00D663C1" w:rsidP="00D663C1">
      <w:pPr>
        <w:autoSpaceDE w:val="0"/>
        <w:autoSpaceDN w:val="0"/>
        <w:adjustRightInd w:val="0"/>
        <w:ind w:left="360"/>
        <w:rPr>
          <w:rFonts w:eastAsia="SimSun" w:cs="Arial"/>
          <w:bCs/>
        </w:rPr>
      </w:pPr>
      <w:r w:rsidRPr="00082479">
        <w:rPr>
          <w:rFonts w:eastAsia="SimSun" w:cs="Arial"/>
          <w:b/>
          <w:bCs/>
        </w:rPr>
        <w:t>5.106.5.3.2 Multiple charging space requirements</w:t>
      </w:r>
      <w:r w:rsidR="00663253">
        <w:rPr>
          <w:rFonts w:eastAsia="SimSun" w:cs="Arial"/>
          <w:b/>
          <w:bCs/>
        </w:rPr>
        <w:t>. [N]</w:t>
      </w:r>
      <w:r w:rsidR="00663253">
        <w:rPr>
          <w:rFonts w:eastAsia="SimSun" w:cs="Arial"/>
          <w:bCs/>
        </w:rPr>
        <w:t xml:space="preserve"> </w:t>
      </w:r>
      <w:r w:rsidRPr="00082479">
        <w:rPr>
          <w:rFonts w:eastAsia="SimSun" w:cs="Arial"/>
          <w:bCs/>
        </w:rPr>
        <w:t>When multiple charging spaces</w:t>
      </w:r>
      <w:r>
        <w:rPr>
          <w:rFonts w:eastAsia="SimSun" w:cs="Arial"/>
          <w:bCs/>
        </w:rPr>
        <w:t xml:space="preserve"> </w:t>
      </w:r>
      <w:r w:rsidR="00663253">
        <w:rPr>
          <w:rFonts w:eastAsia="SimSun" w:cs="Arial"/>
          <w:bCs/>
        </w:rPr>
        <w:t xml:space="preserve">… </w:t>
      </w:r>
      <w:r w:rsidRPr="00A430FC">
        <w:rPr>
          <w:rFonts w:eastAsia="SimSun" w:cs="Arial"/>
          <w:bCs/>
        </w:rPr>
        <w:t>the</w:t>
      </w:r>
      <w:r>
        <w:rPr>
          <w:rFonts w:eastAsia="SimSun" w:cs="Arial"/>
          <w:b/>
          <w:bCs/>
        </w:rPr>
        <w:t xml:space="preserve"> </w:t>
      </w:r>
      <w:r w:rsidRPr="00082479">
        <w:rPr>
          <w:rFonts w:eastAsia="SimSun" w:cs="Arial"/>
          <w:bCs/>
        </w:rPr>
        <w:t>following:</w:t>
      </w:r>
    </w:p>
    <w:p w:rsidR="00663253" w:rsidRPr="00EB15C9" w:rsidRDefault="00663253" w:rsidP="00663253">
      <w:pPr>
        <w:autoSpaceDE w:val="0"/>
        <w:autoSpaceDN w:val="0"/>
        <w:adjustRightInd w:val="0"/>
        <w:ind w:left="1080" w:hanging="360"/>
        <w:rPr>
          <w:rFonts w:eastAsia="SimSun" w:cs="Arial"/>
          <w:bCs/>
        </w:rPr>
      </w:pPr>
      <w:r w:rsidRPr="00EB15C9">
        <w:rPr>
          <w:rFonts w:eastAsia="SimSun" w:cs="Arial"/>
          <w:bCs/>
        </w:rPr>
        <w:t>1.</w:t>
      </w:r>
      <w:r w:rsidRPr="00EB15C9">
        <w:rPr>
          <w:rFonts w:eastAsia="SimSun" w:cs="Arial"/>
          <w:bCs/>
        </w:rPr>
        <w:tab/>
        <w:t>…</w:t>
      </w:r>
    </w:p>
    <w:p w:rsidR="00663253" w:rsidRPr="00EB15C9" w:rsidRDefault="00663253" w:rsidP="00663253">
      <w:pPr>
        <w:autoSpaceDE w:val="0"/>
        <w:autoSpaceDN w:val="0"/>
        <w:adjustRightInd w:val="0"/>
        <w:ind w:left="1080" w:hanging="360"/>
        <w:rPr>
          <w:rFonts w:eastAsia="SimSun" w:cs="Arial"/>
          <w:bCs/>
        </w:rPr>
      </w:pPr>
      <w:r w:rsidRPr="00EB15C9">
        <w:rPr>
          <w:rFonts w:eastAsia="SimSun" w:cs="Arial"/>
          <w:bCs/>
        </w:rPr>
        <w:t>2.</w:t>
      </w:r>
      <w:r w:rsidRPr="00EB15C9">
        <w:rPr>
          <w:rFonts w:eastAsia="SimSun" w:cs="Arial"/>
          <w:bCs/>
        </w:rPr>
        <w:tab/>
        <w:t>…</w:t>
      </w:r>
    </w:p>
    <w:p w:rsidR="00663253" w:rsidRPr="00EB15C9" w:rsidRDefault="00663253" w:rsidP="00663253">
      <w:pPr>
        <w:autoSpaceDE w:val="0"/>
        <w:autoSpaceDN w:val="0"/>
        <w:adjustRightInd w:val="0"/>
        <w:ind w:left="1080" w:hanging="360"/>
        <w:rPr>
          <w:rFonts w:eastAsia="SimSun" w:cs="Arial"/>
          <w:bCs/>
        </w:rPr>
      </w:pPr>
      <w:r w:rsidRPr="00EB15C9">
        <w:rPr>
          <w:rFonts w:eastAsia="SimSun" w:cs="Arial"/>
          <w:bCs/>
        </w:rPr>
        <w:t>3.</w:t>
      </w:r>
      <w:r w:rsidRPr="00EB15C9">
        <w:rPr>
          <w:rFonts w:eastAsia="SimSun" w:cs="Arial"/>
          <w:bCs/>
        </w:rPr>
        <w:tab/>
        <w:t>…</w:t>
      </w:r>
    </w:p>
    <w:p w:rsidR="00663253" w:rsidRPr="00EB15C9" w:rsidRDefault="00663253" w:rsidP="00663253">
      <w:pPr>
        <w:autoSpaceDE w:val="0"/>
        <w:autoSpaceDN w:val="0"/>
        <w:adjustRightInd w:val="0"/>
        <w:ind w:left="1080" w:hanging="360"/>
        <w:rPr>
          <w:rFonts w:eastAsia="SimSun" w:cs="Arial"/>
          <w:bCs/>
        </w:rPr>
      </w:pPr>
      <w:r w:rsidRPr="00EB15C9">
        <w:rPr>
          <w:rFonts w:eastAsia="SimSun" w:cs="Arial"/>
          <w:bCs/>
        </w:rPr>
        <w:t>4.</w:t>
      </w:r>
      <w:r w:rsidRPr="00EB15C9">
        <w:rPr>
          <w:rFonts w:eastAsia="SimSun" w:cs="Arial"/>
          <w:bCs/>
        </w:rPr>
        <w:tab/>
        <w:t>…</w:t>
      </w:r>
    </w:p>
    <w:p w:rsidR="00663253" w:rsidRPr="00EB15C9" w:rsidRDefault="00663253" w:rsidP="000E3054">
      <w:pPr>
        <w:autoSpaceDE w:val="0"/>
        <w:autoSpaceDN w:val="0"/>
        <w:adjustRightInd w:val="0"/>
        <w:spacing w:after="240"/>
        <w:ind w:left="1080" w:hanging="360"/>
        <w:rPr>
          <w:rFonts w:eastAsia="SimSun" w:cs="Arial"/>
          <w:bCs/>
        </w:rPr>
      </w:pPr>
      <w:r w:rsidRPr="00EB15C9">
        <w:rPr>
          <w:rFonts w:eastAsia="SimSun" w:cs="Arial"/>
          <w:bCs/>
        </w:rPr>
        <w:t>5.</w:t>
      </w:r>
      <w:r w:rsidRPr="00EB15C9">
        <w:rPr>
          <w:rFonts w:eastAsia="SimSun" w:cs="Arial"/>
          <w:bCs/>
        </w:rPr>
        <w:tab/>
        <w:t>…</w:t>
      </w:r>
    </w:p>
    <w:p w:rsidR="00D663C1" w:rsidRPr="00EB15C9" w:rsidRDefault="00D663C1" w:rsidP="00D663C1">
      <w:pPr>
        <w:autoSpaceDE w:val="0"/>
        <w:autoSpaceDN w:val="0"/>
        <w:adjustRightInd w:val="0"/>
        <w:ind w:left="720"/>
        <w:rPr>
          <w:rFonts w:eastAsia="SimSun" w:cs="Arial"/>
          <w:bCs/>
          <w:u w:val="single"/>
        </w:rPr>
      </w:pPr>
      <w:r w:rsidRPr="00CB228B">
        <w:rPr>
          <w:rFonts w:eastAsia="SimSun" w:cs="Arial"/>
          <w:b/>
          <w:bCs/>
          <w:u w:val="single"/>
        </w:rPr>
        <w:t xml:space="preserve">Exception: </w:t>
      </w:r>
      <w:r w:rsidRPr="00CB228B">
        <w:rPr>
          <w:rFonts w:eastAsia="SimSun" w:cs="Arial"/>
          <w:bCs/>
          <w:u w:val="single"/>
        </w:rPr>
        <w:t>Capacity to simultaneously charge all EVs at all required EV spaces at the full rated amperage of the EVSE is not required when an energy management system is installed in accordance with the California Electrical Code.</w:t>
      </w:r>
    </w:p>
    <w:p w:rsidR="00D663C1" w:rsidRPr="00EB15C9" w:rsidRDefault="00663253" w:rsidP="00D663C1">
      <w:pPr>
        <w:autoSpaceDE w:val="0"/>
        <w:autoSpaceDN w:val="0"/>
        <w:adjustRightInd w:val="0"/>
        <w:rPr>
          <w:rFonts w:cs="Arial"/>
          <w:color w:val="000000"/>
        </w:rPr>
      </w:pPr>
      <w:r w:rsidRPr="00EB15C9">
        <w:rPr>
          <w:rFonts w:cs="Arial"/>
          <w:color w:val="000000"/>
        </w:rPr>
        <w:t>…</w:t>
      </w:r>
    </w:p>
    <w:p w:rsidR="00D663C1" w:rsidRPr="00082479" w:rsidRDefault="00D663C1" w:rsidP="00D663C1">
      <w:pPr>
        <w:autoSpaceDE w:val="0"/>
        <w:autoSpaceDN w:val="0"/>
        <w:adjustRightInd w:val="0"/>
        <w:jc w:val="center"/>
        <w:rPr>
          <w:rFonts w:cs="Arial"/>
          <w:b/>
          <w:color w:val="000000"/>
        </w:rPr>
      </w:pPr>
      <w:r w:rsidRPr="00082479">
        <w:rPr>
          <w:rFonts w:cs="Arial"/>
          <w:b/>
          <w:color w:val="000000"/>
        </w:rPr>
        <w:t>TABLE 5.106.5.3.3</w:t>
      </w:r>
    </w:p>
    <w:p w:rsidR="00D663C1" w:rsidRPr="00082479" w:rsidRDefault="00D663C1" w:rsidP="00D663C1">
      <w:pPr>
        <w:jc w:val="center"/>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420"/>
      </w:tblGrid>
      <w:tr w:rsidR="00D663C1" w:rsidRPr="00082479" w:rsidTr="00663253">
        <w:trPr>
          <w:trHeight w:val="247"/>
          <w:tblHeader/>
          <w:jc w:val="center"/>
        </w:trPr>
        <w:tc>
          <w:tcPr>
            <w:tcW w:w="3600" w:type="dxa"/>
            <w:shd w:val="clear" w:color="auto" w:fill="auto"/>
          </w:tcPr>
          <w:p w:rsidR="00D663C1" w:rsidRPr="00994B0D" w:rsidRDefault="00D663C1" w:rsidP="00AD0C7D">
            <w:pPr>
              <w:jc w:val="center"/>
              <w:rPr>
                <w:rFonts w:cs="Arial"/>
                <w:b/>
                <w:color w:val="000000"/>
              </w:rPr>
            </w:pPr>
            <w:r w:rsidRPr="00994B0D">
              <w:rPr>
                <w:rFonts w:cs="Arial"/>
                <w:b/>
                <w:color w:val="000000"/>
              </w:rPr>
              <w:t xml:space="preserve">TOTAL NUMBER OF </w:t>
            </w:r>
          </w:p>
          <w:p w:rsidR="00D663C1" w:rsidRPr="00994B0D" w:rsidRDefault="00D663C1" w:rsidP="00AD0C7D">
            <w:pPr>
              <w:jc w:val="center"/>
              <w:rPr>
                <w:rFonts w:cs="Arial"/>
                <w:b/>
                <w:color w:val="000000"/>
              </w:rPr>
            </w:pPr>
            <w:r w:rsidRPr="00994B0D">
              <w:rPr>
                <w:rFonts w:cs="Arial"/>
                <w:b/>
                <w:color w:val="000000"/>
              </w:rPr>
              <w:t>ACTUAL PARKING SPACES</w:t>
            </w:r>
          </w:p>
        </w:tc>
        <w:tc>
          <w:tcPr>
            <w:tcW w:w="3420" w:type="dxa"/>
            <w:shd w:val="clear" w:color="auto" w:fill="auto"/>
          </w:tcPr>
          <w:p w:rsidR="00D663C1" w:rsidRPr="00994B0D" w:rsidRDefault="00D663C1" w:rsidP="00AD0C7D">
            <w:pPr>
              <w:jc w:val="center"/>
              <w:rPr>
                <w:rFonts w:cs="Arial"/>
                <w:b/>
                <w:color w:val="000000"/>
              </w:rPr>
            </w:pPr>
            <w:r w:rsidRPr="00994B0D">
              <w:rPr>
                <w:rFonts w:cs="Arial"/>
                <w:b/>
                <w:color w:val="000000"/>
              </w:rPr>
              <w:t>NUMBER OF REQUIRED EV CHARGING SPACES</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0-9</w:t>
            </w:r>
          </w:p>
        </w:tc>
        <w:tc>
          <w:tcPr>
            <w:tcW w:w="3420" w:type="dxa"/>
            <w:shd w:val="clear" w:color="auto" w:fill="auto"/>
          </w:tcPr>
          <w:p w:rsidR="00D663C1" w:rsidRPr="005E2F73" w:rsidRDefault="00D663C1" w:rsidP="00AD0C7D">
            <w:pPr>
              <w:jc w:val="center"/>
              <w:rPr>
                <w:rFonts w:cs="Arial"/>
                <w:color w:val="000000"/>
              </w:rPr>
            </w:pPr>
            <w:r w:rsidRPr="005E2F73">
              <w:rPr>
                <w:rFonts w:cs="Arial"/>
                <w:color w:val="000000"/>
              </w:rPr>
              <w:t>0</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10-25</w:t>
            </w:r>
          </w:p>
        </w:tc>
        <w:tc>
          <w:tcPr>
            <w:tcW w:w="3420" w:type="dxa"/>
            <w:shd w:val="clear" w:color="auto" w:fill="auto"/>
          </w:tcPr>
          <w:p w:rsidR="00D663C1" w:rsidRPr="005E2F73" w:rsidRDefault="00D663C1" w:rsidP="00AD0C7D">
            <w:pPr>
              <w:jc w:val="center"/>
              <w:rPr>
                <w:rFonts w:cs="Arial"/>
                <w:strike/>
                <w:color w:val="000000"/>
              </w:rPr>
            </w:pPr>
            <w:r w:rsidRPr="005E2F73">
              <w:rPr>
                <w:rFonts w:cs="Arial"/>
                <w:strike/>
                <w:color w:val="000000"/>
              </w:rPr>
              <w:t xml:space="preserve">1 </w:t>
            </w:r>
            <w:r w:rsidRPr="005E2F73">
              <w:rPr>
                <w:rFonts w:cs="Arial"/>
                <w:color w:val="000000"/>
                <w:u w:val="single"/>
              </w:rPr>
              <w:t>2</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26-50</w:t>
            </w:r>
          </w:p>
        </w:tc>
        <w:tc>
          <w:tcPr>
            <w:tcW w:w="3420" w:type="dxa"/>
            <w:shd w:val="clear" w:color="auto" w:fill="auto"/>
          </w:tcPr>
          <w:p w:rsidR="00D663C1" w:rsidRPr="005E2F73" w:rsidRDefault="00D663C1" w:rsidP="00AD0C7D">
            <w:pPr>
              <w:jc w:val="center"/>
              <w:rPr>
                <w:rFonts w:cs="Arial"/>
                <w:strike/>
                <w:color w:val="000000"/>
              </w:rPr>
            </w:pPr>
            <w:r w:rsidRPr="005E2F73">
              <w:rPr>
                <w:rFonts w:cs="Arial"/>
                <w:strike/>
                <w:color w:val="000000"/>
              </w:rPr>
              <w:t>2</w:t>
            </w:r>
            <w:r w:rsidRPr="005E2F73">
              <w:rPr>
                <w:rFonts w:cs="Arial"/>
                <w:color w:val="000000"/>
                <w:u w:val="single"/>
              </w:rPr>
              <w:t xml:space="preserve"> 3</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51-75</w:t>
            </w:r>
          </w:p>
        </w:tc>
        <w:tc>
          <w:tcPr>
            <w:tcW w:w="3420" w:type="dxa"/>
            <w:shd w:val="clear" w:color="auto" w:fill="auto"/>
          </w:tcPr>
          <w:p w:rsidR="00D663C1" w:rsidRPr="005E2F73" w:rsidRDefault="00D663C1" w:rsidP="00AD0C7D">
            <w:pPr>
              <w:jc w:val="center"/>
              <w:rPr>
                <w:rFonts w:cs="Arial"/>
                <w:strike/>
                <w:color w:val="000000"/>
              </w:rPr>
            </w:pPr>
            <w:r w:rsidRPr="005E2F73">
              <w:rPr>
                <w:rFonts w:cs="Arial"/>
                <w:strike/>
                <w:color w:val="000000"/>
              </w:rPr>
              <w:t xml:space="preserve">4 </w:t>
            </w:r>
            <w:r w:rsidRPr="005E2F73">
              <w:rPr>
                <w:rFonts w:cs="Arial"/>
                <w:color w:val="000000"/>
                <w:u w:val="single"/>
              </w:rPr>
              <w:t>5</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76-100</w:t>
            </w:r>
          </w:p>
        </w:tc>
        <w:tc>
          <w:tcPr>
            <w:tcW w:w="3420" w:type="dxa"/>
            <w:shd w:val="clear" w:color="auto" w:fill="auto"/>
          </w:tcPr>
          <w:p w:rsidR="00D663C1" w:rsidRPr="005E2F73" w:rsidRDefault="00D663C1" w:rsidP="00AD0C7D">
            <w:pPr>
              <w:jc w:val="center"/>
              <w:rPr>
                <w:rFonts w:cs="Arial"/>
                <w:strike/>
                <w:color w:val="000000"/>
              </w:rPr>
            </w:pPr>
            <w:r w:rsidRPr="005E2F73">
              <w:rPr>
                <w:rFonts w:cs="Arial"/>
                <w:strike/>
                <w:color w:val="000000"/>
              </w:rPr>
              <w:t xml:space="preserve">5 </w:t>
            </w:r>
            <w:r w:rsidRPr="005E2F73">
              <w:rPr>
                <w:rFonts w:cs="Arial"/>
                <w:color w:val="000000"/>
                <w:u w:val="single"/>
              </w:rPr>
              <w:t>7</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101-150</w:t>
            </w:r>
          </w:p>
        </w:tc>
        <w:tc>
          <w:tcPr>
            <w:tcW w:w="3420" w:type="dxa"/>
            <w:shd w:val="clear" w:color="auto" w:fill="auto"/>
          </w:tcPr>
          <w:p w:rsidR="00D663C1" w:rsidRPr="005E2F73" w:rsidRDefault="00D663C1" w:rsidP="00AD0C7D">
            <w:pPr>
              <w:jc w:val="center"/>
              <w:rPr>
                <w:rFonts w:cs="Arial"/>
                <w:strike/>
                <w:color w:val="000000"/>
              </w:rPr>
            </w:pPr>
            <w:r w:rsidRPr="005E2F73">
              <w:rPr>
                <w:rFonts w:cs="Arial"/>
                <w:strike/>
                <w:color w:val="000000"/>
              </w:rPr>
              <w:t xml:space="preserve">7 </w:t>
            </w:r>
            <w:r w:rsidRPr="005E2F73">
              <w:rPr>
                <w:rFonts w:cs="Arial"/>
                <w:color w:val="000000"/>
                <w:u w:val="single"/>
              </w:rPr>
              <w:t>10</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151-200</w:t>
            </w:r>
          </w:p>
        </w:tc>
        <w:tc>
          <w:tcPr>
            <w:tcW w:w="3420" w:type="dxa"/>
            <w:shd w:val="clear" w:color="auto" w:fill="auto"/>
          </w:tcPr>
          <w:p w:rsidR="00D663C1" w:rsidRPr="005E2F73" w:rsidRDefault="00D663C1" w:rsidP="00AD0C7D">
            <w:pPr>
              <w:jc w:val="center"/>
              <w:rPr>
                <w:rFonts w:cs="Arial"/>
                <w:strike/>
                <w:color w:val="000000"/>
              </w:rPr>
            </w:pPr>
            <w:r w:rsidRPr="005E2F73">
              <w:rPr>
                <w:rFonts w:cs="Arial"/>
                <w:color w:val="000000"/>
              </w:rPr>
              <w:t xml:space="preserve"> </w:t>
            </w:r>
            <w:r w:rsidRPr="005E2F73">
              <w:rPr>
                <w:rFonts w:cs="Arial"/>
                <w:strike/>
                <w:color w:val="000000"/>
              </w:rPr>
              <w:t xml:space="preserve">10 </w:t>
            </w:r>
            <w:r w:rsidRPr="005E2F73">
              <w:rPr>
                <w:rFonts w:cs="Arial"/>
                <w:color w:val="000000"/>
                <w:u w:val="single"/>
              </w:rPr>
              <w:t>14</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201 and over</w:t>
            </w:r>
          </w:p>
        </w:tc>
        <w:tc>
          <w:tcPr>
            <w:tcW w:w="3420" w:type="dxa"/>
            <w:shd w:val="clear" w:color="auto" w:fill="auto"/>
          </w:tcPr>
          <w:p w:rsidR="00D663C1" w:rsidRPr="005E2F73" w:rsidRDefault="00D663C1" w:rsidP="00AD0C7D">
            <w:pPr>
              <w:jc w:val="center"/>
              <w:rPr>
                <w:rFonts w:cs="Arial"/>
                <w:color w:val="000000"/>
              </w:rPr>
            </w:pPr>
            <w:r w:rsidRPr="005E2F73">
              <w:rPr>
                <w:rFonts w:cs="Arial"/>
                <w:color w:val="000000"/>
              </w:rPr>
              <w:t xml:space="preserve"> </w:t>
            </w:r>
            <w:r w:rsidRPr="005E2F73">
              <w:rPr>
                <w:rFonts w:cs="Arial"/>
                <w:strike/>
                <w:color w:val="000000"/>
              </w:rPr>
              <w:t>6</w:t>
            </w:r>
            <w:r w:rsidRPr="005E2F73">
              <w:rPr>
                <w:rFonts w:cs="Arial"/>
                <w:color w:val="000000"/>
              </w:rPr>
              <w:t xml:space="preserve"> </w:t>
            </w:r>
            <w:r w:rsidRPr="005E2F73">
              <w:rPr>
                <w:rFonts w:cs="Arial"/>
                <w:color w:val="000000"/>
                <w:u w:val="single"/>
              </w:rPr>
              <w:t>8</w:t>
            </w:r>
            <w:r w:rsidRPr="00A128AA">
              <w:rPr>
                <w:rFonts w:cs="Arial"/>
                <w:color w:val="000000"/>
              </w:rPr>
              <w:t xml:space="preserve"> percent of total</w:t>
            </w:r>
            <w:r w:rsidRPr="00965C9D">
              <w:rPr>
                <w:rFonts w:cs="Arial"/>
                <w:color w:val="000000"/>
                <w:vertAlign w:val="superscript"/>
              </w:rPr>
              <w:t>1</w:t>
            </w:r>
          </w:p>
        </w:tc>
      </w:tr>
    </w:tbl>
    <w:p w:rsidR="00D663C1" w:rsidRPr="00A430FC" w:rsidRDefault="00D663C1" w:rsidP="00D663C1">
      <w:pPr>
        <w:numPr>
          <w:ilvl w:val="0"/>
          <w:numId w:val="5"/>
        </w:numPr>
        <w:spacing w:before="120"/>
        <w:rPr>
          <w:rFonts w:cs="Arial"/>
        </w:rPr>
      </w:pPr>
      <w:r w:rsidRPr="00A430FC">
        <w:rPr>
          <w:rFonts w:cs="Arial"/>
          <w:color w:val="000000"/>
        </w:rPr>
        <w:t>Calculation for spaces shall be rounded up to the nearest whole number.</w:t>
      </w:r>
    </w:p>
    <w:p w:rsidR="00D663C1" w:rsidRPr="00EB15C9" w:rsidRDefault="00EB15C9" w:rsidP="000E3054">
      <w:pPr>
        <w:spacing w:after="240"/>
        <w:rPr>
          <w:rFonts w:cs="Arial"/>
        </w:rPr>
      </w:pPr>
      <w:r>
        <w:rPr>
          <w:rFonts w:cs="Arial"/>
        </w:rPr>
        <w:t>…</w:t>
      </w:r>
    </w:p>
    <w:p w:rsidR="00D663C1" w:rsidRPr="00A430FC" w:rsidRDefault="00D663C1" w:rsidP="000E3054">
      <w:pPr>
        <w:spacing w:after="240"/>
        <w:ind w:left="360"/>
        <w:rPr>
          <w:rFonts w:cs="Arial"/>
          <w:color w:val="000000"/>
        </w:rPr>
      </w:pPr>
      <w:r w:rsidRPr="00A430FC">
        <w:rPr>
          <w:rFonts w:cs="Arial"/>
          <w:b/>
          <w:color w:val="000000"/>
        </w:rPr>
        <w:t>5.106.5.3.5</w:t>
      </w:r>
      <w:r>
        <w:rPr>
          <w:rFonts w:cs="Arial"/>
          <w:b/>
          <w:color w:val="000000"/>
        </w:rPr>
        <w:t xml:space="preserve"> [N] </w:t>
      </w:r>
      <w:r w:rsidRPr="00FA2DBE">
        <w:rPr>
          <w:rFonts w:cs="Arial"/>
          <w:b/>
          <w:color w:val="000000"/>
        </w:rPr>
        <w:t>Future charging spaces.</w:t>
      </w:r>
      <w:r w:rsidR="003D29E1">
        <w:rPr>
          <w:rFonts w:cs="Arial"/>
          <w:color w:val="000000"/>
        </w:rPr>
        <w:t xml:space="preserve"> </w:t>
      </w:r>
      <w:r w:rsidRPr="00A430FC">
        <w:rPr>
          <w:rFonts w:cs="Arial"/>
          <w:color w:val="000000"/>
        </w:rPr>
        <w:t>Future charging spaces qualify as</w:t>
      </w:r>
      <w:r w:rsidR="00EB15C9">
        <w:rPr>
          <w:rFonts w:cs="Arial"/>
          <w:color w:val="000000"/>
        </w:rPr>
        <w:t xml:space="preserve"> … </w:t>
      </w:r>
      <w:r w:rsidRPr="00A430FC">
        <w:rPr>
          <w:rFonts w:cs="Arial"/>
          <w:color w:val="000000"/>
        </w:rPr>
        <w:t>clean air vehicles.</w:t>
      </w:r>
    </w:p>
    <w:p w:rsidR="00D663C1" w:rsidRPr="00A430FC" w:rsidRDefault="00D663C1" w:rsidP="000E3054">
      <w:pPr>
        <w:spacing w:after="240"/>
        <w:ind w:left="360"/>
        <w:rPr>
          <w:rFonts w:cs="Arial"/>
          <w:color w:val="000000"/>
          <w:u w:val="single"/>
        </w:rPr>
      </w:pPr>
      <w:r w:rsidRPr="00A430FC">
        <w:rPr>
          <w:rFonts w:cs="Arial"/>
          <w:color w:val="000000"/>
          <w:u w:val="single"/>
        </w:rPr>
        <w:t>Note: Future electric vehicle charging spaces shall be considered parking spaces and shall count for the total parking spaces required by the local enforcing agencies.</w:t>
      </w:r>
    </w:p>
    <w:p w:rsidR="000E3054" w:rsidRDefault="000E3054">
      <w:pPr>
        <w:spacing w:after="200" w:line="276" w:lineRule="auto"/>
        <w:rPr>
          <w:rFonts w:cs="Arial"/>
          <w:szCs w:val="22"/>
        </w:rPr>
      </w:pPr>
      <w:r>
        <w:rPr>
          <w:rFonts w:cs="Arial"/>
          <w:szCs w:val="22"/>
        </w:rPr>
        <w:br w:type="page"/>
      </w:r>
    </w:p>
    <w:tbl>
      <w:tblPr>
        <w:tblStyle w:val="TableGrid"/>
        <w:tblW w:w="0" w:type="auto"/>
        <w:tblInd w:w="144" w:type="dxa"/>
        <w:tblLook w:val="04A0" w:firstRow="1" w:lastRow="0" w:firstColumn="1" w:lastColumn="0" w:noHBand="0" w:noVBand="1"/>
        <w:tblDescription w:val="Suggested Text of Proposed Amendments"/>
      </w:tblPr>
      <w:tblGrid>
        <w:gridCol w:w="10080"/>
      </w:tblGrid>
      <w:tr w:rsidR="00EA0C0E" w:rsidTr="00692B2B">
        <w:trPr>
          <w:trHeight w:val="360"/>
          <w:tblHeader/>
        </w:trPr>
        <w:tc>
          <w:tcPr>
            <w:tcW w:w="10080" w:type="dxa"/>
            <w:shd w:val="clear" w:color="auto" w:fill="000000" w:themeFill="text1"/>
            <w:vAlign w:val="center"/>
          </w:tcPr>
          <w:p w:rsidR="00EA0C0E" w:rsidRPr="00CF4E5F" w:rsidRDefault="00EA0C0E" w:rsidP="00692B2B">
            <w:pPr>
              <w:pStyle w:val="Heading2"/>
              <w:outlineLvl w:val="1"/>
            </w:pPr>
            <w:r>
              <w:lastRenderedPageBreak/>
              <w:t>Code Text i</w:t>
            </w:r>
            <w:r w:rsidRPr="00CF4E5F">
              <w:t xml:space="preserve">f </w:t>
            </w:r>
            <w:r>
              <w:t>Adopted</w:t>
            </w:r>
          </w:p>
        </w:tc>
      </w:tr>
    </w:tbl>
    <w:p w:rsidR="00D663C1" w:rsidRPr="000E3054" w:rsidRDefault="00EA0C0E" w:rsidP="000E3054">
      <w:pPr>
        <w:autoSpaceDE w:val="0"/>
        <w:autoSpaceDN w:val="0"/>
        <w:adjustRightInd w:val="0"/>
        <w:spacing w:after="240"/>
        <w:rPr>
          <w:rFonts w:eastAsia="SimSun" w:cs="Arial"/>
          <w:bCs/>
        </w:rPr>
      </w:pPr>
      <w:r w:rsidRPr="00EA0C0E">
        <w:rPr>
          <w:rFonts w:cs="Arial"/>
          <w:sz w:val="12"/>
          <w:szCs w:val="12"/>
        </w:rPr>
        <w:br/>
      </w:r>
      <w:r w:rsidR="00D663C1" w:rsidRPr="00082479">
        <w:rPr>
          <w:rFonts w:eastAsia="SimSun" w:cs="Arial"/>
          <w:b/>
          <w:bCs/>
        </w:rPr>
        <w:t>5.106.5.3 Electric vehicle (EV) charging</w:t>
      </w:r>
      <w:r w:rsidR="00EB15C9">
        <w:rPr>
          <w:rFonts w:eastAsia="SimSun" w:cs="Arial"/>
          <w:b/>
          <w:bCs/>
        </w:rPr>
        <w:t>. [N]</w:t>
      </w:r>
      <w:r w:rsidR="00EB15C9">
        <w:rPr>
          <w:rFonts w:eastAsia="SimSun" w:cs="Arial"/>
          <w:bCs/>
        </w:rPr>
        <w:t xml:space="preserve"> …</w:t>
      </w:r>
    </w:p>
    <w:p w:rsidR="00D663C1" w:rsidRDefault="00D663C1" w:rsidP="00D663C1">
      <w:pPr>
        <w:autoSpaceDE w:val="0"/>
        <w:autoSpaceDN w:val="0"/>
        <w:adjustRightInd w:val="0"/>
        <w:ind w:left="360"/>
        <w:rPr>
          <w:rFonts w:eastAsia="SimSun" w:cs="Arial"/>
          <w:b/>
          <w:bCs/>
        </w:rPr>
      </w:pPr>
      <w:r w:rsidRPr="00082479">
        <w:rPr>
          <w:rFonts w:eastAsia="SimSun" w:cs="Arial"/>
          <w:b/>
          <w:bCs/>
        </w:rPr>
        <w:t>5.106.5.3.1 Single charging space requirements</w:t>
      </w:r>
      <w:r>
        <w:rPr>
          <w:rFonts w:eastAsia="SimSun" w:cs="Arial"/>
          <w:b/>
          <w:bCs/>
        </w:rPr>
        <w:t xml:space="preserve"> [N]</w:t>
      </w:r>
    </w:p>
    <w:p w:rsidR="00D663C1" w:rsidRPr="00082479" w:rsidRDefault="00D663C1" w:rsidP="00D663C1">
      <w:pPr>
        <w:autoSpaceDE w:val="0"/>
        <w:autoSpaceDN w:val="0"/>
        <w:adjustRightInd w:val="0"/>
        <w:ind w:left="360"/>
        <w:rPr>
          <w:rFonts w:eastAsia="SimSun" w:cs="Arial"/>
          <w:bCs/>
        </w:rPr>
      </w:pPr>
      <w:r w:rsidRPr="00082479">
        <w:rPr>
          <w:rFonts w:eastAsia="SimSun" w:cs="Arial"/>
          <w:bCs/>
        </w:rPr>
        <w:t>When only a single</w:t>
      </w:r>
      <w:r w:rsidR="00EB15C9">
        <w:rPr>
          <w:rFonts w:eastAsia="SimSun" w:cs="Arial"/>
          <w:bCs/>
        </w:rPr>
        <w:t xml:space="preserve"> … </w:t>
      </w:r>
      <w:r>
        <w:rPr>
          <w:rFonts w:eastAsia="SimSun" w:cs="Arial"/>
          <w:bCs/>
        </w:rPr>
        <w:t xml:space="preserve">the </w:t>
      </w:r>
      <w:r w:rsidRPr="00082479">
        <w:rPr>
          <w:rFonts w:eastAsia="SimSun" w:cs="Arial"/>
          <w:bCs/>
        </w:rPr>
        <w:t>following:</w:t>
      </w:r>
    </w:p>
    <w:p w:rsidR="00663253" w:rsidRPr="000D6A02" w:rsidRDefault="00663253" w:rsidP="00663253">
      <w:pPr>
        <w:autoSpaceDE w:val="0"/>
        <w:autoSpaceDN w:val="0"/>
        <w:adjustRightInd w:val="0"/>
        <w:ind w:left="1080" w:hanging="360"/>
        <w:rPr>
          <w:rFonts w:eastAsia="SimSun" w:cs="Arial"/>
          <w:b/>
          <w:bCs/>
        </w:rPr>
      </w:pPr>
      <w:r>
        <w:rPr>
          <w:rFonts w:eastAsia="SimSun" w:cs="Arial"/>
          <w:bCs/>
        </w:rPr>
        <w:t>1.</w:t>
      </w:r>
      <w:r>
        <w:rPr>
          <w:rFonts w:eastAsia="SimSun" w:cs="Arial"/>
          <w:bCs/>
        </w:rPr>
        <w:tab/>
        <w:t>…</w:t>
      </w:r>
    </w:p>
    <w:p w:rsidR="00663253" w:rsidRPr="000D6A02" w:rsidRDefault="00663253" w:rsidP="00663253">
      <w:pPr>
        <w:autoSpaceDE w:val="0"/>
        <w:autoSpaceDN w:val="0"/>
        <w:adjustRightInd w:val="0"/>
        <w:ind w:left="1080" w:hanging="360"/>
        <w:rPr>
          <w:rFonts w:eastAsia="SimSun" w:cs="Arial"/>
          <w:b/>
          <w:bCs/>
        </w:rPr>
      </w:pPr>
      <w:r>
        <w:rPr>
          <w:rFonts w:eastAsia="SimSun" w:cs="Arial"/>
          <w:bCs/>
        </w:rPr>
        <w:t>2.</w:t>
      </w:r>
      <w:r>
        <w:rPr>
          <w:rFonts w:eastAsia="SimSun" w:cs="Arial"/>
          <w:bCs/>
        </w:rPr>
        <w:tab/>
        <w:t>…</w:t>
      </w:r>
    </w:p>
    <w:p w:rsidR="00663253" w:rsidRPr="000D6A02" w:rsidRDefault="00663253" w:rsidP="00663253">
      <w:pPr>
        <w:autoSpaceDE w:val="0"/>
        <w:autoSpaceDN w:val="0"/>
        <w:adjustRightInd w:val="0"/>
        <w:ind w:left="1080" w:hanging="360"/>
        <w:rPr>
          <w:rFonts w:eastAsia="SimSun" w:cs="Arial"/>
          <w:b/>
          <w:bCs/>
        </w:rPr>
      </w:pPr>
      <w:r w:rsidRPr="00082479">
        <w:rPr>
          <w:rFonts w:eastAsia="SimSun" w:cs="Arial"/>
          <w:bCs/>
        </w:rPr>
        <w:t>3.</w:t>
      </w:r>
      <w:r>
        <w:rPr>
          <w:rFonts w:eastAsia="SimSun" w:cs="Arial"/>
          <w:bCs/>
        </w:rPr>
        <w:tab/>
        <w:t>…</w:t>
      </w:r>
    </w:p>
    <w:p w:rsidR="00663253" w:rsidRPr="000D6A02" w:rsidRDefault="00663253" w:rsidP="00663253">
      <w:pPr>
        <w:autoSpaceDE w:val="0"/>
        <w:autoSpaceDN w:val="0"/>
        <w:adjustRightInd w:val="0"/>
        <w:ind w:left="1080" w:hanging="360"/>
        <w:rPr>
          <w:rFonts w:eastAsia="SimSun" w:cs="Arial"/>
          <w:b/>
          <w:bCs/>
        </w:rPr>
      </w:pPr>
      <w:r>
        <w:rPr>
          <w:rFonts w:eastAsia="SimSun" w:cs="Arial"/>
          <w:bCs/>
        </w:rPr>
        <w:t>4.</w:t>
      </w:r>
      <w:r>
        <w:rPr>
          <w:rFonts w:eastAsia="SimSun" w:cs="Arial"/>
          <w:bCs/>
        </w:rPr>
        <w:tab/>
        <w:t>…</w:t>
      </w:r>
    </w:p>
    <w:p w:rsidR="00663253" w:rsidRPr="000D6A02" w:rsidRDefault="00663253" w:rsidP="000E3054">
      <w:pPr>
        <w:autoSpaceDE w:val="0"/>
        <w:autoSpaceDN w:val="0"/>
        <w:adjustRightInd w:val="0"/>
        <w:spacing w:after="240"/>
        <w:ind w:left="1080" w:hanging="360"/>
        <w:rPr>
          <w:rFonts w:eastAsia="SimSun" w:cs="Arial"/>
          <w:b/>
          <w:bCs/>
        </w:rPr>
      </w:pPr>
      <w:r>
        <w:rPr>
          <w:rFonts w:eastAsia="SimSun" w:cs="Arial"/>
          <w:bCs/>
        </w:rPr>
        <w:t>5.</w:t>
      </w:r>
      <w:r>
        <w:rPr>
          <w:rFonts w:eastAsia="SimSun" w:cs="Arial"/>
          <w:bCs/>
        </w:rPr>
        <w:tab/>
        <w:t>…</w:t>
      </w:r>
    </w:p>
    <w:p w:rsidR="00D663C1" w:rsidRPr="00D663C1" w:rsidRDefault="00D663C1" w:rsidP="000E3054">
      <w:pPr>
        <w:autoSpaceDE w:val="0"/>
        <w:autoSpaceDN w:val="0"/>
        <w:adjustRightInd w:val="0"/>
        <w:spacing w:after="240"/>
        <w:ind w:left="720"/>
        <w:rPr>
          <w:rFonts w:eastAsia="SimSun" w:cs="Arial"/>
          <w:b/>
          <w:bCs/>
        </w:rPr>
      </w:pPr>
      <w:r w:rsidRPr="00D663C1">
        <w:rPr>
          <w:rFonts w:eastAsia="SimSun" w:cs="Arial"/>
          <w:b/>
          <w:bCs/>
        </w:rPr>
        <w:t xml:space="preserve">Exception: </w:t>
      </w:r>
      <w:r w:rsidRPr="00D663C1">
        <w:rPr>
          <w:rFonts w:eastAsia="SimSun" w:cs="Arial"/>
          <w:bCs/>
        </w:rPr>
        <w:t>Capacity to simultaneously charge all EVs at all required EV spaces at the full rated amperage of the EVSE is not required when an energy management system is installed in accordance with the California Electrical Code.</w:t>
      </w:r>
    </w:p>
    <w:p w:rsidR="00D663C1" w:rsidRDefault="00D663C1" w:rsidP="00D663C1">
      <w:pPr>
        <w:autoSpaceDE w:val="0"/>
        <w:autoSpaceDN w:val="0"/>
        <w:adjustRightInd w:val="0"/>
        <w:ind w:left="360"/>
        <w:rPr>
          <w:rFonts w:eastAsia="SimSun" w:cs="Arial"/>
          <w:b/>
          <w:bCs/>
        </w:rPr>
      </w:pPr>
      <w:r w:rsidRPr="00082479">
        <w:rPr>
          <w:rFonts w:eastAsia="SimSun" w:cs="Arial"/>
          <w:b/>
          <w:bCs/>
        </w:rPr>
        <w:t>5.106.5.3.2 Multiple charging space requirements</w:t>
      </w:r>
      <w:r>
        <w:rPr>
          <w:rFonts w:eastAsia="SimSun" w:cs="Arial"/>
          <w:b/>
          <w:bCs/>
        </w:rPr>
        <w:t xml:space="preserve">. [N] </w:t>
      </w:r>
    </w:p>
    <w:p w:rsidR="00D663C1" w:rsidRPr="00082479" w:rsidRDefault="00D663C1" w:rsidP="00D663C1">
      <w:pPr>
        <w:autoSpaceDE w:val="0"/>
        <w:autoSpaceDN w:val="0"/>
        <w:adjustRightInd w:val="0"/>
        <w:ind w:left="360"/>
        <w:rPr>
          <w:rFonts w:eastAsia="SimSun" w:cs="Arial"/>
          <w:bCs/>
        </w:rPr>
      </w:pPr>
      <w:r w:rsidRPr="00082479">
        <w:rPr>
          <w:rFonts w:eastAsia="SimSun" w:cs="Arial"/>
          <w:bCs/>
        </w:rPr>
        <w:t>When multiple charging spaces</w:t>
      </w:r>
      <w:r w:rsidR="00EB15C9">
        <w:rPr>
          <w:rFonts w:eastAsia="SimSun" w:cs="Arial"/>
          <w:bCs/>
        </w:rPr>
        <w:t xml:space="preserve"> … </w:t>
      </w:r>
      <w:r w:rsidRPr="00A430FC">
        <w:rPr>
          <w:rFonts w:eastAsia="SimSun" w:cs="Arial"/>
          <w:bCs/>
        </w:rPr>
        <w:t>the</w:t>
      </w:r>
      <w:r>
        <w:rPr>
          <w:rFonts w:eastAsia="SimSun" w:cs="Arial"/>
          <w:b/>
          <w:bCs/>
        </w:rPr>
        <w:t xml:space="preserve"> </w:t>
      </w:r>
      <w:r w:rsidRPr="00082479">
        <w:rPr>
          <w:rFonts w:eastAsia="SimSun" w:cs="Arial"/>
          <w:bCs/>
        </w:rPr>
        <w:t>following:</w:t>
      </w:r>
    </w:p>
    <w:p w:rsidR="00663253" w:rsidRPr="000D6A02" w:rsidRDefault="00663253" w:rsidP="00663253">
      <w:pPr>
        <w:autoSpaceDE w:val="0"/>
        <w:autoSpaceDN w:val="0"/>
        <w:adjustRightInd w:val="0"/>
        <w:ind w:left="1080" w:hanging="360"/>
        <w:rPr>
          <w:rFonts w:eastAsia="SimSun" w:cs="Arial"/>
          <w:b/>
          <w:bCs/>
        </w:rPr>
      </w:pPr>
      <w:r>
        <w:rPr>
          <w:rFonts w:eastAsia="SimSun" w:cs="Arial"/>
          <w:bCs/>
        </w:rPr>
        <w:t>1.</w:t>
      </w:r>
      <w:r>
        <w:rPr>
          <w:rFonts w:eastAsia="SimSun" w:cs="Arial"/>
          <w:bCs/>
        </w:rPr>
        <w:tab/>
        <w:t>…</w:t>
      </w:r>
    </w:p>
    <w:p w:rsidR="00663253" w:rsidRPr="000D6A02" w:rsidRDefault="00663253" w:rsidP="00663253">
      <w:pPr>
        <w:autoSpaceDE w:val="0"/>
        <w:autoSpaceDN w:val="0"/>
        <w:adjustRightInd w:val="0"/>
        <w:ind w:left="1080" w:hanging="360"/>
        <w:rPr>
          <w:rFonts w:eastAsia="SimSun" w:cs="Arial"/>
          <w:b/>
          <w:bCs/>
        </w:rPr>
      </w:pPr>
      <w:r>
        <w:rPr>
          <w:rFonts w:eastAsia="SimSun" w:cs="Arial"/>
          <w:bCs/>
        </w:rPr>
        <w:t>2.</w:t>
      </w:r>
      <w:r>
        <w:rPr>
          <w:rFonts w:eastAsia="SimSun" w:cs="Arial"/>
          <w:bCs/>
        </w:rPr>
        <w:tab/>
        <w:t>…</w:t>
      </w:r>
    </w:p>
    <w:p w:rsidR="00663253" w:rsidRPr="000D6A02" w:rsidRDefault="00663253" w:rsidP="00663253">
      <w:pPr>
        <w:autoSpaceDE w:val="0"/>
        <w:autoSpaceDN w:val="0"/>
        <w:adjustRightInd w:val="0"/>
        <w:ind w:left="1080" w:hanging="360"/>
        <w:rPr>
          <w:rFonts w:eastAsia="SimSun" w:cs="Arial"/>
          <w:b/>
          <w:bCs/>
        </w:rPr>
      </w:pPr>
      <w:r w:rsidRPr="00082479">
        <w:rPr>
          <w:rFonts w:eastAsia="SimSun" w:cs="Arial"/>
          <w:bCs/>
        </w:rPr>
        <w:t>3.</w:t>
      </w:r>
      <w:r>
        <w:rPr>
          <w:rFonts w:eastAsia="SimSun" w:cs="Arial"/>
          <w:bCs/>
        </w:rPr>
        <w:tab/>
        <w:t>…</w:t>
      </w:r>
    </w:p>
    <w:p w:rsidR="00663253" w:rsidRPr="000D6A02" w:rsidRDefault="00663253" w:rsidP="00663253">
      <w:pPr>
        <w:autoSpaceDE w:val="0"/>
        <w:autoSpaceDN w:val="0"/>
        <w:adjustRightInd w:val="0"/>
        <w:ind w:left="1080" w:hanging="360"/>
        <w:rPr>
          <w:rFonts w:eastAsia="SimSun" w:cs="Arial"/>
          <w:b/>
          <w:bCs/>
        </w:rPr>
      </w:pPr>
      <w:r>
        <w:rPr>
          <w:rFonts w:eastAsia="SimSun" w:cs="Arial"/>
          <w:bCs/>
        </w:rPr>
        <w:t>4.</w:t>
      </w:r>
      <w:r>
        <w:rPr>
          <w:rFonts w:eastAsia="SimSun" w:cs="Arial"/>
          <w:bCs/>
        </w:rPr>
        <w:tab/>
        <w:t>…</w:t>
      </w:r>
    </w:p>
    <w:p w:rsidR="00663253" w:rsidRPr="000D6A02" w:rsidRDefault="00663253" w:rsidP="000E3054">
      <w:pPr>
        <w:autoSpaceDE w:val="0"/>
        <w:autoSpaceDN w:val="0"/>
        <w:adjustRightInd w:val="0"/>
        <w:spacing w:after="240"/>
        <w:ind w:left="1080" w:hanging="360"/>
        <w:rPr>
          <w:rFonts w:eastAsia="SimSun" w:cs="Arial"/>
          <w:b/>
          <w:bCs/>
        </w:rPr>
      </w:pPr>
      <w:r>
        <w:rPr>
          <w:rFonts w:eastAsia="SimSun" w:cs="Arial"/>
          <w:bCs/>
        </w:rPr>
        <w:t>5.</w:t>
      </w:r>
      <w:r>
        <w:rPr>
          <w:rFonts w:eastAsia="SimSun" w:cs="Arial"/>
          <w:bCs/>
        </w:rPr>
        <w:tab/>
        <w:t>…</w:t>
      </w:r>
    </w:p>
    <w:p w:rsidR="00D663C1" w:rsidRPr="00C47601" w:rsidRDefault="00D663C1" w:rsidP="00C47601">
      <w:pPr>
        <w:autoSpaceDE w:val="0"/>
        <w:autoSpaceDN w:val="0"/>
        <w:adjustRightInd w:val="0"/>
        <w:ind w:left="720"/>
        <w:rPr>
          <w:rFonts w:eastAsia="SimSun" w:cs="Arial"/>
          <w:b/>
          <w:bCs/>
        </w:rPr>
      </w:pPr>
      <w:r w:rsidRPr="00D663C1">
        <w:rPr>
          <w:rFonts w:eastAsia="SimSun" w:cs="Arial"/>
          <w:b/>
          <w:bCs/>
        </w:rPr>
        <w:t xml:space="preserve">Exception: </w:t>
      </w:r>
      <w:r w:rsidRPr="00D663C1">
        <w:rPr>
          <w:rFonts w:eastAsia="SimSun" w:cs="Arial"/>
          <w:bCs/>
        </w:rPr>
        <w:t>Capacity to simultaneously charge all EVs at all required EV spaces at the full rated amperage of the EVSE is not required when an energy management system is installed in accordance with the California Electrical Code.</w:t>
      </w:r>
    </w:p>
    <w:p w:rsidR="00D663C1" w:rsidRPr="00EB15C9" w:rsidRDefault="00EB15C9" w:rsidP="00D663C1">
      <w:pPr>
        <w:autoSpaceDE w:val="0"/>
        <w:autoSpaceDN w:val="0"/>
        <w:adjustRightInd w:val="0"/>
        <w:rPr>
          <w:rFonts w:eastAsia="SimSun" w:cs="Arial"/>
          <w:bCs/>
        </w:rPr>
      </w:pPr>
      <w:r w:rsidRPr="00EB15C9">
        <w:rPr>
          <w:rFonts w:eastAsia="SimSun" w:cs="Arial"/>
          <w:bCs/>
        </w:rPr>
        <w:t>…</w:t>
      </w:r>
    </w:p>
    <w:p w:rsidR="00D663C1" w:rsidRPr="00082479" w:rsidRDefault="00D663C1" w:rsidP="000E3054">
      <w:pPr>
        <w:autoSpaceDE w:val="0"/>
        <w:autoSpaceDN w:val="0"/>
        <w:adjustRightInd w:val="0"/>
        <w:spacing w:after="240"/>
        <w:jc w:val="center"/>
        <w:rPr>
          <w:rFonts w:cs="Arial"/>
          <w:b/>
          <w:color w:val="000000"/>
        </w:rPr>
      </w:pPr>
      <w:r w:rsidRPr="00082479">
        <w:rPr>
          <w:rFonts w:cs="Arial"/>
          <w:b/>
          <w:color w:val="000000"/>
        </w:rPr>
        <w:t>TABLE 5.106.5.3.3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420"/>
      </w:tblGrid>
      <w:tr w:rsidR="00D663C1" w:rsidRPr="00082479" w:rsidTr="00EB15C9">
        <w:trPr>
          <w:trHeight w:val="247"/>
          <w:tblHeader/>
          <w:jc w:val="center"/>
        </w:trPr>
        <w:tc>
          <w:tcPr>
            <w:tcW w:w="3600" w:type="dxa"/>
            <w:shd w:val="clear" w:color="auto" w:fill="auto"/>
          </w:tcPr>
          <w:p w:rsidR="00D663C1" w:rsidRPr="00994B0D" w:rsidRDefault="00D663C1" w:rsidP="00AD0C7D">
            <w:pPr>
              <w:jc w:val="center"/>
              <w:rPr>
                <w:rFonts w:cs="Arial"/>
                <w:b/>
                <w:color w:val="000000"/>
              </w:rPr>
            </w:pPr>
            <w:r w:rsidRPr="00994B0D">
              <w:rPr>
                <w:rFonts w:cs="Arial"/>
                <w:b/>
                <w:color w:val="000000"/>
              </w:rPr>
              <w:t xml:space="preserve">TOTAL NUMBER OF </w:t>
            </w:r>
          </w:p>
          <w:p w:rsidR="00D663C1" w:rsidRPr="00994B0D" w:rsidRDefault="00D663C1" w:rsidP="00AD0C7D">
            <w:pPr>
              <w:jc w:val="center"/>
              <w:rPr>
                <w:rFonts w:cs="Arial"/>
                <w:b/>
                <w:color w:val="000000"/>
              </w:rPr>
            </w:pPr>
            <w:r w:rsidRPr="00994B0D">
              <w:rPr>
                <w:rFonts w:cs="Arial"/>
                <w:b/>
                <w:color w:val="000000"/>
              </w:rPr>
              <w:t>ACTUAL PARKING SPACES</w:t>
            </w:r>
          </w:p>
        </w:tc>
        <w:tc>
          <w:tcPr>
            <w:tcW w:w="3420" w:type="dxa"/>
            <w:shd w:val="clear" w:color="auto" w:fill="auto"/>
          </w:tcPr>
          <w:p w:rsidR="00D663C1" w:rsidRPr="00D663C1" w:rsidRDefault="00D663C1" w:rsidP="00AD0C7D">
            <w:pPr>
              <w:jc w:val="center"/>
              <w:rPr>
                <w:rFonts w:cs="Arial"/>
                <w:b/>
                <w:color w:val="000000"/>
              </w:rPr>
            </w:pPr>
            <w:r w:rsidRPr="00D663C1">
              <w:rPr>
                <w:rFonts w:cs="Arial"/>
                <w:b/>
                <w:color w:val="000000"/>
              </w:rPr>
              <w:t>NUMBER OF REQUIRED EV CHARGING SPACES</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0-9</w:t>
            </w:r>
          </w:p>
        </w:tc>
        <w:tc>
          <w:tcPr>
            <w:tcW w:w="3420" w:type="dxa"/>
            <w:shd w:val="clear" w:color="auto" w:fill="auto"/>
          </w:tcPr>
          <w:p w:rsidR="00D663C1" w:rsidRPr="00D663C1" w:rsidRDefault="00D663C1" w:rsidP="00AD0C7D">
            <w:pPr>
              <w:jc w:val="center"/>
              <w:rPr>
                <w:rFonts w:cs="Arial"/>
                <w:color w:val="000000"/>
              </w:rPr>
            </w:pPr>
            <w:r w:rsidRPr="00D663C1">
              <w:rPr>
                <w:rFonts w:cs="Arial"/>
                <w:color w:val="000000"/>
              </w:rPr>
              <w:t>0</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10-25</w:t>
            </w:r>
          </w:p>
        </w:tc>
        <w:tc>
          <w:tcPr>
            <w:tcW w:w="3420" w:type="dxa"/>
            <w:shd w:val="clear" w:color="auto" w:fill="auto"/>
          </w:tcPr>
          <w:p w:rsidR="00D663C1" w:rsidRPr="00D663C1" w:rsidRDefault="00D663C1" w:rsidP="00AD0C7D">
            <w:pPr>
              <w:jc w:val="center"/>
              <w:rPr>
                <w:rFonts w:cs="Arial"/>
                <w:strike/>
                <w:color w:val="000000"/>
              </w:rPr>
            </w:pPr>
            <w:r w:rsidRPr="00D663C1">
              <w:rPr>
                <w:rFonts w:cs="Arial"/>
                <w:color w:val="000000"/>
              </w:rPr>
              <w:t>2</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26-50</w:t>
            </w:r>
          </w:p>
        </w:tc>
        <w:tc>
          <w:tcPr>
            <w:tcW w:w="3420" w:type="dxa"/>
            <w:shd w:val="clear" w:color="auto" w:fill="auto"/>
          </w:tcPr>
          <w:p w:rsidR="00D663C1" w:rsidRPr="00D663C1" w:rsidRDefault="00D663C1" w:rsidP="00AD0C7D">
            <w:pPr>
              <w:jc w:val="center"/>
              <w:rPr>
                <w:rFonts w:cs="Arial"/>
                <w:strike/>
                <w:color w:val="000000"/>
              </w:rPr>
            </w:pPr>
            <w:r w:rsidRPr="00D663C1">
              <w:rPr>
                <w:rFonts w:cs="Arial"/>
                <w:color w:val="000000"/>
              </w:rPr>
              <w:t>3</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51-75</w:t>
            </w:r>
          </w:p>
        </w:tc>
        <w:tc>
          <w:tcPr>
            <w:tcW w:w="3420" w:type="dxa"/>
            <w:shd w:val="clear" w:color="auto" w:fill="auto"/>
          </w:tcPr>
          <w:p w:rsidR="00D663C1" w:rsidRPr="00D663C1" w:rsidRDefault="00D663C1" w:rsidP="00AD0C7D">
            <w:pPr>
              <w:jc w:val="center"/>
              <w:rPr>
                <w:rFonts w:cs="Arial"/>
                <w:strike/>
                <w:color w:val="000000"/>
              </w:rPr>
            </w:pPr>
            <w:r w:rsidRPr="00D663C1">
              <w:rPr>
                <w:rFonts w:cs="Arial"/>
                <w:color w:val="000000"/>
              </w:rPr>
              <w:t>5</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76-100</w:t>
            </w:r>
          </w:p>
        </w:tc>
        <w:tc>
          <w:tcPr>
            <w:tcW w:w="3420" w:type="dxa"/>
            <w:shd w:val="clear" w:color="auto" w:fill="auto"/>
          </w:tcPr>
          <w:p w:rsidR="00D663C1" w:rsidRPr="00D663C1" w:rsidRDefault="00D663C1" w:rsidP="00AD0C7D">
            <w:pPr>
              <w:jc w:val="center"/>
              <w:rPr>
                <w:rFonts w:cs="Arial"/>
                <w:strike/>
                <w:color w:val="000000"/>
              </w:rPr>
            </w:pPr>
            <w:r w:rsidRPr="00D663C1">
              <w:rPr>
                <w:rFonts w:cs="Arial"/>
                <w:color w:val="000000"/>
              </w:rPr>
              <w:t>7</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101-150</w:t>
            </w:r>
          </w:p>
        </w:tc>
        <w:tc>
          <w:tcPr>
            <w:tcW w:w="3420" w:type="dxa"/>
            <w:shd w:val="clear" w:color="auto" w:fill="auto"/>
          </w:tcPr>
          <w:p w:rsidR="00D663C1" w:rsidRPr="00D663C1" w:rsidRDefault="00D663C1" w:rsidP="00AD0C7D">
            <w:pPr>
              <w:jc w:val="center"/>
              <w:rPr>
                <w:rFonts w:cs="Arial"/>
                <w:strike/>
                <w:color w:val="000000"/>
              </w:rPr>
            </w:pPr>
            <w:r w:rsidRPr="00D663C1">
              <w:rPr>
                <w:rFonts w:cs="Arial"/>
                <w:color w:val="000000"/>
              </w:rPr>
              <w:t>10</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151-200</w:t>
            </w:r>
          </w:p>
        </w:tc>
        <w:tc>
          <w:tcPr>
            <w:tcW w:w="3420" w:type="dxa"/>
            <w:shd w:val="clear" w:color="auto" w:fill="auto"/>
          </w:tcPr>
          <w:p w:rsidR="00D663C1" w:rsidRPr="00D663C1" w:rsidRDefault="00D663C1" w:rsidP="00AD0C7D">
            <w:pPr>
              <w:jc w:val="center"/>
              <w:rPr>
                <w:rFonts w:cs="Arial"/>
                <w:strike/>
                <w:color w:val="000000"/>
              </w:rPr>
            </w:pPr>
            <w:r w:rsidRPr="00D663C1">
              <w:rPr>
                <w:rFonts w:cs="Arial"/>
                <w:color w:val="000000"/>
              </w:rPr>
              <w:t xml:space="preserve"> 14</w:t>
            </w:r>
          </w:p>
        </w:tc>
      </w:tr>
      <w:tr w:rsidR="00D663C1" w:rsidRPr="00082479" w:rsidTr="001121C6">
        <w:trPr>
          <w:trHeight w:val="245"/>
          <w:tblHeader/>
          <w:jc w:val="center"/>
        </w:trPr>
        <w:tc>
          <w:tcPr>
            <w:tcW w:w="3600" w:type="dxa"/>
            <w:shd w:val="clear" w:color="auto" w:fill="auto"/>
          </w:tcPr>
          <w:p w:rsidR="00D663C1" w:rsidRPr="005E2F73" w:rsidRDefault="00D663C1" w:rsidP="00AD0C7D">
            <w:pPr>
              <w:jc w:val="center"/>
              <w:rPr>
                <w:rFonts w:cs="Arial"/>
                <w:color w:val="000000"/>
              </w:rPr>
            </w:pPr>
            <w:r w:rsidRPr="005E2F73">
              <w:rPr>
                <w:rFonts w:cs="Arial"/>
                <w:color w:val="000000"/>
              </w:rPr>
              <w:t>201 and over</w:t>
            </w:r>
          </w:p>
        </w:tc>
        <w:tc>
          <w:tcPr>
            <w:tcW w:w="3420" w:type="dxa"/>
            <w:shd w:val="clear" w:color="auto" w:fill="auto"/>
          </w:tcPr>
          <w:p w:rsidR="00D663C1" w:rsidRPr="00D663C1" w:rsidRDefault="00D663C1" w:rsidP="00AD0C7D">
            <w:pPr>
              <w:jc w:val="center"/>
              <w:rPr>
                <w:rFonts w:cs="Arial"/>
                <w:color w:val="000000"/>
              </w:rPr>
            </w:pPr>
            <w:r w:rsidRPr="00D663C1">
              <w:rPr>
                <w:rFonts w:cs="Arial"/>
                <w:color w:val="000000"/>
              </w:rPr>
              <w:t xml:space="preserve"> 8 percent of total</w:t>
            </w:r>
            <w:r w:rsidRPr="00D663C1">
              <w:rPr>
                <w:rFonts w:cs="Arial"/>
                <w:color w:val="000000"/>
                <w:vertAlign w:val="superscript"/>
              </w:rPr>
              <w:t>1</w:t>
            </w:r>
          </w:p>
        </w:tc>
      </w:tr>
    </w:tbl>
    <w:p w:rsidR="00D663C1" w:rsidRPr="00EB15C9" w:rsidRDefault="00D663C1" w:rsidP="00D663C1">
      <w:pPr>
        <w:numPr>
          <w:ilvl w:val="0"/>
          <w:numId w:val="6"/>
        </w:numPr>
        <w:spacing w:before="120"/>
        <w:rPr>
          <w:rFonts w:cs="Arial"/>
        </w:rPr>
      </w:pPr>
      <w:r w:rsidRPr="00EB15C9">
        <w:rPr>
          <w:rFonts w:cs="Arial"/>
          <w:color w:val="000000"/>
        </w:rPr>
        <w:t>Calculation for spaces shall be rounded up to the nearest whole number.</w:t>
      </w:r>
    </w:p>
    <w:p w:rsidR="00D663C1" w:rsidRPr="00EB15C9" w:rsidRDefault="00EB15C9" w:rsidP="000E3054">
      <w:pPr>
        <w:spacing w:after="240"/>
        <w:rPr>
          <w:rFonts w:cs="Arial"/>
          <w:color w:val="000000"/>
        </w:rPr>
      </w:pPr>
      <w:r w:rsidRPr="00EB15C9">
        <w:rPr>
          <w:rFonts w:cs="Arial"/>
          <w:color w:val="000000"/>
        </w:rPr>
        <w:t>…</w:t>
      </w:r>
    </w:p>
    <w:p w:rsidR="00D663C1" w:rsidRPr="00A430FC" w:rsidRDefault="00D663C1" w:rsidP="000E3054">
      <w:pPr>
        <w:spacing w:after="240"/>
        <w:ind w:left="360"/>
        <w:rPr>
          <w:rFonts w:cs="Arial"/>
          <w:color w:val="000000"/>
        </w:rPr>
      </w:pPr>
      <w:r w:rsidRPr="00A430FC">
        <w:rPr>
          <w:rFonts w:cs="Arial"/>
          <w:b/>
          <w:color w:val="000000"/>
        </w:rPr>
        <w:t>5.106.5.3.5</w:t>
      </w:r>
      <w:r>
        <w:rPr>
          <w:rFonts w:cs="Arial"/>
          <w:b/>
          <w:color w:val="000000"/>
        </w:rPr>
        <w:t xml:space="preserve"> [N] </w:t>
      </w:r>
      <w:r w:rsidRPr="00FA2DBE">
        <w:rPr>
          <w:rFonts w:cs="Arial"/>
          <w:b/>
          <w:color w:val="000000"/>
        </w:rPr>
        <w:t>Future charging spaces.</w:t>
      </w:r>
      <w:r w:rsidR="003D29E1">
        <w:rPr>
          <w:rFonts w:cs="Arial"/>
          <w:color w:val="000000"/>
        </w:rPr>
        <w:t xml:space="preserve"> </w:t>
      </w:r>
      <w:r w:rsidRPr="00A430FC">
        <w:rPr>
          <w:rFonts w:cs="Arial"/>
          <w:color w:val="000000"/>
        </w:rPr>
        <w:t>Future charging spaces qualify as</w:t>
      </w:r>
      <w:r>
        <w:rPr>
          <w:rFonts w:cs="Arial"/>
          <w:color w:val="000000"/>
        </w:rPr>
        <w:t xml:space="preserve"> </w:t>
      </w:r>
      <w:r>
        <w:rPr>
          <w:rFonts w:cs="Arial"/>
          <w:b/>
          <w:color w:val="000000"/>
        </w:rPr>
        <w:t xml:space="preserve">. . . </w:t>
      </w:r>
      <w:r w:rsidRPr="00A430FC">
        <w:rPr>
          <w:rFonts w:cs="Arial"/>
          <w:color w:val="000000"/>
        </w:rPr>
        <w:t>clean air vehicles.</w:t>
      </w:r>
    </w:p>
    <w:p w:rsidR="00D663C1" w:rsidRPr="00D663C1" w:rsidRDefault="00D663C1" w:rsidP="000E3054">
      <w:pPr>
        <w:spacing w:after="240"/>
        <w:ind w:left="360"/>
        <w:rPr>
          <w:rFonts w:cs="Arial"/>
          <w:color w:val="000000"/>
        </w:rPr>
      </w:pPr>
      <w:r w:rsidRPr="00D663C1">
        <w:rPr>
          <w:rFonts w:cs="Arial"/>
          <w:color w:val="000000"/>
        </w:rPr>
        <w:t>Note: Future electric vehicle charging spaces shall be considered parking spaces and shall count for the total parking spaces required by the local enforcing agencies.</w:t>
      </w:r>
    </w:p>
    <w:p w:rsidR="000E3054" w:rsidRDefault="000E3054">
      <w:pPr>
        <w:spacing w:after="200" w:line="276" w:lineRule="auto"/>
        <w:rPr>
          <w:rFonts w:cs="Arial"/>
          <w:szCs w:val="22"/>
        </w:rPr>
      </w:pPr>
      <w:r>
        <w:rPr>
          <w:rFonts w:cs="Arial"/>
          <w:szCs w:val="22"/>
        </w:rPr>
        <w:br w:type="page"/>
      </w:r>
    </w:p>
    <w:tbl>
      <w:tblPr>
        <w:tblStyle w:val="TableGrid"/>
        <w:tblW w:w="0" w:type="auto"/>
        <w:tblInd w:w="144" w:type="dxa"/>
        <w:tblLook w:val="04A0" w:firstRow="1" w:lastRow="0" w:firstColumn="1" w:lastColumn="0" w:noHBand="0" w:noVBand="1"/>
        <w:tblDescription w:val="Suggested Text of Proposed Amendments"/>
      </w:tblPr>
      <w:tblGrid>
        <w:gridCol w:w="10080"/>
      </w:tblGrid>
      <w:tr w:rsidR="00BC074F" w:rsidTr="00610CE3">
        <w:trPr>
          <w:trHeight w:val="360"/>
          <w:tblHeader/>
        </w:trPr>
        <w:tc>
          <w:tcPr>
            <w:tcW w:w="10080" w:type="dxa"/>
            <w:shd w:val="clear" w:color="auto" w:fill="000000" w:themeFill="text1"/>
            <w:vAlign w:val="center"/>
          </w:tcPr>
          <w:p w:rsidR="00BC074F" w:rsidRPr="00CF4E5F" w:rsidRDefault="00BC074F" w:rsidP="00CF4E5F">
            <w:pPr>
              <w:pStyle w:val="Heading2"/>
              <w:outlineLvl w:val="1"/>
            </w:pPr>
            <w:r w:rsidRPr="00CF4E5F">
              <w:lastRenderedPageBreak/>
              <w:t>Rationale</w:t>
            </w:r>
          </w:p>
        </w:tc>
      </w:tr>
    </w:tbl>
    <w:p w:rsidR="00A7686A" w:rsidRPr="002B595E" w:rsidRDefault="00A7686A" w:rsidP="00A7686A">
      <w:pPr>
        <w:rPr>
          <w:rFonts w:cs="Arial"/>
          <w:sz w:val="12"/>
          <w:szCs w:val="12"/>
        </w:rPr>
      </w:pPr>
    </w:p>
    <w:p w:rsidR="00D663C1" w:rsidRPr="00D663C1" w:rsidRDefault="00D663C1" w:rsidP="00B3419D">
      <w:pPr>
        <w:spacing w:line="216" w:lineRule="auto"/>
        <w:rPr>
          <w:rFonts w:cs="Arial"/>
          <w:b/>
          <w:sz w:val="24"/>
          <w:szCs w:val="24"/>
        </w:rPr>
      </w:pPr>
      <w:r w:rsidRPr="00D663C1">
        <w:rPr>
          <w:rFonts w:cs="Arial"/>
          <w:b/>
          <w:sz w:val="24"/>
          <w:szCs w:val="24"/>
        </w:rPr>
        <w:t>Statement of specific purpose, problem, rationale and benefits:</w:t>
      </w:r>
    </w:p>
    <w:p w:rsidR="000E3054" w:rsidRDefault="00D663C1" w:rsidP="000E3054">
      <w:pPr>
        <w:spacing w:after="240"/>
        <w:ind w:left="720"/>
        <w:rPr>
          <w:rFonts w:cs="Arial"/>
          <w:b/>
          <w:bCs/>
          <w:sz w:val="24"/>
          <w:szCs w:val="24"/>
        </w:rPr>
      </w:pPr>
      <w:r>
        <w:rPr>
          <w:rFonts w:cs="Arial"/>
          <w:sz w:val="24"/>
          <w:szCs w:val="24"/>
        </w:rPr>
        <w:t>DSA</w:t>
      </w:r>
      <w:r w:rsidRPr="00D663C1">
        <w:rPr>
          <w:rFonts w:cs="Arial"/>
          <w:b/>
          <w:sz w:val="24"/>
          <w:szCs w:val="24"/>
        </w:rPr>
        <w:t xml:space="preserve"> </w:t>
      </w:r>
      <w:r w:rsidRPr="00D663C1">
        <w:rPr>
          <w:rFonts w:cs="Arial"/>
          <w:sz w:val="24"/>
          <w:szCs w:val="24"/>
        </w:rPr>
        <w:t xml:space="preserve">is proposing to increase the </w:t>
      </w:r>
      <w:r w:rsidRPr="00D663C1">
        <w:rPr>
          <w:rFonts w:cs="Arial"/>
          <w:color w:val="000000"/>
          <w:sz w:val="24"/>
          <w:szCs w:val="24"/>
        </w:rPr>
        <w:t>percentage of EV capable parking space infrastructure for inclusion in the 2019 CALGreen Code, Sections 5.106.5.3 Electric Vehicle (EV) charging for mandatory measures</w:t>
      </w:r>
      <w:r w:rsidR="00C47601">
        <w:rPr>
          <w:rFonts w:cs="Arial"/>
          <w:color w:val="000000"/>
          <w:sz w:val="24"/>
          <w:szCs w:val="24"/>
        </w:rPr>
        <w:t>.</w:t>
      </w:r>
      <w:r w:rsidRPr="00D663C1">
        <w:rPr>
          <w:rFonts w:cs="Arial"/>
          <w:color w:val="000000"/>
          <w:sz w:val="24"/>
          <w:szCs w:val="24"/>
        </w:rPr>
        <w:t xml:space="preserve"> It was identified that nonresidential parking garages and other occupancies with large parking lots have had financial impacts trying to comply with the current standards requiring full capacity charging of 40 amps per vehicle. CBSC is proposing an exception in the code for dynamic power management systems for EVSE as one possible solution. Shared charging via dynamic power management systems allows for charging more vehicles with less power usage. </w:t>
      </w:r>
      <w:r>
        <w:rPr>
          <w:rFonts w:cs="Arial"/>
          <w:color w:val="000000"/>
          <w:sz w:val="24"/>
          <w:szCs w:val="24"/>
        </w:rPr>
        <w:t>DSA</w:t>
      </w:r>
      <w:r w:rsidRPr="00D663C1">
        <w:rPr>
          <w:rFonts w:cs="Arial"/>
          <w:color w:val="000000"/>
          <w:sz w:val="24"/>
          <w:szCs w:val="24"/>
        </w:rPr>
        <w:t xml:space="preserve"> is also proposing an amendment to the EV code Sections 5.106.5.3.5 by adding a note that states, “Future electric vehicle charging spaces shall be considered parking spaces and shall count for the total parking spaces required by the local enforcing agencies.”</w:t>
      </w:r>
    </w:p>
    <w:p w:rsidR="00D663C1" w:rsidRPr="000E3054" w:rsidRDefault="00D663C1" w:rsidP="000E3054">
      <w:pPr>
        <w:ind w:left="720"/>
        <w:rPr>
          <w:rFonts w:cs="Arial"/>
          <w:b/>
          <w:bCs/>
          <w:sz w:val="24"/>
          <w:szCs w:val="24"/>
        </w:rPr>
      </w:pPr>
      <w:r w:rsidRPr="00D663C1">
        <w:rPr>
          <w:rFonts w:cs="Arial"/>
          <w:b/>
          <w:color w:val="000000"/>
          <w:sz w:val="24"/>
          <w:szCs w:val="24"/>
        </w:rPr>
        <w:t>History:</w:t>
      </w:r>
    </w:p>
    <w:p w:rsidR="00D663C1" w:rsidRPr="00D663C1" w:rsidRDefault="00C47601" w:rsidP="000E3054">
      <w:pPr>
        <w:spacing w:after="240"/>
        <w:ind w:left="720"/>
        <w:rPr>
          <w:rFonts w:cs="Arial"/>
          <w:b/>
          <w:color w:val="000000"/>
          <w:sz w:val="24"/>
          <w:szCs w:val="24"/>
        </w:rPr>
      </w:pPr>
      <w:r>
        <w:rPr>
          <w:rFonts w:cs="Arial"/>
          <w:color w:val="000000"/>
          <w:sz w:val="24"/>
          <w:szCs w:val="24"/>
        </w:rPr>
        <w:t>DSA</w:t>
      </w:r>
      <w:r w:rsidR="00D663C1" w:rsidRPr="00D663C1">
        <w:rPr>
          <w:rFonts w:cs="Arial"/>
          <w:color w:val="000000"/>
          <w:sz w:val="24"/>
          <w:szCs w:val="24"/>
        </w:rPr>
        <w:t>’s Zero Emission Vehicle (ZEV) regulation is one strategy to improve air quality and reduce greenhouse gas emissions through advanced technology vehicle production and Low-Emission Vehicle Regulations placed on automobile</w:t>
      </w:r>
      <w:r>
        <w:rPr>
          <w:rFonts w:cs="Arial"/>
          <w:color w:val="000000"/>
          <w:sz w:val="24"/>
          <w:szCs w:val="24"/>
        </w:rPr>
        <w:t xml:space="preserve"> </w:t>
      </w:r>
      <w:r w:rsidR="00D663C1" w:rsidRPr="00D663C1">
        <w:rPr>
          <w:rFonts w:cs="Arial"/>
          <w:color w:val="000000"/>
          <w:sz w:val="24"/>
          <w:szCs w:val="24"/>
        </w:rPr>
        <w:t>manufacturers</w:t>
      </w:r>
      <w:r>
        <w:rPr>
          <w:rFonts w:cs="Arial"/>
          <w:color w:val="000000"/>
          <w:sz w:val="24"/>
          <w:szCs w:val="24"/>
        </w:rPr>
        <w:t>.</w:t>
      </w:r>
      <w:r w:rsidR="00D663C1" w:rsidRPr="00D663C1">
        <w:rPr>
          <w:rFonts w:cs="Arial"/>
          <w:color w:val="000000"/>
          <w:sz w:val="24"/>
          <w:szCs w:val="24"/>
        </w:rPr>
        <w:t xml:space="preserve"> Consumers are embracing electric and electric/hybrid vehicles and there is a need for widespread infrastructure to support future charging needs. Additionally, the Governor’s Office Zero Emission Vehicle (ZEV) Action Plan identifies strategies and actions supporting the milestones identified in Executive Order B-16-12, and a revised target of 5 million ZEVs on California’s roadways by 2030 as directed by Executive Order B-48-18.</w:t>
      </w:r>
      <w:r w:rsidR="00D663C1" w:rsidRPr="00D663C1">
        <w:rPr>
          <w:rFonts w:cs="Arial"/>
          <w:b/>
          <w:color w:val="000000"/>
          <w:sz w:val="24"/>
          <w:szCs w:val="24"/>
        </w:rPr>
        <w:t xml:space="preserve"> </w:t>
      </w:r>
    </w:p>
    <w:p w:rsidR="00D663C1" w:rsidRPr="00D663C1" w:rsidRDefault="00D663C1" w:rsidP="00D663C1">
      <w:pPr>
        <w:ind w:firstLine="720"/>
        <w:rPr>
          <w:rFonts w:cs="Arial"/>
          <w:b/>
          <w:color w:val="000000"/>
          <w:sz w:val="24"/>
          <w:szCs w:val="24"/>
        </w:rPr>
      </w:pPr>
      <w:r w:rsidRPr="00D663C1">
        <w:rPr>
          <w:rFonts w:cs="Arial"/>
          <w:b/>
          <w:color w:val="000000"/>
          <w:sz w:val="24"/>
          <w:szCs w:val="24"/>
        </w:rPr>
        <w:t>Rationale for proposed code change:</w:t>
      </w:r>
    </w:p>
    <w:p w:rsidR="00D663C1" w:rsidRPr="00D663C1" w:rsidRDefault="00D663C1" w:rsidP="000E3054">
      <w:pPr>
        <w:spacing w:after="240"/>
        <w:ind w:left="720"/>
        <w:rPr>
          <w:rFonts w:cs="Arial"/>
          <w:color w:val="000000"/>
          <w:sz w:val="24"/>
          <w:szCs w:val="24"/>
        </w:rPr>
      </w:pPr>
      <w:r w:rsidRPr="00D663C1">
        <w:rPr>
          <w:rFonts w:cs="Arial"/>
          <w:color w:val="000000"/>
          <w:sz w:val="24"/>
          <w:szCs w:val="24"/>
        </w:rPr>
        <w:t xml:space="preserve">Increasing the requirement from 6 percent to 8 percent for lots over 201 parking spaces will accommodate a foreseeable increase in the demand for EV charging. For the voluntary code provisions, </w:t>
      </w:r>
      <w:r w:rsidR="00C47601">
        <w:rPr>
          <w:rFonts w:cs="Arial"/>
          <w:color w:val="000000"/>
          <w:sz w:val="24"/>
          <w:szCs w:val="24"/>
        </w:rPr>
        <w:t>DSA</w:t>
      </w:r>
      <w:r w:rsidRPr="00D663C1">
        <w:rPr>
          <w:rFonts w:cs="Arial"/>
          <w:color w:val="000000"/>
          <w:sz w:val="24"/>
          <w:szCs w:val="24"/>
        </w:rPr>
        <w:t xml:space="preserve"> is proposing to increase the Tier 1 provision from 8 percent to 10 percent and the Tier 2 provision from 10 percent to 12 percent for parking lots over 201 parking spaces.</w:t>
      </w:r>
      <w:r w:rsidR="00C47601">
        <w:rPr>
          <w:rFonts w:cs="Arial"/>
          <w:color w:val="000000"/>
          <w:sz w:val="24"/>
          <w:szCs w:val="24"/>
        </w:rPr>
        <w:t xml:space="preserve"> </w:t>
      </w:r>
      <w:r w:rsidRPr="00D663C1">
        <w:rPr>
          <w:rFonts w:cs="Arial"/>
          <w:color w:val="000000"/>
          <w:sz w:val="24"/>
          <w:szCs w:val="24"/>
        </w:rPr>
        <w:t>These incremental changes in the mandatory provisions will support new buildings incorporating EV infrastructure in conjunction with electric vehicle market penetration. Additionally, using power management systems for EVSE will allow more vehicles to be charged with less electrical output and is a good option for promoting widespread adoption by business owners. These amendments will add uniform</w:t>
      </w:r>
      <w:r w:rsidR="00EB15C9">
        <w:rPr>
          <w:rFonts w:cs="Arial"/>
          <w:color w:val="000000"/>
          <w:sz w:val="24"/>
          <w:szCs w:val="24"/>
        </w:rPr>
        <w:t>ity and consistency among related provisions.</w:t>
      </w:r>
    </w:p>
    <w:tbl>
      <w:tblPr>
        <w:tblStyle w:val="TableGrid"/>
        <w:tblW w:w="0" w:type="auto"/>
        <w:tblInd w:w="144" w:type="dxa"/>
        <w:tblLook w:val="04A0" w:firstRow="1" w:lastRow="0" w:firstColumn="1" w:lastColumn="0" w:noHBand="0" w:noVBand="1"/>
        <w:tblDescription w:val="Suggested Text of Proposed Amendments"/>
      </w:tblPr>
      <w:tblGrid>
        <w:gridCol w:w="10080"/>
      </w:tblGrid>
      <w:tr w:rsidR="00BC074F" w:rsidTr="00610CE3">
        <w:trPr>
          <w:trHeight w:val="360"/>
          <w:tblHeader/>
        </w:trPr>
        <w:tc>
          <w:tcPr>
            <w:tcW w:w="10080" w:type="dxa"/>
            <w:shd w:val="clear" w:color="auto" w:fill="000000" w:themeFill="text1"/>
            <w:vAlign w:val="center"/>
          </w:tcPr>
          <w:p w:rsidR="00BC074F" w:rsidRPr="00CF4E5F" w:rsidRDefault="00BC074F" w:rsidP="00CF4E5F">
            <w:pPr>
              <w:pStyle w:val="Heading2"/>
              <w:outlineLvl w:val="1"/>
            </w:pPr>
            <w:r w:rsidRPr="00CF4E5F">
              <w:t>Comments</w:t>
            </w:r>
          </w:p>
        </w:tc>
      </w:tr>
    </w:tbl>
    <w:p w:rsidR="00BC074F" w:rsidRPr="002B595E" w:rsidRDefault="00BC074F" w:rsidP="002B595E">
      <w:pPr>
        <w:rPr>
          <w:rFonts w:cs="Arial"/>
          <w:sz w:val="12"/>
          <w:szCs w:val="12"/>
        </w:rPr>
      </w:pPr>
    </w:p>
    <w:p w:rsidR="00C47601" w:rsidRPr="00EB15C9" w:rsidRDefault="00C47601" w:rsidP="00EB15C9">
      <w:pPr>
        <w:pStyle w:val="ListParagraph"/>
        <w:numPr>
          <w:ilvl w:val="0"/>
          <w:numId w:val="3"/>
        </w:numPr>
        <w:rPr>
          <w:rFonts w:cs="Arial"/>
          <w:szCs w:val="22"/>
        </w:rPr>
      </w:pPr>
    </w:p>
    <w:p w:rsidR="00F108C1" w:rsidRDefault="00F108C1">
      <w:pPr>
        <w:spacing w:after="200" w:line="276" w:lineRule="auto"/>
        <w:rPr>
          <w:rFonts w:cs="Arial"/>
        </w:rPr>
      </w:pPr>
      <w:r>
        <w:rPr>
          <w:rFonts w:cs="Arial"/>
        </w:rPr>
        <w:br w:type="page"/>
      </w:r>
    </w:p>
    <w:p w:rsidR="00F108C1" w:rsidRPr="00F108C1" w:rsidRDefault="00F108C1" w:rsidP="00F108C1">
      <w:pPr>
        <w:tabs>
          <w:tab w:val="right" w:pos="10260"/>
        </w:tabs>
        <w:spacing w:line="1000" w:lineRule="exact"/>
        <w:rPr>
          <w:rFonts w:ascii="Arial Bold" w:hAnsi="Arial Bold" w:cs="Arial"/>
          <w:snapToGrid w:val="0"/>
          <w:sz w:val="106"/>
          <w:szCs w:val="96"/>
        </w:rPr>
      </w:pPr>
      <w:r w:rsidRPr="00F108C1">
        <w:rPr>
          <w:noProof/>
        </w:rPr>
        <w:lastRenderedPageBreak/>
        <w:drawing>
          <wp:inline distT="0" distB="0" distL="0" distR="0" wp14:anchorId="05536501" wp14:editId="6B5692EE">
            <wp:extent cx="1859280" cy="449580"/>
            <wp:effectExtent l="0" t="0" r="7620" b="7620"/>
            <wp:docPr id="6" name="Picture 6" descr="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r w:rsidRPr="00F108C1">
        <w:rPr>
          <w:noProof/>
        </w:rPr>
        <w:tab/>
      </w:r>
    </w:p>
    <w:p w:rsidR="00F108C1" w:rsidRPr="00F108C1" w:rsidRDefault="00F108C1" w:rsidP="00C96DA6">
      <w:pPr>
        <w:pBdr>
          <w:top w:val="single" w:sz="4" w:space="1" w:color="auto"/>
        </w:pBdr>
        <w:tabs>
          <w:tab w:val="left" w:pos="4680"/>
          <w:tab w:val="right" w:pos="10080"/>
        </w:tabs>
        <w:spacing w:line="360" w:lineRule="exact"/>
        <w:ind w:right="-86"/>
        <w:outlineLvl w:val="0"/>
        <w:rPr>
          <w:rFonts w:ascii="Franklin Gothic Medium Cond" w:hAnsi="Franklin Gothic Medium Cond"/>
          <w:caps/>
          <w:snapToGrid w:val="0"/>
          <w:kern w:val="40"/>
          <w:sz w:val="41"/>
          <w:szCs w:val="40"/>
        </w:rPr>
      </w:pPr>
      <w:r w:rsidRPr="00F108C1">
        <w:rPr>
          <w:rFonts w:ascii="Franklin Gothic Medium Cond" w:hAnsi="Franklin Gothic Medium Cond"/>
          <w:caps/>
          <w:snapToGrid w:val="0"/>
          <w:kern w:val="40"/>
          <w:sz w:val="41"/>
          <w:szCs w:val="40"/>
        </w:rPr>
        <w:t>DSA Code Amendment develop</w:t>
      </w:r>
      <w:bookmarkStart w:id="0" w:name="_GoBack"/>
      <w:bookmarkEnd w:id="0"/>
      <w:r w:rsidRPr="00F108C1">
        <w:rPr>
          <w:rFonts w:ascii="Franklin Gothic Medium Cond" w:hAnsi="Franklin Gothic Medium Cond"/>
          <w:caps/>
          <w:snapToGrid w:val="0"/>
          <w:kern w:val="40"/>
          <w:sz w:val="41"/>
          <w:szCs w:val="40"/>
        </w:rPr>
        <w:t>ment</w:t>
      </w:r>
      <w:r w:rsidRPr="00F108C1">
        <w:rPr>
          <w:rFonts w:ascii="Franklin Gothic Medium Cond" w:hAnsi="Franklin Gothic Medium Cond"/>
          <w:caps/>
          <w:snapToGrid w:val="0"/>
          <w:kern w:val="40"/>
          <w:sz w:val="41"/>
          <w:szCs w:val="40"/>
        </w:rPr>
        <w:tab/>
      </w:r>
    </w:p>
    <w:p w:rsidR="00F108C1" w:rsidRPr="00F108C1" w:rsidRDefault="00F108C1" w:rsidP="00F108C1">
      <w:pPr>
        <w:rPr>
          <w:rFonts w:cs="Arial"/>
        </w:rPr>
      </w:pPr>
    </w:p>
    <w:p w:rsidR="00F108C1" w:rsidRPr="00F108C1" w:rsidRDefault="00F108C1" w:rsidP="00F108C1">
      <w:pPr>
        <w:rPr>
          <w:rFonts w:cs="Arial"/>
        </w:rPr>
        <w:sectPr w:rsidR="00F108C1" w:rsidRPr="00F108C1" w:rsidSect="00F108C1">
          <w:footerReference w:type="default" r:id="rId10"/>
          <w:footerReference w:type="first" r:id="rId11"/>
          <w:type w:val="continuous"/>
          <w:pgSz w:w="12240" w:h="15840"/>
          <w:pgMar w:top="720" w:right="1080" w:bottom="1080" w:left="1080" w:header="720" w:footer="720" w:gutter="0"/>
          <w:cols w:space="720"/>
          <w:docGrid w:linePitch="360"/>
        </w:sectPr>
      </w:pPr>
    </w:p>
    <w:p w:rsidR="00F108C1" w:rsidRPr="00F108C1" w:rsidRDefault="00F108C1" w:rsidP="00F108C1">
      <w:pPr>
        <w:rPr>
          <w:rFonts w:cs="Arial"/>
          <w:sz w:val="12"/>
          <w:szCs w:val="12"/>
        </w:rPr>
      </w:pPr>
    </w:p>
    <w:tbl>
      <w:tblPr>
        <w:tblStyle w:val="TableGrid1"/>
        <w:tblW w:w="6624" w:type="dxa"/>
        <w:tblInd w:w="144" w:type="dxa"/>
        <w:tblLook w:val="04A0" w:firstRow="1" w:lastRow="0" w:firstColumn="1" w:lastColumn="0" w:noHBand="0" w:noVBand="1"/>
        <w:tblDescription w:val="Applicable Code"/>
      </w:tblPr>
      <w:tblGrid>
        <w:gridCol w:w="6624"/>
      </w:tblGrid>
      <w:tr w:rsidR="00F108C1" w:rsidRPr="00F108C1" w:rsidTr="007D0C45">
        <w:trPr>
          <w:trHeight w:val="360"/>
          <w:tblHeader/>
        </w:trPr>
        <w:tc>
          <w:tcPr>
            <w:tcW w:w="6624" w:type="dxa"/>
            <w:shd w:val="clear" w:color="auto" w:fill="000000" w:themeFill="text1"/>
            <w:vAlign w:val="center"/>
          </w:tcPr>
          <w:p w:rsidR="00F108C1" w:rsidRPr="00F108C1" w:rsidRDefault="00F108C1" w:rsidP="00F108C1">
            <w:pPr>
              <w:ind w:left="30"/>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t>Tracking</w:t>
            </w:r>
          </w:p>
        </w:tc>
      </w:tr>
      <w:tr w:rsidR="00F108C1" w:rsidRPr="00F108C1" w:rsidTr="007D0C45">
        <w:trPr>
          <w:trHeight w:val="432"/>
        </w:trPr>
        <w:tc>
          <w:tcPr>
            <w:tcW w:w="6624" w:type="dxa"/>
          </w:tcPr>
          <w:p w:rsidR="00F108C1" w:rsidRPr="00F108C1" w:rsidRDefault="00F108C1" w:rsidP="00F108C1">
            <w:pPr>
              <w:ind w:left="2196" w:hanging="2196"/>
              <w:contextualSpacing/>
              <w:rPr>
                <w:rFonts w:ascii="Arial Narrow" w:hAnsi="Arial Narrow" w:cs="Arial"/>
                <w:szCs w:val="22"/>
              </w:rPr>
            </w:pPr>
            <w:r w:rsidRPr="00F108C1">
              <w:rPr>
                <w:rFonts w:ascii="Arial Narrow" w:hAnsi="Arial Narrow" w:cs="Arial"/>
                <w:szCs w:val="22"/>
              </w:rPr>
              <w:t>Date Received:</w:t>
            </w:r>
            <w:r w:rsidRPr="00F108C1">
              <w:rPr>
                <w:rFonts w:ascii="Arial Narrow" w:hAnsi="Arial Narrow" w:cs="Arial"/>
                <w:szCs w:val="22"/>
              </w:rPr>
              <w:tab/>
              <w:t>-</w:t>
            </w:r>
          </w:p>
        </w:tc>
      </w:tr>
      <w:tr w:rsidR="00F108C1" w:rsidRPr="00F108C1" w:rsidTr="007D0C45">
        <w:trPr>
          <w:trHeight w:val="432"/>
        </w:trPr>
        <w:tc>
          <w:tcPr>
            <w:tcW w:w="6624" w:type="dxa"/>
          </w:tcPr>
          <w:p w:rsidR="00F108C1" w:rsidRPr="00F108C1" w:rsidRDefault="00F108C1" w:rsidP="00F108C1">
            <w:pPr>
              <w:ind w:left="2196" w:hanging="2196"/>
              <w:contextualSpacing/>
              <w:rPr>
                <w:rFonts w:ascii="Arial Narrow" w:hAnsi="Arial Narrow" w:cs="Arial"/>
                <w:szCs w:val="22"/>
              </w:rPr>
            </w:pPr>
            <w:r w:rsidRPr="00F108C1">
              <w:rPr>
                <w:rFonts w:ascii="Arial Narrow" w:hAnsi="Arial Narrow" w:cs="Arial"/>
                <w:szCs w:val="22"/>
              </w:rPr>
              <w:t>DSA Tracking Number:</w:t>
            </w:r>
            <w:r w:rsidRPr="00F108C1">
              <w:rPr>
                <w:rFonts w:ascii="Arial Narrow" w:hAnsi="Arial Narrow" w:cs="Arial"/>
                <w:szCs w:val="22"/>
              </w:rPr>
              <w:tab/>
              <w:t>N/A</w:t>
            </w:r>
          </w:p>
        </w:tc>
      </w:tr>
      <w:tr w:rsidR="00F108C1" w:rsidRPr="00F108C1" w:rsidTr="007D0C45">
        <w:trPr>
          <w:trHeight w:val="432"/>
        </w:trPr>
        <w:tc>
          <w:tcPr>
            <w:tcW w:w="6624" w:type="dxa"/>
          </w:tcPr>
          <w:p w:rsidR="00F108C1" w:rsidRPr="00F108C1" w:rsidRDefault="00F108C1" w:rsidP="00F108C1">
            <w:pPr>
              <w:ind w:left="2196" w:hanging="2196"/>
              <w:contextualSpacing/>
              <w:rPr>
                <w:rFonts w:ascii="Arial Narrow" w:hAnsi="Arial Narrow" w:cs="Arial"/>
                <w:szCs w:val="22"/>
              </w:rPr>
            </w:pPr>
            <w:r w:rsidRPr="00F108C1">
              <w:rPr>
                <w:rFonts w:ascii="Arial Narrow" w:hAnsi="Arial Narrow" w:cs="Arial"/>
                <w:szCs w:val="22"/>
              </w:rPr>
              <w:t>Date Reviewed:</w:t>
            </w:r>
            <w:r w:rsidRPr="00F108C1">
              <w:rPr>
                <w:rFonts w:ascii="Arial Narrow" w:hAnsi="Arial Narrow" w:cs="Arial"/>
                <w:szCs w:val="22"/>
              </w:rPr>
              <w:tab/>
              <w:t>8/16/19</w:t>
            </w:r>
          </w:p>
        </w:tc>
      </w:tr>
      <w:tr w:rsidR="00F108C1" w:rsidRPr="00F108C1" w:rsidTr="007D0C45">
        <w:trPr>
          <w:trHeight w:val="432"/>
        </w:trPr>
        <w:tc>
          <w:tcPr>
            <w:tcW w:w="6624" w:type="dxa"/>
          </w:tcPr>
          <w:p w:rsidR="00F108C1" w:rsidRPr="00F108C1" w:rsidRDefault="00F108C1" w:rsidP="00F108C1">
            <w:pPr>
              <w:ind w:left="2196" w:hanging="2196"/>
              <w:contextualSpacing/>
              <w:rPr>
                <w:rFonts w:ascii="Arial Narrow" w:hAnsi="Arial Narrow" w:cs="Arial"/>
                <w:szCs w:val="22"/>
              </w:rPr>
            </w:pPr>
            <w:r w:rsidRPr="00F108C1">
              <w:rPr>
                <w:rFonts w:ascii="Arial Narrow" w:hAnsi="Arial Narrow" w:cs="Arial"/>
                <w:szCs w:val="22"/>
              </w:rPr>
              <w:t>Status:</w:t>
            </w:r>
            <w:r w:rsidRPr="00F108C1">
              <w:rPr>
                <w:rFonts w:ascii="Arial Narrow" w:hAnsi="Arial Narrow" w:cs="Arial"/>
                <w:szCs w:val="22"/>
              </w:rPr>
              <w:tab/>
              <w:t>Under consideration</w:t>
            </w:r>
          </w:p>
        </w:tc>
      </w:tr>
    </w:tbl>
    <w:p w:rsidR="00F108C1" w:rsidRPr="00F108C1" w:rsidRDefault="00F108C1" w:rsidP="00F108C1">
      <w:pPr>
        <w:rPr>
          <w:rFonts w:cs="Arial"/>
          <w:sz w:val="12"/>
          <w:szCs w:val="12"/>
        </w:rPr>
      </w:pPr>
      <w:r w:rsidRPr="00F108C1">
        <w:rPr>
          <w:rFonts w:cs="Arial"/>
          <w:sz w:val="12"/>
          <w:szCs w:val="12"/>
        </w:rPr>
        <w:br w:type="column"/>
      </w:r>
    </w:p>
    <w:tbl>
      <w:tblPr>
        <w:tblStyle w:val="TableGrid1"/>
        <w:tblW w:w="0" w:type="auto"/>
        <w:tblLook w:val="04A0" w:firstRow="1" w:lastRow="0" w:firstColumn="1" w:lastColumn="0" w:noHBand="0" w:noVBand="1"/>
        <w:tblDescription w:val="Applicable Code"/>
      </w:tblPr>
      <w:tblGrid>
        <w:gridCol w:w="3168"/>
      </w:tblGrid>
      <w:tr w:rsidR="00F108C1" w:rsidRPr="00F108C1" w:rsidTr="007D0C45">
        <w:trPr>
          <w:trHeight w:val="360"/>
          <w:tblHeader/>
        </w:trPr>
        <w:tc>
          <w:tcPr>
            <w:tcW w:w="3168" w:type="dxa"/>
            <w:shd w:val="clear" w:color="auto" w:fill="000000" w:themeFill="text1"/>
            <w:vAlign w:val="center"/>
          </w:tcPr>
          <w:p w:rsidR="00F108C1" w:rsidRPr="00F108C1" w:rsidRDefault="00F108C1" w:rsidP="00F108C1">
            <w:pPr>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t>Applicable Code</w:t>
            </w:r>
          </w:p>
        </w:tc>
      </w:tr>
      <w:tr w:rsidR="00F108C1" w:rsidRPr="00F108C1" w:rsidTr="007D0C45">
        <w:trPr>
          <w:trHeight w:val="864"/>
        </w:trPr>
        <w:tc>
          <w:tcPr>
            <w:tcW w:w="3168" w:type="dxa"/>
          </w:tcPr>
          <w:p w:rsidR="00F108C1" w:rsidRPr="00F108C1" w:rsidRDefault="00F108C1" w:rsidP="00F108C1">
            <w:pPr>
              <w:contextualSpacing/>
              <w:rPr>
                <w:rFonts w:ascii="Arial Narrow" w:hAnsi="Arial Narrow" w:cs="Arial"/>
                <w:szCs w:val="22"/>
              </w:rPr>
            </w:pPr>
            <w:r w:rsidRPr="00F108C1">
              <w:rPr>
                <w:rFonts w:ascii="Arial Narrow" w:hAnsi="Arial Narrow" w:cs="Arial"/>
                <w:szCs w:val="22"/>
              </w:rPr>
              <w:t>Applicable Code Section(s):</w:t>
            </w:r>
          </w:p>
          <w:p w:rsidR="00F108C1" w:rsidRPr="00F108C1" w:rsidRDefault="00F108C1" w:rsidP="00F108C1">
            <w:pPr>
              <w:contextualSpacing/>
              <w:rPr>
                <w:rFonts w:ascii="Arial Narrow" w:hAnsi="Arial Narrow" w:cs="Arial"/>
                <w:szCs w:val="22"/>
              </w:rPr>
            </w:pPr>
            <w:r w:rsidRPr="00F108C1">
              <w:rPr>
                <w:rFonts w:ascii="Arial Narrow" w:hAnsi="Arial Narrow" w:cs="Arial"/>
                <w:szCs w:val="22"/>
              </w:rPr>
              <w:t>CALGreen Ch. 5, Sec. 5.106.8</w:t>
            </w:r>
          </w:p>
        </w:tc>
      </w:tr>
      <w:tr w:rsidR="00F108C1" w:rsidRPr="00F108C1" w:rsidTr="007D0C45">
        <w:trPr>
          <w:trHeight w:val="864"/>
        </w:trPr>
        <w:tc>
          <w:tcPr>
            <w:tcW w:w="3168" w:type="dxa"/>
          </w:tcPr>
          <w:p w:rsidR="00F108C1" w:rsidRPr="00F108C1" w:rsidRDefault="00F108C1" w:rsidP="00F108C1">
            <w:pPr>
              <w:contextualSpacing/>
              <w:rPr>
                <w:rFonts w:ascii="Arial Narrow" w:hAnsi="Arial Narrow" w:cs="Arial"/>
                <w:szCs w:val="22"/>
              </w:rPr>
            </w:pPr>
            <w:r w:rsidRPr="00F108C1">
              <w:rPr>
                <w:rFonts w:ascii="Arial Narrow" w:hAnsi="Arial Narrow" w:cs="Arial"/>
                <w:szCs w:val="22"/>
              </w:rPr>
              <w:t>Topic:</w:t>
            </w:r>
          </w:p>
          <w:p w:rsidR="00F108C1" w:rsidRPr="00F108C1" w:rsidRDefault="00F108C1" w:rsidP="00F108C1">
            <w:pPr>
              <w:contextualSpacing/>
              <w:rPr>
                <w:rFonts w:ascii="Arial Narrow" w:hAnsi="Arial Narrow" w:cs="Arial"/>
                <w:szCs w:val="22"/>
              </w:rPr>
            </w:pPr>
            <w:r w:rsidRPr="00F108C1">
              <w:rPr>
                <w:rFonts w:ascii="Arial Narrow" w:hAnsi="Arial Narrow" w:cs="Arial"/>
                <w:szCs w:val="22"/>
              </w:rPr>
              <w:t>Light Pollution Reduction</w:t>
            </w:r>
          </w:p>
        </w:tc>
      </w:tr>
    </w:tbl>
    <w:p w:rsidR="00F108C1" w:rsidRPr="00F108C1" w:rsidRDefault="00F108C1" w:rsidP="00F108C1">
      <w:pPr>
        <w:rPr>
          <w:rFonts w:cs="Arial"/>
          <w:sz w:val="12"/>
          <w:szCs w:val="12"/>
        </w:rPr>
      </w:pPr>
    </w:p>
    <w:p w:rsidR="00F108C1" w:rsidRPr="00F108C1" w:rsidRDefault="00F108C1" w:rsidP="00F108C1">
      <w:pPr>
        <w:rPr>
          <w:rFonts w:cs="Arial"/>
        </w:rPr>
        <w:sectPr w:rsidR="00F108C1" w:rsidRPr="00F108C1" w:rsidSect="00B5502F">
          <w:type w:val="continuous"/>
          <w:pgSz w:w="12240" w:h="15840"/>
          <w:pgMar w:top="1080" w:right="1080" w:bottom="1080" w:left="1080" w:header="720" w:footer="720" w:gutter="0"/>
          <w:cols w:num="2" w:space="432" w:equalWidth="0">
            <w:col w:w="6624" w:space="432"/>
            <w:col w:w="3024"/>
          </w:cols>
          <w:titlePg/>
          <w:docGrid w:linePitch="360"/>
        </w:sectPr>
      </w:pPr>
    </w:p>
    <w:p w:rsidR="00F108C1" w:rsidRPr="00F108C1" w:rsidRDefault="00F108C1" w:rsidP="00F108C1">
      <w:pPr>
        <w:rPr>
          <w:rFonts w:cs="Arial"/>
          <w:sz w:val="12"/>
          <w:szCs w:val="12"/>
        </w:rPr>
      </w:pPr>
    </w:p>
    <w:tbl>
      <w:tblPr>
        <w:tblStyle w:val="TableGrid1"/>
        <w:tblW w:w="0" w:type="auto"/>
        <w:tblInd w:w="144" w:type="dxa"/>
        <w:tblLook w:val="04A0" w:firstRow="1" w:lastRow="0" w:firstColumn="1" w:lastColumn="0" w:noHBand="0" w:noVBand="1"/>
        <w:tblDescription w:val="Suggested Text of Proposed Amendments"/>
      </w:tblPr>
      <w:tblGrid>
        <w:gridCol w:w="10080"/>
      </w:tblGrid>
      <w:tr w:rsidR="00F108C1" w:rsidRPr="00F108C1" w:rsidTr="007D0C45">
        <w:trPr>
          <w:trHeight w:val="360"/>
          <w:tblHeader/>
        </w:trPr>
        <w:tc>
          <w:tcPr>
            <w:tcW w:w="10080" w:type="dxa"/>
            <w:shd w:val="clear" w:color="auto" w:fill="000000" w:themeFill="text1"/>
            <w:vAlign w:val="center"/>
          </w:tcPr>
          <w:p w:rsidR="00F108C1" w:rsidRPr="00F108C1" w:rsidRDefault="00F108C1" w:rsidP="00F108C1">
            <w:pPr>
              <w:ind w:left="30"/>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t>Current Code Language</w:t>
            </w:r>
          </w:p>
        </w:tc>
      </w:tr>
    </w:tbl>
    <w:p w:rsidR="00F108C1" w:rsidRPr="00F108C1" w:rsidRDefault="00F108C1" w:rsidP="00F108C1">
      <w:pPr>
        <w:rPr>
          <w:rFonts w:cs="Arial"/>
          <w:sz w:val="12"/>
          <w:szCs w:val="12"/>
        </w:rPr>
      </w:pPr>
    </w:p>
    <w:p w:rsidR="00F108C1" w:rsidRPr="00F108C1" w:rsidRDefault="00F108C1" w:rsidP="00F108C1">
      <w:pPr>
        <w:spacing w:after="200"/>
        <w:rPr>
          <w:rFonts w:cs="Arial"/>
          <w:szCs w:val="22"/>
        </w:rPr>
      </w:pPr>
      <w:r w:rsidRPr="00F108C1">
        <w:rPr>
          <w:rFonts w:cs="Arial"/>
          <w:b/>
          <w:szCs w:val="22"/>
        </w:rPr>
        <w:t>5.106.8 Light pollution reduction. [N]</w:t>
      </w:r>
      <w:r w:rsidRPr="00F108C1">
        <w:rPr>
          <w:rFonts w:cs="Arial"/>
          <w:szCs w:val="22"/>
        </w:rPr>
        <w:t xml:space="preserve"> Outdoor lighting systems shall be designed and installed to comply with the following:</w:t>
      </w:r>
    </w:p>
    <w:p w:rsidR="00F108C1" w:rsidRPr="00F108C1" w:rsidRDefault="00F108C1" w:rsidP="00F108C1">
      <w:pPr>
        <w:spacing w:after="200"/>
        <w:ind w:left="720" w:hanging="360"/>
        <w:rPr>
          <w:rFonts w:cs="Arial"/>
          <w:szCs w:val="22"/>
        </w:rPr>
      </w:pPr>
      <w:r w:rsidRPr="00F108C1">
        <w:rPr>
          <w:rFonts w:cs="Arial"/>
          <w:szCs w:val="22"/>
        </w:rPr>
        <w:t>1.</w:t>
      </w:r>
      <w:r w:rsidRPr="00F108C1">
        <w:rPr>
          <w:rFonts w:cs="Arial"/>
          <w:szCs w:val="22"/>
        </w:rPr>
        <w:tab/>
        <w:t xml:space="preserve">The minimum requirements in the </w:t>
      </w:r>
      <w:r w:rsidRPr="00F108C1">
        <w:rPr>
          <w:rFonts w:cs="Arial"/>
          <w:i/>
          <w:szCs w:val="22"/>
        </w:rPr>
        <w:t>California Energy Code</w:t>
      </w:r>
      <w:r w:rsidRPr="00F108C1">
        <w:rPr>
          <w:rFonts w:cs="Arial"/>
          <w:szCs w:val="22"/>
        </w:rPr>
        <w:t>…; and</w:t>
      </w:r>
    </w:p>
    <w:p w:rsidR="00F108C1" w:rsidRPr="00F108C1" w:rsidRDefault="00F108C1" w:rsidP="00F108C1">
      <w:pPr>
        <w:spacing w:after="200"/>
        <w:ind w:left="720" w:hanging="360"/>
        <w:rPr>
          <w:rFonts w:cs="Arial"/>
          <w:szCs w:val="22"/>
        </w:rPr>
      </w:pPr>
      <w:r w:rsidRPr="00F108C1">
        <w:rPr>
          <w:rFonts w:cs="Arial"/>
          <w:szCs w:val="22"/>
        </w:rPr>
        <w:t>2.</w:t>
      </w:r>
      <w:r w:rsidRPr="00F108C1">
        <w:rPr>
          <w:rFonts w:cs="Arial"/>
          <w:szCs w:val="22"/>
        </w:rPr>
        <w:tab/>
        <w:t>Backlight (B) ratings as defined in IES TM-15-11…;</w:t>
      </w:r>
    </w:p>
    <w:p w:rsidR="00F108C1" w:rsidRPr="00F108C1" w:rsidRDefault="00F108C1" w:rsidP="00F108C1">
      <w:pPr>
        <w:spacing w:after="200"/>
        <w:ind w:left="720" w:hanging="360"/>
        <w:rPr>
          <w:rFonts w:cs="Arial"/>
          <w:szCs w:val="22"/>
        </w:rPr>
      </w:pPr>
      <w:r w:rsidRPr="00F108C1">
        <w:rPr>
          <w:rFonts w:cs="Arial"/>
          <w:szCs w:val="22"/>
        </w:rPr>
        <w:t>3.</w:t>
      </w:r>
      <w:r w:rsidRPr="00F108C1">
        <w:rPr>
          <w:rFonts w:cs="Arial"/>
          <w:szCs w:val="22"/>
        </w:rPr>
        <w:tab/>
        <w:t>Uplight and Glare ratings…and</w:t>
      </w:r>
    </w:p>
    <w:p w:rsidR="00F108C1" w:rsidRPr="00F108C1" w:rsidRDefault="00F108C1" w:rsidP="00F108C1">
      <w:pPr>
        <w:spacing w:after="200"/>
        <w:ind w:left="720" w:hanging="360"/>
        <w:rPr>
          <w:rFonts w:cs="Arial"/>
          <w:szCs w:val="22"/>
        </w:rPr>
      </w:pPr>
      <w:r w:rsidRPr="00F108C1">
        <w:rPr>
          <w:rFonts w:cs="Arial"/>
          <w:szCs w:val="22"/>
        </w:rPr>
        <w:t>4.</w:t>
      </w:r>
      <w:r w:rsidRPr="00F108C1">
        <w:rPr>
          <w:rFonts w:cs="Arial"/>
          <w:szCs w:val="22"/>
        </w:rPr>
        <w:tab/>
        <w:t>Allowable BUG ratings not exceeding those shown in Table 5.106.8 [N], or</w:t>
      </w:r>
    </w:p>
    <w:p w:rsidR="00F108C1" w:rsidRPr="00F108C1" w:rsidRDefault="00F108C1" w:rsidP="00F108C1">
      <w:pPr>
        <w:spacing w:after="200"/>
        <w:ind w:firstLine="360"/>
        <w:rPr>
          <w:rFonts w:cs="Arial"/>
          <w:szCs w:val="22"/>
        </w:rPr>
      </w:pPr>
      <w:r w:rsidRPr="00F108C1">
        <w:rPr>
          <w:rFonts w:cs="Arial"/>
          <w:szCs w:val="22"/>
        </w:rPr>
        <w:t>Comply with a local ordinance lawfully enacted pursuant to Section 101.7, whichever is more stringent.</w:t>
      </w:r>
    </w:p>
    <w:p w:rsidR="00F108C1" w:rsidRPr="00F108C1" w:rsidRDefault="00F108C1" w:rsidP="00F108C1">
      <w:pPr>
        <w:spacing w:after="200"/>
        <w:ind w:left="360"/>
        <w:rPr>
          <w:rFonts w:cs="Arial"/>
          <w:b/>
          <w:szCs w:val="22"/>
        </w:rPr>
      </w:pPr>
      <w:r w:rsidRPr="00F108C1">
        <w:rPr>
          <w:rFonts w:cs="Arial"/>
          <w:b/>
          <w:szCs w:val="22"/>
        </w:rPr>
        <w:t xml:space="preserve">Exceptions: [N] </w:t>
      </w:r>
    </w:p>
    <w:p w:rsidR="00F108C1" w:rsidRPr="00F108C1" w:rsidRDefault="00F108C1" w:rsidP="00F108C1">
      <w:pPr>
        <w:spacing w:after="200"/>
        <w:ind w:left="1080" w:hanging="360"/>
        <w:rPr>
          <w:rFonts w:cs="Arial"/>
          <w:szCs w:val="22"/>
        </w:rPr>
      </w:pPr>
      <w:r w:rsidRPr="00F108C1">
        <w:rPr>
          <w:rFonts w:cs="Arial"/>
          <w:szCs w:val="22"/>
        </w:rPr>
        <w:t>1.</w:t>
      </w:r>
      <w:r w:rsidRPr="00F108C1">
        <w:rPr>
          <w:rFonts w:cs="Arial"/>
          <w:szCs w:val="22"/>
        </w:rPr>
        <w:tab/>
        <w:t xml:space="preserve">Luminaires that qualify as exceptions in Section 140.7 of the </w:t>
      </w:r>
      <w:r w:rsidRPr="00F108C1">
        <w:rPr>
          <w:rFonts w:cs="Arial"/>
          <w:i/>
          <w:szCs w:val="22"/>
        </w:rPr>
        <w:t>California Energy Code</w:t>
      </w:r>
      <w:r w:rsidRPr="00F108C1">
        <w:rPr>
          <w:rFonts w:cs="Arial"/>
          <w:szCs w:val="22"/>
        </w:rPr>
        <w:t>.</w:t>
      </w:r>
    </w:p>
    <w:p w:rsidR="00F108C1" w:rsidRPr="00F108C1" w:rsidRDefault="00F108C1" w:rsidP="00F108C1">
      <w:pPr>
        <w:spacing w:after="200"/>
        <w:ind w:left="1080" w:hanging="360"/>
        <w:rPr>
          <w:rFonts w:cs="Arial"/>
          <w:szCs w:val="22"/>
        </w:rPr>
      </w:pPr>
      <w:r w:rsidRPr="00F108C1">
        <w:rPr>
          <w:rFonts w:cs="Arial"/>
          <w:szCs w:val="22"/>
        </w:rPr>
        <w:t>2.</w:t>
      </w:r>
      <w:r w:rsidRPr="00F108C1">
        <w:rPr>
          <w:rFonts w:cs="Arial"/>
          <w:szCs w:val="22"/>
        </w:rPr>
        <w:tab/>
        <w:t>Emergency lighting.</w:t>
      </w:r>
    </w:p>
    <w:p w:rsidR="00F108C1" w:rsidRPr="00F108C1" w:rsidRDefault="00F108C1" w:rsidP="00F108C1">
      <w:pPr>
        <w:spacing w:after="200"/>
        <w:ind w:left="1080" w:hanging="360"/>
        <w:rPr>
          <w:rFonts w:cs="Arial"/>
          <w:szCs w:val="22"/>
        </w:rPr>
      </w:pPr>
      <w:r w:rsidRPr="00F108C1">
        <w:rPr>
          <w:rFonts w:cs="Arial"/>
          <w:szCs w:val="22"/>
        </w:rPr>
        <w:t>3.</w:t>
      </w:r>
      <w:r w:rsidRPr="00F108C1">
        <w:rPr>
          <w:rFonts w:cs="Arial"/>
          <w:szCs w:val="22"/>
        </w:rPr>
        <w:tab/>
        <w:t>Building facade…</w:t>
      </w:r>
    </w:p>
    <w:p w:rsidR="00F108C1" w:rsidRPr="00F108C1" w:rsidRDefault="00F108C1" w:rsidP="00F108C1">
      <w:pPr>
        <w:spacing w:after="200"/>
        <w:ind w:left="1080" w:hanging="360"/>
        <w:rPr>
          <w:rFonts w:cs="Arial"/>
          <w:szCs w:val="22"/>
        </w:rPr>
      </w:pPr>
      <w:r w:rsidRPr="00F108C1">
        <w:rPr>
          <w:rFonts w:cs="Arial"/>
          <w:szCs w:val="22"/>
        </w:rPr>
        <w:t>4.</w:t>
      </w:r>
      <w:r w:rsidRPr="00F108C1">
        <w:rPr>
          <w:rFonts w:cs="Arial"/>
          <w:szCs w:val="22"/>
        </w:rPr>
        <w:tab/>
        <w:t>Custom lighting features…</w:t>
      </w:r>
    </w:p>
    <w:p w:rsidR="00F108C1" w:rsidRPr="00F108C1" w:rsidRDefault="00F108C1" w:rsidP="00F108C1">
      <w:pPr>
        <w:spacing w:after="200"/>
        <w:ind w:left="360"/>
        <w:rPr>
          <w:rFonts w:cs="Arial"/>
          <w:b/>
          <w:szCs w:val="22"/>
        </w:rPr>
      </w:pPr>
      <w:r w:rsidRPr="00F108C1">
        <w:rPr>
          <w:rFonts w:cs="Arial"/>
          <w:b/>
          <w:szCs w:val="22"/>
        </w:rPr>
        <w:t>Notes:</w:t>
      </w:r>
    </w:p>
    <w:p w:rsidR="00F108C1" w:rsidRPr="00F108C1" w:rsidRDefault="00F108C1" w:rsidP="00F108C1">
      <w:pPr>
        <w:spacing w:after="200"/>
        <w:ind w:left="1080" w:hanging="360"/>
        <w:rPr>
          <w:rFonts w:cs="Arial"/>
        </w:rPr>
      </w:pPr>
      <w:r w:rsidRPr="00F108C1">
        <w:rPr>
          <w:rFonts w:cs="Arial"/>
          <w:szCs w:val="22"/>
        </w:rPr>
        <w:t>1.</w:t>
      </w:r>
      <w:r w:rsidRPr="00F108C1">
        <w:rPr>
          <w:rFonts w:cs="Arial"/>
          <w:szCs w:val="22"/>
        </w:rPr>
        <w:tab/>
      </w:r>
      <w:r w:rsidRPr="00F108C1">
        <w:rPr>
          <w:rFonts w:cs="Arial"/>
        </w:rPr>
        <w:t xml:space="preserve">[N] See also </w:t>
      </w:r>
      <w:r w:rsidRPr="00F108C1">
        <w:rPr>
          <w:rFonts w:cs="Arial"/>
          <w:i/>
        </w:rPr>
        <w:t>California Building Code</w:t>
      </w:r>
      <w:r w:rsidRPr="00F108C1">
        <w:rPr>
          <w:rFonts w:cs="Arial"/>
        </w:rPr>
        <w:t>, Chapter 12, Section 1205.7 for college campus lighting requirements for parking facilities and walkways.</w:t>
      </w:r>
    </w:p>
    <w:p w:rsidR="00F108C1" w:rsidRPr="00F108C1" w:rsidRDefault="00F108C1" w:rsidP="00F108C1">
      <w:pPr>
        <w:spacing w:after="200"/>
        <w:ind w:left="1080" w:hanging="360"/>
        <w:rPr>
          <w:rFonts w:cs="Arial"/>
          <w:szCs w:val="22"/>
        </w:rPr>
      </w:pPr>
      <w:r w:rsidRPr="00F108C1">
        <w:rPr>
          <w:rFonts w:cs="Arial"/>
        </w:rPr>
        <w:t>2.</w:t>
      </w:r>
      <w:r w:rsidRPr="00F108C1">
        <w:rPr>
          <w:rFonts w:cs="Arial"/>
        </w:rPr>
        <w:tab/>
        <w:t xml:space="preserve">Refer to Chapter 8 (Compliance Forms, Worksheets and Reference Material) for IES TM-15-11 Table A-1, </w:t>
      </w:r>
      <w:r w:rsidRPr="00F108C1">
        <w:rPr>
          <w:rFonts w:cs="Arial"/>
          <w:i/>
        </w:rPr>
        <w:t>California Energy Code</w:t>
      </w:r>
      <w:r w:rsidRPr="00F108C1">
        <w:rPr>
          <w:rFonts w:cs="Arial"/>
        </w:rPr>
        <w:t xml:space="preserve"> Tables 130.2-A and 130.2-B.</w:t>
      </w:r>
    </w:p>
    <w:p w:rsidR="00F108C1" w:rsidRPr="00F108C1" w:rsidRDefault="00F108C1" w:rsidP="00F108C1">
      <w:pPr>
        <w:spacing w:after="200"/>
        <w:ind w:left="1080" w:hanging="360"/>
        <w:rPr>
          <w:rFonts w:cs="Arial"/>
        </w:rPr>
      </w:pPr>
      <w:r w:rsidRPr="00F108C1">
        <w:rPr>
          <w:rFonts w:cs="Arial"/>
          <w:szCs w:val="22"/>
        </w:rPr>
        <w:t>3.</w:t>
      </w:r>
      <w:r w:rsidRPr="00F108C1">
        <w:rPr>
          <w:rFonts w:cs="Arial"/>
          <w:szCs w:val="22"/>
        </w:rPr>
        <w:tab/>
      </w:r>
      <w:r w:rsidRPr="00F108C1">
        <w:rPr>
          <w:rFonts w:cs="Arial"/>
        </w:rPr>
        <w:t xml:space="preserve">Refer to the </w:t>
      </w:r>
      <w:r w:rsidRPr="00F108C1">
        <w:rPr>
          <w:rFonts w:cs="Arial"/>
          <w:i/>
        </w:rPr>
        <w:t>California Energy Code</w:t>
      </w:r>
      <w:r w:rsidRPr="00F108C1">
        <w:rPr>
          <w:rFonts w:cs="Arial"/>
        </w:rPr>
        <w:t xml:space="preserve"> for requirements for additions and alterations.</w:t>
      </w:r>
    </w:p>
    <w:p w:rsidR="000E3054" w:rsidRDefault="000E3054">
      <w:pPr>
        <w:spacing w:after="200" w:line="276" w:lineRule="auto"/>
        <w:rPr>
          <w:rFonts w:cs="Arial"/>
          <w:szCs w:val="22"/>
        </w:rPr>
      </w:pPr>
      <w:r>
        <w:rPr>
          <w:rFonts w:cs="Arial"/>
          <w:szCs w:val="22"/>
        </w:rPr>
        <w:br w:type="page"/>
      </w:r>
    </w:p>
    <w:p w:rsidR="00F108C1" w:rsidRPr="00F108C1" w:rsidRDefault="00F108C1" w:rsidP="00F108C1">
      <w:pPr>
        <w:jc w:val="center"/>
        <w:rPr>
          <w:b/>
        </w:rPr>
      </w:pPr>
      <w:r w:rsidRPr="00F108C1">
        <w:rPr>
          <w:b/>
        </w:rPr>
        <w:lastRenderedPageBreak/>
        <w:t>TABLE 5.106.8 [N]</w:t>
      </w:r>
    </w:p>
    <w:p w:rsidR="00F108C1" w:rsidRPr="00F108C1" w:rsidRDefault="00F108C1" w:rsidP="00F108C1">
      <w:pPr>
        <w:jc w:val="center"/>
        <w:rPr>
          <w:b/>
          <w:vertAlign w:val="superscript"/>
        </w:rPr>
      </w:pPr>
      <w:r w:rsidRPr="00F108C1">
        <w:rPr>
          <w:b/>
        </w:rPr>
        <w:t>MAXIMUM ALLOWABLE BACKLIGHT, UPLIGHT AND GLARE (BUG) RATINGS</w:t>
      </w:r>
      <w:r w:rsidRPr="00F108C1">
        <w:rPr>
          <w:b/>
          <w:vertAlign w:val="superscript"/>
        </w:rPr>
        <w:t>1,2</w:t>
      </w:r>
    </w:p>
    <w:tbl>
      <w:tblPr>
        <w:tblW w:w="102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3"/>
        <w:gridCol w:w="949"/>
        <w:gridCol w:w="949"/>
        <w:gridCol w:w="949"/>
        <w:gridCol w:w="949"/>
        <w:gridCol w:w="949"/>
      </w:tblGrid>
      <w:tr w:rsidR="00F108C1" w:rsidRPr="00F108C1" w:rsidTr="007D0C45">
        <w:trPr>
          <w:trHeight w:val="494"/>
          <w:tblHeader/>
        </w:trPr>
        <w:tc>
          <w:tcPr>
            <w:tcW w:w="5533" w:type="dxa"/>
            <w:vAlign w:val="center"/>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ALLOWABLE RATING</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LZ0</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LZ1</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LZ2</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LZ3</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LZ4</w:t>
            </w:r>
          </w:p>
        </w:tc>
      </w:tr>
      <w:tr w:rsidR="00F108C1" w:rsidRPr="00F108C1" w:rsidTr="007D0C45">
        <w:trPr>
          <w:trHeight w:val="251"/>
          <w:tblHeader/>
        </w:trPr>
        <w:tc>
          <w:tcPr>
            <w:tcW w:w="5533"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7" w:line="195" w:lineRule="exact"/>
              <w:ind w:left="43"/>
              <w:rPr>
                <w:rFonts w:cs="Arial"/>
                <w:b/>
                <w:sz w:val="18"/>
                <w:szCs w:val="24"/>
              </w:rPr>
            </w:pPr>
            <w:r w:rsidRPr="00F108C1">
              <w:rPr>
                <w:rFonts w:cs="Arial"/>
                <w:b/>
                <w:sz w:val="18"/>
                <w:szCs w:val="24"/>
              </w:rPr>
              <w:t>Maximum Allowable Backlight Rating</w:t>
            </w:r>
            <w:r w:rsidRPr="00F108C1">
              <w:rPr>
                <w:rFonts w:cs="Arial"/>
                <w:b/>
                <w:position w:val="7"/>
                <w:sz w:val="11"/>
                <w:szCs w:val="24"/>
              </w:rPr>
              <w:t xml:space="preserve">3 </w:t>
            </w:r>
            <w:r w:rsidRPr="00F108C1">
              <w:rPr>
                <w:rFonts w:cs="Arial"/>
                <w:b/>
                <w:sz w:val="18"/>
                <w:szCs w:val="24"/>
              </w:rPr>
              <w:t>(B)</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r>
      <w:tr w:rsidR="00F108C1" w:rsidRPr="00F108C1" w:rsidTr="007D0C45">
        <w:trPr>
          <w:trHeight w:val="179"/>
          <w:tblHeader/>
        </w:trPr>
        <w:tc>
          <w:tcPr>
            <w:tcW w:w="5533" w:type="dxa"/>
          </w:tcPr>
          <w:p w:rsidR="00F108C1" w:rsidRPr="00F108C1" w:rsidRDefault="00F108C1" w:rsidP="00F108C1">
            <w:pPr>
              <w:autoSpaceDE w:val="0"/>
              <w:autoSpaceDN w:val="0"/>
              <w:adjustRightInd w:val="0"/>
              <w:spacing w:before="7" w:line="192" w:lineRule="exact"/>
              <w:ind w:left="40"/>
              <w:rPr>
                <w:rFonts w:cs="Arial"/>
                <w:sz w:val="18"/>
                <w:szCs w:val="24"/>
              </w:rPr>
            </w:pPr>
            <w:r w:rsidRPr="00F108C1">
              <w:rPr>
                <w:rFonts w:cs="Arial"/>
                <w:spacing w:val="-6"/>
                <w:sz w:val="18"/>
                <w:szCs w:val="24"/>
              </w:rPr>
              <w:t xml:space="preserve">Luminaire greater </w:t>
            </w:r>
            <w:r w:rsidRPr="00F108C1">
              <w:rPr>
                <w:rFonts w:cs="Arial"/>
                <w:spacing w:val="-5"/>
                <w:sz w:val="18"/>
                <w:szCs w:val="24"/>
              </w:rPr>
              <w:t xml:space="preserve">than </w:t>
            </w:r>
            <w:r w:rsidRPr="00F108C1">
              <w:rPr>
                <w:rFonts w:cs="Arial"/>
                <w:sz w:val="18"/>
                <w:szCs w:val="24"/>
              </w:rPr>
              <w:t xml:space="preserve">2 </w:t>
            </w:r>
            <w:r w:rsidRPr="00F108C1">
              <w:rPr>
                <w:rFonts w:cs="Arial"/>
                <w:spacing w:val="-6"/>
                <w:sz w:val="18"/>
                <w:szCs w:val="24"/>
              </w:rPr>
              <w:t xml:space="preserve">mounting heights </w:t>
            </w:r>
            <w:r w:rsidRPr="00F108C1">
              <w:rPr>
                <w:rFonts w:cs="Arial"/>
                <w:spacing w:val="-5"/>
                <w:sz w:val="18"/>
                <w:szCs w:val="24"/>
              </w:rPr>
              <w:t xml:space="preserve">(MH) from </w:t>
            </w:r>
            <w:r w:rsidRPr="00F108C1">
              <w:rPr>
                <w:rFonts w:cs="Arial"/>
                <w:spacing w:val="-6"/>
                <w:sz w:val="18"/>
                <w:szCs w:val="24"/>
              </w:rPr>
              <w:t xml:space="preserve">property </w:t>
            </w:r>
            <w:r w:rsidRPr="00F108C1">
              <w:rPr>
                <w:rFonts w:cs="Arial"/>
                <w:spacing w:val="-7"/>
                <w:sz w:val="18"/>
                <w:szCs w:val="24"/>
              </w:rPr>
              <w:t>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No Limit</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No Limit</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No Limit</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No Limit</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Luminaire back hemisphere is 1 – 2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B2</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B4</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B4</w:t>
            </w:r>
          </w:p>
        </w:tc>
      </w:tr>
      <w:tr w:rsidR="00F108C1" w:rsidRPr="00F108C1" w:rsidTr="007D0C45">
        <w:trPr>
          <w:trHeight w:val="251"/>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Luminaire back hemisphere is 0.5 – 1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B2</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B3</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2" w:lineRule="exact"/>
              <w:ind w:left="40"/>
              <w:rPr>
                <w:rFonts w:cs="Arial"/>
                <w:sz w:val="18"/>
                <w:szCs w:val="24"/>
              </w:rPr>
            </w:pPr>
            <w:r w:rsidRPr="00F108C1">
              <w:rPr>
                <w:rFonts w:cs="Arial"/>
                <w:sz w:val="18"/>
                <w:szCs w:val="24"/>
              </w:rPr>
              <w:t>Luminaire back hemisphere is less than 0.5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B2</w:t>
            </w:r>
          </w:p>
        </w:tc>
      </w:tr>
      <w:tr w:rsidR="00F108C1" w:rsidRPr="00F108C1" w:rsidTr="007D0C45">
        <w:trPr>
          <w:trHeight w:val="249"/>
          <w:tblHeader/>
        </w:trPr>
        <w:tc>
          <w:tcPr>
            <w:tcW w:w="5533"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7" w:line="195" w:lineRule="exact"/>
              <w:ind w:left="43"/>
              <w:rPr>
                <w:rFonts w:cs="Arial"/>
                <w:b/>
                <w:sz w:val="18"/>
                <w:szCs w:val="24"/>
              </w:rPr>
            </w:pPr>
            <w:r w:rsidRPr="00F108C1">
              <w:rPr>
                <w:rFonts w:cs="Arial"/>
                <w:b/>
                <w:sz w:val="18"/>
                <w:szCs w:val="24"/>
              </w:rPr>
              <w:t>Maximum Allowable Uplight Rating (U)</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r>
      <w:tr w:rsidR="00F108C1" w:rsidRPr="00F108C1" w:rsidTr="007D0C45">
        <w:trPr>
          <w:trHeight w:val="251"/>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For area lighting</w:t>
            </w:r>
            <w:r w:rsidRPr="00F108C1">
              <w:rPr>
                <w:rFonts w:cs="Arial"/>
                <w:sz w:val="18"/>
                <w:szCs w:val="24"/>
                <w:vertAlign w:val="superscript"/>
              </w:rPr>
              <w:t>4</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U0</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2" w:lineRule="exact"/>
              <w:ind w:left="40"/>
              <w:rPr>
                <w:rFonts w:cs="Arial"/>
                <w:sz w:val="18"/>
                <w:szCs w:val="24"/>
              </w:rPr>
            </w:pPr>
            <w:r w:rsidRPr="00F108C1">
              <w:rPr>
                <w:rFonts w:cs="Arial"/>
                <w:sz w:val="18"/>
                <w:szCs w:val="24"/>
              </w:rPr>
              <w:t>For all other outdoor lighting, including decorative luminaires</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U2</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U4</w:t>
            </w:r>
          </w:p>
        </w:tc>
      </w:tr>
      <w:tr w:rsidR="00F108C1" w:rsidRPr="00F108C1" w:rsidTr="007D0C45">
        <w:trPr>
          <w:trHeight w:val="249"/>
          <w:tblHeader/>
        </w:trPr>
        <w:tc>
          <w:tcPr>
            <w:tcW w:w="5533"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7" w:line="195" w:lineRule="exact"/>
              <w:ind w:left="43"/>
              <w:rPr>
                <w:rFonts w:cs="Arial"/>
                <w:b/>
                <w:sz w:val="18"/>
                <w:szCs w:val="24"/>
              </w:rPr>
            </w:pPr>
            <w:r w:rsidRPr="00F108C1">
              <w:rPr>
                <w:rFonts w:cs="Arial"/>
                <w:b/>
                <w:sz w:val="18"/>
                <w:szCs w:val="24"/>
              </w:rPr>
              <w:t>Maximum Allowable Glare Rating</w:t>
            </w:r>
            <w:r w:rsidRPr="00F108C1">
              <w:rPr>
                <w:rFonts w:cs="Arial"/>
                <w:b/>
                <w:position w:val="7"/>
                <w:sz w:val="11"/>
                <w:szCs w:val="24"/>
              </w:rPr>
              <w:t xml:space="preserve">5 </w:t>
            </w:r>
            <w:r w:rsidRPr="00F108C1">
              <w:rPr>
                <w:rFonts w:cs="Arial"/>
                <w:b/>
                <w:sz w:val="18"/>
                <w:szCs w:val="24"/>
              </w:rPr>
              <w:t>(G)</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r>
      <w:tr w:rsidR="00F108C1" w:rsidRPr="00F108C1" w:rsidTr="007D0C45">
        <w:trPr>
          <w:trHeight w:val="251"/>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Luminaire greater than 2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G2</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G4</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2" w:lineRule="exact"/>
              <w:ind w:left="40"/>
              <w:rPr>
                <w:rFonts w:cs="Arial"/>
                <w:sz w:val="18"/>
                <w:szCs w:val="24"/>
              </w:rPr>
            </w:pPr>
            <w:r w:rsidRPr="00F108C1">
              <w:rPr>
                <w:rFonts w:cs="Arial"/>
                <w:sz w:val="18"/>
                <w:szCs w:val="24"/>
              </w:rPr>
              <w:t>Luminaire front hemisphere is 1 – 2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G2</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Luminaire front hemisphere is 0.5 – 1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r>
      <w:tr w:rsidR="00F108C1" w:rsidRPr="00F108C1" w:rsidTr="007D0C45">
        <w:trPr>
          <w:trHeight w:val="251"/>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pacing w:val="-6"/>
                <w:sz w:val="18"/>
                <w:szCs w:val="24"/>
              </w:rPr>
              <w:t xml:space="preserve">Luminaire </w:t>
            </w:r>
            <w:r w:rsidRPr="00F108C1">
              <w:rPr>
                <w:rFonts w:cs="Arial"/>
                <w:spacing w:val="-5"/>
                <w:sz w:val="18"/>
                <w:szCs w:val="24"/>
              </w:rPr>
              <w:t xml:space="preserve">front </w:t>
            </w:r>
            <w:r w:rsidRPr="00F108C1">
              <w:rPr>
                <w:rFonts w:cs="Arial"/>
                <w:spacing w:val="-7"/>
                <w:sz w:val="18"/>
                <w:szCs w:val="24"/>
              </w:rPr>
              <w:t xml:space="preserve">hemisphere </w:t>
            </w:r>
            <w:r w:rsidRPr="00F108C1">
              <w:rPr>
                <w:rFonts w:cs="Arial"/>
                <w:spacing w:val="-4"/>
                <w:sz w:val="18"/>
                <w:szCs w:val="24"/>
              </w:rPr>
              <w:t xml:space="preserve">is </w:t>
            </w:r>
            <w:r w:rsidRPr="00F108C1">
              <w:rPr>
                <w:rFonts w:cs="Arial"/>
                <w:spacing w:val="-6"/>
                <w:sz w:val="18"/>
                <w:szCs w:val="24"/>
              </w:rPr>
              <w:t xml:space="preserve">less than </w:t>
            </w:r>
            <w:r w:rsidRPr="00F108C1">
              <w:rPr>
                <w:rFonts w:cs="Arial"/>
                <w:spacing w:val="-4"/>
                <w:sz w:val="18"/>
                <w:szCs w:val="24"/>
              </w:rPr>
              <w:t xml:space="preserve">0.5 </w:t>
            </w:r>
            <w:r w:rsidRPr="00F108C1">
              <w:rPr>
                <w:rFonts w:cs="Arial"/>
                <w:spacing w:val="-3"/>
                <w:sz w:val="18"/>
                <w:szCs w:val="24"/>
              </w:rPr>
              <w:t xml:space="preserve">MH </w:t>
            </w:r>
            <w:r w:rsidRPr="00F108C1">
              <w:rPr>
                <w:rFonts w:cs="Arial"/>
                <w:spacing w:val="-5"/>
                <w:sz w:val="18"/>
                <w:szCs w:val="24"/>
              </w:rPr>
              <w:t xml:space="preserve">from </w:t>
            </w:r>
            <w:r w:rsidRPr="00F108C1">
              <w:rPr>
                <w:rFonts w:cs="Arial"/>
                <w:spacing w:val="-6"/>
                <w:sz w:val="18"/>
                <w:szCs w:val="24"/>
              </w:rPr>
              <w:t xml:space="preserve">property </w:t>
            </w:r>
            <w:r w:rsidRPr="00F108C1">
              <w:rPr>
                <w:rFonts w:cs="Arial"/>
                <w:spacing w:val="-5"/>
                <w:sz w:val="18"/>
                <w:szCs w:val="24"/>
              </w:rPr>
              <w:t>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r>
    </w:tbl>
    <w:p w:rsidR="00F108C1" w:rsidRPr="00F108C1" w:rsidRDefault="00F108C1" w:rsidP="00F108C1">
      <w:pPr>
        <w:ind w:left="360" w:hanging="360"/>
        <w:rPr>
          <w:rFonts w:cs="Arial"/>
          <w:sz w:val="16"/>
          <w:szCs w:val="16"/>
        </w:rPr>
      </w:pPr>
      <w:r w:rsidRPr="00F108C1">
        <w:rPr>
          <w:rFonts w:cs="Arial"/>
          <w:sz w:val="16"/>
          <w:szCs w:val="16"/>
        </w:rPr>
        <w:t>1.</w:t>
      </w:r>
      <w:r w:rsidRPr="00F108C1">
        <w:rPr>
          <w:rFonts w:cs="Arial"/>
          <w:sz w:val="16"/>
          <w:szCs w:val="16"/>
        </w:rPr>
        <w:tab/>
        <w:t xml:space="preserve">IESNA Lighting Zones 0 are not applicable; refer to Lighting Zones as defined in the </w:t>
      </w:r>
      <w:r w:rsidRPr="00F108C1">
        <w:rPr>
          <w:rFonts w:cs="Arial"/>
          <w:i/>
          <w:sz w:val="16"/>
          <w:szCs w:val="16"/>
        </w:rPr>
        <w:t>California Energy Code</w:t>
      </w:r>
      <w:r w:rsidRPr="00F108C1">
        <w:rPr>
          <w:rFonts w:cs="Arial"/>
          <w:sz w:val="16"/>
          <w:szCs w:val="16"/>
        </w:rPr>
        <w:t xml:space="preserve"> and Chapter 10 of the </w:t>
      </w:r>
      <w:r w:rsidRPr="00F108C1">
        <w:rPr>
          <w:rFonts w:cs="Arial"/>
          <w:i/>
          <w:sz w:val="16"/>
          <w:szCs w:val="16"/>
        </w:rPr>
        <w:t>California Administrative Code</w:t>
      </w:r>
      <w:r w:rsidRPr="00F108C1">
        <w:rPr>
          <w:rFonts w:cs="Arial"/>
          <w:sz w:val="16"/>
          <w:szCs w:val="16"/>
        </w:rPr>
        <w:t>.</w:t>
      </w:r>
    </w:p>
    <w:p w:rsidR="00F108C1" w:rsidRPr="00F108C1" w:rsidRDefault="00F108C1" w:rsidP="00F108C1">
      <w:pPr>
        <w:ind w:left="360" w:hanging="360"/>
        <w:rPr>
          <w:rFonts w:cs="Arial"/>
          <w:sz w:val="16"/>
          <w:szCs w:val="16"/>
        </w:rPr>
      </w:pPr>
      <w:r w:rsidRPr="00F108C1">
        <w:rPr>
          <w:rFonts w:cs="Arial"/>
          <w:sz w:val="16"/>
          <w:szCs w:val="16"/>
        </w:rPr>
        <w:t>2.</w:t>
      </w:r>
      <w:r w:rsidRPr="00F108C1">
        <w:rPr>
          <w:rFonts w:cs="Arial"/>
          <w:sz w:val="16"/>
          <w:szCs w:val="16"/>
        </w:rPr>
        <w:tab/>
        <w:t>For property lines that abut public walkways, bikeways, plazas and parking lots, the property line may be considered to be 5 feet beyond the actual property line for purpose of determining compliance with this section. For property lines that abut public roadways and public transit corridors, the property line may be considered to be the centerline of the public roadway or public transit corridor for the purpose of determining compliance with this section.</w:t>
      </w:r>
    </w:p>
    <w:p w:rsidR="00F108C1" w:rsidRPr="00F108C1" w:rsidRDefault="00F108C1" w:rsidP="00F108C1">
      <w:pPr>
        <w:ind w:left="360" w:hanging="360"/>
        <w:rPr>
          <w:rFonts w:cs="Arial"/>
          <w:sz w:val="16"/>
          <w:szCs w:val="16"/>
        </w:rPr>
      </w:pPr>
      <w:r w:rsidRPr="00F108C1">
        <w:rPr>
          <w:rFonts w:cs="Arial"/>
          <w:sz w:val="16"/>
          <w:szCs w:val="16"/>
        </w:rPr>
        <w:t>3.</w:t>
      </w:r>
      <w:r w:rsidRPr="00F108C1">
        <w:rPr>
          <w:rFonts w:cs="Arial"/>
          <w:sz w:val="16"/>
          <w:szCs w:val="16"/>
        </w:rPr>
        <w:tab/>
        <w:t>If the nearest property line is less than or equal to two mounting heights from the back hemisphere of the luminaire distribution, the applicable reduced Backlight rating shall be met.</w:t>
      </w:r>
    </w:p>
    <w:p w:rsidR="00F108C1" w:rsidRPr="00F108C1" w:rsidRDefault="00F108C1" w:rsidP="00F108C1">
      <w:pPr>
        <w:ind w:left="360" w:hanging="360"/>
        <w:rPr>
          <w:rFonts w:cs="Arial"/>
          <w:sz w:val="16"/>
          <w:szCs w:val="16"/>
        </w:rPr>
      </w:pPr>
      <w:r w:rsidRPr="00F108C1">
        <w:rPr>
          <w:rFonts w:cs="Arial"/>
          <w:sz w:val="16"/>
          <w:szCs w:val="16"/>
        </w:rPr>
        <w:t>4.</w:t>
      </w:r>
      <w:r w:rsidRPr="00F108C1">
        <w:rPr>
          <w:rFonts w:cs="Arial"/>
          <w:sz w:val="16"/>
          <w:szCs w:val="16"/>
        </w:rPr>
        <w:tab/>
        <w:t>General lighting luminaires in areas such as outdoor parking, sales or storage lots shall meet these reduced ratings. Decorative luminaires located in these areas shall meet U-value limits for “all other outdoor lighting.”</w:t>
      </w:r>
    </w:p>
    <w:p w:rsidR="00F108C1" w:rsidRPr="00F108C1" w:rsidRDefault="00F108C1" w:rsidP="000E3054">
      <w:pPr>
        <w:spacing w:after="240"/>
        <w:ind w:left="360" w:hanging="360"/>
        <w:rPr>
          <w:rFonts w:cs="Arial"/>
          <w:sz w:val="16"/>
          <w:szCs w:val="16"/>
        </w:rPr>
      </w:pPr>
      <w:r w:rsidRPr="00F108C1">
        <w:rPr>
          <w:rFonts w:cs="Arial"/>
          <w:sz w:val="16"/>
          <w:szCs w:val="16"/>
        </w:rPr>
        <w:t>5.</w:t>
      </w:r>
      <w:r w:rsidRPr="00F108C1">
        <w:rPr>
          <w:rFonts w:cs="Arial"/>
          <w:sz w:val="16"/>
          <w:szCs w:val="16"/>
        </w:rPr>
        <w:tab/>
        <w:t>If the nearest property line is less than or equal to two mounting heights from the front hemisphere of the luminaire distribution, the applicable reduced Glare rating shall be met.</w:t>
      </w:r>
    </w:p>
    <w:tbl>
      <w:tblPr>
        <w:tblStyle w:val="TableGrid1"/>
        <w:tblW w:w="0" w:type="auto"/>
        <w:tblInd w:w="144" w:type="dxa"/>
        <w:tblLook w:val="04A0" w:firstRow="1" w:lastRow="0" w:firstColumn="1" w:lastColumn="0" w:noHBand="0" w:noVBand="1"/>
        <w:tblDescription w:val="Suggested Text of Proposed Amendments"/>
      </w:tblPr>
      <w:tblGrid>
        <w:gridCol w:w="10080"/>
      </w:tblGrid>
      <w:tr w:rsidR="00F108C1" w:rsidRPr="00F108C1" w:rsidTr="007D0C45">
        <w:trPr>
          <w:trHeight w:val="360"/>
          <w:tblHeader/>
        </w:trPr>
        <w:tc>
          <w:tcPr>
            <w:tcW w:w="10080" w:type="dxa"/>
            <w:shd w:val="clear" w:color="auto" w:fill="000000" w:themeFill="text1"/>
            <w:vAlign w:val="center"/>
          </w:tcPr>
          <w:p w:rsidR="00F108C1" w:rsidRPr="00F108C1" w:rsidRDefault="00F108C1" w:rsidP="00F108C1">
            <w:pPr>
              <w:ind w:left="30"/>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t>Suggested Text of Proposed Amendment</w:t>
            </w:r>
          </w:p>
        </w:tc>
      </w:tr>
    </w:tbl>
    <w:p w:rsidR="00F108C1" w:rsidRPr="00F108C1" w:rsidRDefault="00F108C1" w:rsidP="00F108C1">
      <w:pPr>
        <w:rPr>
          <w:rFonts w:cs="Arial"/>
          <w:sz w:val="12"/>
          <w:szCs w:val="12"/>
        </w:rPr>
      </w:pPr>
    </w:p>
    <w:p w:rsidR="00F108C1" w:rsidRPr="00F108C1" w:rsidRDefault="00F108C1" w:rsidP="00F108C1">
      <w:pPr>
        <w:spacing w:after="200"/>
        <w:rPr>
          <w:rFonts w:cs="Arial"/>
          <w:szCs w:val="22"/>
        </w:rPr>
      </w:pPr>
      <w:r w:rsidRPr="00F108C1">
        <w:rPr>
          <w:rFonts w:cs="Arial"/>
          <w:b/>
          <w:szCs w:val="22"/>
        </w:rPr>
        <w:t>5.106.8 Light pollution reduction. [N]</w:t>
      </w:r>
      <w:r w:rsidRPr="00F108C1">
        <w:rPr>
          <w:rFonts w:cs="Arial"/>
          <w:szCs w:val="22"/>
        </w:rPr>
        <w:t xml:space="preserve"> Outdoor lighting systems shall be designed and installed to comply with the following:</w:t>
      </w:r>
    </w:p>
    <w:p w:rsidR="00F108C1" w:rsidRPr="00F108C1" w:rsidRDefault="00F108C1" w:rsidP="00F108C1">
      <w:pPr>
        <w:spacing w:after="200"/>
        <w:ind w:left="720" w:hanging="360"/>
        <w:rPr>
          <w:rFonts w:cs="Arial"/>
          <w:szCs w:val="22"/>
        </w:rPr>
      </w:pPr>
      <w:r w:rsidRPr="00F108C1">
        <w:rPr>
          <w:rFonts w:cs="Arial"/>
          <w:szCs w:val="22"/>
        </w:rPr>
        <w:t>1.</w:t>
      </w:r>
      <w:r w:rsidRPr="00F108C1">
        <w:rPr>
          <w:rFonts w:cs="Arial"/>
          <w:szCs w:val="22"/>
        </w:rPr>
        <w:tab/>
        <w:t xml:space="preserve">The minimum requirements in the </w:t>
      </w:r>
      <w:r w:rsidRPr="00F108C1">
        <w:rPr>
          <w:rFonts w:cs="Arial"/>
          <w:i/>
          <w:szCs w:val="22"/>
        </w:rPr>
        <w:t>California Energy Code</w:t>
      </w:r>
      <w:r w:rsidRPr="00F108C1">
        <w:rPr>
          <w:rFonts w:cs="Arial"/>
          <w:szCs w:val="22"/>
        </w:rPr>
        <w:t>…; and</w:t>
      </w:r>
    </w:p>
    <w:p w:rsidR="00F108C1" w:rsidRPr="00F108C1" w:rsidRDefault="00F108C1" w:rsidP="00F108C1">
      <w:pPr>
        <w:spacing w:after="200"/>
        <w:ind w:left="720" w:hanging="360"/>
        <w:rPr>
          <w:rFonts w:cs="Arial"/>
          <w:szCs w:val="22"/>
        </w:rPr>
      </w:pPr>
      <w:r w:rsidRPr="00F108C1">
        <w:rPr>
          <w:rFonts w:cs="Arial"/>
          <w:szCs w:val="22"/>
        </w:rPr>
        <w:t>2.</w:t>
      </w:r>
      <w:r w:rsidRPr="00F108C1">
        <w:rPr>
          <w:rFonts w:cs="Arial"/>
          <w:szCs w:val="22"/>
        </w:rPr>
        <w:tab/>
        <w:t>Backlight (B) ratings as defined in IES TM-15-11…;</w:t>
      </w:r>
    </w:p>
    <w:p w:rsidR="00F108C1" w:rsidRPr="00F108C1" w:rsidRDefault="00F108C1" w:rsidP="00F108C1">
      <w:pPr>
        <w:spacing w:after="200"/>
        <w:ind w:left="720" w:hanging="360"/>
        <w:rPr>
          <w:rFonts w:cs="Arial"/>
          <w:szCs w:val="22"/>
        </w:rPr>
      </w:pPr>
      <w:r w:rsidRPr="00F108C1">
        <w:rPr>
          <w:rFonts w:cs="Arial"/>
          <w:szCs w:val="22"/>
        </w:rPr>
        <w:t>3.</w:t>
      </w:r>
      <w:r w:rsidRPr="00F108C1">
        <w:rPr>
          <w:rFonts w:cs="Arial"/>
          <w:szCs w:val="22"/>
        </w:rPr>
        <w:tab/>
        <w:t>Uplight and Glare ratings…and</w:t>
      </w:r>
    </w:p>
    <w:p w:rsidR="00F108C1" w:rsidRPr="00F108C1" w:rsidRDefault="00F108C1" w:rsidP="00F108C1">
      <w:pPr>
        <w:spacing w:after="200"/>
        <w:ind w:left="720" w:hanging="360"/>
        <w:rPr>
          <w:rFonts w:cs="Arial"/>
          <w:szCs w:val="22"/>
        </w:rPr>
      </w:pPr>
      <w:r w:rsidRPr="00F108C1">
        <w:rPr>
          <w:rFonts w:cs="Arial"/>
          <w:szCs w:val="22"/>
        </w:rPr>
        <w:t>4.</w:t>
      </w:r>
      <w:r w:rsidRPr="00F108C1">
        <w:rPr>
          <w:rFonts w:cs="Arial"/>
          <w:szCs w:val="22"/>
        </w:rPr>
        <w:tab/>
        <w:t>Allowable BUG ratings not exceeding those shown in Table 5.106.8 [N], or</w:t>
      </w:r>
    </w:p>
    <w:p w:rsidR="00F108C1" w:rsidRPr="00F108C1" w:rsidRDefault="00F108C1" w:rsidP="00F108C1">
      <w:pPr>
        <w:spacing w:after="200"/>
        <w:ind w:firstLine="360"/>
        <w:rPr>
          <w:rFonts w:cs="Arial"/>
          <w:szCs w:val="22"/>
        </w:rPr>
      </w:pPr>
      <w:r w:rsidRPr="00F108C1">
        <w:rPr>
          <w:rFonts w:cs="Arial"/>
          <w:szCs w:val="22"/>
        </w:rPr>
        <w:t>Comply with a local ordinance lawfully enacted pursuant to Section 101.7, whichever is more stringent.</w:t>
      </w:r>
    </w:p>
    <w:p w:rsidR="00F108C1" w:rsidRPr="00F108C1" w:rsidRDefault="00F108C1" w:rsidP="00F108C1">
      <w:pPr>
        <w:spacing w:after="200"/>
        <w:ind w:left="360"/>
        <w:rPr>
          <w:rFonts w:cs="Arial"/>
          <w:b/>
          <w:szCs w:val="22"/>
        </w:rPr>
      </w:pPr>
      <w:r w:rsidRPr="00F108C1">
        <w:rPr>
          <w:rFonts w:cs="Arial"/>
          <w:b/>
          <w:szCs w:val="22"/>
        </w:rPr>
        <w:t xml:space="preserve">Exceptions: [N] </w:t>
      </w:r>
    </w:p>
    <w:p w:rsidR="00F108C1" w:rsidRPr="00F108C1" w:rsidRDefault="00F108C1" w:rsidP="00F108C1">
      <w:pPr>
        <w:spacing w:after="200"/>
        <w:ind w:left="1080" w:hanging="360"/>
        <w:rPr>
          <w:rFonts w:cs="Arial"/>
          <w:szCs w:val="22"/>
        </w:rPr>
      </w:pPr>
      <w:r w:rsidRPr="00F108C1">
        <w:rPr>
          <w:rFonts w:cs="Arial"/>
          <w:szCs w:val="22"/>
        </w:rPr>
        <w:t>1.</w:t>
      </w:r>
      <w:r w:rsidRPr="00F108C1">
        <w:rPr>
          <w:rFonts w:cs="Arial"/>
          <w:szCs w:val="22"/>
        </w:rPr>
        <w:tab/>
        <w:t xml:space="preserve">Luminaires that qualify as exceptions in </w:t>
      </w:r>
      <w:r w:rsidRPr="00F108C1">
        <w:rPr>
          <w:rFonts w:cs="Arial"/>
          <w:strike/>
          <w:szCs w:val="22"/>
        </w:rPr>
        <w:t>Section</w:t>
      </w:r>
      <w:r w:rsidRPr="00F108C1">
        <w:rPr>
          <w:rFonts w:cs="Arial"/>
          <w:szCs w:val="22"/>
        </w:rPr>
        <w:t xml:space="preserve"> </w:t>
      </w:r>
      <w:r w:rsidRPr="00F108C1">
        <w:rPr>
          <w:rFonts w:cs="Arial"/>
          <w:szCs w:val="22"/>
          <w:u w:val="single"/>
        </w:rPr>
        <w:t>Sections 130.2(b) and</w:t>
      </w:r>
      <w:r w:rsidRPr="00F108C1">
        <w:rPr>
          <w:rFonts w:cs="Arial"/>
          <w:szCs w:val="22"/>
        </w:rPr>
        <w:t xml:space="preserve"> 140.7 of the </w:t>
      </w:r>
      <w:r w:rsidRPr="00F108C1">
        <w:rPr>
          <w:rFonts w:cs="Arial"/>
          <w:i/>
          <w:szCs w:val="22"/>
        </w:rPr>
        <w:t>California Energy Code</w:t>
      </w:r>
      <w:r w:rsidRPr="00F108C1">
        <w:rPr>
          <w:rFonts w:cs="Arial"/>
          <w:szCs w:val="22"/>
        </w:rPr>
        <w:t>.</w:t>
      </w:r>
    </w:p>
    <w:p w:rsidR="00F108C1" w:rsidRPr="00F108C1" w:rsidRDefault="00F108C1" w:rsidP="00F108C1">
      <w:pPr>
        <w:spacing w:after="200"/>
        <w:ind w:left="1080" w:hanging="360"/>
        <w:rPr>
          <w:rFonts w:cs="Arial"/>
          <w:szCs w:val="22"/>
        </w:rPr>
      </w:pPr>
      <w:r w:rsidRPr="00F108C1">
        <w:rPr>
          <w:rFonts w:cs="Arial"/>
          <w:szCs w:val="22"/>
        </w:rPr>
        <w:t>2.</w:t>
      </w:r>
      <w:r w:rsidRPr="00F108C1">
        <w:rPr>
          <w:rFonts w:cs="Arial"/>
          <w:szCs w:val="22"/>
        </w:rPr>
        <w:tab/>
        <w:t>Emergency lighting.</w:t>
      </w:r>
    </w:p>
    <w:p w:rsidR="00F108C1" w:rsidRPr="00F108C1" w:rsidRDefault="00F108C1" w:rsidP="00F108C1">
      <w:pPr>
        <w:spacing w:after="200"/>
        <w:ind w:left="1080" w:hanging="360"/>
        <w:rPr>
          <w:rFonts w:cs="Arial"/>
          <w:szCs w:val="22"/>
        </w:rPr>
      </w:pPr>
      <w:r w:rsidRPr="00F108C1">
        <w:rPr>
          <w:rFonts w:cs="Arial"/>
          <w:szCs w:val="22"/>
        </w:rPr>
        <w:t>3.</w:t>
      </w:r>
      <w:r w:rsidRPr="00F108C1">
        <w:rPr>
          <w:rFonts w:cs="Arial"/>
          <w:szCs w:val="22"/>
        </w:rPr>
        <w:tab/>
        <w:t>Building facade…</w:t>
      </w:r>
    </w:p>
    <w:p w:rsidR="00F108C1" w:rsidRPr="00F108C1" w:rsidRDefault="00F108C1" w:rsidP="00F108C1">
      <w:pPr>
        <w:spacing w:after="200"/>
        <w:ind w:left="1080" w:hanging="360"/>
        <w:rPr>
          <w:rFonts w:cs="Arial"/>
          <w:szCs w:val="22"/>
        </w:rPr>
      </w:pPr>
      <w:r w:rsidRPr="00F108C1">
        <w:rPr>
          <w:rFonts w:cs="Arial"/>
          <w:szCs w:val="22"/>
        </w:rPr>
        <w:t>4.</w:t>
      </w:r>
      <w:r w:rsidRPr="00F108C1">
        <w:rPr>
          <w:rFonts w:cs="Arial"/>
          <w:szCs w:val="22"/>
        </w:rPr>
        <w:tab/>
        <w:t>Custom lighting features…</w:t>
      </w:r>
    </w:p>
    <w:p w:rsidR="00F108C1" w:rsidRPr="00F108C1" w:rsidRDefault="00F108C1" w:rsidP="00F108C1">
      <w:pPr>
        <w:spacing w:after="200"/>
        <w:ind w:left="1080" w:hanging="360"/>
        <w:rPr>
          <w:rFonts w:cs="Arial"/>
          <w:szCs w:val="22"/>
          <w:u w:val="single"/>
        </w:rPr>
      </w:pPr>
      <w:r w:rsidRPr="00F108C1">
        <w:rPr>
          <w:rFonts w:cs="Arial"/>
          <w:szCs w:val="22"/>
          <w:u w:val="single"/>
        </w:rPr>
        <w:t>5.</w:t>
      </w:r>
      <w:r w:rsidRPr="00F108C1">
        <w:rPr>
          <w:rFonts w:cs="Arial"/>
          <w:szCs w:val="22"/>
          <w:u w:val="single"/>
        </w:rPr>
        <w:tab/>
        <w:t>Luminaires with less than 6,200 initial luminaire lumens.</w:t>
      </w:r>
    </w:p>
    <w:p w:rsidR="00F108C1" w:rsidRPr="00F108C1" w:rsidRDefault="00F108C1" w:rsidP="00F108C1">
      <w:pPr>
        <w:spacing w:after="200"/>
        <w:ind w:left="360"/>
        <w:rPr>
          <w:rFonts w:cs="Arial"/>
          <w:szCs w:val="22"/>
          <w:u w:val="single"/>
        </w:rPr>
      </w:pPr>
      <w:r w:rsidRPr="00F108C1">
        <w:rPr>
          <w:rFonts w:cs="Arial"/>
          <w:b/>
          <w:szCs w:val="22"/>
          <w:u w:val="single"/>
        </w:rPr>
        <w:lastRenderedPageBreak/>
        <w:t>5.106.8.1 Facing – Backlight.</w:t>
      </w:r>
      <w:r w:rsidRPr="00F108C1">
        <w:rPr>
          <w:rFonts w:cs="Arial"/>
          <w:szCs w:val="22"/>
          <w:u w:val="single"/>
        </w:rPr>
        <w:t xml:space="preserve"> Luminaires within 2MH of a property line shall be oriented so that the nearest property line is behind the fixture, and shall comply with the backlight rating specified in Table 5.106.8 based on the lighting zone and distance to the nearest point of that property line.</w:t>
      </w:r>
    </w:p>
    <w:p w:rsidR="00F108C1" w:rsidRPr="00F108C1" w:rsidRDefault="00F108C1" w:rsidP="00F108C1">
      <w:pPr>
        <w:spacing w:after="200"/>
        <w:ind w:left="720"/>
        <w:rPr>
          <w:rFonts w:cs="Arial"/>
          <w:szCs w:val="22"/>
          <w:u w:val="single"/>
        </w:rPr>
      </w:pPr>
      <w:r w:rsidRPr="00F108C1">
        <w:rPr>
          <w:rFonts w:cs="Arial"/>
          <w:b/>
          <w:szCs w:val="22"/>
          <w:u w:val="single"/>
        </w:rPr>
        <w:t>Exception:</w:t>
      </w:r>
      <w:r w:rsidRPr="00F108C1">
        <w:rPr>
          <w:rFonts w:cs="Arial"/>
          <w:szCs w:val="22"/>
          <w:u w:val="single"/>
        </w:rPr>
        <w:t xml:space="preserve"> Corners. If two property lines (or two segments of the same property line) have equidistant points to the luminaire, then the luminaire may be oriented so that the intersection of the two lines (the corner) is directly behind the luminaire. The luminaire shall still use the distance to the nearest point(s) on the property lines to determine the required backlight rating.</w:t>
      </w:r>
    </w:p>
    <w:p w:rsidR="00F108C1" w:rsidRPr="00F108C1" w:rsidRDefault="00F108C1" w:rsidP="00F108C1">
      <w:pPr>
        <w:spacing w:after="200"/>
        <w:ind w:left="360"/>
        <w:rPr>
          <w:rFonts w:cs="Arial"/>
          <w:szCs w:val="22"/>
          <w:u w:val="single"/>
        </w:rPr>
      </w:pPr>
      <w:r w:rsidRPr="00F108C1">
        <w:rPr>
          <w:rFonts w:cs="Arial"/>
          <w:b/>
          <w:szCs w:val="22"/>
          <w:u w:val="single"/>
        </w:rPr>
        <w:t>5.106.8.2 Facing – Glare.</w:t>
      </w:r>
      <w:r w:rsidRPr="00F108C1">
        <w:rPr>
          <w:rFonts w:cs="Arial"/>
          <w:szCs w:val="22"/>
          <w:u w:val="single"/>
        </w:rPr>
        <w:t xml:space="preserve"> For luminaires covered by 5.106.8.1, if a property line also exists within or extends into the front hemisphere within 2MH of the luminaire then the luminaire shall comply with the more stringent glare rating specified in Table 5.106.8 based on the lighting zone and distance to the nearest point on the nearest property line within the front hemisphere.</w:t>
      </w:r>
    </w:p>
    <w:p w:rsidR="00F108C1" w:rsidRPr="00F108C1" w:rsidRDefault="00F108C1" w:rsidP="00F108C1">
      <w:pPr>
        <w:spacing w:after="200"/>
        <w:ind w:left="360"/>
        <w:rPr>
          <w:rFonts w:cs="Arial"/>
          <w:b/>
          <w:szCs w:val="22"/>
        </w:rPr>
      </w:pPr>
      <w:r w:rsidRPr="00F108C1">
        <w:rPr>
          <w:rFonts w:cs="Arial"/>
          <w:b/>
          <w:szCs w:val="22"/>
        </w:rPr>
        <w:t>Notes:</w:t>
      </w:r>
    </w:p>
    <w:p w:rsidR="00F108C1" w:rsidRPr="00F108C1" w:rsidRDefault="00F108C1" w:rsidP="00F108C1">
      <w:pPr>
        <w:spacing w:after="200"/>
        <w:ind w:left="1080" w:hanging="360"/>
        <w:rPr>
          <w:rFonts w:cs="Arial"/>
        </w:rPr>
      </w:pPr>
      <w:r w:rsidRPr="00F108C1">
        <w:rPr>
          <w:rFonts w:cs="Arial"/>
          <w:szCs w:val="22"/>
        </w:rPr>
        <w:t>1.</w:t>
      </w:r>
      <w:r w:rsidRPr="00F108C1">
        <w:rPr>
          <w:rFonts w:cs="Arial"/>
          <w:szCs w:val="22"/>
        </w:rPr>
        <w:tab/>
      </w:r>
      <w:r w:rsidRPr="00F108C1">
        <w:rPr>
          <w:rFonts w:cs="Arial"/>
          <w:strike/>
        </w:rPr>
        <w:t xml:space="preserve">[N] </w:t>
      </w:r>
      <w:r w:rsidRPr="00F108C1">
        <w:rPr>
          <w:rFonts w:cs="Arial"/>
        </w:rPr>
        <w:t xml:space="preserve">See also </w:t>
      </w:r>
      <w:r w:rsidRPr="00F108C1">
        <w:rPr>
          <w:rFonts w:cs="Arial"/>
          <w:i/>
        </w:rPr>
        <w:t>California Building Code</w:t>
      </w:r>
      <w:r w:rsidRPr="00F108C1">
        <w:rPr>
          <w:rFonts w:cs="Arial"/>
        </w:rPr>
        <w:t>, Chapter 12, Section 1205.7 for college campus lighting requirements for parking facilities and walkways.</w:t>
      </w:r>
    </w:p>
    <w:p w:rsidR="00F108C1" w:rsidRPr="00F108C1" w:rsidRDefault="00F108C1" w:rsidP="00F108C1">
      <w:pPr>
        <w:spacing w:after="200"/>
        <w:ind w:left="1080" w:hanging="360"/>
        <w:rPr>
          <w:rFonts w:cs="Arial"/>
          <w:szCs w:val="22"/>
        </w:rPr>
      </w:pPr>
      <w:r w:rsidRPr="00F108C1">
        <w:rPr>
          <w:rFonts w:cs="Arial"/>
        </w:rPr>
        <w:t>2.</w:t>
      </w:r>
      <w:r w:rsidRPr="00F108C1">
        <w:rPr>
          <w:rFonts w:cs="Arial"/>
        </w:rPr>
        <w:tab/>
        <w:t xml:space="preserve">Refer to Chapter 8 (Compliance Forms, Worksheets and Reference Material) for IES TM-15-11 Table A-1, </w:t>
      </w:r>
      <w:r w:rsidRPr="00F108C1">
        <w:rPr>
          <w:rFonts w:cs="Arial"/>
          <w:i/>
        </w:rPr>
        <w:t>California Energy Code</w:t>
      </w:r>
      <w:r w:rsidRPr="00F108C1">
        <w:rPr>
          <w:rFonts w:cs="Arial"/>
        </w:rPr>
        <w:t xml:space="preserve"> Tables 130.2-A and 130.2-B.</w:t>
      </w:r>
    </w:p>
    <w:p w:rsidR="00F108C1" w:rsidRPr="00F108C1" w:rsidRDefault="00F108C1" w:rsidP="000E3054">
      <w:pPr>
        <w:spacing w:after="240"/>
        <w:ind w:left="1080" w:hanging="360"/>
        <w:rPr>
          <w:rFonts w:cs="Arial"/>
        </w:rPr>
      </w:pPr>
      <w:r w:rsidRPr="00F108C1">
        <w:rPr>
          <w:rFonts w:cs="Arial"/>
          <w:szCs w:val="22"/>
        </w:rPr>
        <w:t>3.</w:t>
      </w:r>
      <w:r w:rsidRPr="00F108C1">
        <w:rPr>
          <w:rFonts w:cs="Arial"/>
          <w:szCs w:val="22"/>
        </w:rPr>
        <w:tab/>
      </w:r>
      <w:r w:rsidRPr="00F108C1">
        <w:rPr>
          <w:rFonts w:cs="Arial"/>
        </w:rPr>
        <w:t xml:space="preserve">Refer to the </w:t>
      </w:r>
      <w:r w:rsidRPr="00F108C1">
        <w:rPr>
          <w:rFonts w:cs="Arial"/>
          <w:i/>
        </w:rPr>
        <w:t>California Energy Code</w:t>
      </w:r>
      <w:r w:rsidRPr="00F108C1">
        <w:rPr>
          <w:rFonts w:cs="Arial"/>
        </w:rPr>
        <w:t xml:space="preserve"> for requirements for additions and alterations.</w:t>
      </w:r>
    </w:p>
    <w:p w:rsidR="00F108C1" w:rsidRPr="00F108C1" w:rsidRDefault="00F108C1" w:rsidP="00F108C1">
      <w:pPr>
        <w:jc w:val="center"/>
        <w:rPr>
          <w:b/>
        </w:rPr>
      </w:pPr>
      <w:r w:rsidRPr="00F108C1">
        <w:rPr>
          <w:b/>
        </w:rPr>
        <w:t>TABLE 5.106.8 [N]</w:t>
      </w:r>
    </w:p>
    <w:p w:rsidR="00F108C1" w:rsidRPr="00F108C1" w:rsidRDefault="00F108C1" w:rsidP="00F108C1">
      <w:pPr>
        <w:jc w:val="center"/>
        <w:rPr>
          <w:b/>
          <w:vertAlign w:val="superscript"/>
        </w:rPr>
      </w:pPr>
      <w:r w:rsidRPr="00F108C1">
        <w:rPr>
          <w:b/>
        </w:rPr>
        <w:t>MAXIMUM ALLOWABLE BACKLIGHT, UPLIGHT AND GLARE (BUG) RATINGS</w:t>
      </w:r>
      <w:r w:rsidRPr="00F108C1">
        <w:rPr>
          <w:b/>
          <w:vertAlign w:val="superscript"/>
        </w:rPr>
        <w:t>1,2</w:t>
      </w:r>
    </w:p>
    <w:tbl>
      <w:tblPr>
        <w:tblW w:w="102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3"/>
        <w:gridCol w:w="949"/>
        <w:gridCol w:w="949"/>
        <w:gridCol w:w="949"/>
        <w:gridCol w:w="949"/>
        <w:gridCol w:w="949"/>
      </w:tblGrid>
      <w:tr w:rsidR="00F108C1" w:rsidRPr="00F108C1" w:rsidTr="007D0C45">
        <w:trPr>
          <w:trHeight w:val="494"/>
          <w:tblHeader/>
        </w:trPr>
        <w:tc>
          <w:tcPr>
            <w:tcW w:w="5533" w:type="dxa"/>
            <w:vAlign w:val="center"/>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ALLOWABLE RATING</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LZ0</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LZ1</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LZ2</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LZ3</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LZ4</w:t>
            </w:r>
          </w:p>
        </w:tc>
      </w:tr>
      <w:tr w:rsidR="00F108C1" w:rsidRPr="00F108C1" w:rsidTr="007D0C45">
        <w:trPr>
          <w:trHeight w:val="251"/>
          <w:tblHeader/>
        </w:trPr>
        <w:tc>
          <w:tcPr>
            <w:tcW w:w="5533"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7" w:line="195" w:lineRule="exact"/>
              <w:ind w:left="43"/>
              <w:rPr>
                <w:rFonts w:cs="Arial"/>
                <w:b/>
                <w:sz w:val="18"/>
                <w:szCs w:val="24"/>
              </w:rPr>
            </w:pPr>
            <w:r w:rsidRPr="00F108C1">
              <w:rPr>
                <w:rFonts w:cs="Arial"/>
                <w:b/>
                <w:sz w:val="18"/>
                <w:szCs w:val="24"/>
              </w:rPr>
              <w:t>Maximum Allowable Backlight Rating</w:t>
            </w:r>
            <w:r w:rsidRPr="00F108C1">
              <w:rPr>
                <w:rFonts w:cs="Arial"/>
                <w:b/>
                <w:strike/>
                <w:position w:val="7"/>
                <w:sz w:val="11"/>
                <w:szCs w:val="24"/>
              </w:rPr>
              <w:t>3</w:t>
            </w:r>
            <w:r w:rsidRPr="00F108C1">
              <w:rPr>
                <w:rFonts w:cs="Arial"/>
                <w:b/>
                <w:position w:val="7"/>
                <w:sz w:val="11"/>
                <w:szCs w:val="24"/>
              </w:rPr>
              <w:t xml:space="preserve"> </w:t>
            </w:r>
            <w:r w:rsidRPr="00F108C1">
              <w:rPr>
                <w:rFonts w:cs="Arial"/>
                <w:b/>
                <w:sz w:val="18"/>
                <w:szCs w:val="24"/>
              </w:rPr>
              <w:t>(B)</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r>
      <w:tr w:rsidR="00F108C1" w:rsidRPr="00F108C1" w:rsidTr="007D0C45">
        <w:trPr>
          <w:trHeight w:val="179"/>
          <w:tblHeader/>
        </w:trPr>
        <w:tc>
          <w:tcPr>
            <w:tcW w:w="5533" w:type="dxa"/>
          </w:tcPr>
          <w:p w:rsidR="00F108C1" w:rsidRPr="00F108C1" w:rsidRDefault="00F108C1" w:rsidP="00F108C1">
            <w:pPr>
              <w:autoSpaceDE w:val="0"/>
              <w:autoSpaceDN w:val="0"/>
              <w:adjustRightInd w:val="0"/>
              <w:spacing w:before="7" w:line="192" w:lineRule="exact"/>
              <w:ind w:left="40"/>
              <w:rPr>
                <w:rFonts w:cs="Arial"/>
                <w:sz w:val="18"/>
                <w:szCs w:val="24"/>
              </w:rPr>
            </w:pPr>
            <w:r w:rsidRPr="00F108C1">
              <w:rPr>
                <w:rFonts w:cs="Arial"/>
                <w:spacing w:val="-6"/>
                <w:sz w:val="18"/>
                <w:szCs w:val="24"/>
              </w:rPr>
              <w:t xml:space="preserve">Luminaire greater </w:t>
            </w:r>
            <w:r w:rsidRPr="00F108C1">
              <w:rPr>
                <w:rFonts w:cs="Arial"/>
                <w:spacing w:val="-5"/>
                <w:sz w:val="18"/>
                <w:szCs w:val="24"/>
              </w:rPr>
              <w:t xml:space="preserve">than </w:t>
            </w:r>
            <w:r w:rsidRPr="00F108C1">
              <w:rPr>
                <w:rFonts w:cs="Arial"/>
                <w:sz w:val="18"/>
                <w:szCs w:val="24"/>
              </w:rPr>
              <w:t xml:space="preserve">2 </w:t>
            </w:r>
            <w:r w:rsidRPr="00F108C1">
              <w:rPr>
                <w:rFonts w:cs="Arial"/>
                <w:spacing w:val="-6"/>
                <w:sz w:val="18"/>
                <w:szCs w:val="24"/>
              </w:rPr>
              <w:t xml:space="preserve">mounting heights </w:t>
            </w:r>
            <w:r w:rsidRPr="00F108C1">
              <w:rPr>
                <w:rFonts w:cs="Arial"/>
                <w:spacing w:val="-5"/>
                <w:sz w:val="18"/>
                <w:szCs w:val="24"/>
              </w:rPr>
              <w:t xml:space="preserve">(MH) from </w:t>
            </w:r>
            <w:r w:rsidRPr="00F108C1">
              <w:rPr>
                <w:rFonts w:cs="Arial"/>
                <w:spacing w:val="-6"/>
                <w:sz w:val="18"/>
                <w:szCs w:val="24"/>
              </w:rPr>
              <w:t xml:space="preserve">property </w:t>
            </w:r>
            <w:r w:rsidRPr="00F108C1">
              <w:rPr>
                <w:rFonts w:cs="Arial"/>
                <w:spacing w:val="-7"/>
                <w:sz w:val="18"/>
                <w:szCs w:val="24"/>
              </w:rPr>
              <w:t>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No Limit</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No Limit</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No Limit</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No Limit</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Luminaire back hemisphere is 1 – 2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B2</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B4</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B4</w:t>
            </w:r>
          </w:p>
        </w:tc>
      </w:tr>
      <w:tr w:rsidR="00F108C1" w:rsidRPr="00F108C1" w:rsidTr="007D0C45">
        <w:trPr>
          <w:trHeight w:val="251"/>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Luminaire back hemisphere is 0.5 – 1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B2</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B3</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2" w:lineRule="exact"/>
              <w:ind w:left="40"/>
              <w:rPr>
                <w:rFonts w:cs="Arial"/>
                <w:sz w:val="18"/>
                <w:szCs w:val="24"/>
              </w:rPr>
            </w:pPr>
            <w:r w:rsidRPr="00F108C1">
              <w:rPr>
                <w:rFonts w:cs="Arial"/>
                <w:sz w:val="18"/>
                <w:szCs w:val="24"/>
              </w:rPr>
              <w:t>Luminaire back hemisphere is less than 0.5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B2</w:t>
            </w:r>
          </w:p>
        </w:tc>
      </w:tr>
      <w:tr w:rsidR="00F108C1" w:rsidRPr="00F108C1" w:rsidTr="007D0C45">
        <w:trPr>
          <w:trHeight w:val="249"/>
          <w:tblHeader/>
        </w:trPr>
        <w:tc>
          <w:tcPr>
            <w:tcW w:w="5533"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7" w:line="195" w:lineRule="exact"/>
              <w:ind w:left="43"/>
              <w:rPr>
                <w:rFonts w:cs="Arial"/>
                <w:b/>
                <w:sz w:val="18"/>
                <w:szCs w:val="24"/>
              </w:rPr>
            </w:pPr>
            <w:r w:rsidRPr="00F108C1">
              <w:rPr>
                <w:rFonts w:cs="Arial"/>
                <w:b/>
                <w:sz w:val="18"/>
                <w:szCs w:val="24"/>
              </w:rPr>
              <w:t>Maximum Allowable Uplight Rating (U)</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r>
      <w:tr w:rsidR="00F108C1" w:rsidRPr="00F108C1" w:rsidTr="007D0C45">
        <w:trPr>
          <w:trHeight w:val="251"/>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For area lighting</w:t>
            </w:r>
            <w:r w:rsidRPr="00F108C1">
              <w:rPr>
                <w:rFonts w:cs="Arial"/>
                <w:strike/>
                <w:sz w:val="18"/>
                <w:szCs w:val="24"/>
                <w:vertAlign w:val="superscript"/>
              </w:rPr>
              <w:t>4</w:t>
            </w:r>
            <w:r w:rsidRPr="00F108C1">
              <w:rPr>
                <w:rFonts w:cs="Arial"/>
                <w:sz w:val="18"/>
                <w:szCs w:val="24"/>
                <w:u w:val="single"/>
                <w:vertAlign w:val="superscript"/>
              </w:rPr>
              <w:t>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U0</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2" w:lineRule="exact"/>
              <w:ind w:left="40"/>
              <w:rPr>
                <w:rFonts w:cs="Arial"/>
                <w:sz w:val="18"/>
                <w:szCs w:val="24"/>
              </w:rPr>
            </w:pPr>
            <w:r w:rsidRPr="00F108C1">
              <w:rPr>
                <w:rFonts w:cs="Arial"/>
                <w:sz w:val="18"/>
                <w:szCs w:val="24"/>
              </w:rPr>
              <w:t>For all other outdoor lighting, including decorative luminaires</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U2</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U4</w:t>
            </w:r>
          </w:p>
        </w:tc>
      </w:tr>
      <w:tr w:rsidR="00F108C1" w:rsidRPr="00F108C1" w:rsidTr="007D0C45">
        <w:trPr>
          <w:trHeight w:val="249"/>
          <w:tblHeader/>
        </w:trPr>
        <w:tc>
          <w:tcPr>
            <w:tcW w:w="5533"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7" w:line="195" w:lineRule="exact"/>
              <w:ind w:left="43"/>
              <w:rPr>
                <w:rFonts w:cs="Arial"/>
                <w:b/>
                <w:sz w:val="18"/>
                <w:szCs w:val="24"/>
              </w:rPr>
            </w:pPr>
            <w:r w:rsidRPr="00F108C1">
              <w:rPr>
                <w:rFonts w:cs="Arial"/>
                <w:b/>
                <w:sz w:val="18"/>
                <w:szCs w:val="24"/>
              </w:rPr>
              <w:t>Maximum Allowable Glare Rating</w:t>
            </w:r>
            <w:r w:rsidRPr="00F108C1">
              <w:rPr>
                <w:rFonts w:cs="Arial"/>
                <w:b/>
                <w:strike/>
                <w:position w:val="7"/>
                <w:sz w:val="11"/>
                <w:szCs w:val="24"/>
              </w:rPr>
              <w:t>5</w:t>
            </w:r>
            <w:r w:rsidRPr="00F108C1">
              <w:rPr>
                <w:rFonts w:cs="Arial"/>
                <w:b/>
                <w:position w:val="7"/>
                <w:sz w:val="11"/>
                <w:szCs w:val="24"/>
              </w:rPr>
              <w:t xml:space="preserve"> </w:t>
            </w:r>
            <w:r w:rsidRPr="00F108C1">
              <w:rPr>
                <w:rFonts w:cs="Arial"/>
                <w:b/>
                <w:sz w:val="18"/>
                <w:szCs w:val="24"/>
              </w:rPr>
              <w:t>(G)</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r>
      <w:tr w:rsidR="00F108C1" w:rsidRPr="00F108C1" w:rsidTr="007D0C45">
        <w:trPr>
          <w:trHeight w:val="251"/>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Luminaire greater than 2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G2</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G4</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2" w:lineRule="exact"/>
              <w:ind w:left="40"/>
              <w:rPr>
                <w:rFonts w:cs="Arial"/>
                <w:sz w:val="18"/>
                <w:szCs w:val="24"/>
              </w:rPr>
            </w:pPr>
            <w:r w:rsidRPr="00F108C1">
              <w:rPr>
                <w:rFonts w:cs="Arial"/>
                <w:sz w:val="18"/>
                <w:szCs w:val="24"/>
              </w:rPr>
              <w:t>Luminaire front hemisphere is 1 – 2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G2</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Luminaire front hemisphere is 0.5 – 1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r>
      <w:tr w:rsidR="00F108C1" w:rsidRPr="00F108C1" w:rsidTr="007D0C45">
        <w:trPr>
          <w:trHeight w:val="251"/>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pacing w:val="-6"/>
                <w:sz w:val="18"/>
                <w:szCs w:val="24"/>
              </w:rPr>
              <w:t xml:space="preserve">Luminaire </w:t>
            </w:r>
            <w:r w:rsidRPr="00F108C1">
              <w:rPr>
                <w:rFonts w:cs="Arial"/>
                <w:spacing w:val="-5"/>
                <w:sz w:val="18"/>
                <w:szCs w:val="24"/>
              </w:rPr>
              <w:t xml:space="preserve">front </w:t>
            </w:r>
            <w:r w:rsidRPr="00F108C1">
              <w:rPr>
                <w:rFonts w:cs="Arial"/>
                <w:spacing w:val="-7"/>
                <w:sz w:val="18"/>
                <w:szCs w:val="24"/>
              </w:rPr>
              <w:t xml:space="preserve">hemisphere </w:t>
            </w:r>
            <w:r w:rsidRPr="00F108C1">
              <w:rPr>
                <w:rFonts w:cs="Arial"/>
                <w:spacing w:val="-4"/>
                <w:sz w:val="18"/>
                <w:szCs w:val="24"/>
              </w:rPr>
              <w:t xml:space="preserve">is </w:t>
            </w:r>
            <w:r w:rsidRPr="00F108C1">
              <w:rPr>
                <w:rFonts w:cs="Arial"/>
                <w:spacing w:val="-6"/>
                <w:sz w:val="18"/>
                <w:szCs w:val="24"/>
              </w:rPr>
              <w:t xml:space="preserve">less than </w:t>
            </w:r>
            <w:r w:rsidRPr="00F108C1">
              <w:rPr>
                <w:rFonts w:cs="Arial"/>
                <w:spacing w:val="-4"/>
                <w:sz w:val="18"/>
                <w:szCs w:val="24"/>
              </w:rPr>
              <w:t xml:space="preserve">0.5 </w:t>
            </w:r>
            <w:r w:rsidRPr="00F108C1">
              <w:rPr>
                <w:rFonts w:cs="Arial"/>
                <w:spacing w:val="-3"/>
                <w:sz w:val="18"/>
                <w:szCs w:val="24"/>
              </w:rPr>
              <w:t xml:space="preserve">MH </w:t>
            </w:r>
            <w:r w:rsidRPr="00F108C1">
              <w:rPr>
                <w:rFonts w:cs="Arial"/>
                <w:spacing w:val="-5"/>
                <w:sz w:val="18"/>
                <w:szCs w:val="24"/>
              </w:rPr>
              <w:t xml:space="preserve">from </w:t>
            </w:r>
            <w:r w:rsidRPr="00F108C1">
              <w:rPr>
                <w:rFonts w:cs="Arial"/>
                <w:spacing w:val="-6"/>
                <w:sz w:val="18"/>
                <w:szCs w:val="24"/>
              </w:rPr>
              <w:t xml:space="preserve">property </w:t>
            </w:r>
            <w:r w:rsidRPr="00F108C1">
              <w:rPr>
                <w:rFonts w:cs="Arial"/>
                <w:spacing w:val="-5"/>
                <w:sz w:val="18"/>
                <w:szCs w:val="24"/>
              </w:rPr>
              <w:t>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r>
    </w:tbl>
    <w:p w:rsidR="00F108C1" w:rsidRPr="00F108C1" w:rsidRDefault="00F108C1" w:rsidP="00F108C1">
      <w:pPr>
        <w:ind w:left="360" w:hanging="360"/>
        <w:rPr>
          <w:rFonts w:cs="Arial"/>
          <w:sz w:val="16"/>
          <w:szCs w:val="16"/>
        </w:rPr>
      </w:pPr>
      <w:r w:rsidRPr="00F108C1">
        <w:rPr>
          <w:rFonts w:cs="Arial"/>
          <w:sz w:val="16"/>
          <w:szCs w:val="16"/>
        </w:rPr>
        <w:t>1.</w:t>
      </w:r>
      <w:r w:rsidRPr="00F108C1">
        <w:rPr>
          <w:rFonts w:cs="Arial"/>
          <w:sz w:val="16"/>
          <w:szCs w:val="16"/>
        </w:rPr>
        <w:tab/>
        <w:t xml:space="preserve">IESNA Lighting Zones 0 are not applicable; refer to Lighting Zones as defined in the </w:t>
      </w:r>
      <w:r w:rsidRPr="00F108C1">
        <w:rPr>
          <w:rFonts w:cs="Arial"/>
          <w:i/>
          <w:sz w:val="16"/>
          <w:szCs w:val="16"/>
        </w:rPr>
        <w:t>California Energy Code</w:t>
      </w:r>
      <w:r w:rsidRPr="00F108C1">
        <w:rPr>
          <w:rFonts w:cs="Arial"/>
          <w:sz w:val="16"/>
          <w:szCs w:val="16"/>
        </w:rPr>
        <w:t xml:space="preserve"> and Chapter 10 of the </w:t>
      </w:r>
      <w:r w:rsidRPr="00F108C1">
        <w:rPr>
          <w:rFonts w:cs="Arial"/>
          <w:i/>
          <w:sz w:val="16"/>
          <w:szCs w:val="16"/>
        </w:rPr>
        <w:t>California Administrative Code</w:t>
      </w:r>
      <w:r w:rsidRPr="00F108C1">
        <w:rPr>
          <w:rFonts w:cs="Arial"/>
          <w:sz w:val="16"/>
          <w:szCs w:val="16"/>
        </w:rPr>
        <w:t>.</w:t>
      </w:r>
    </w:p>
    <w:p w:rsidR="00F108C1" w:rsidRPr="00F108C1" w:rsidRDefault="00F108C1" w:rsidP="00F108C1">
      <w:pPr>
        <w:ind w:left="360" w:hanging="360"/>
        <w:rPr>
          <w:rFonts w:cs="Arial"/>
          <w:sz w:val="16"/>
          <w:szCs w:val="16"/>
        </w:rPr>
      </w:pPr>
      <w:r w:rsidRPr="00F108C1">
        <w:rPr>
          <w:rFonts w:cs="Arial"/>
          <w:sz w:val="16"/>
          <w:szCs w:val="16"/>
        </w:rPr>
        <w:t>2.</w:t>
      </w:r>
      <w:r w:rsidRPr="00F108C1">
        <w:rPr>
          <w:rFonts w:cs="Arial"/>
          <w:sz w:val="16"/>
          <w:szCs w:val="16"/>
        </w:rPr>
        <w:tab/>
        <w:t>For property lines that abut public walkways, bikeways, plazas and parking lots, the property line may be considered to be 5 feet beyond the actual property line for purpose of determining compliance with this section. For property lines that abut public roadways and public transit corridors, the property line may be considered to be the centerline of the public roadway or public transit corridor for the purpose of determining compliance with this section.</w:t>
      </w:r>
    </w:p>
    <w:p w:rsidR="00F108C1" w:rsidRPr="00F108C1" w:rsidRDefault="00F108C1" w:rsidP="00F108C1">
      <w:pPr>
        <w:ind w:left="360" w:hanging="360"/>
        <w:rPr>
          <w:rFonts w:cs="Arial"/>
          <w:sz w:val="16"/>
          <w:szCs w:val="16"/>
        </w:rPr>
      </w:pPr>
      <w:r w:rsidRPr="00F108C1">
        <w:rPr>
          <w:rFonts w:cs="Arial"/>
          <w:sz w:val="16"/>
          <w:szCs w:val="16"/>
        </w:rPr>
        <w:t>3.</w:t>
      </w:r>
      <w:r w:rsidRPr="00F108C1">
        <w:rPr>
          <w:rFonts w:cs="Arial"/>
          <w:sz w:val="16"/>
          <w:szCs w:val="16"/>
        </w:rPr>
        <w:tab/>
      </w:r>
      <w:r w:rsidRPr="00F108C1">
        <w:rPr>
          <w:rFonts w:cs="Arial"/>
          <w:strike/>
          <w:sz w:val="16"/>
          <w:szCs w:val="16"/>
        </w:rPr>
        <w:t>If the nearest property line is less than or equal to two mounting heights from the back hemisphere of the luminaire distribution, the applicable reduced Backlight rating shall be met.</w:t>
      </w:r>
    </w:p>
    <w:p w:rsidR="00F108C1" w:rsidRPr="00F108C1" w:rsidRDefault="00F108C1" w:rsidP="00F108C1">
      <w:pPr>
        <w:ind w:left="360" w:hanging="360"/>
        <w:rPr>
          <w:rFonts w:cs="Arial"/>
          <w:sz w:val="16"/>
          <w:szCs w:val="16"/>
        </w:rPr>
      </w:pPr>
      <w:r w:rsidRPr="00F108C1">
        <w:rPr>
          <w:rFonts w:cs="Arial"/>
          <w:strike/>
          <w:sz w:val="16"/>
          <w:szCs w:val="16"/>
        </w:rPr>
        <w:t>4.</w:t>
      </w:r>
      <w:r w:rsidRPr="00F108C1">
        <w:rPr>
          <w:rFonts w:cs="Arial"/>
          <w:sz w:val="16"/>
          <w:szCs w:val="16"/>
        </w:rPr>
        <w:tab/>
        <w:t>General lighting luminaires in areas such as outdoor parking, sales or storage lots shall meet these reduced ratings. Decorative luminaires located in these areas shall meet U-value limits for “all other outdoor lighting.”</w:t>
      </w:r>
    </w:p>
    <w:p w:rsidR="00F108C1" w:rsidRPr="00F108C1" w:rsidRDefault="00F108C1" w:rsidP="00F108C1">
      <w:pPr>
        <w:ind w:left="360" w:hanging="360"/>
        <w:rPr>
          <w:rFonts w:cs="Arial"/>
          <w:strike/>
          <w:sz w:val="16"/>
          <w:szCs w:val="16"/>
        </w:rPr>
      </w:pPr>
      <w:r w:rsidRPr="00F108C1">
        <w:rPr>
          <w:rFonts w:cs="Arial"/>
          <w:strike/>
          <w:sz w:val="16"/>
          <w:szCs w:val="16"/>
        </w:rPr>
        <w:t>5.</w:t>
      </w:r>
      <w:r w:rsidRPr="00F108C1">
        <w:rPr>
          <w:rFonts w:cs="Arial"/>
          <w:strike/>
          <w:sz w:val="16"/>
          <w:szCs w:val="16"/>
        </w:rPr>
        <w:tab/>
        <w:t>If the nearest property line is less than or equal to two mounting heights from the front hemisphere of the luminaire distribution, the applicable reduced Glare rating shall be met.</w:t>
      </w:r>
    </w:p>
    <w:p w:rsidR="000E3054" w:rsidRDefault="000E3054">
      <w:pPr>
        <w:spacing w:after="200" w:line="276" w:lineRule="auto"/>
        <w:rPr>
          <w:rFonts w:cs="Arial"/>
          <w:szCs w:val="22"/>
        </w:rPr>
      </w:pPr>
      <w:r>
        <w:rPr>
          <w:rFonts w:cs="Arial"/>
          <w:szCs w:val="22"/>
        </w:rPr>
        <w:br w:type="page"/>
      </w:r>
    </w:p>
    <w:tbl>
      <w:tblPr>
        <w:tblStyle w:val="TableGrid1"/>
        <w:tblW w:w="0" w:type="auto"/>
        <w:tblInd w:w="144" w:type="dxa"/>
        <w:tblLook w:val="04A0" w:firstRow="1" w:lastRow="0" w:firstColumn="1" w:lastColumn="0" w:noHBand="0" w:noVBand="1"/>
        <w:tblDescription w:val="Suggested Text of Proposed Amendments"/>
      </w:tblPr>
      <w:tblGrid>
        <w:gridCol w:w="10080"/>
      </w:tblGrid>
      <w:tr w:rsidR="00F108C1" w:rsidRPr="00F108C1" w:rsidTr="007D0C45">
        <w:trPr>
          <w:trHeight w:val="360"/>
          <w:tblHeader/>
        </w:trPr>
        <w:tc>
          <w:tcPr>
            <w:tcW w:w="10080" w:type="dxa"/>
            <w:shd w:val="clear" w:color="auto" w:fill="000000" w:themeFill="text1"/>
            <w:vAlign w:val="center"/>
          </w:tcPr>
          <w:p w:rsidR="00F108C1" w:rsidRPr="00F108C1" w:rsidRDefault="00F108C1" w:rsidP="00F108C1">
            <w:pPr>
              <w:ind w:left="30"/>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lastRenderedPageBreak/>
              <w:t>Code Text if Adopted</w:t>
            </w:r>
          </w:p>
        </w:tc>
      </w:tr>
    </w:tbl>
    <w:p w:rsidR="00F108C1" w:rsidRPr="00F108C1" w:rsidRDefault="00F108C1" w:rsidP="00F108C1">
      <w:pPr>
        <w:spacing w:after="200"/>
        <w:rPr>
          <w:rFonts w:cs="Arial"/>
          <w:szCs w:val="22"/>
        </w:rPr>
      </w:pPr>
      <w:r w:rsidRPr="00F108C1">
        <w:rPr>
          <w:rFonts w:cs="Arial"/>
          <w:sz w:val="12"/>
          <w:szCs w:val="12"/>
        </w:rPr>
        <w:br/>
      </w:r>
      <w:r w:rsidRPr="00F108C1">
        <w:rPr>
          <w:rFonts w:cs="Arial"/>
          <w:b/>
          <w:szCs w:val="22"/>
        </w:rPr>
        <w:t>5.106.8 Light pollution reduction. [N]</w:t>
      </w:r>
      <w:r w:rsidRPr="00F108C1">
        <w:rPr>
          <w:rFonts w:cs="Arial"/>
          <w:szCs w:val="22"/>
        </w:rPr>
        <w:t xml:space="preserve"> Outdoor lighting systems shall be designed and installed to comply with the following:</w:t>
      </w:r>
    </w:p>
    <w:p w:rsidR="00F108C1" w:rsidRPr="00F108C1" w:rsidRDefault="00F108C1" w:rsidP="00F108C1">
      <w:pPr>
        <w:spacing w:after="200"/>
        <w:ind w:left="720" w:hanging="360"/>
        <w:rPr>
          <w:rFonts w:cs="Arial"/>
          <w:szCs w:val="22"/>
        </w:rPr>
      </w:pPr>
      <w:r w:rsidRPr="00F108C1">
        <w:rPr>
          <w:rFonts w:cs="Arial"/>
          <w:szCs w:val="22"/>
        </w:rPr>
        <w:t>1.</w:t>
      </w:r>
      <w:r w:rsidRPr="00F108C1">
        <w:rPr>
          <w:rFonts w:cs="Arial"/>
          <w:szCs w:val="22"/>
        </w:rPr>
        <w:tab/>
        <w:t xml:space="preserve">The minimum requirements in the </w:t>
      </w:r>
      <w:r w:rsidRPr="00F108C1">
        <w:rPr>
          <w:rFonts w:cs="Arial"/>
          <w:i/>
          <w:szCs w:val="22"/>
        </w:rPr>
        <w:t>California Energy Code</w:t>
      </w:r>
      <w:r w:rsidRPr="00F108C1">
        <w:rPr>
          <w:rFonts w:cs="Arial"/>
          <w:szCs w:val="22"/>
        </w:rPr>
        <w:t>…; and</w:t>
      </w:r>
    </w:p>
    <w:p w:rsidR="00F108C1" w:rsidRPr="00F108C1" w:rsidRDefault="00F108C1" w:rsidP="00F108C1">
      <w:pPr>
        <w:spacing w:after="200"/>
        <w:ind w:left="720" w:hanging="360"/>
        <w:rPr>
          <w:rFonts w:cs="Arial"/>
          <w:szCs w:val="22"/>
        </w:rPr>
      </w:pPr>
      <w:r w:rsidRPr="00F108C1">
        <w:rPr>
          <w:rFonts w:cs="Arial"/>
          <w:szCs w:val="22"/>
        </w:rPr>
        <w:t>2.</w:t>
      </w:r>
      <w:r w:rsidRPr="00F108C1">
        <w:rPr>
          <w:rFonts w:cs="Arial"/>
          <w:szCs w:val="22"/>
        </w:rPr>
        <w:tab/>
        <w:t>Backlight (B) ratings as defined in IES TM-15-11…;</w:t>
      </w:r>
    </w:p>
    <w:p w:rsidR="00F108C1" w:rsidRPr="00F108C1" w:rsidRDefault="00F108C1" w:rsidP="00F108C1">
      <w:pPr>
        <w:spacing w:after="200"/>
        <w:ind w:left="720" w:hanging="360"/>
        <w:rPr>
          <w:rFonts w:cs="Arial"/>
          <w:szCs w:val="22"/>
        </w:rPr>
      </w:pPr>
      <w:r w:rsidRPr="00F108C1">
        <w:rPr>
          <w:rFonts w:cs="Arial"/>
          <w:szCs w:val="22"/>
        </w:rPr>
        <w:t>3.</w:t>
      </w:r>
      <w:r w:rsidRPr="00F108C1">
        <w:rPr>
          <w:rFonts w:cs="Arial"/>
          <w:szCs w:val="22"/>
        </w:rPr>
        <w:tab/>
        <w:t>Uplight and Glare ratings…and</w:t>
      </w:r>
    </w:p>
    <w:p w:rsidR="00F108C1" w:rsidRPr="00F108C1" w:rsidRDefault="00F108C1" w:rsidP="00F108C1">
      <w:pPr>
        <w:spacing w:after="200"/>
        <w:ind w:left="720" w:hanging="360"/>
        <w:rPr>
          <w:rFonts w:cs="Arial"/>
          <w:szCs w:val="22"/>
        </w:rPr>
      </w:pPr>
      <w:r w:rsidRPr="00F108C1">
        <w:rPr>
          <w:rFonts w:cs="Arial"/>
          <w:szCs w:val="22"/>
        </w:rPr>
        <w:t>4.</w:t>
      </w:r>
      <w:r w:rsidRPr="00F108C1">
        <w:rPr>
          <w:rFonts w:cs="Arial"/>
          <w:szCs w:val="22"/>
        </w:rPr>
        <w:tab/>
        <w:t>Allowable BUG ratings not exceeding those shown in Table 5.106.8 [N], or</w:t>
      </w:r>
    </w:p>
    <w:p w:rsidR="00F108C1" w:rsidRPr="00F108C1" w:rsidRDefault="00F108C1" w:rsidP="00F108C1">
      <w:pPr>
        <w:spacing w:after="200"/>
        <w:ind w:firstLine="360"/>
        <w:rPr>
          <w:rFonts w:cs="Arial"/>
          <w:szCs w:val="22"/>
        </w:rPr>
      </w:pPr>
      <w:r w:rsidRPr="00F108C1">
        <w:rPr>
          <w:rFonts w:cs="Arial"/>
          <w:szCs w:val="22"/>
        </w:rPr>
        <w:t>Comply with a local ordinance lawfully enacted pursuant to Section 101.7, whichever is more stringent.</w:t>
      </w:r>
    </w:p>
    <w:p w:rsidR="00F108C1" w:rsidRPr="00F108C1" w:rsidRDefault="00F108C1" w:rsidP="00F108C1">
      <w:pPr>
        <w:spacing w:after="200"/>
        <w:ind w:left="360"/>
        <w:rPr>
          <w:rFonts w:cs="Arial"/>
          <w:b/>
          <w:szCs w:val="22"/>
        </w:rPr>
      </w:pPr>
      <w:r w:rsidRPr="00F108C1">
        <w:rPr>
          <w:rFonts w:cs="Arial"/>
          <w:b/>
          <w:szCs w:val="22"/>
        </w:rPr>
        <w:t xml:space="preserve">Exceptions: [N] </w:t>
      </w:r>
    </w:p>
    <w:p w:rsidR="00F108C1" w:rsidRPr="00F108C1" w:rsidRDefault="00F108C1" w:rsidP="00F108C1">
      <w:pPr>
        <w:spacing w:after="200"/>
        <w:ind w:left="1080" w:hanging="360"/>
        <w:rPr>
          <w:rFonts w:cs="Arial"/>
          <w:szCs w:val="22"/>
        </w:rPr>
      </w:pPr>
      <w:r w:rsidRPr="00F108C1">
        <w:rPr>
          <w:rFonts w:cs="Arial"/>
          <w:szCs w:val="22"/>
        </w:rPr>
        <w:t>1.</w:t>
      </w:r>
      <w:r w:rsidRPr="00F108C1">
        <w:rPr>
          <w:rFonts w:cs="Arial"/>
          <w:szCs w:val="22"/>
        </w:rPr>
        <w:tab/>
        <w:t xml:space="preserve">Luminaires that qualify as exceptions in Sections 130.2(b) and 140.7 of the </w:t>
      </w:r>
      <w:r w:rsidRPr="00F108C1">
        <w:rPr>
          <w:rFonts w:cs="Arial"/>
          <w:i/>
          <w:szCs w:val="22"/>
        </w:rPr>
        <w:t>California Energy Code</w:t>
      </w:r>
      <w:r w:rsidRPr="00F108C1">
        <w:rPr>
          <w:rFonts w:cs="Arial"/>
          <w:szCs w:val="22"/>
        </w:rPr>
        <w:t>.</w:t>
      </w:r>
    </w:p>
    <w:p w:rsidR="00F108C1" w:rsidRPr="00F108C1" w:rsidRDefault="00F108C1" w:rsidP="00F108C1">
      <w:pPr>
        <w:spacing w:after="200"/>
        <w:ind w:left="1080" w:hanging="360"/>
        <w:rPr>
          <w:rFonts w:cs="Arial"/>
          <w:szCs w:val="22"/>
        </w:rPr>
      </w:pPr>
      <w:r w:rsidRPr="00F108C1">
        <w:rPr>
          <w:rFonts w:cs="Arial"/>
          <w:szCs w:val="22"/>
        </w:rPr>
        <w:t>2.</w:t>
      </w:r>
      <w:r w:rsidRPr="00F108C1">
        <w:rPr>
          <w:rFonts w:cs="Arial"/>
          <w:szCs w:val="22"/>
        </w:rPr>
        <w:tab/>
        <w:t>Emergency lighting.</w:t>
      </w:r>
    </w:p>
    <w:p w:rsidR="00F108C1" w:rsidRPr="00F108C1" w:rsidRDefault="00F108C1" w:rsidP="00F108C1">
      <w:pPr>
        <w:spacing w:after="200"/>
        <w:ind w:left="1080" w:hanging="360"/>
        <w:rPr>
          <w:rFonts w:cs="Arial"/>
          <w:szCs w:val="22"/>
        </w:rPr>
      </w:pPr>
      <w:r w:rsidRPr="00F108C1">
        <w:rPr>
          <w:rFonts w:cs="Arial"/>
          <w:szCs w:val="22"/>
        </w:rPr>
        <w:t>3.</w:t>
      </w:r>
      <w:r w:rsidRPr="00F108C1">
        <w:rPr>
          <w:rFonts w:cs="Arial"/>
          <w:szCs w:val="22"/>
        </w:rPr>
        <w:tab/>
        <w:t>Building facade…</w:t>
      </w:r>
    </w:p>
    <w:p w:rsidR="00F108C1" w:rsidRPr="00F108C1" w:rsidRDefault="00F108C1" w:rsidP="00F108C1">
      <w:pPr>
        <w:spacing w:after="200"/>
        <w:ind w:left="1080" w:hanging="360"/>
        <w:rPr>
          <w:rFonts w:cs="Arial"/>
          <w:szCs w:val="22"/>
        </w:rPr>
      </w:pPr>
      <w:r w:rsidRPr="00F108C1">
        <w:rPr>
          <w:rFonts w:cs="Arial"/>
          <w:szCs w:val="22"/>
        </w:rPr>
        <w:t>4.</w:t>
      </w:r>
      <w:r w:rsidRPr="00F108C1">
        <w:rPr>
          <w:rFonts w:cs="Arial"/>
          <w:szCs w:val="22"/>
        </w:rPr>
        <w:tab/>
        <w:t>Custom lighting features…</w:t>
      </w:r>
    </w:p>
    <w:p w:rsidR="00F108C1" w:rsidRPr="00F108C1" w:rsidRDefault="00F108C1" w:rsidP="00F108C1">
      <w:pPr>
        <w:spacing w:after="200"/>
        <w:ind w:left="1080" w:hanging="360"/>
        <w:rPr>
          <w:rFonts w:cs="Arial"/>
          <w:szCs w:val="22"/>
        </w:rPr>
      </w:pPr>
      <w:r w:rsidRPr="00F108C1">
        <w:rPr>
          <w:rFonts w:cs="Arial"/>
          <w:szCs w:val="22"/>
        </w:rPr>
        <w:t>5.</w:t>
      </w:r>
      <w:r w:rsidRPr="00F108C1">
        <w:rPr>
          <w:rFonts w:cs="Arial"/>
          <w:szCs w:val="22"/>
        </w:rPr>
        <w:tab/>
        <w:t>Luminaires with less than 6,200 initial luminaire lumens.</w:t>
      </w:r>
    </w:p>
    <w:p w:rsidR="00F108C1" w:rsidRPr="00F108C1" w:rsidRDefault="00F108C1" w:rsidP="00F108C1">
      <w:pPr>
        <w:spacing w:after="200"/>
        <w:ind w:left="360"/>
        <w:rPr>
          <w:rFonts w:cs="Arial"/>
          <w:szCs w:val="22"/>
        </w:rPr>
      </w:pPr>
      <w:r w:rsidRPr="00F108C1">
        <w:rPr>
          <w:rFonts w:cs="Arial"/>
          <w:b/>
          <w:szCs w:val="22"/>
        </w:rPr>
        <w:t>5.106.8.1 Facing – Backlight.</w:t>
      </w:r>
      <w:r w:rsidRPr="00F108C1">
        <w:rPr>
          <w:rFonts w:cs="Arial"/>
          <w:szCs w:val="22"/>
        </w:rPr>
        <w:t xml:space="preserve"> Luminaires within 2MH of a property line shall be oriented so that the nearest property line is behind the fixture, and shall comply with the backlight rating specified in Table 5.106.8 based on the lighting zone and distance to the nearest point of that property line.</w:t>
      </w:r>
    </w:p>
    <w:p w:rsidR="00F108C1" w:rsidRPr="00F108C1" w:rsidRDefault="00F108C1" w:rsidP="00F108C1">
      <w:pPr>
        <w:spacing w:after="200"/>
        <w:ind w:left="720"/>
        <w:rPr>
          <w:rFonts w:cs="Arial"/>
          <w:szCs w:val="22"/>
        </w:rPr>
      </w:pPr>
      <w:r w:rsidRPr="00F108C1">
        <w:rPr>
          <w:rFonts w:cs="Arial"/>
          <w:b/>
          <w:szCs w:val="22"/>
        </w:rPr>
        <w:t>Exception:</w:t>
      </w:r>
      <w:r w:rsidRPr="00F108C1">
        <w:rPr>
          <w:rFonts w:cs="Arial"/>
          <w:szCs w:val="22"/>
        </w:rPr>
        <w:t xml:space="preserve"> Corners. If two property lines (or two segments of the same property line) have equidistant points to the luminaire, then the luminaire may be oriented so that the intersection of the two lines (the corner) is directly behind the luminaire. The luminaire shall still use the distance to the nearest point(s) on the property lines to determine the required backlight rating.</w:t>
      </w:r>
    </w:p>
    <w:p w:rsidR="00F108C1" w:rsidRPr="00F108C1" w:rsidRDefault="00F108C1" w:rsidP="00F108C1">
      <w:pPr>
        <w:spacing w:after="200"/>
        <w:ind w:left="360"/>
        <w:rPr>
          <w:rFonts w:cs="Arial"/>
          <w:szCs w:val="22"/>
        </w:rPr>
      </w:pPr>
      <w:r w:rsidRPr="00F108C1">
        <w:rPr>
          <w:rFonts w:cs="Arial"/>
          <w:b/>
          <w:szCs w:val="22"/>
        </w:rPr>
        <w:t>5.106.8.2 Facing – Glare.</w:t>
      </w:r>
      <w:r w:rsidRPr="00F108C1">
        <w:rPr>
          <w:rFonts w:cs="Arial"/>
          <w:szCs w:val="22"/>
        </w:rPr>
        <w:t xml:space="preserve"> For luminaires covered by 5.106.8.1, if a property line also exists within or extends into the front hemisphere within 2MH of the luminaire then the luminaire shall comply with the more stringent glare rating specified in Table 5.106.8 based on the lighting zone and distance to the nearest point on the nearest property line within the front hemisphere.</w:t>
      </w:r>
    </w:p>
    <w:p w:rsidR="00F108C1" w:rsidRPr="00F108C1" w:rsidRDefault="00F108C1" w:rsidP="00F108C1">
      <w:pPr>
        <w:spacing w:after="200"/>
        <w:ind w:left="360"/>
        <w:rPr>
          <w:rFonts w:cs="Arial"/>
          <w:b/>
          <w:szCs w:val="22"/>
        </w:rPr>
      </w:pPr>
      <w:r w:rsidRPr="00F108C1">
        <w:rPr>
          <w:rFonts w:cs="Arial"/>
          <w:b/>
          <w:szCs w:val="22"/>
        </w:rPr>
        <w:t>Notes:</w:t>
      </w:r>
    </w:p>
    <w:p w:rsidR="00F108C1" w:rsidRPr="00F108C1" w:rsidRDefault="00F108C1" w:rsidP="00F108C1">
      <w:pPr>
        <w:spacing w:after="200"/>
        <w:ind w:left="1080" w:hanging="360"/>
        <w:rPr>
          <w:rFonts w:cs="Arial"/>
        </w:rPr>
      </w:pPr>
      <w:r w:rsidRPr="00F108C1">
        <w:rPr>
          <w:rFonts w:cs="Arial"/>
          <w:szCs w:val="22"/>
        </w:rPr>
        <w:t>1.</w:t>
      </w:r>
      <w:r w:rsidRPr="00F108C1">
        <w:rPr>
          <w:rFonts w:cs="Arial"/>
          <w:szCs w:val="22"/>
        </w:rPr>
        <w:tab/>
      </w:r>
      <w:r w:rsidRPr="00F108C1">
        <w:rPr>
          <w:rFonts w:cs="Arial"/>
        </w:rPr>
        <w:t xml:space="preserve">See also </w:t>
      </w:r>
      <w:r w:rsidRPr="00F108C1">
        <w:rPr>
          <w:rFonts w:cs="Arial"/>
          <w:i/>
        </w:rPr>
        <w:t>California Building Code</w:t>
      </w:r>
      <w:r w:rsidRPr="00F108C1">
        <w:rPr>
          <w:rFonts w:cs="Arial"/>
        </w:rPr>
        <w:t>, Chapter 12, Section 1205.7 for college campus lighting requirements for parking facilities and walkways.</w:t>
      </w:r>
    </w:p>
    <w:p w:rsidR="00F108C1" w:rsidRPr="00F108C1" w:rsidRDefault="00F108C1" w:rsidP="00F108C1">
      <w:pPr>
        <w:spacing w:after="200"/>
        <w:ind w:left="1080" w:hanging="360"/>
        <w:rPr>
          <w:rFonts w:cs="Arial"/>
          <w:szCs w:val="22"/>
        </w:rPr>
      </w:pPr>
      <w:r w:rsidRPr="00F108C1">
        <w:rPr>
          <w:rFonts w:cs="Arial"/>
        </w:rPr>
        <w:t>2.</w:t>
      </w:r>
      <w:r w:rsidRPr="00F108C1">
        <w:rPr>
          <w:rFonts w:cs="Arial"/>
        </w:rPr>
        <w:tab/>
        <w:t xml:space="preserve">Refer to Chapter 8 (Compliance Forms, Worksheets and Reference Material) for IES TM-15-11 Table A-1, </w:t>
      </w:r>
      <w:r w:rsidRPr="00F108C1">
        <w:rPr>
          <w:rFonts w:cs="Arial"/>
          <w:i/>
        </w:rPr>
        <w:t>California Energy Code</w:t>
      </w:r>
      <w:r w:rsidRPr="00F108C1">
        <w:rPr>
          <w:rFonts w:cs="Arial"/>
        </w:rPr>
        <w:t xml:space="preserve"> Tables 130.2-A and 130.2-B.</w:t>
      </w:r>
    </w:p>
    <w:p w:rsidR="00F108C1" w:rsidRPr="00F108C1" w:rsidRDefault="00F108C1" w:rsidP="00F108C1">
      <w:pPr>
        <w:spacing w:after="200"/>
        <w:ind w:left="1080" w:hanging="360"/>
        <w:rPr>
          <w:rFonts w:cs="Arial"/>
        </w:rPr>
      </w:pPr>
      <w:r w:rsidRPr="00F108C1">
        <w:rPr>
          <w:rFonts w:cs="Arial"/>
          <w:szCs w:val="22"/>
        </w:rPr>
        <w:t>3.</w:t>
      </w:r>
      <w:r w:rsidRPr="00F108C1">
        <w:rPr>
          <w:rFonts w:cs="Arial"/>
          <w:szCs w:val="22"/>
        </w:rPr>
        <w:tab/>
      </w:r>
      <w:r w:rsidRPr="00F108C1">
        <w:rPr>
          <w:rFonts w:cs="Arial"/>
        </w:rPr>
        <w:t xml:space="preserve">Refer to the </w:t>
      </w:r>
      <w:r w:rsidRPr="00F108C1">
        <w:rPr>
          <w:rFonts w:cs="Arial"/>
          <w:i/>
        </w:rPr>
        <w:t>California Energy Code</w:t>
      </w:r>
      <w:r w:rsidRPr="00F108C1">
        <w:rPr>
          <w:rFonts w:cs="Arial"/>
        </w:rPr>
        <w:t xml:space="preserve"> for requirements for additions and alterations.</w:t>
      </w:r>
    </w:p>
    <w:p w:rsidR="000E3054" w:rsidRDefault="000E3054">
      <w:pPr>
        <w:spacing w:after="200" w:line="276" w:lineRule="auto"/>
        <w:rPr>
          <w:rFonts w:cs="Arial"/>
        </w:rPr>
      </w:pPr>
      <w:r>
        <w:rPr>
          <w:rFonts w:cs="Arial"/>
        </w:rPr>
        <w:br w:type="page"/>
      </w:r>
    </w:p>
    <w:p w:rsidR="00F108C1" w:rsidRPr="00F108C1" w:rsidRDefault="00F108C1" w:rsidP="00F108C1">
      <w:pPr>
        <w:jc w:val="center"/>
        <w:rPr>
          <w:b/>
        </w:rPr>
      </w:pPr>
      <w:r w:rsidRPr="00F108C1">
        <w:rPr>
          <w:b/>
        </w:rPr>
        <w:lastRenderedPageBreak/>
        <w:t>TABLE 5.106.8 [N]</w:t>
      </w:r>
    </w:p>
    <w:p w:rsidR="00F108C1" w:rsidRPr="00F108C1" w:rsidRDefault="00F108C1" w:rsidP="00F108C1">
      <w:pPr>
        <w:jc w:val="center"/>
        <w:rPr>
          <w:b/>
          <w:vertAlign w:val="superscript"/>
        </w:rPr>
      </w:pPr>
      <w:r w:rsidRPr="00F108C1">
        <w:rPr>
          <w:b/>
        </w:rPr>
        <w:t>MAXIMUM ALLOWABLE BACKLIGHT, UPLIGHT AND GLARE (BUG) RATINGS</w:t>
      </w:r>
      <w:r w:rsidRPr="00F108C1">
        <w:rPr>
          <w:b/>
          <w:vertAlign w:val="superscript"/>
        </w:rPr>
        <w:t>1,2</w:t>
      </w:r>
    </w:p>
    <w:tbl>
      <w:tblPr>
        <w:tblW w:w="102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3"/>
        <w:gridCol w:w="949"/>
        <w:gridCol w:w="949"/>
        <w:gridCol w:w="949"/>
        <w:gridCol w:w="949"/>
        <w:gridCol w:w="949"/>
      </w:tblGrid>
      <w:tr w:rsidR="00F108C1" w:rsidRPr="00F108C1" w:rsidTr="007D0C45">
        <w:trPr>
          <w:trHeight w:val="494"/>
          <w:tblHeader/>
        </w:trPr>
        <w:tc>
          <w:tcPr>
            <w:tcW w:w="5533" w:type="dxa"/>
            <w:vAlign w:val="center"/>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ALLOWABLE RATING</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LZ0</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LZ1</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LZ2</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LZ3</w:t>
            </w:r>
          </w:p>
        </w:tc>
        <w:tc>
          <w:tcPr>
            <w:tcW w:w="949" w:type="dxa"/>
          </w:tcPr>
          <w:p w:rsidR="00F108C1" w:rsidRPr="00F108C1" w:rsidRDefault="00F108C1" w:rsidP="00F108C1">
            <w:pPr>
              <w:autoSpaceDE w:val="0"/>
              <w:autoSpaceDN w:val="0"/>
              <w:adjustRightInd w:val="0"/>
              <w:jc w:val="center"/>
              <w:rPr>
                <w:rFonts w:cs="Arial"/>
                <w:b/>
                <w:sz w:val="14"/>
                <w:szCs w:val="24"/>
              </w:rPr>
            </w:pPr>
            <w:r w:rsidRPr="00F108C1">
              <w:rPr>
                <w:rFonts w:cs="Arial"/>
                <w:b/>
                <w:sz w:val="14"/>
                <w:szCs w:val="24"/>
              </w:rPr>
              <w:t>LIGHTING</w:t>
            </w:r>
            <w:r w:rsidRPr="00F108C1">
              <w:rPr>
                <w:rFonts w:cs="Arial"/>
                <w:b/>
                <w:sz w:val="14"/>
                <w:szCs w:val="24"/>
              </w:rPr>
              <w:br/>
              <w:t>ZONE</w:t>
            </w:r>
            <w:r w:rsidRPr="00F108C1">
              <w:rPr>
                <w:rFonts w:cs="Arial"/>
                <w:b/>
                <w:sz w:val="14"/>
                <w:szCs w:val="24"/>
              </w:rPr>
              <w:br/>
              <w:t>LZ4</w:t>
            </w:r>
          </w:p>
        </w:tc>
      </w:tr>
      <w:tr w:rsidR="00F108C1" w:rsidRPr="00F108C1" w:rsidTr="007D0C45">
        <w:trPr>
          <w:trHeight w:val="251"/>
          <w:tblHeader/>
        </w:trPr>
        <w:tc>
          <w:tcPr>
            <w:tcW w:w="5533"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7" w:line="195" w:lineRule="exact"/>
              <w:ind w:left="43"/>
              <w:rPr>
                <w:rFonts w:cs="Arial"/>
                <w:b/>
                <w:sz w:val="18"/>
                <w:szCs w:val="24"/>
              </w:rPr>
            </w:pPr>
            <w:r w:rsidRPr="00F108C1">
              <w:rPr>
                <w:rFonts w:cs="Arial"/>
                <w:b/>
                <w:sz w:val="18"/>
                <w:szCs w:val="24"/>
              </w:rPr>
              <w:t>Maximum Allowable Backlight Rating (B)</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r>
      <w:tr w:rsidR="00F108C1" w:rsidRPr="00F108C1" w:rsidTr="007D0C45">
        <w:trPr>
          <w:trHeight w:val="179"/>
          <w:tblHeader/>
        </w:trPr>
        <w:tc>
          <w:tcPr>
            <w:tcW w:w="5533" w:type="dxa"/>
          </w:tcPr>
          <w:p w:rsidR="00F108C1" w:rsidRPr="00F108C1" w:rsidRDefault="00F108C1" w:rsidP="00F108C1">
            <w:pPr>
              <w:autoSpaceDE w:val="0"/>
              <w:autoSpaceDN w:val="0"/>
              <w:adjustRightInd w:val="0"/>
              <w:spacing w:before="7" w:line="192" w:lineRule="exact"/>
              <w:ind w:left="40"/>
              <w:rPr>
                <w:rFonts w:cs="Arial"/>
                <w:sz w:val="18"/>
                <w:szCs w:val="24"/>
              </w:rPr>
            </w:pPr>
            <w:r w:rsidRPr="00F108C1">
              <w:rPr>
                <w:rFonts w:cs="Arial"/>
                <w:spacing w:val="-6"/>
                <w:sz w:val="18"/>
                <w:szCs w:val="24"/>
              </w:rPr>
              <w:t xml:space="preserve">Luminaire greater </w:t>
            </w:r>
            <w:r w:rsidRPr="00F108C1">
              <w:rPr>
                <w:rFonts w:cs="Arial"/>
                <w:spacing w:val="-5"/>
                <w:sz w:val="18"/>
                <w:szCs w:val="24"/>
              </w:rPr>
              <w:t xml:space="preserve">than </w:t>
            </w:r>
            <w:r w:rsidRPr="00F108C1">
              <w:rPr>
                <w:rFonts w:cs="Arial"/>
                <w:sz w:val="18"/>
                <w:szCs w:val="24"/>
              </w:rPr>
              <w:t xml:space="preserve">2 </w:t>
            </w:r>
            <w:r w:rsidRPr="00F108C1">
              <w:rPr>
                <w:rFonts w:cs="Arial"/>
                <w:spacing w:val="-6"/>
                <w:sz w:val="18"/>
                <w:szCs w:val="24"/>
              </w:rPr>
              <w:t xml:space="preserve">mounting heights </w:t>
            </w:r>
            <w:r w:rsidRPr="00F108C1">
              <w:rPr>
                <w:rFonts w:cs="Arial"/>
                <w:spacing w:val="-5"/>
                <w:sz w:val="18"/>
                <w:szCs w:val="24"/>
              </w:rPr>
              <w:t xml:space="preserve">(MH) from </w:t>
            </w:r>
            <w:r w:rsidRPr="00F108C1">
              <w:rPr>
                <w:rFonts w:cs="Arial"/>
                <w:spacing w:val="-6"/>
                <w:sz w:val="18"/>
                <w:szCs w:val="24"/>
              </w:rPr>
              <w:t xml:space="preserve">property </w:t>
            </w:r>
            <w:r w:rsidRPr="00F108C1">
              <w:rPr>
                <w:rFonts w:cs="Arial"/>
                <w:spacing w:val="-7"/>
                <w:sz w:val="18"/>
                <w:szCs w:val="24"/>
              </w:rPr>
              <w:t>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No Limit</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No Limit</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No Limit</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No Limit</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Luminaire back hemisphere is 1 – 2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B2</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B4</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B4</w:t>
            </w:r>
          </w:p>
        </w:tc>
      </w:tr>
      <w:tr w:rsidR="00F108C1" w:rsidRPr="00F108C1" w:rsidTr="007D0C45">
        <w:trPr>
          <w:trHeight w:val="251"/>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Luminaire back hemisphere is 0.5 – 1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B2</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B3</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2" w:lineRule="exact"/>
              <w:ind w:left="40"/>
              <w:rPr>
                <w:rFonts w:cs="Arial"/>
                <w:sz w:val="18"/>
                <w:szCs w:val="24"/>
              </w:rPr>
            </w:pPr>
            <w:r w:rsidRPr="00F108C1">
              <w:rPr>
                <w:rFonts w:cs="Arial"/>
                <w:sz w:val="18"/>
                <w:szCs w:val="24"/>
              </w:rPr>
              <w:t>Luminaire back hemisphere is less than 0.5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B2</w:t>
            </w:r>
          </w:p>
        </w:tc>
      </w:tr>
      <w:tr w:rsidR="00F108C1" w:rsidRPr="00F108C1" w:rsidTr="007D0C45">
        <w:trPr>
          <w:trHeight w:val="249"/>
          <w:tblHeader/>
        </w:trPr>
        <w:tc>
          <w:tcPr>
            <w:tcW w:w="5533"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7" w:line="195" w:lineRule="exact"/>
              <w:ind w:left="43"/>
              <w:rPr>
                <w:rFonts w:cs="Arial"/>
                <w:b/>
                <w:sz w:val="18"/>
                <w:szCs w:val="24"/>
              </w:rPr>
            </w:pPr>
            <w:r w:rsidRPr="00F108C1">
              <w:rPr>
                <w:rFonts w:cs="Arial"/>
                <w:b/>
                <w:sz w:val="18"/>
                <w:szCs w:val="24"/>
              </w:rPr>
              <w:t>Maximum Allowable Uplight Rating (U)</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r>
      <w:tr w:rsidR="00F108C1" w:rsidRPr="00F108C1" w:rsidTr="007D0C45">
        <w:trPr>
          <w:trHeight w:val="251"/>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For area lighting</w:t>
            </w:r>
            <w:r w:rsidRPr="00F108C1">
              <w:rPr>
                <w:rFonts w:cs="Arial"/>
                <w:sz w:val="18"/>
                <w:szCs w:val="24"/>
                <w:vertAlign w:val="superscript"/>
              </w:rPr>
              <w:t>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U0</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2" w:lineRule="exact"/>
              <w:ind w:left="40"/>
              <w:rPr>
                <w:rFonts w:cs="Arial"/>
                <w:sz w:val="18"/>
                <w:szCs w:val="24"/>
              </w:rPr>
            </w:pPr>
            <w:r w:rsidRPr="00F108C1">
              <w:rPr>
                <w:rFonts w:cs="Arial"/>
                <w:sz w:val="18"/>
                <w:szCs w:val="24"/>
              </w:rPr>
              <w:t>For all other outdoor lighting, including decorative luminaires</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U2</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U4</w:t>
            </w:r>
          </w:p>
        </w:tc>
      </w:tr>
      <w:tr w:rsidR="00F108C1" w:rsidRPr="00F108C1" w:rsidTr="007D0C45">
        <w:trPr>
          <w:trHeight w:val="249"/>
          <w:tblHeader/>
        </w:trPr>
        <w:tc>
          <w:tcPr>
            <w:tcW w:w="5533"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7" w:line="195" w:lineRule="exact"/>
              <w:ind w:left="43"/>
              <w:rPr>
                <w:rFonts w:cs="Arial"/>
                <w:b/>
                <w:sz w:val="18"/>
                <w:szCs w:val="24"/>
              </w:rPr>
            </w:pPr>
            <w:r w:rsidRPr="00F108C1">
              <w:rPr>
                <w:rFonts w:cs="Arial"/>
                <w:b/>
                <w:sz w:val="18"/>
                <w:szCs w:val="24"/>
              </w:rPr>
              <w:t>Maximum Allowable Glare Rating (G)</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c>
          <w:tcPr>
            <w:tcW w:w="949" w:type="dxa"/>
            <w:tcBorders>
              <w:left w:val="single" w:sz="2" w:space="0" w:color="2C71FF"/>
              <w:right w:val="single" w:sz="2" w:space="0" w:color="2C71FF"/>
            </w:tcBorders>
            <w:shd w:val="clear" w:color="auto" w:fill="B3B3B3"/>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color w:val="AEAAAA"/>
                <w:sz w:val="18"/>
                <w:szCs w:val="24"/>
              </w:rPr>
              <w:t>blank</w:t>
            </w:r>
          </w:p>
        </w:tc>
      </w:tr>
      <w:tr w:rsidR="00F108C1" w:rsidRPr="00F108C1" w:rsidTr="007D0C45">
        <w:trPr>
          <w:trHeight w:val="251"/>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Luminaire greater than 2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G2</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G3</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G4</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2" w:lineRule="exact"/>
              <w:ind w:left="40"/>
              <w:rPr>
                <w:rFonts w:cs="Arial"/>
                <w:sz w:val="18"/>
                <w:szCs w:val="24"/>
              </w:rPr>
            </w:pPr>
            <w:r w:rsidRPr="00F108C1">
              <w:rPr>
                <w:rFonts w:cs="Arial"/>
                <w:sz w:val="18"/>
                <w:szCs w:val="24"/>
              </w:rPr>
              <w:t>Luminaire front hemisphere is 1 – 2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G2</w:t>
            </w:r>
          </w:p>
        </w:tc>
      </w:tr>
      <w:tr w:rsidR="00F108C1" w:rsidRPr="00F108C1" w:rsidTr="007D0C45">
        <w:trPr>
          <w:trHeight w:val="249"/>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z w:val="18"/>
                <w:szCs w:val="24"/>
              </w:rPr>
              <w:t>Luminaire front hemisphere is 0.5 – 1 MH from property 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r>
      <w:tr w:rsidR="00F108C1" w:rsidRPr="00F108C1" w:rsidTr="007D0C45">
        <w:trPr>
          <w:trHeight w:val="251"/>
          <w:tblHeader/>
        </w:trPr>
        <w:tc>
          <w:tcPr>
            <w:tcW w:w="5533" w:type="dxa"/>
          </w:tcPr>
          <w:p w:rsidR="00F108C1" w:rsidRPr="00F108C1" w:rsidRDefault="00F108C1" w:rsidP="00F108C1">
            <w:pPr>
              <w:autoSpaceDE w:val="0"/>
              <w:autoSpaceDN w:val="0"/>
              <w:adjustRightInd w:val="0"/>
              <w:spacing w:before="7" w:line="195" w:lineRule="exact"/>
              <w:ind w:left="40"/>
              <w:rPr>
                <w:rFonts w:cs="Arial"/>
                <w:sz w:val="18"/>
                <w:szCs w:val="24"/>
              </w:rPr>
            </w:pPr>
            <w:r w:rsidRPr="00F108C1">
              <w:rPr>
                <w:rFonts w:cs="Arial"/>
                <w:spacing w:val="-6"/>
                <w:sz w:val="18"/>
                <w:szCs w:val="24"/>
              </w:rPr>
              <w:t xml:space="preserve">Luminaire </w:t>
            </w:r>
            <w:r w:rsidRPr="00F108C1">
              <w:rPr>
                <w:rFonts w:cs="Arial"/>
                <w:spacing w:val="-5"/>
                <w:sz w:val="18"/>
                <w:szCs w:val="24"/>
              </w:rPr>
              <w:t xml:space="preserve">front </w:t>
            </w:r>
            <w:r w:rsidRPr="00F108C1">
              <w:rPr>
                <w:rFonts w:cs="Arial"/>
                <w:spacing w:val="-7"/>
                <w:sz w:val="18"/>
                <w:szCs w:val="24"/>
              </w:rPr>
              <w:t xml:space="preserve">hemisphere </w:t>
            </w:r>
            <w:r w:rsidRPr="00F108C1">
              <w:rPr>
                <w:rFonts w:cs="Arial"/>
                <w:spacing w:val="-4"/>
                <w:sz w:val="18"/>
                <w:szCs w:val="24"/>
              </w:rPr>
              <w:t xml:space="preserve">is </w:t>
            </w:r>
            <w:r w:rsidRPr="00F108C1">
              <w:rPr>
                <w:rFonts w:cs="Arial"/>
                <w:spacing w:val="-6"/>
                <w:sz w:val="18"/>
                <w:szCs w:val="24"/>
              </w:rPr>
              <w:t xml:space="preserve">less than </w:t>
            </w:r>
            <w:r w:rsidRPr="00F108C1">
              <w:rPr>
                <w:rFonts w:cs="Arial"/>
                <w:spacing w:val="-4"/>
                <w:sz w:val="18"/>
                <w:szCs w:val="24"/>
              </w:rPr>
              <w:t xml:space="preserve">0.5 </w:t>
            </w:r>
            <w:r w:rsidRPr="00F108C1">
              <w:rPr>
                <w:rFonts w:cs="Arial"/>
                <w:spacing w:val="-3"/>
                <w:sz w:val="18"/>
                <w:szCs w:val="24"/>
              </w:rPr>
              <w:t xml:space="preserve">MH </w:t>
            </w:r>
            <w:r w:rsidRPr="00F108C1">
              <w:rPr>
                <w:rFonts w:cs="Arial"/>
                <w:spacing w:val="-5"/>
                <w:sz w:val="18"/>
                <w:szCs w:val="24"/>
              </w:rPr>
              <w:t xml:space="preserve">from </w:t>
            </w:r>
            <w:r w:rsidRPr="00F108C1">
              <w:rPr>
                <w:rFonts w:cs="Arial"/>
                <w:spacing w:val="-6"/>
                <w:sz w:val="18"/>
                <w:szCs w:val="24"/>
              </w:rPr>
              <w:t xml:space="preserve">property </w:t>
            </w:r>
            <w:r w:rsidRPr="00F108C1">
              <w:rPr>
                <w:rFonts w:cs="Arial"/>
                <w:spacing w:val="-5"/>
                <w:sz w:val="18"/>
                <w:szCs w:val="24"/>
              </w:rPr>
              <w:t>line</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N/A</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G0</w:t>
            </w:r>
          </w:p>
        </w:tc>
        <w:tc>
          <w:tcPr>
            <w:tcW w:w="949" w:type="dxa"/>
          </w:tcPr>
          <w:p w:rsidR="00F108C1" w:rsidRPr="00F108C1" w:rsidRDefault="00F108C1" w:rsidP="00F108C1">
            <w:pPr>
              <w:autoSpaceDE w:val="0"/>
              <w:autoSpaceDN w:val="0"/>
              <w:adjustRightInd w:val="0"/>
              <w:spacing w:before="100" w:beforeAutospacing="1" w:after="100" w:afterAutospacing="1"/>
              <w:jc w:val="center"/>
              <w:rPr>
                <w:rFonts w:cs="Arial"/>
                <w:sz w:val="18"/>
                <w:szCs w:val="24"/>
              </w:rPr>
            </w:pPr>
            <w:r w:rsidRPr="00F108C1">
              <w:rPr>
                <w:rFonts w:cs="Arial"/>
                <w:sz w:val="18"/>
                <w:szCs w:val="24"/>
              </w:rPr>
              <w:t>G1</w:t>
            </w:r>
          </w:p>
        </w:tc>
      </w:tr>
    </w:tbl>
    <w:p w:rsidR="00F108C1" w:rsidRPr="00F108C1" w:rsidRDefault="00F108C1" w:rsidP="00F108C1">
      <w:pPr>
        <w:ind w:left="360" w:hanging="360"/>
        <w:rPr>
          <w:rFonts w:cs="Arial"/>
          <w:sz w:val="16"/>
          <w:szCs w:val="16"/>
        </w:rPr>
      </w:pPr>
      <w:r w:rsidRPr="00F108C1">
        <w:rPr>
          <w:rFonts w:cs="Arial"/>
          <w:sz w:val="16"/>
          <w:szCs w:val="16"/>
        </w:rPr>
        <w:t>1.</w:t>
      </w:r>
      <w:r w:rsidRPr="00F108C1">
        <w:rPr>
          <w:rFonts w:cs="Arial"/>
          <w:sz w:val="16"/>
          <w:szCs w:val="16"/>
        </w:rPr>
        <w:tab/>
        <w:t xml:space="preserve">IESNA Lighting Zones 0 are not applicable; refer to Lighting Zones as defined in the </w:t>
      </w:r>
      <w:r w:rsidRPr="00F108C1">
        <w:rPr>
          <w:rFonts w:cs="Arial"/>
          <w:i/>
          <w:sz w:val="16"/>
          <w:szCs w:val="16"/>
        </w:rPr>
        <w:t>California Energy Code</w:t>
      </w:r>
      <w:r w:rsidRPr="00F108C1">
        <w:rPr>
          <w:rFonts w:cs="Arial"/>
          <w:sz w:val="16"/>
          <w:szCs w:val="16"/>
        </w:rPr>
        <w:t xml:space="preserve"> and Chapter 10 of the </w:t>
      </w:r>
      <w:r w:rsidRPr="00F108C1">
        <w:rPr>
          <w:rFonts w:cs="Arial"/>
          <w:i/>
          <w:sz w:val="16"/>
          <w:szCs w:val="16"/>
        </w:rPr>
        <w:t>California Administrative Code</w:t>
      </w:r>
      <w:r w:rsidRPr="00F108C1">
        <w:rPr>
          <w:rFonts w:cs="Arial"/>
          <w:sz w:val="16"/>
          <w:szCs w:val="16"/>
        </w:rPr>
        <w:t>.</w:t>
      </w:r>
    </w:p>
    <w:p w:rsidR="00F108C1" w:rsidRPr="00F108C1" w:rsidRDefault="00F108C1" w:rsidP="00F108C1">
      <w:pPr>
        <w:ind w:left="360" w:hanging="360"/>
        <w:rPr>
          <w:rFonts w:cs="Arial"/>
          <w:sz w:val="16"/>
          <w:szCs w:val="16"/>
        </w:rPr>
      </w:pPr>
      <w:r w:rsidRPr="00F108C1">
        <w:rPr>
          <w:rFonts w:cs="Arial"/>
          <w:sz w:val="16"/>
          <w:szCs w:val="16"/>
        </w:rPr>
        <w:t>2.</w:t>
      </w:r>
      <w:r w:rsidRPr="00F108C1">
        <w:rPr>
          <w:rFonts w:cs="Arial"/>
          <w:sz w:val="16"/>
          <w:szCs w:val="16"/>
        </w:rPr>
        <w:tab/>
        <w:t>For property lines that abut public walkways, bikeways, plazas and parking lots, the property line may be considered to be 5 feet beyond the actual property line for purpose of determining compliance with this section. For property lines that abut public roadways and public transit corridors, the property line may be considered to be the centerline of the public roadway or public transit corridor for the purpose of determining compliance with this section.</w:t>
      </w:r>
    </w:p>
    <w:p w:rsidR="00F108C1" w:rsidRPr="00F108C1" w:rsidRDefault="00F108C1" w:rsidP="000E3054">
      <w:pPr>
        <w:spacing w:after="480"/>
        <w:ind w:left="360" w:hanging="360"/>
        <w:rPr>
          <w:rFonts w:cs="Arial"/>
          <w:sz w:val="16"/>
          <w:szCs w:val="16"/>
        </w:rPr>
      </w:pPr>
      <w:r w:rsidRPr="00F108C1">
        <w:rPr>
          <w:rFonts w:cs="Arial"/>
          <w:sz w:val="16"/>
          <w:szCs w:val="16"/>
        </w:rPr>
        <w:t>3.</w:t>
      </w:r>
      <w:r w:rsidRPr="00F108C1">
        <w:rPr>
          <w:rFonts w:cs="Arial"/>
          <w:sz w:val="16"/>
          <w:szCs w:val="16"/>
        </w:rPr>
        <w:tab/>
        <w:t>General lighting luminaires in areas such as outdoor parking, sales or storage lots shall meet these reduced ratings. Decorative luminaires located in these areas shall meet U-value limits for “all other outdoor lighting.”</w:t>
      </w:r>
    </w:p>
    <w:tbl>
      <w:tblPr>
        <w:tblStyle w:val="TableGrid1"/>
        <w:tblW w:w="0" w:type="auto"/>
        <w:tblInd w:w="144" w:type="dxa"/>
        <w:tblLook w:val="04A0" w:firstRow="1" w:lastRow="0" w:firstColumn="1" w:lastColumn="0" w:noHBand="0" w:noVBand="1"/>
        <w:tblDescription w:val="Suggested Text of Proposed Amendments"/>
      </w:tblPr>
      <w:tblGrid>
        <w:gridCol w:w="10080"/>
      </w:tblGrid>
      <w:tr w:rsidR="00F108C1" w:rsidRPr="00F108C1" w:rsidTr="007D0C45">
        <w:trPr>
          <w:trHeight w:val="360"/>
          <w:tblHeader/>
        </w:trPr>
        <w:tc>
          <w:tcPr>
            <w:tcW w:w="10080" w:type="dxa"/>
            <w:shd w:val="clear" w:color="auto" w:fill="000000" w:themeFill="text1"/>
            <w:vAlign w:val="center"/>
          </w:tcPr>
          <w:p w:rsidR="00F108C1" w:rsidRPr="00F108C1" w:rsidRDefault="00F108C1" w:rsidP="00F108C1">
            <w:pPr>
              <w:ind w:left="30"/>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t>Rationale</w:t>
            </w:r>
          </w:p>
        </w:tc>
      </w:tr>
    </w:tbl>
    <w:p w:rsidR="00F108C1" w:rsidRPr="00F108C1" w:rsidRDefault="00F108C1" w:rsidP="000E3054">
      <w:pPr>
        <w:spacing w:before="120" w:after="200"/>
        <w:rPr>
          <w:rFonts w:cs="Arial"/>
          <w:sz w:val="24"/>
          <w:szCs w:val="24"/>
        </w:rPr>
      </w:pPr>
      <w:r w:rsidRPr="00F108C1">
        <w:rPr>
          <w:rFonts w:cs="Arial"/>
          <w:sz w:val="24"/>
          <w:szCs w:val="24"/>
        </w:rPr>
        <w:t>Statement of specific purpose, problem, rationale and benefits:</w:t>
      </w:r>
    </w:p>
    <w:p w:rsidR="00F108C1" w:rsidRPr="00F108C1" w:rsidRDefault="00F108C1" w:rsidP="00F108C1">
      <w:pPr>
        <w:spacing w:after="200"/>
        <w:rPr>
          <w:rFonts w:cs="Arial"/>
          <w:sz w:val="24"/>
          <w:szCs w:val="24"/>
        </w:rPr>
      </w:pPr>
      <w:r w:rsidRPr="00F108C1">
        <w:rPr>
          <w:rFonts w:cs="Arial"/>
          <w:sz w:val="24"/>
          <w:szCs w:val="24"/>
        </w:rPr>
        <w:t>DSA proposes to strike the [N] banner from Exceptions for consistency and uniformity in the code as the exceptions are not only for new construction. This proposed change is necessary for consistency and uniformity in the code as the notes have a provision for additions and alterations, as well as new construction.</w:t>
      </w:r>
    </w:p>
    <w:p w:rsidR="00F108C1" w:rsidRPr="00F108C1" w:rsidRDefault="00F108C1" w:rsidP="00F108C1">
      <w:pPr>
        <w:spacing w:after="200"/>
        <w:rPr>
          <w:rFonts w:cs="Arial"/>
          <w:sz w:val="24"/>
          <w:szCs w:val="24"/>
        </w:rPr>
      </w:pPr>
      <w:r w:rsidRPr="00F108C1">
        <w:rPr>
          <w:rFonts w:cs="Arial"/>
          <w:sz w:val="24"/>
          <w:szCs w:val="24"/>
        </w:rPr>
        <w:t>DSA proposes to amend Exception 1 to add an exception for cutoff luminaires to align CALGreen with the BUG requirements and exceptions adopted into Section 130.2(b) of Title 24, Part 6,</w:t>
      </w:r>
      <w:r w:rsidRPr="00F108C1">
        <w:rPr>
          <w:rFonts w:cs="Arial"/>
          <w:i/>
          <w:sz w:val="24"/>
          <w:szCs w:val="24"/>
        </w:rPr>
        <w:t xml:space="preserve"> 2019 California Energy Code</w:t>
      </w:r>
      <w:r w:rsidRPr="00F108C1">
        <w:rPr>
          <w:rFonts w:cs="Arial"/>
          <w:sz w:val="24"/>
          <w:szCs w:val="24"/>
        </w:rPr>
        <w:t>.</w:t>
      </w:r>
    </w:p>
    <w:p w:rsidR="00F108C1" w:rsidRPr="00F108C1" w:rsidRDefault="00F108C1" w:rsidP="00F108C1">
      <w:pPr>
        <w:spacing w:after="200"/>
        <w:rPr>
          <w:rFonts w:cs="Arial"/>
          <w:sz w:val="24"/>
          <w:szCs w:val="24"/>
        </w:rPr>
      </w:pPr>
      <w:r w:rsidRPr="00F108C1">
        <w:rPr>
          <w:rFonts w:cs="Arial"/>
          <w:sz w:val="24"/>
          <w:szCs w:val="24"/>
        </w:rPr>
        <w:t>DSA proposes to add Exception 5, for “Luminaries with less than 6,200 initial luminaire lumens” to align CALGreen with similar language adopted in the</w:t>
      </w:r>
      <w:r w:rsidRPr="00F108C1">
        <w:rPr>
          <w:rFonts w:cs="Arial"/>
          <w:i/>
          <w:sz w:val="24"/>
          <w:szCs w:val="24"/>
        </w:rPr>
        <w:t xml:space="preserve"> 2019 California Energy Code </w:t>
      </w:r>
      <w:r w:rsidRPr="00F108C1">
        <w:rPr>
          <w:rFonts w:cs="Arial"/>
          <w:sz w:val="24"/>
          <w:szCs w:val="24"/>
        </w:rPr>
        <w:t>Section 130.2(b), Luminaire cutoff requirements. The purpose of the new exception 5 is to align the scope of Part 11, Section 5.106.8 to the scope of similar provisions in Part 6, Section 130.2(b). Light pollution provisions were first adopted into Part 6 and later moved into Part 11. To the extent that the language in Part 11 could have been understood to be more broad in application than that in Part 6, this change has the material effect of narrowing the application of these requirements to luminaires within the scope of the Part 6 provisions. This change is necessary to prevent a conflict between the scoping provisions of light pollution in Parts 6 and 11; the scoping provisions in Part 11 are intended to reflect the scoping provisions in Part 6.</w:t>
      </w:r>
    </w:p>
    <w:p w:rsidR="00F108C1" w:rsidRPr="00F108C1" w:rsidRDefault="00F108C1" w:rsidP="00F108C1">
      <w:pPr>
        <w:spacing w:after="200"/>
        <w:rPr>
          <w:rFonts w:cs="Arial"/>
          <w:sz w:val="24"/>
          <w:szCs w:val="24"/>
        </w:rPr>
      </w:pPr>
      <w:r w:rsidRPr="00F108C1">
        <w:rPr>
          <w:rFonts w:cs="Arial"/>
          <w:sz w:val="24"/>
          <w:szCs w:val="24"/>
        </w:rPr>
        <w:t xml:space="preserve">DSA proposes to repeal footnotes 3 and 5 from Table 5.106.8 and relocate them into two new code Sections 5.106.8.1 with exception and Section 5.106.8.2. This amendment will add clarify for their application and intent.  To the extent that the original language was ambiguous regarding when increases in stringency of backlight and glare would apply, and how luminaire facing was to be addressed, this change has the material effect of ensuring that increased </w:t>
      </w:r>
      <w:r w:rsidRPr="00F108C1">
        <w:rPr>
          <w:rFonts w:cs="Arial"/>
          <w:sz w:val="24"/>
          <w:szCs w:val="24"/>
        </w:rPr>
        <w:lastRenderedPageBreak/>
        <w:t>requirements do not apply to luminaires located more than two mounting heights away from property lines, and precluding illogical facing of luminaires located close to property boundaries. The changes to this section are necessary to align the application of Section 5.106.8 to the intent of the original code language and to ensure the requirements comply with backlight and glare ratings, but do not apply when they would not be of benefit.</w:t>
      </w:r>
    </w:p>
    <w:p w:rsidR="00F108C1" w:rsidRPr="00F108C1" w:rsidRDefault="00F108C1" w:rsidP="000E3054">
      <w:pPr>
        <w:spacing w:after="480"/>
        <w:rPr>
          <w:rFonts w:cs="Arial"/>
          <w:sz w:val="24"/>
          <w:szCs w:val="24"/>
        </w:rPr>
      </w:pPr>
      <w:r w:rsidRPr="00F108C1">
        <w:rPr>
          <w:rFonts w:cs="Arial"/>
          <w:sz w:val="24"/>
          <w:szCs w:val="24"/>
        </w:rPr>
        <w:t>DSA’s proposed amendments will benefit the code user by clarifying the exceptions to the requirements of light pollution reduction by avoiding conflict with mandatory provisions of California Energy Code for newly constructed nonresidential buildings, additions and alterations. Additionally, the new code sections will help clarify the application and intent of how backlight and glare are to be addressed when located near property lines.</w:t>
      </w:r>
    </w:p>
    <w:tbl>
      <w:tblPr>
        <w:tblStyle w:val="TableGrid1"/>
        <w:tblW w:w="0" w:type="auto"/>
        <w:tblInd w:w="144" w:type="dxa"/>
        <w:tblLook w:val="04A0" w:firstRow="1" w:lastRow="0" w:firstColumn="1" w:lastColumn="0" w:noHBand="0" w:noVBand="1"/>
        <w:tblDescription w:val="Suggested Text of Proposed Amendments"/>
      </w:tblPr>
      <w:tblGrid>
        <w:gridCol w:w="10080"/>
      </w:tblGrid>
      <w:tr w:rsidR="00F108C1" w:rsidRPr="00F108C1" w:rsidTr="007D0C45">
        <w:trPr>
          <w:trHeight w:val="360"/>
          <w:tblHeader/>
        </w:trPr>
        <w:tc>
          <w:tcPr>
            <w:tcW w:w="10080" w:type="dxa"/>
            <w:shd w:val="clear" w:color="auto" w:fill="000000" w:themeFill="text1"/>
            <w:vAlign w:val="center"/>
          </w:tcPr>
          <w:p w:rsidR="00F108C1" w:rsidRPr="00F108C1" w:rsidRDefault="00F108C1" w:rsidP="00F108C1">
            <w:pPr>
              <w:ind w:left="30"/>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t>Comments</w:t>
            </w:r>
          </w:p>
        </w:tc>
      </w:tr>
    </w:tbl>
    <w:p w:rsidR="00F108C1" w:rsidRPr="00F108C1" w:rsidRDefault="00F108C1" w:rsidP="00F108C1">
      <w:pPr>
        <w:rPr>
          <w:rFonts w:cs="Arial"/>
          <w:sz w:val="12"/>
          <w:szCs w:val="12"/>
        </w:rPr>
      </w:pPr>
    </w:p>
    <w:p w:rsidR="00F108C1" w:rsidRPr="00F108C1" w:rsidRDefault="00F108C1" w:rsidP="000E3054">
      <w:pPr>
        <w:numPr>
          <w:ilvl w:val="0"/>
          <w:numId w:val="3"/>
        </w:numPr>
        <w:spacing w:before="120"/>
        <w:contextualSpacing/>
        <w:rPr>
          <w:rFonts w:cs="Arial"/>
          <w:szCs w:val="22"/>
        </w:rPr>
      </w:pPr>
    </w:p>
    <w:p w:rsidR="00F108C1" w:rsidRDefault="00F108C1">
      <w:pPr>
        <w:spacing w:after="200" w:line="276" w:lineRule="auto"/>
        <w:rPr>
          <w:rFonts w:cs="Arial"/>
        </w:rPr>
      </w:pPr>
      <w:r>
        <w:rPr>
          <w:rFonts w:cs="Arial"/>
        </w:rPr>
        <w:br w:type="page"/>
      </w:r>
    </w:p>
    <w:p w:rsidR="00F108C1" w:rsidRPr="00F108C1" w:rsidRDefault="00F108C1" w:rsidP="00F108C1">
      <w:pPr>
        <w:tabs>
          <w:tab w:val="right" w:pos="10260"/>
        </w:tabs>
        <w:spacing w:line="1000" w:lineRule="exact"/>
        <w:rPr>
          <w:rFonts w:ascii="Arial Bold" w:hAnsi="Arial Bold" w:cs="Arial"/>
          <w:snapToGrid w:val="0"/>
          <w:sz w:val="106"/>
          <w:szCs w:val="96"/>
        </w:rPr>
      </w:pPr>
      <w:r w:rsidRPr="00F108C1">
        <w:rPr>
          <w:noProof/>
        </w:rPr>
        <w:lastRenderedPageBreak/>
        <w:drawing>
          <wp:inline distT="0" distB="0" distL="0" distR="0" wp14:anchorId="7483F067" wp14:editId="04AAA0AC">
            <wp:extent cx="1859280" cy="449580"/>
            <wp:effectExtent l="0" t="0" r="7620" b="7620"/>
            <wp:docPr id="10" name="Picture 10" descr="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r w:rsidRPr="00F108C1">
        <w:rPr>
          <w:noProof/>
        </w:rPr>
        <w:tab/>
      </w:r>
    </w:p>
    <w:p w:rsidR="00F108C1" w:rsidRPr="00F108C1" w:rsidRDefault="00F108C1" w:rsidP="00C96DA6">
      <w:pPr>
        <w:pBdr>
          <w:top w:val="single" w:sz="4" w:space="1" w:color="auto"/>
        </w:pBdr>
        <w:tabs>
          <w:tab w:val="left" w:pos="4680"/>
          <w:tab w:val="right" w:pos="10080"/>
        </w:tabs>
        <w:spacing w:line="360" w:lineRule="exact"/>
        <w:ind w:right="-86"/>
        <w:outlineLvl w:val="0"/>
        <w:rPr>
          <w:rFonts w:ascii="Franklin Gothic Medium Cond" w:hAnsi="Franklin Gothic Medium Cond"/>
          <w:caps/>
          <w:snapToGrid w:val="0"/>
          <w:kern w:val="40"/>
          <w:sz w:val="41"/>
          <w:szCs w:val="40"/>
        </w:rPr>
      </w:pPr>
      <w:r w:rsidRPr="00F108C1">
        <w:rPr>
          <w:rFonts w:ascii="Franklin Gothic Medium Cond" w:hAnsi="Franklin Gothic Medium Cond"/>
          <w:caps/>
          <w:snapToGrid w:val="0"/>
          <w:kern w:val="40"/>
          <w:sz w:val="41"/>
          <w:szCs w:val="40"/>
        </w:rPr>
        <w:t>DSA Code Amendment development</w:t>
      </w:r>
      <w:r w:rsidRPr="00F108C1">
        <w:rPr>
          <w:rFonts w:ascii="Franklin Gothic Medium Cond" w:hAnsi="Franklin Gothic Medium Cond"/>
          <w:caps/>
          <w:snapToGrid w:val="0"/>
          <w:kern w:val="40"/>
          <w:sz w:val="41"/>
          <w:szCs w:val="40"/>
        </w:rPr>
        <w:tab/>
      </w:r>
    </w:p>
    <w:p w:rsidR="00F108C1" w:rsidRPr="00F108C1" w:rsidRDefault="00F108C1" w:rsidP="00F108C1">
      <w:pPr>
        <w:rPr>
          <w:rFonts w:cs="Arial"/>
        </w:rPr>
      </w:pPr>
    </w:p>
    <w:p w:rsidR="00F108C1" w:rsidRPr="00F108C1" w:rsidRDefault="00F108C1" w:rsidP="00F108C1">
      <w:pPr>
        <w:rPr>
          <w:rFonts w:cs="Arial"/>
        </w:rPr>
        <w:sectPr w:rsidR="00F108C1" w:rsidRPr="00F108C1" w:rsidSect="00F108C1">
          <w:footerReference w:type="default" r:id="rId12"/>
          <w:footerReference w:type="first" r:id="rId13"/>
          <w:type w:val="continuous"/>
          <w:pgSz w:w="12240" w:h="15840"/>
          <w:pgMar w:top="720" w:right="1080" w:bottom="1080" w:left="1080" w:header="720" w:footer="720" w:gutter="0"/>
          <w:cols w:space="720"/>
          <w:docGrid w:linePitch="360"/>
        </w:sectPr>
      </w:pPr>
    </w:p>
    <w:p w:rsidR="00F108C1" w:rsidRPr="00F108C1" w:rsidRDefault="00F108C1" w:rsidP="00F108C1">
      <w:pPr>
        <w:rPr>
          <w:rFonts w:cs="Arial"/>
          <w:sz w:val="12"/>
          <w:szCs w:val="12"/>
        </w:rPr>
      </w:pPr>
    </w:p>
    <w:tbl>
      <w:tblPr>
        <w:tblStyle w:val="TableGrid2"/>
        <w:tblW w:w="6624" w:type="dxa"/>
        <w:tblInd w:w="144" w:type="dxa"/>
        <w:tblLook w:val="04A0" w:firstRow="1" w:lastRow="0" w:firstColumn="1" w:lastColumn="0" w:noHBand="0" w:noVBand="1"/>
        <w:tblDescription w:val="Applicable Code"/>
      </w:tblPr>
      <w:tblGrid>
        <w:gridCol w:w="6624"/>
      </w:tblGrid>
      <w:tr w:rsidR="00F108C1" w:rsidRPr="00F108C1" w:rsidTr="007D0C45">
        <w:trPr>
          <w:trHeight w:val="360"/>
          <w:tblHeader/>
        </w:trPr>
        <w:tc>
          <w:tcPr>
            <w:tcW w:w="6624" w:type="dxa"/>
            <w:shd w:val="clear" w:color="auto" w:fill="000000" w:themeFill="text1"/>
            <w:vAlign w:val="center"/>
          </w:tcPr>
          <w:p w:rsidR="00F108C1" w:rsidRPr="00F108C1" w:rsidRDefault="00F108C1" w:rsidP="00F108C1">
            <w:pPr>
              <w:ind w:left="30"/>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t>Tracking</w:t>
            </w:r>
          </w:p>
        </w:tc>
      </w:tr>
      <w:tr w:rsidR="00F108C1" w:rsidRPr="00F108C1" w:rsidTr="007D0C45">
        <w:trPr>
          <w:trHeight w:val="432"/>
        </w:trPr>
        <w:tc>
          <w:tcPr>
            <w:tcW w:w="6624" w:type="dxa"/>
          </w:tcPr>
          <w:p w:rsidR="00F108C1" w:rsidRPr="00F108C1" w:rsidRDefault="00F108C1" w:rsidP="00F108C1">
            <w:pPr>
              <w:ind w:left="2196" w:hanging="2196"/>
              <w:contextualSpacing/>
              <w:rPr>
                <w:rFonts w:ascii="Arial Narrow" w:hAnsi="Arial Narrow" w:cs="Arial"/>
                <w:szCs w:val="22"/>
              </w:rPr>
            </w:pPr>
            <w:r w:rsidRPr="00F108C1">
              <w:rPr>
                <w:rFonts w:ascii="Arial Narrow" w:hAnsi="Arial Narrow" w:cs="Arial"/>
                <w:szCs w:val="22"/>
              </w:rPr>
              <w:t>Date Received:</w:t>
            </w:r>
            <w:r w:rsidRPr="00F108C1">
              <w:rPr>
                <w:rFonts w:ascii="Arial Narrow" w:hAnsi="Arial Narrow" w:cs="Arial"/>
                <w:szCs w:val="22"/>
              </w:rPr>
              <w:tab/>
              <w:t>-</w:t>
            </w:r>
          </w:p>
        </w:tc>
      </w:tr>
      <w:tr w:rsidR="00F108C1" w:rsidRPr="00F108C1" w:rsidTr="007D0C45">
        <w:trPr>
          <w:trHeight w:val="432"/>
        </w:trPr>
        <w:tc>
          <w:tcPr>
            <w:tcW w:w="6624" w:type="dxa"/>
          </w:tcPr>
          <w:p w:rsidR="00F108C1" w:rsidRPr="00F108C1" w:rsidRDefault="00F108C1" w:rsidP="00F108C1">
            <w:pPr>
              <w:ind w:left="2196" w:hanging="2196"/>
              <w:contextualSpacing/>
              <w:rPr>
                <w:rFonts w:ascii="Arial Narrow" w:hAnsi="Arial Narrow" w:cs="Arial"/>
                <w:szCs w:val="22"/>
              </w:rPr>
            </w:pPr>
            <w:r w:rsidRPr="00F108C1">
              <w:rPr>
                <w:rFonts w:ascii="Arial Narrow" w:hAnsi="Arial Narrow" w:cs="Arial"/>
                <w:szCs w:val="22"/>
              </w:rPr>
              <w:t>DSA Tracking Number:</w:t>
            </w:r>
            <w:r w:rsidRPr="00F108C1">
              <w:rPr>
                <w:rFonts w:ascii="Arial Narrow" w:hAnsi="Arial Narrow" w:cs="Arial"/>
                <w:szCs w:val="22"/>
              </w:rPr>
              <w:tab/>
              <w:t>N/A</w:t>
            </w:r>
          </w:p>
        </w:tc>
      </w:tr>
      <w:tr w:rsidR="00F108C1" w:rsidRPr="00F108C1" w:rsidTr="007D0C45">
        <w:trPr>
          <w:trHeight w:val="432"/>
        </w:trPr>
        <w:tc>
          <w:tcPr>
            <w:tcW w:w="6624" w:type="dxa"/>
          </w:tcPr>
          <w:p w:rsidR="00F108C1" w:rsidRPr="00F108C1" w:rsidRDefault="00F108C1" w:rsidP="00F108C1">
            <w:pPr>
              <w:ind w:left="2196" w:hanging="2196"/>
              <w:contextualSpacing/>
              <w:rPr>
                <w:rFonts w:ascii="Arial Narrow" w:hAnsi="Arial Narrow" w:cs="Arial"/>
                <w:szCs w:val="22"/>
              </w:rPr>
            </w:pPr>
            <w:r w:rsidRPr="00F108C1">
              <w:rPr>
                <w:rFonts w:ascii="Arial Narrow" w:hAnsi="Arial Narrow" w:cs="Arial"/>
                <w:szCs w:val="22"/>
              </w:rPr>
              <w:t>Date Reviewed:</w:t>
            </w:r>
            <w:r w:rsidRPr="00F108C1">
              <w:rPr>
                <w:rFonts w:ascii="Arial Narrow" w:hAnsi="Arial Narrow" w:cs="Arial"/>
                <w:szCs w:val="22"/>
              </w:rPr>
              <w:tab/>
              <w:t>8/16/19</w:t>
            </w:r>
          </w:p>
        </w:tc>
      </w:tr>
      <w:tr w:rsidR="00F108C1" w:rsidRPr="00F108C1" w:rsidTr="007D0C45">
        <w:trPr>
          <w:trHeight w:val="432"/>
        </w:trPr>
        <w:tc>
          <w:tcPr>
            <w:tcW w:w="6624" w:type="dxa"/>
          </w:tcPr>
          <w:p w:rsidR="00F108C1" w:rsidRPr="00F108C1" w:rsidRDefault="00F108C1" w:rsidP="00F108C1">
            <w:pPr>
              <w:ind w:left="2196" w:hanging="2196"/>
              <w:contextualSpacing/>
              <w:rPr>
                <w:rFonts w:ascii="Arial Narrow" w:hAnsi="Arial Narrow" w:cs="Arial"/>
                <w:szCs w:val="22"/>
              </w:rPr>
            </w:pPr>
            <w:r w:rsidRPr="00F108C1">
              <w:rPr>
                <w:rFonts w:ascii="Arial Narrow" w:hAnsi="Arial Narrow" w:cs="Arial"/>
                <w:szCs w:val="22"/>
              </w:rPr>
              <w:t>Status:</w:t>
            </w:r>
            <w:r w:rsidRPr="00F108C1">
              <w:rPr>
                <w:rFonts w:ascii="Arial Narrow" w:hAnsi="Arial Narrow" w:cs="Arial"/>
                <w:szCs w:val="22"/>
              </w:rPr>
              <w:tab/>
              <w:t>Under consideration</w:t>
            </w:r>
          </w:p>
        </w:tc>
      </w:tr>
    </w:tbl>
    <w:p w:rsidR="00F108C1" w:rsidRPr="00F108C1" w:rsidRDefault="00F108C1" w:rsidP="00F108C1">
      <w:pPr>
        <w:rPr>
          <w:rFonts w:cs="Arial"/>
          <w:sz w:val="12"/>
          <w:szCs w:val="12"/>
        </w:rPr>
      </w:pPr>
      <w:r w:rsidRPr="00F108C1">
        <w:rPr>
          <w:rFonts w:cs="Arial"/>
          <w:sz w:val="12"/>
          <w:szCs w:val="12"/>
        </w:rPr>
        <w:br w:type="column"/>
      </w:r>
    </w:p>
    <w:tbl>
      <w:tblPr>
        <w:tblStyle w:val="TableGrid2"/>
        <w:tblW w:w="0" w:type="auto"/>
        <w:tblLook w:val="04A0" w:firstRow="1" w:lastRow="0" w:firstColumn="1" w:lastColumn="0" w:noHBand="0" w:noVBand="1"/>
        <w:tblDescription w:val="Applicable Code"/>
      </w:tblPr>
      <w:tblGrid>
        <w:gridCol w:w="3168"/>
      </w:tblGrid>
      <w:tr w:rsidR="00F108C1" w:rsidRPr="00F108C1" w:rsidTr="007D0C45">
        <w:trPr>
          <w:trHeight w:val="360"/>
          <w:tblHeader/>
        </w:trPr>
        <w:tc>
          <w:tcPr>
            <w:tcW w:w="3168" w:type="dxa"/>
            <w:shd w:val="clear" w:color="auto" w:fill="000000" w:themeFill="text1"/>
            <w:vAlign w:val="center"/>
          </w:tcPr>
          <w:p w:rsidR="00F108C1" w:rsidRPr="00F108C1" w:rsidRDefault="00F108C1" w:rsidP="00F108C1">
            <w:pPr>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t>Applicable Code</w:t>
            </w:r>
          </w:p>
        </w:tc>
      </w:tr>
      <w:tr w:rsidR="00F108C1" w:rsidRPr="00F108C1" w:rsidTr="007D0C45">
        <w:trPr>
          <w:trHeight w:val="864"/>
        </w:trPr>
        <w:tc>
          <w:tcPr>
            <w:tcW w:w="3168" w:type="dxa"/>
          </w:tcPr>
          <w:p w:rsidR="00F108C1" w:rsidRPr="00F108C1" w:rsidRDefault="00F108C1" w:rsidP="00F108C1">
            <w:pPr>
              <w:contextualSpacing/>
              <w:rPr>
                <w:rFonts w:ascii="Arial Narrow" w:hAnsi="Arial Narrow" w:cs="Arial"/>
                <w:szCs w:val="22"/>
              </w:rPr>
            </w:pPr>
            <w:r w:rsidRPr="00F108C1">
              <w:rPr>
                <w:rFonts w:ascii="Arial Narrow" w:hAnsi="Arial Narrow" w:cs="Arial"/>
                <w:szCs w:val="22"/>
              </w:rPr>
              <w:t>Applicable Code Section(s):</w:t>
            </w:r>
          </w:p>
          <w:p w:rsidR="00F108C1" w:rsidRPr="00F108C1" w:rsidRDefault="00F108C1" w:rsidP="00F108C1">
            <w:pPr>
              <w:contextualSpacing/>
              <w:rPr>
                <w:rFonts w:ascii="Arial Narrow" w:hAnsi="Arial Narrow" w:cs="Arial"/>
                <w:szCs w:val="22"/>
              </w:rPr>
            </w:pPr>
            <w:r w:rsidRPr="00F108C1">
              <w:rPr>
                <w:rFonts w:ascii="Arial Narrow" w:hAnsi="Arial Narrow" w:cs="Arial"/>
                <w:szCs w:val="22"/>
              </w:rPr>
              <w:t>CALGreen Ch. 5, Sec. 5.504.4.4, Sec. 5.504.4.6</w:t>
            </w:r>
          </w:p>
        </w:tc>
      </w:tr>
      <w:tr w:rsidR="00F108C1" w:rsidRPr="00F108C1" w:rsidTr="007D0C45">
        <w:trPr>
          <w:trHeight w:val="864"/>
        </w:trPr>
        <w:tc>
          <w:tcPr>
            <w:tcW w:w="3168" w:type="dxa"/>
          </w:tcPr>
          <w:p w:rsidR="00F108C1" w:rsidRPr="00F108C1" w:rsidRDefault="00F108C1" w:rsidP="00F108C1">
            <w:pPr>
              <w:contextualSpacing/>
              <w:rPr>
                <w:rFonts w:ascii="Arial Narrow" w:hAnsi="Arial Narrow" w:cs="Arial"/>
                <w:szCs w:val="22"/>
              </w:rPr>
            </w:pPr>
            <w:r w:rsidRPr="00F108C1">
              <w:rPr>
                <w:rFonts w:ascii="Arial Narrow" w:hAnsi="Arial Narrow" w:cs="Arial"/>
                <w:szCs w:val="22"/>
              </w:rPr>
              <w:t>Topic:</w:t>
            </w:r>
          </w:p>
          <w:p w:rsidR="00F108C1" w:rsidRPr="00F108C1" w:rsidRDefault="00F108C1" w:rsidP="00F108C1">
            <w:pPr>
              <w:contextualSpacing/>
              <w:rPr>
                <w:rFonts w:ascii="Arial Narrow" w:hAnsi="Arial Narrow" w:cs="Arial"/>
                <w:szCs w:val="22"/>
              </w:rPr>
            </w:pPr>
            <w:r w:rsidRPr="00F108C1">
              <w:rPr>
                <w:rFonts w:ascii="Arial Narrow" w:hAnsi="Arial Narrow" w:cs="Arial"/>
                <w:szCs w:val="22"/>
              </w:rPr>
              <w:t>Carpet Systems / Flooring Systems</w:t>
            </w:r>
          </w:p>
        </w:tc>
      </w:tr>
    </w:tbl>
    <w:p w:rsidR="00F108C1" w:rsidRPr="00F108C1" w:rsidRDefault="00F108C1" w:rsidP="00F108C1">
      <w:pPr>
        <w:rPr>
          <w:rFonts w:cs="Arial"/>
          <w:sz w:val="12"/>
          <w:szCs w:val="12"/>
        </w:rPr>
      </w:pPr>
    </w:p>
    <w:p w:rsidR="00F108C1" w:rsidRPr="00F108C1" w:rsidRDefault="00F108C1" w:rsidP="00F108C1">
      <w:pPr>
        <w:rPr>
          <w:rFonts w:cs="Arial"/>
        </w:rPr>
        <w:sectPr w:rsidR="00F108C1" w:rsidRPr="00F108C1" w:rsidSect="00B5502F">
          <w:type w:val="continuous"/>
          <w:pgSz w:w="12240" w:h="15840"/>
          <w:pgMar w:top="1080" w:right="1080" w:bottom="1080" w:left="1080" w:header="720" w:footer="720" w:gutter="0"/>
          <w:cols w:num="2" w:space="432" w:equalWidth="0">
            <w:col w:w="6624" w:space="432"/>
            <w:col w:w="3024"/>
          </w:cols>
          <w:titlePg/>
          <w:docGrid w:linePitch="360"/>
        </w:sectPr>
      </w:pPr>
    </w:p>
    <w:p w:rsidR="00F108C1" w:rsidRPr="00F108C1" w:rsidRDefault="00F108C1" w:rsidP="00F108C1">
      <w:pPr>
        <w:rPr>
          <w:rFonts w:cs="Arial"/>
          <w:sz w:val="12"/>
          <w:szCs w:val="12"/>
        </w:rPr>
      </w:pPr>
    </w:p>
    <w:tbl>
      <w:tblPr>
        <w:tblStyle w:val="TableGrid2"/>
        <w:tblW w:w="0" w:type="auto"/>
        <w:tblInd w:w="144" w:type="dxa"/>
        <w:tblLook w:val="04A0" w:firstRow="1" w:lastRow="0" w:firstColumn="1" w:lastColumn="0" w:noHBand="0" w:noVBand="1"/>
        <w:tblDescription w:val="Suggested Text of Proposed Amendments"/>
      </w:tblPr>
      <w:tblGrid>
        <w:gridCol w:w="10080"/>
      </w:tblGrid>
      <w:tr w:rsidR="00F108C1" w:rsidRPr="00F108C1" w:rsidTr="007D0C45">
        <w:trPr>
          <w:trHeight w:val="360"/>
          <w:tblHeader/>
        </w:trPr>
        <w:tc>
          <w:tcPr>
            <w:tcW w:w="10080" w:type="dxa"/>
            <w:shd w:val="clear" w:color="auto" w:fill="000000" w:themeFill="text1"/>
            <w:vAlign w:val="center"/>
          </w:tcPr>
          <w:p w:rsidR="00F108C1" w:rsidRPr="00F108C1" w:rsidRDefault="00F108C1" w:rsidP="00F108C1">
            <w:pPr>
              <w:ind w:left="30"/>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t>Current Code Language</w:t>
            </w:r>
          </w:p>
        </w:tc>
      </w:tr>
    </w:tbl>
    <w:p w:rsidR="00F108C1" w:rsidRPr="00F108C1" w:rsidRDefault="00F108C1" w:rsidP="00F108C1">
      <w:pPr>
        <w:rPr>
          <w:rFonts w:cs="Arial"/>
          <w:sz w:val="12"/>
          <w:szCs w:val="12"/>
        </w:rPr>
      </w:pPr>
    </w:p>
    <w:p w:rsidR="00F108C1" w:rsidRPr="00F108C1" w:rsidRDefault="00F108C1" w:rsidP="00F108C1">
      <w:pPr>
        <w:spacing w:after="200"/>
        <w:ind w:left="360"/>
        <w:rPr>
          <w:rFonts w:cs="Arial"/>
          <w:szCs w:val="22"/>
        </w:rPr>
      </w:pPr>
      <w:r w:rsidRPr="00F108C1">
        <w:rPr>
          <w:rFonts w:cs="Arial"/>
          <w:b/>
          <w:szCs w:val="22"/>
        </w:rPr>
        <w:t>5.504.4.4 Carpet systems.</w:t>
      </w:r>
      <w:r w:rsidRPr="00F108C1">
        <w:rPr>
          <w:rFonts w:cs="Arial"/>
          <w:szCs w:val="22"/>
        </w:rPr>
        <w:t xml:space="preserve"> All carpet installed in the building interior shall meet at least one of the following testing and product requirements:</w:t>
      </w:r>
    </w:p>
    <w:p w:rsidR="00F108C1" w:rsidRPr="00F108C1" w:rsidRDefault="00F108C1" w:rsidP="00F108C1">
      <w:pPr>
        <w:spacing w:after="200"/>
        <w:ind w:left="1080" w:hanging="360"/>
        <w:rPr>
          <w:rFonts w:cs="Arial"/>
          <w:szCs w:val="22"/>
        </w:rPr>
      </w:pPr>
      <w:r w:rsidRPr="00F108C1">
        <w:rPr>
          <w:rFonts w:cs="Arial"/>
          <w:szCs w:val="22"/>
        </w:rPr>
        <w:t>1.</w:t>
      </w:r>
      <w:r w:rsidRPr="00F108C1">
        <w:rPr>
          <w:rFonts w:cs="Arial"/>
          <w:szCs w:val="22"/>
        </w:rPr>
        <w:tab/>
        <w:t>Carpet…;</w:t>
      </w:r>
    </w:p>
    <w:p w:rsidR="00F108C1" w:rsidRPr="00F108C1" w:rsidRDefault="00F108C1" w:rsidP="00F108C1">
      <w:pPr>
        <w:spacing w:after="200"/>
        <w:ind w:left="1080" w:hanging="360"/>
        <w:rPr>
          <w:rFonts w:cs="Arial"/>
          <w:szCs w:val="22"/>
        </w:rPr>
      </w:pPr>
      <w:r w:rsidRPr="00F108C1">
        <w:rPr>
          <w:rFonts w:cs="Arial"/>
          <w:szCs w:val="22"/>
        </w:rPr>
        <w:t>2.</w:t>
      </w:r>
      <w:r w:rsidRPr="00F108C1">
        <w:rPr>
          <w:rFonts w:cs="Arial"/>
          <w:szCs w:val="22"/>
        </w:rPr>
        <w:tab/>
        <w:t xml:space="preserve">Compliant with VOC-emission limits and testing requirements specified in the California Department of Public Health Standard Method for the Testing and Evaluation of Volatile Organic Chemical Emissions from Indoor Sources Using Environmental Chambers, Version 1.1, February 2010 (also known as CDPH Standard Method V1.1 or </w:t>
      </w:r>
      <w:r w:rsidRPr="00F108C1">
        <w:rPr>
          <w:rFonts w:cs="Arial"/>
          <w:i/>
          <w:szCs w:val="22"/>
        </w:rPr>
        <w:t>Specification 01350</w:t>
      </w:r>
      <w:r w:rsidRPr="00F108C1">
        <w:rPr>
          <w:rFonts w:cs="Arial"/>
          <w:szCs w:val="22"/>
        </w:rPr>
        <w:t>);</w:t>
      </w:r>
    </w:p>
    <w:p w:rsidR="00F108C1" w:rsidRPr="00F108C1" w:rsidRDefault="00F108C1" w:rsidP="00F108C1">
      <w:pPr>
        <w:spacing w:after="200"/>
        <w:ind w:left="1080" w:hanging="360"/>
        <w:rPr>
          <w:rFonts w:cs="Arial"/>
          <w:szCs w:val="22"/>
        </w:rPr>
      </w:pPr>
      <w:r w:rsidRPr="00F108C1">
        <w:rPr>
          <w:rFonts w:cs="Arial"/>
          <w:szCs w:val="22"/>
        </w:rPr>
        <w:t>3.</w:t>
      </w:r>
      <w:r w:rsidRPr="00F108C1">
        <w:rPr>
          <w:rFonts w:cs="Arial"/>
          <w:szCs w:val="22"/>
        </w:rPr>
        <w:tab/>
        <w:t>NSF/ANSI...;</w:t>
      </w:r>
    </w:p>
    <w:p w:rsidR="00F108C1" w:rsidRPr="00F108C1" w:rsidRDefault="00F108C1" w:rsidP="00F108C1">
      <w:pPr>
        <w:spacing w:after="200"/>
        <w:ind w:left="1080" w:hanging="360"/>
        <w:rPr>
          <w:rFonts w:cs="Arial"/>
          <w:szCs w:val="22"/>
        </w:rPr>
      </w:pPr>
      <w:r w:rsidRPr="00F108C1">
        <w:rPr>
          <w:rFonts w:cs="Arial"/>
          <w:szCs w:val="22"/>
        </w:rPr>
        <w:t>4.</w:t>
      </w:r>
      <w:r w:rsidRPr="00F108C1">
        <w:rPr>
          <w:rFonts w:cs="Arial"/>
          <w:szCs w:val="22"/>
        </w:rPr>
        <w:tab/>
        <w:t>Scientific...;</w:t>
      </w:r>
    </w:p>
    <w:p w:rsidR="00F108C1" w:rsidRPr="00F108C1" w:rsidRDefault="00F108C1" w:rsidP="00F108C1">
      <w:pPr>
        <w:spacing w:after="200"/>
        <w:ind w:left="1080" w:hanging="360"/>
        <w:rPr>
          <w:rFonts w:cs="Arial"/>
          <w:szCs w:val="22"/>
        </w:rPr>
      </w:pPr>
      <w:r w:rsidRPr="00F108C1">
        <w:rPr>
          <w:rFonts w:cs="Arial"/>
          <w:szCs w:val="22"/>
        </w:rPr>
        <w:t>5.</w:t>
      </w:r>
      <w:r w:rsidRPr="00F108C1">
        <w:rPr>
          <w:rFonts w:cs="Arial"/>
          <w:szCs w:val="22"/>
        </w:rPr>
        <w:tab/>
        <w:t>Compliant with the Collaborative for High Performance Schools California (2014 CA-CHPS) Criteria and listed in the CHPS High Performance Product Database.</w:t>
      </w:r>
    </w:p>
    <w:p w:rsidR="00F108C1" w:rsidRPr="00F108C1" w:rsidRDefault="00F108C1" w:rsidP="00F108C1">
      <w:pPr>
        <w:spacing w:after="200"/>
        <w:rPr>
          <w:rFonts w:cs="Arial"/>
          <w:szCs w:val="22"/>
        </w:rPr>
      </w:pPr>
      <w:r w:rsidRPr="00F108C1">
        <w:rPr>
          <w:rFonts w:cs="Arial"/>
          <w:szCs w:val="22"/>
        </w:rPr>
        <w:t>…</w:t>
      </w:r>
    </w:p>
    <w:p w:rsidR="00F108C1" w:rsidRPr="00F108C1" w:rsidRDefault="00F108C1" w:rsidP="00F108C1">
      <w:pPr>
        <w:spacing w:after="200"/>
        <w:ind w:left="360"/>
        <w:rPr>
          <w:rFonts w:cs="Arial"/>
          <w:szCs w:val="22"/>
        </w:rPr>
      </w:pPr>
      <w:r w:rsidRPr="00F108C1">
        <w:rPr>
          <w:rFonts w:cs="Arial"/>
          <w:b/>
          <w:szCs w:val="22"/>
        </w:rPr>
        <w:t>5.504.4.6 Resilient flooring systems.</w:t>
      </w:r>
      <w:r w:rsidRPr="00F108C1">
        <w:rPr>
          <w:rFonts w:cs="Arial"/>
          <w:szCs w:val="22"/>
        </w:rPr>
        <w:t xml:space="preserve"> For 80 percent of floor area receiving resilient flooring, install resilient flooring which meets one of the following: </w:t>
      </w:r>
    </w:p>
    <w:p w:rsidR="00F108C1" w:rsidRPr="00F108C1" w:rsidRDefault="00F108C1" w:rsidP="00F108C1">
      <w:pPr>
        <w:spacing w:after="200"/>
        <w:ind w:left="1080" w:hanging="360"/>
        <w:rPr>
          <w:rFonts w:cs="Arial"/>
          <w:szCs w:val="22"/>
        </w:rPr>
      </w:pPr>
      <w:r w:rsidRPr="00F108C1">
        <w:rPr>
          <w:rFonts w:cs="Arial"/>
          <w:szCs w:val="22"/>
        </w:rPr>
        <w:t>1.</w:t>
      </w:r>
      <w:r w:rsidRPr="00F108C1">
        <w:rPr>
          <w:rFonts w:cs="Arial"/>
          <w:szCs w:val="22"/>
        </w:rPr>
        <w:tab/>
        <w:t>Certified under ...;</w:t>
      </w:r>
    </w:p>
    <w:p w:rsidR="00F108C1" w:rsidRPr="00F108C1" w:rsidRDefault="00F108C1" w:rsidP="00F108C1">
      <w:pPr>
        <w:spacing w:after="200"/>
        <w:ind w:left="1080" w:hanging="360"/>
        <w:rPr>
          <w:rFonts w:cs="Arial"/>
          <w:szCs w:val="22"/>
        </w:rPr>
      </w:pPr>
      <w:r w:rsidRPr="00F108C1">
        <w:rPr>
          <w:rFonts w:cs="Arial"/>
          <w:szCs w:val="22"/>
        </w:rPr>
        <w:t>2.</w:t>
      </w:r>
      <w:r w:rsidRPr="00F108C1">
        <w:rPr>
          <w:rFonts w:cs="Arial"/>
          <w:szCs w:val="22"/>
        </w:rPr>
        <w:tab/>
        <w:t>Compliant with the VOC-emission limits and testing requirements specified in the California Department of Public Health’s 2010 Standard Method for the Testing and Evaluation Chambers, Version 1.1, February 2010;</w:t>
      </w:r>
    </w:p>
    <w:p w:rsidR="00F108C1" w:rsidRPr="00F108C1" w:rsidRDefault="00F108C1" w:rsidP="00F108C1">
      <w:pPr>
        <w:spacing w:after="200"/>
        <w:ind w:left="1080" w:hanging="360"/>
        <w:rPr>
          <w:rFonts w:cs="Arial"/>
          <w:szCs w:val="22"/>
        </w:rPr>
      </w:pPr>
      <w:r w:rsidRPr="00F108C1">
        <w:rPr>
          <w:rFonts w:cs="Arial"/>
          <w:szCs w:val="22"/>
        </w:rPr>
        <w:t>3.</w:t>
      </w:r>
      <w:r w:rsidRPr="00F108C1">
        <w:rPr>
          <w:rFonts w:cs="Arial"/>
          <w:szCs w:val="22"/>
        </w:rPr>
        <w:tab/>
        <w:t>Compliant with the Collaborative for High Performance Schools California (</w:t>
      </w:r>
      <w:r w:rsidRPr="00F108C1">
        <w:rPr>
          <w:rFonts w:cs="Arial"/>
          <w:strike/>
          <w:szCs w:val="22"/>
        </w:rPr>
        <w:t>2014 CA-CHPS</w:t>
      </w:r>
      <w:r w:rsidRPr="00F108C1">
        <w:rPr>
          <w:rFonts w:cs="Arial"/>
          <w:szCs w:val="22"/>
        </w:rPr>
        <w:t>) Criteria and listed in the CHPS High Performance Product Database; or</w:t>
      </w:r>
    </w:p>
    <w:p w:rsidR="00F108C1" w:rsidRPr="00F108C1" w:rsidRDefault="00F108C1" w:rsidP="00914B2E">
      <w:pPr>
        <w:spacing w:after="480"/>
        <w:ind w:left="1080" w:hanging="360"/>
        <w:rPr>
          <w:rFonts w:cs="Arial"/>
          <w:szCs w:val="22"/>
          <w:u w:val="single"/>
        </w:rPr>
      </w:pPr>
      <w:r w:rsidRPr="00F108C1">
        <w:rPr>
          <w:rFonts w:cs="Arial"/>
          <w:szCs w:val="22"/>
        </w:rPr>
        <w:t>4.</w:t>
      </w:r>
      <w:r w:rsidRPr="00F108C1">
        <w:rPr>
          <w:rFonts w:cs="Arial"/>
          <w:szCs w:val="22"/>
        </w:rPr>
        <w:tab/>
        <w:t>Products …</w:t>
      </w:r>
    </w:p>
    <w:tbl>
      <w:tblPr>
        <w:tblStyle w:val="TableGrid2"/>
        <w:tblW w:w="0" w:type="auto"/>
        <w:tblInd w:w="144" w:type="dxa"/>
        <w:tblLook w:val="04A0" w:firstRow="1" w:lastRow="0" w:firstColumn="1" w:lastColumn="0" w:noHBand="0" w:noVBand="1"/>
        <w:tblDescription w:val="Suggested Text of Proposed Amendments"/>
      </w:tblPr>
      <w:tblGrid>
        <w:gridCol w:w="10080"/>
      </w:tblGrid>
      <w:tr w:rsidR="00F108C1" w:rsidRPr="00F108C1" w:rsidTr="007D0C45">
        <w:trPr>
          <w:trHeight w:val="360"/>
          <w:tblHeader/>
        </w:trPr>
        <w:tc>
          <w:tcPr>
            <w:tcW w:w="10080" w:type="dxa"/>
            <w:shd w:val="clear" w:color="auto" w:fill="000000" w:themeFill="text1"/>
            <w:vAlign w:val="center"/>
          </w:tcPr>
          <w:p w:rsidR="00F108C1" w:rsidRPr="00F108C1" w:rsidRDefault="00F108C1" w:rsidP="00F108C1">
            <w:pPr>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t>Suggested Text of Proposed Amendment</w:t>
            </w:r>
          </w:p>
        </w:tc>
      </w:tr>
    </w:tbl>
    <w:p w:rsidR="00F108C1" w:rsidRPr="00F108C1" w:rsidRDefault="00F108C1" w:rsidP="00F108C1">
      <w:pPr>
        <w:rPr>
          <w:rFonts w:cs="Arial"/>
          <w:sz w:val="12"/>
          <w:szCs w:val="12"/>
        </w:rPr>
      </w:pPr>
    </w:p>
    <w:p w:rsidR="00F108C1" w:rsidRPr="00F108C1" w:rsidRDefault="00F108C1" w:rsidP="00F108C1">
      <w:pPr>
        <w:spacing w:after="200"/>
        <w:ind w:left="360"/>
        <w:rPr>
          <w:rFonts w:cs="Arial"/>
          <w:szCs w:val="22"/>
        </w:rPr>
      </w:pPr>
      <w:r w:rsidRPr="00F108C1">
        <w:rPr>
          <w:rFonts w:cs="Arial"/>
          <w:b/>
          <w:szCs w:val="22"/>
        </w:rPr>
        <w:t>5.504.4.4 Carpet systems.</w:t>
      </w:r>
      <w:r w:rsidRPr="00F108C1">
        <w:rPr>
          <w:rFonts w:cs="Arial"/>
          <w:szCs w:val="22"/>
        </w:rPr>
        <w:t xml:space="preserve"> All carpet installed in the building interior shall meet at least one of the following testing and product requirements:</w:t>
      </w:r>
    </w:p>
    <w:p w:rsidR="00F108C1" w:rsidRPr="00F108C1" w:rsidRDefault="00F108C1" w:rsidP="00F108C1">
      <w:pPr>
        <w:spacing w:after="200"/>
        <w:ind w:left="1080" w:hanging="360"/>
        <w:rPr>
          <w:rFonts w:cs="Arial"/>
          <w:szCs w:val="22"/>
        </w:rPr>
      </w:pPr>
      <w:r w:rsidRPr="00F108C1">
        <w:rPr>
          <w:rFonts w:cs="Arial"/>
          <w:szCs w:val="22"/>
        </w:rPr>
        <w:lastRenderedPageBreak/>
        <w:t>1.</w:t>
      </w:r>
      <w:r w:rsidRPr="00F108C1">
        <w:rPr>
          <w:rFonts w:cs="Arial"/>
          <w:szCs w:val="22"/>
        </w:rPr>
        <w:tab/>
        <w:t>Carpet…;</w:t>
      </w:r>
    </w:p>
    <w:p w:rsidR="00F108C1" w:rsidRPr="00F108C1" w:rsidRDefault="00F108C1" w:rsidP="00F108C1">
      <w:pPr>
        <w:spacing w:after="200"/>
        <w:ind w:left="1080" w:hanging="360"/>
        <w:rPr>
          <w:rFonts w:cs="Arial"/>
          <w:szCs w:val="22"/>
        </w:rPr>
      </w:pPr>
      <w:r w:rsidRPr="00F108C1">
        <w:rPr>
          <w:rFonts w:cs="Arial"/>
          <w:szCs w:val="22"/>
        </w:rPr>
        <w:t>2.</w:t>
      </w:r>
      <w:r w:rsidRPr="00F108C1">
        <w:rPr>
          <w:rFonts w:cs="Arial"/>
          <w:szCs w:val="22"/>
        </w:rPr>
        <w:tab/>
        <w:t xml:space="preserve">Compliant with VOC-emission limits and testing requirements specified in the California Department of Public Health </w:t>
      </w:r>
      <w:r w:rsidRPr="00F108C1">
        <w:rPr>
          <w:rFonts w:cs="Arial"/>
          <w:strike/>
          <w:szCs w:val="22"/>
        </w:rPr>
        <w:t xml:space="preserve">Standard Method for the Testing and Evaluation of Volatile Organic Chemical Emissions from Indoor Sources Using Environmental Chambers, Version 1.1, February 2010 (also known as CDPH Standard Method V1.1 or </w:t>
      </w:r>
      <w:r w:rsidRPr="00F108C1">
        <w:rPr>
          <w:rFonts w:cs="Arial"/>
          <w:i/>
          <w:strike/>
          <w:szCs w:val="22"/>
        </w:rPr>
        <w:t>Specification 01350</w:t>
      </w:r>
      <w:r w:rsidRPr="00F108C1">
        <w:rPr>
          <w:rFonts w:cs="Arial"/>
          <w:strike/>
          <w:szCs w:val="22"/>
        </w:rPr>
        <w:t>)</w:t>
      </w:r>
      <w:r w:rsidRPr="00F108C1">
        <w:rPr>
          <w:rFonts w:cs="Arial"/>
          <w:szCs w:val="22"/>
        </w:rPr>
        <w:t xml:space="preserve"> </w:t>
      </w:r>
      <w:r w:rsidRPr="00F108C1">
        <w:rPr>
          <w:bCs/>
          <w:szCs w:val="22"/>
          <w:u w:val="single"/>
        </w:rPr>
        <w:t>Standard Method for the Testing and Evaluation of Volatile Organic Chemical Emissions from Indoor Sources using Environmental Chambers Version 1.2 (2017)</w:t>
      </w:r>
      <w:r w:rsidRPr="00F108C1">
        <w:rPr>
          <w:rFonts w:cs="Arial"/>
          <w:szCs w:val="22"/>
        </w:rPr>
        <w:t>;</w:t>
      </w:r>
    </w:p>
    <w:p w:rsidR="00F108C1" w:rsidRPr="00F108C1" w:rsidRDefault="00F108C1" w:rsidP="00F108C1">
      <w:pPr>
        <w:spacing w:after="200"/>
        <w:ind w:left="1080" w:hanging="360"/>
        <w:rPr>
          <w:rFonts w:cs="Arial"/>
          <w:szCs w:val="22"/>
        </w:rPr>
      </w:pPr>
      <w:r w:rsidRPr="00F108C1">
        <w:rPr>
          <w:rFonts w:cs="Arial"/>
          <w:szCs w:val="22"/>
        </w:rPr>
        <w:t>3.</w:t>
      </w:r>
      <w:r w:rsidRPr="00F108C1">
        <w:rPr>
          <w:rFonts w:cs="Arial"/>
          <w:szCs w:val="22"/>
        </w:rPr>
        <w:tab/>
        <w:t>NSF/ANSI...;</w:t>
      </w:r>
    </w:p>
    <w:p w:rsidR="00F108C1" w:rsidRPr="00F108C1" w:rsidRDefault="00F108C1" w:rsidP="00F108C1">
      <w:pPr>
        <w:spacing w:after="200"/>
        <w:ind w:left="1080" w:hanging="360"/>
        <w:rPr>
          <w:rFonts w:cs="Arial"/>
          <w:szCs w:val="22"/>
        </w:rPr>
      </w:pPr>
      <w:r w:rsidRPr="00F108C1">
        <w:rPr>
          <w:rFonts w:cs="Arial"/>
          <w:szCs w:val="22"/>
        </w:rPr>
        <w:t>4.</w:t>
      </w:r>
      <w:r w:rsidRPr="00F108C1">
        <w:rPr>
          <w:rFonts w:cs="Arial"/>
          <w:szCs w:val="22"/>
        </w:rPr>
        <w:tab/>
        <w:t>Scientific...;</w:t>
      </w:r>
    </w:p>
    <w:p w:rsidR="00F108C1" w:rsidRPr="00F108C1" w:rsidRDefault="00F108C1" w:rsidP="00F108C1">
      <w:pPr>
        <w:spacing w:after="200"/>
        <w:ind w:left="1080" w:hanging="360"/>
        <w:rPr>
          <w:rFonts w:cs="Arial"/>
          <w:szCs w:val="22"/>
        </w:rPr>
      </w:pPr>
      <w:r w:rsidRPr="00F108C1">
        <w:rPr>
          <w:rFonts w:cs="Arial"/>
          <w:szCs w:val="22"/>
        </w:rPr>
        <w:t>5.</w:t>
      </w:r>
      <w:r w:rsidRPr="00F108C1">
        <w:rPr>
          <w:rFonts w:cs="Arial"/>
          <w:szCs w:val="22"/>
        </w:rPr>
        <w:tab/>
        <w:t>Compliant with the Collaborative for High Performance Schools California (</w:t>
      </w:r>
      <w:r w:rsidRPr="00F108C1">
        <w:rPr>
          <w:rFonts w:cs="Arial"/>
          <w:strike/>
          <w:szCs w:val="22"/>
        </w:rPr>
        <w:t>2014 CA-CHPS</w:t>
      </w:r>
      <w:r w:rsidRPr="00F108C1">
        <w:rPr>
          <w:rFonts w:cs="Arial"/>
          <w:szCs w:val="22"/>
        </w:rPr>
        <w:t xml:space="preserve"> </w:t>
      </w:r>
      <w:r w:rsidRPr="00F108C1">
        <w:rPr>
          <w:rFonts w:cs="Arial"/>
          <w:szCs w:val="22"/>
          <w:u w:val="single"/>
        </w:rPr>
        <w:t>CHPS Core Criteria 2019</w:t>
      </w:r>
      <w:r w:rsidRPr="00F108C1">
        <w:rPr>
          <w:rFonts w:cs="Arial"/>
          <w:szCs w:val="22"/>
        </w:rPr>
        <w:t>) Criteria and listed in the CHPS High Performance Product Database.</w:t>
      </w:r>
    </w:p>
    <w:p w:rsidR="00F108C1" w:rsidRPr="00F108C1" w:rsidRDefault="00F108C1" w:rsidP="00F108C1">
      <w:pPr>
        <w:spacing w:after="200"/>
        <w:rPr>
          <w:rFonts w:cs="Arial"/>
          <w:szCs w:val="22"/>
        </w:rPr>
      </w:pPr>
      <w:r w:rsidRPr="00F108C1">
        <w:rPr>
          <w:rFonts w:cs="Arial"/>
          <w:szCs w:val="22"/>
        </w:rPr>
        <w:t>…</w:t>
      </w:r>
    </w:p>
    <w:p w:rsidR="00F108C1" w:rsidRPr="00F108C1" w:rsidRDefault="00F108C1" w:rsidP="00F108C1">
      <w:pPr>
        <w:spacing w:after="200"/>
        <w:ind w:left="360"/>
        <w:rPr>
          <w:rFonts w:cs="Arial"/>
          <w:szCs w:val="22"/>
        </w:rPr>
      </w:pPr>
      <w:r w:rsidRPr="00F108C1">
        <w:rPr>
          <w:rFonts w:cs="Arial"/>
          <w:b/>
          <w:szCs w:val="22"/>
        </w:rPr>
        <w:t>5.504.4.6 Resilient flooring systems.</w:t>
      </w:r>
      <w:r w:rsidRPr="00F108C1">
        <w:rPr>
          <w:rFonts w:cs="Arial"/>
          <w:szCs w:val="22"/>
        </w:rPr>
        <w:t xml:space="preserve"> For 80 percent of floor area receiving resilient flooring, install resilient flooring which meets one of the following: </w:t>
      </w:r>
    </w:p>
    <w:p w:rsidR="00F108C1" w:rsidRPr="00F108C1" w:rsidRDefault="00F108C1" w:rsidP="00F108C1">
      <w:pPr>
        <w:spacing w:after="200"/>
        <w:ind w:left="1080" w:hanging="360"/>
        <w:rPr>
          <w:rFonts w:cs="Arial"/>
          <w:szCs w:val="22"/>
        </w:rPr>
      </w:pPr>
      <w:r w:rsidRPr="00F108C1">
        <w:rPr>
          <w:rFonts w:cs="Arial"/>
          <w:szCs w:val="22"/>
        </w:rPr>
        <w:t>1.</w:t>
      </w:r>
      <w:r w:rsidRPr="00F108C1">
        <w:rPr>
          <w:rFonts w:cs="Arial"/>
          <w:szCs w:val="22"/>
        </w:rPr>
        <w:tab/>
        <w:t>Certified under ...;</w:t>
      </w:r>
    </w:p>
    <w:p w:rsidR="00F108C1" w:rsidRPr="00F108C1" w:rsidRDefault="00F108C1" w:rsidP="00F108C1">
      <w:pPr>
        <w:spacing w:after="200"/>
        <w:ind w:left="1080" w:hanging="360"/>
        <w:rPr>
          <w:rFonts w:cs="Arial"/>
          <w:szCs w:val="22"/>
        </w:rPr>
      </w:pPr>
      <w:r w:rsidRPr="00F108C1">
        <w:rPr>
          <w:rFonts w:cs="Arial"/>
          <w:szCs w:val="22"/>
        </w:rPr>
        <w:t>2.</w:t>
      </w:r>
      <w:r w:rsidRPr="00F108C1">
        <w:rPr>
          <w:rFonts w:cs="Arial"/>
          <w:szCs w:val="22"/>
        </w:rPr>
        <w:tab/>
        <w:t xml:space="preserve">Compliant with the VOC-emission limits and testing requirements specified in the California Department of Public Health’s </w:t>
      </w:r>
      <w:r w:rsidRPr="00F108C1">
        <w:rPr>
          <w:rFonts w:cs="Arial"/>
          <w:strike/>
          <w:szCs w:val="22"/>
        </w:rPr>
        <w:t>2010 Standard Method for the Testing and Evaluation Chambers, Version 1.1, February 2010</w:t>
      </w:r>
      <w:r w:rsidRPr="00F108C1">
        <w:rPr>
          <w:rFonts w:cs="Arial"/>
          <w:szCs w:val="22"/>
        </w:rPr>
        <w:t xml:space="preserve"> </w:t>
      </w:r>
      <w:r w:rsidRPr="00F108C1">
        <w:rPr>
          <w:rFonts w:cs="Arial"/>
          <w:bCs/>
          <w:szCs w:val="22"/>
          <w:u w:val="single"/>
        </w:rPr>
        <w:t>Standard Method for the Testing and Evaluation of Volatile Organic Chemical Emissions from Indoor Sources using Environmental Chambers Version 1.2 (2017)</w:t>
      </w:r>
      <w:r w:rsidRPr="00F108C1">
        <w:rPr>
          <w:rFonts w:cs="Arial"/>
          <w:szCs w:val="22"/>
        </w:rPr>
        <w:t>;</w:t>
      </w:r>
    </w:p>
    <w:p w:rsidR="00F108C1" w:rsidRPr="00F108C1" w:rsidRDefault="00F108C1" w:rsidP="00F108C1">
      <w:pPr>
        <w:spacing w:after="200"/>
        <w:ind w:left="1080" w:hanging="360"/>
        <w:rPr>
          <w:rFonts w:cs="Arial"/>
          <w:szCs w:val="22"/>
        </w:rPr>
      </w:pPr>
      <w:r w:rsidRPr="00F108C1">
        <w:rPr>
          <w:rFonts w:cs="Arial"/>
          <w:szCs w:val="22"/>
        </w:rPr>
        <w:t>3.</w:t>
      </w:r>
      <w:r w:rsidRPr="00F108C1">
        <w:rPr>
          <w:rFonts w:cs="Arial"/>
          <w:szCs w:val="22"/>
        </w:rPr>
        <w:tab/>
        <w:t>Compliant with the Collaborative for High Performance Schools California (</w:t>
      </w:r>
      <w:r w:rsidRPr="00F108C1">
        <w:rPr>
          <w:rFonts w:cs="Arial"/>
          <w:strike/>
          <w:szCs w:val="22"/>
        </w:rPr>
        <w:t>2014 CA-CHPS</w:t>
      </w:r>
      <w:r w:rsidRPr="00F108C1">
        <w:rPr>
          <w:rFonts w:cs="Arial"/>
          <w:szCs w:val="22"/>
          <w:u w:val="single"/>
        </w:rPr>
        <w:t xml:space="preserve"> CHPS Core Criteria 2019</w:t>
      </w:r>
      <w:r w:rsidRPr="00F108C1">
        <w:rPr>
          <w:rFonts w:cs="Arial"/>
          <w:szCs w:val="22"/>
        </w:rPr>
        <w:t>) Criteria and listed in the CHPS High Performance Product Database; or</w:t>
      </w:r>
    </w:p>
    <w:p w:rsidR="00F108C1" w:rsidRPr="00F108C1" w:rsidRDefault="00F108C1" w:rsidP="00914B2E">
      <w:pPr>
        <w:spacing w:after="480"/>
        <w:ind w:left="1080" w:hanging="360"/>
        <w:rPr>
          <w:rFonts w:cs="Arial"/>
          <w:szCs w:val="22"/>
          <w:u w:val="single"/>
        </w:rPr>
      </w:pPr>
      <w:r w:rsidRPr="00F108C1">
        <w:rPr>
          <w:rFonts w:cs="Arial"/>
          <w:szCs w:val="22"/>
        </w:rPr>
        <w:t>4.</w:t>
      </w:r>
      <w:r w:rsidRPr="00F108C1">
        <w:rPr>
          <w:rFonts w:cs="Arial"/>
          <w:szCs w:val="22"/>
        </w:rPr>
        <w:tab/>
        <w:t>Products …</w:t>
      </w:r>
    </w:p>
    <w:tbl>
      <w:tblPr>
        <w:tblStyle w:val="TableGrid2"/>
        <w:tblW w:w="0" w:type="auto"/>
        <w:tblInd w:w="144" w:type="dxa"/>
        <w:tblLook w:val="04A0" w:firstRow="1" w:lastRow="0" w:firstColumn="1" w:lastColumn="0" w:noHBand="0" w:noVBand="1"/>
        <w:tblDescription w:val="Suggested Text of Proposed Amendments"/>
      </w:tblPr>
      <w:tblGrid>
        <w:gridCol w:w="10080"/>
      </w:tblGrid>
      <w:tr w:rsidR="00F108C1" w:rsidRPr="00F108C1" w:rsidTr="007D0C45">
        <w:trPr>
          <w:trHeight w:val="360"/>
          <w:tblHeader/>
        </w:trPr>
        <w:tc>
          <w:tcPr>
            <w:tcW w:w="10080" w:type="dxa"/>
            <w:shd w:val="clear" w:color="auto" w:fill="000000" w:themeFill="text1"/>
            <w:vAlign w:val="center"/>
          </w:tcPr>
          <w:p w:rsidR="00F108C1" w:rsidRPr="00F108C1" w:rsidRDefault="00F108C1" w:rsidP="00F108C1">
            <w:pPr>
              <w:ind w:left="30"/>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t>Code Text if Adopted</w:t>
            </w:r>
          </w:p>
        </w:tc>
      </w:tr>
    </w:tbl>
    <w:p w:rsidR="00F108C1" w:rsidRPr="00F108C1" w:rsidRDefault="00F108C1" w:rsidP="00F108C1">
      <w:pPr>
        <w:spacing w:after="200"/>
        <w:ind w:left="360"/>
        <w:rPr>
          <w:rFonts w:cs="Arial"/>
          <w:szCs w:val="22"/>
        </w:rPr>
      </w:pPr>
      <w:r w:rsidRPr="00F108C1">
        <w:rPr>
          <w:rFonts w:cs="Arial"/>
          <w:sz w:val="12"/>
          <w:szCs w:val="12"/>
        </w:rPr>
        <w:br/>
      </w:r>
      <w:r w:rsidRPr="00F108C1">
        <w:rPr>
          <w:rFonts w:cs="Arial"/>
          <w:b/>
          <w:szCs w:val="22"/>
        </w:rPr>
        <w:t>5.504.4.4 Carpet systems.</w:t>
      </w:r>
      <w:r w:rsidRPr="00F108C1">
        <w:rPr>
          <w:rFonts w:cs="Arial"/>
          <w:szCs w:val="22"/>
        </w:rPr>
        <w:t xml:space="preserve"> All carpet installed in the building interior shall meet at least one of the following testing and product requirements:</w:t>
      </w:r>
    </w:p>
    <w:p w:rsidR="00F108C1" w:rsidRPr="00F108C1" w:rsidRDefault="00F108C1" w:rsidP="00F108C1">
      <w:pPr>
        <w:spacing w:after="200"/>
        <w:ind w:left="1080" w:hanging="360"/>
        <w:rPr>
          <w:rFonts w:cs="Arial"/>
          <w:szCs w:val="22"/>
        </w:rPr>
      </w:pPr>
      <w:r w:rsidRPr="00F108C1">
        <w:rPr>
          <w:rFonts w:cs="Arial"/>
          <w:szCs w:val="22"/>
        </w:rPr>
        <w:t>1.</w:t>
      </w:r>
      <w:r w:rsidRPr="00F108C1">
        <w:rPr>
          <w:rFonts w:cs="Arial"/>
          <w:szCs w:val="22"/>
        </w:rPr>
        <w:tab/>
        <w:t>Carpet…;</w:t>
      </w:r>
    </w:p>
    <w:p w:rsidR="00F108C1" w:rsidRPr="00F108C1" w:rsidRDefault="00F108C1" w:rsidP="00F108C1">
      <w:pPr>
        <w:spacing w:after="200"/>
        <w:ind w:left="1080" w:hanging="360"/>
        <w:rPr>
          <w:rFonts w:cs="Arial"/>
          <w:szCs w:val="22"/>
        </w:rPr>
      </w:pPr>
      <w:r w:rsidRPr="00F108C1">
        <w:rPr>
          <w:rFonts w:cs="Arial"/>
          <w:szCs w:val="22"/>
        </w:rPr>
        <w:t>2.</w:t>
      </w:r>
      <w:r w:rsidRPr="00F108C1">
        <w:rPr>
          <w:rFonts w:cs="Arial"/>
          <w:szCs w:val="22"/>
        </w:rPr>
        <w:tab/>
        <w:t xml:space="preserve">Compliant with VOC-emission limits and testing requirements specified in the California Department of Public Health </w:t>
      </w:r>
      <w:r w:rsidRPr="00F108C1">
        <w:rPr>
          <w:bCs/>
          <w:szCs w:val="22"/>
        </w:rPr>
        <w:t>Standard Method for the Testing and Evaluation of Volatile Organic Chemical Emissions from Indoor Sources using Environmental Chambers Version 1.2 (2017)</w:t>
      </w:r>
      <w:r w:rsidRPr="00F108C1">
        <w:rPr>
          <w:rFonts w:cs="Arial"/>
          <w:szCs w:val="22"/>
        </w:rPr>
        <w:t>;</w:t>
      </w:r>
    </w:p>
    <w:p w:rsidR="00F108C1" w:rsidRPr="00F108C1" w:rsidRDefault="00F108C1" w:rsidP="00F108C1">
      <w:pPr>
        <w:spacing w:after="200"/>
        <w:ind w:left="1080" w:hanging="360"/>
        <w:rPr>
          <w:rFonts w:cs="Arial"/>
          <w:szCs w:val="22"/>
        </w:rPr>
      </w:pPr>
      <w:r w:rsidRPr="00F108C1">
        <w:rPr>
          <w:rFonts w:cs="Arial"/>
          <w:szCs w:val="22"/>
        </w:rPr>
        <w:t>3.</w:t>
      </w:r>
      <w:r w:rsidRPr="00F108C1">
        <w:rPr>
          <w:rFonts w:cs="Arial"/>
          <w:szCs w:val="22"/>
        </w:rPr>
        <w:tab/>
        <w:t>NSF/ANSI...;</w:t>
      </w:r>
    </w:p>
    <w:p w:rsidR="00F108C1" w:rsidRPr="00F108C1" w:rsidRDefault="00F108C1" w:rsidP="00F108C1">
      <w:pPr>
        <w:spacing w:after="200"/>
        <w:ind w:left="1080" w:hanging="360"/>
        <w:rPr>
          <w:rFonts w:cs="Arial"/>
          <w:szCs w:val="22"/>
        </w:rPr>
      </w:pPr>
      <w:r w:rsidRPr="00F108C1">
        <w:rPr>
          <w:rFonts w:cs="Arial"/>
          <w:szCs w:val="22"/>
        </w:rPr>
        <w:t>4.</w:t>
      </w:r>
      <w:r w:rsidRPr="00F108C1">
        <w:rPr>
          <w:rFonts w:cs="Arial"/>
          <w:szCs w:val="22"/>
        </w:rPr>
        <w:tab/>
        <w:t>Scientific...;</w:t>
      </w:r>
    </w:p>
    <w:p w:rsidR="00F108C1" w:rsidRPr="00F108C1" w:rsidRDefault="00F108C1" w:rsidP="00F108C1">
      <w:pPr>
        <w:spacing w:after="200"/>
        <w:ind w:left="1080" w:hanging="360"/>
        <w:rPr>
          <w:rFonts w:cs="Arial"/>
          <w:szCs w:val="22"/>
        </w:rPr>
      </w:pPr>
      <w:r w:rsidRPr="00F108C1">
        <w:rPr>
          <w:rFonts w:cs="Arial"/>
          <w:szCs w:val="22"/>
        </w:rPr>
        <w:t>5.</w:t>
      </w:r>
      <w:r w:rsidRPr="00F108C1">
        <w:rPr>
          <w:rFonts w:cs="Arial"/>
          <w:szCs w:val="22"/>
        </w:rPr>
        <w:tab/>
        <w:t>Compliant with the Collaborative for High Performance Schools California (CHPS Core Criteria 2019) Criteria and listed in the CHPS High Performance Product Database.</w:t>
      </w:r>
    </w:p>
    <w:p w:rsidR="00F108C1" w:rsidRPr="00F108C1" w:rsidRDefault="00F108C1" w:rsidP="00F108C1">
      <w:pPr>
        <w:spacing w:after="200"/>
        <w:rPr>
          <w:rFonts w:cs="Arial"/>
          <w:szCs w:val="22"/>
        </w:rPr>
      </w:pPr>
      <w:r w:rsidRPr="00F108C1">
        <w:rPr>
          <w:rFonts w:cs="Arial"/>
          <w:szCs w:val="22"/>
        </w:rPr>
        <w:t>…</w:t>
      </w:r>
    </w:p>
    <w:p w:rsidR="00F108C1" w:rsidRPr="00F108C1" w:rsidRDefault="00F108C1" w:rsidP="00F108C1">
      <w:pPr>
        <w:spacing w:after="200"/>
        <w:ind w:left="360"/>
        <w:rPr>
          <w:rFonts w:cs="Arial"/>
          <w:szCs w:val="22"/>
        </w:rPr>
      </w:pPr>
      <w:r w:rsidRPr="00F108C1">
        <w:rPr>
          <w:rFonts w:cs="Arial"/>
          <w:b/>
          <w:szCs w:val="22"/>
        </w:rPr>
        <w:lastRenderedPageBreak/>
        <w:t>5.504.4.6 Resilient flooring systems.</w:t>
      </w:r>
      <w:r w:rsidRPr="00F108C1">
        <w:rPr>
          <w:rFonts w:cs="Arial"/>
          <w:szCs w:val="22"/>
        </w:rPr>
        <w:t xml:space="preserve"> For 80 percent of floor area receiving resilient flooring, install resilient flooring which meets one of the following: </w:t>
      </w:r>
    </w:p>
    <w:p w:rsidR="00F108C1" w:rsidRPr="00F108C1" w:rsidRDefault="00F108C1" w:rsidP="00F108C1">
      <w:pPr>
        <w:spacing w:after="200"/>
        <w:ind w:left="1080" w:hanging="360"/>
        <w:rPr>
          <w:rFonts w:cs="Arial"/>
          <w:szCs w:val="22"/>
        </w:rPr>
      </w:pPr>
      <w:r w:rsidRPr="00F108C1">
        <w:rPr>
          <w:rFonts w:cs="Arial"/>
          <w:szCs w:val="22"/>
        </w:rPr>
        <w:t>1.</w:t>
      </w:r>
      <w:r w:rsidRPr="00F108C1">
        <w:rPr>
          <w:rFonts w:cs="Arial"/>
          <w:szCs w:val="22"/>
        </w:rPr>
        <w:tab/>
        <w:t>Certified under ...;</w:t>
      </w:r>
    </w:p>
    <w:p w:rsidR="00F108C1" w:rsidRPr="00F108C1" w:rsidRDefault="00F108C1" w:rsidP="00F108C1">
      <w:pPr>
        <w:spacing w:after="200"/>
        <w:ind w:left="1080" w:hanging="360"/>
        <w:rPr>
          <w:rFonts w:cs="Arial"/>
          <w:szCs w:val="22"/>
        </w:rPr>
      </w:pPr>
      <w:r w:rsidRPr="00F108C1">
        <w:rPr>
          <w:rFonts w:cs="Arial"/>
          <w:szCs w:val="22"/>
        </w:rPr>
        <w:t>2.</w:t>
      </w:r>
      <w:r w:rsidRPr="00F108C1">
        <w:rPr>
          <w:rFonts w:cs="Arial"/>
          <w:szCs w:val="22"/>
        </w:rPr>
        <w:tab/>
        <w:t xml:space="preserve">Compliant with the VOC-emission limits and testing requirements specified in the California Department of Public Health’s </w:t>
      </w:r>
      <w:r w:rsidRPr="00F108C1">
        <w:rPr>
          <w:rFonts w:cs="Arial"/>
          <w:bCs/>
          <w:szCs w:val="22"/>
        </w:rPr>
        <w:t>Standard Method for the Testing and Evaluation of Volatile Organic Chemical Emissions from Indoor Sources using Environmental Chambers Version 1.2 (2017)</w:t>
      </w:r>
      <w:r w:rsidRPr="00F108C1">
        <w:rPr>
          <w:rFonts w:cs="Arial"/>
          <w:szCs w:val="22"/>
        </w:rPr>
        <w:t>;</w:t>
      </w:r>
    </w:p>
    <w:p w:rsidR="00F108C1" w:rsidRPr="00F108C1" w:rsidRDefault="00F108C1" w:rsidP="00F108C1">
      <w:pPr>
        <w:spacing w:after="200"/>
        <w:ind w:left="1080" w:hanging="360"/>
        <w:rPr>
          <w:rFonts w:cs="Arial"/>
          <w:szCs w:val="22"/>
        </w:rPr>
      </w:pPr>
      <w:r w:rsidRPr="00F108C1">
        <w:rPr>
          <w:rFonts w:cs="Arial"/>
          <w:szCs w:val="22"/>
        </w:rPr>
        <w:t>3.</w:t>
      </w:r>
      <w:r w:rsidRPr="00F108C1">
        <w:rPr>
          <w:rFonts w:cs="Arial"/>
          <w:szCs w:val="22"/>
        </w:rPr>
        <w:tab/>
        <w:t>Compliant with the Collaborative for High Performance Schools California (CHPS Core Criteria 2019) Criteria and listed in the CHPS High Performance Product Database; or</w:t>
      </w:r>
    </w:p>
    <w:p w:rsidR="00F108C1" w:rsidRPr="00F108C1" w:rsidRDefault="00F108C1" w:rsidP="00F108C1">
      <w:pPr>
        <w:spacing w:after="200"/>
        <w:ind w:left="1080" w:hanging="360"/>
        <w:rPr>
          <w:rFonts w:cs="Arial"/>
          <w:szCs w:val="22"/>
          <w:u w:val="single"/>
        </w:rPr>
      </w:pPr>
      <w:r w:rsidRPr="00F108C1">
        <w:rPr>
          <w:rFonts w:cs="Arial"/>
          <w:szCs w:val="22"/>
        </w:rPr>
        <w:t>4.</w:t>
      </w:r>
      <w:r w:rsidRPr="00F108C1">
        <w:rPr>
          <w:rFonts w:cs="Arial"/>
          <w:szCs w:val="22"/>
        </w:rPr>
        <w:tab/>
        <w:t>Products …</w:t>
      </w:r>
    </w:p>
    <w:tbl>
      <w:tblPr>
        <w:tblStyle w:val="TableGrid2"/>
        <w:tblW w:w="0" w:type="auto"/>
        <w:tblInd w:w="144" w:type="dxa"/>
        <w:tblLook w:val="04A0" w:firstRow="1" w:lastRow="0" w:firstColumn="1" w:lastColumn="0" w:noHBand="0" w:noVBand="1"/>
        <w:tblDescription w:val="Suggested Text of Proposed Amendments"/>
      </w:tblPr>
      <w:tblGrid>
        <w:gridCol w:w="10080"/>
      </w:tblGrid>
      <w:tr w:rsidR="00F108C1" w:rsidRPr="00F108C1" w:rsidTr="007D0C45">
        <w:trPr>
          <w:trHeight w:val="360"/>
          <w:tblHeader/>
        </w:trPr>
        <w:tc>
          <w:tcPr>
            <w:tcW w:w="10080" w:type="dxa"/>
            <w:shd w:val="clear" w:color="auto" w:fill="000000" w:themeFill="text1"/>
            <w:vAlign w:val="center"/>
          </w:tcPr>
          <w:p w:rsidR="00F108C1" w:rsidRPr="00F108C1" w:rsidRDefault="00F108C1" w:rsidP="00F108C1">
            <w:pPr>
              <w:ind w:left="30"/>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t>Rationale</w:t>
            </w:r>
          </w:p>
        </w:tc>
      </w:tr>
    </w:tbl>
    <w:p w:rsidR="00F108C1" w:rsidRPr="00F108C1" w:rsidRDefault="00F108C1" w:rsidP="000E3054">
      <w:pPr>
        <w:spacing w:before="120" w:after="200"/>
        <w:rPr>
          <w:rFonts w:cs="Arial"/>
          <w:b/>
          <w:szCs w:val="22"/>
        </w:rPr>
      </w:pPr>
      <w:r w:rsidRPr="00F108C1">
        <w:rPr>
          <w:rFonts w:cs="Arial"/>
          <w:b/>
          <w:szCs w:val="22"/>
        </w:rPr>
        <w:t>Statement of specific purpose, problem, rationale and benefits:</w:t>
      </w:r>
    </w:p>
    <w:p w:rsidR="00F108C1" w:rsidRPr="00F108C1" w:rsidRDefault="00F108C1" w:rsidP="00F108C1">
      <w:pPr>
        <w:spacing w:after="200"/>
        <w:rPr>
          <w:rFonts w:cs="Arial"/>
          <w:szCs w:val="22"/>
        </w:rPr>
      </w:pPr>
      <w:r w:rsidRPr="00F108C1">
        <w:rPr>
          <w:rFonts w:cs="Arial"/>
          <w:szCs w:val="22"/>
        </w:rPr>
        <w:t xml:space="preserve">DSA proposes to amend Chapter 5, Section 5.504.4.4 (Carpet systems) and Section 5.504.4.6 (Resilient flooring systems), mandatory measures, to update the referenced standard for the new California Department of Public Health (CDPH) and Collaborative for High Performance Schools (CHPS) criteria for Volatile Organic Compounds (VOC) limits testing.  </w:t>
      </w:r>
    </w:p>
    <w:p w:rsidR="00F108C1" w:rsidRPr="00F108C1" w:rsidRDefault="00F108C1" w:rsidP="00F108C1">
      <w:pPr>
        <w:spacing w:after="200"/>
        <w:rPr>
          <w:rFonts w:cs="Arial"/>
          <w:szCs w:val="22"/>
        </w:rPr>
      </w:pPr>
      <w:r w:rsidRPr="00F108C1">
        <w:rPr>
          <w:rFonts w:cs="Arial"/>
          <w:szCs w:val="22"/>
        </w:rPr>
        <w:t xml:space="preserve">These sections are proposed for amendment to update the referenced testing standards for VOC limits in carpet systems and resilient flooring systems. CDPH updated the 2010 standard to the 2017 standard, and for the CHPS standard from the 2014 CA-CHPS to CHPS Core Criteria 2019.  These amendments are non-substantive with no intended change in regulatory effect.  </w:t>
      </w:r>
    </w:p>
    <w:p w:rsidR="00F108C1" w:rsidRPr="00F108C1" w:rsidRDefault="00F108C1" w:rsidP="00F108C1">
      <w:pPr>
        <w:spacing w:after="200"/>
        <w:rPr>
          <w:rFonts w:cs="Arial"/>
          <w:szCs w:val="22"/>
        </w:rPr>
      </w:pPr>
      <w:r w:rsidRPr="00F108C1">
        <w:rPr>
          <w:rFonts w:cs="Arial"/>
          <w:szCs w:val="22"/>
        </w:rPr>
        <w:t>Adding these amendments to update the appropriate testing standards for the new CDPH and CHPS criteria for VOC limits will aid the code user in properly applying the most recent reference standard.</w:t>
      </w:r>
    </w:p>
    <w:tbl>
      <w:tblPr>
        <w:tblStyle w:val="TableGrid2"/>
        <w:tblW w:w="0" w:type="auto"/>
        <w:tblInd w:w="144" w:type="dxa"/>
        <w:tblLook w:val="04A0" w:firstRow="1" w:lastRow="0" w:firstColumn="1" w:lastColumn="0" w:noHBand="0" w:noVBand="1"/>
        <w:tblDescription w:val="Suggested Text of Proposed Amendments"/>
      </w:tblPr>
      <w:tblGrid>
        <w:gridCol w:w="10080"/>
      </w:tblGrid>
      <w:tr w:rsidR="00F108C1" w:rsidRPr="00F108C1" w:rsidTr="007D0C45">
        <w:trPr>
          <w:trHeight w:val="360"/>
          <w:tblHeader/>
        </w:trPr>
        <w:tc>
          <w:tcPr>
            <w:tcW w:w="10080" w:type="dxa"/>
            <w:shd w:val="clear" w:color="auto" w:fill="000000" w:themeFill="text1"/>
            <w:vAlign w:val="center"/>
          </w:tcPr>
          <w:p w:rsidR="00F108C1" w:rsidRPr="00F108C1" w:rsidRDefault="00F108C1" w:rsidP="00F108C1">
            <w:pPr>
              <w:ind w:left="30"/>
              <w:contextualSpacing/>
              <w:outlineLvl w:val="1"/>
              <w:rPr>
                <w:rFonts w:ascii="Arial Bold" w:hAnsi="Arial Bold" w:cs="Arial"/>
                <w:b/>
                <w:color w:val="FFFFFF" w:themeColor="background1"/>
                <w:sz w:val="24"/>
                <w:szCs w:val="22"/>
              </w:rPr>
            </w:pPr>
            <w:r w:rsidRPr="00F108C1">
              <w:rPr>
                <w:rFonts w:ascii="Arial Bold" w:hAnsi="Arial Bold" w:cs="Arial"/>
                <w:b/>
                <w:color w:val="FFFFFF" w:themeColor="background1"/>
                <w:sz w:val="24"/>
                <w:szCs w:val="22"/>
              </w:rPr>
              <w:t>Comments</w:t>
            </w:r>
          </w:p>
        </w:tc>
      </w:tr>
    </w:tbl>
    <w:p w:rsidR="00F108C1" w:rsidRPr="00F108C1" w:rsidRDefault="00F108C1" w:rsidP="000E3054">
      <w:pPr>
        <w:numPr>
          <w:ilvl w:val="0"/>
          <w:numId w:val="3"/>
        </w:numPr>
        <w:spacing w:before="120"/>
        <w:contextualSpacing/>
        <w:rPr>
          <w:rFonts w:cs="Arial"/>
          <w:szCs w:val="22"/>
        </w:rPr>
      </w:pPr>
    </w:p>
    <w:p w:rsidR="00F108C1" w:rsidRPr="00F108C1" w:rsidRDefault="00F108C1" w:rsidP="00F108C1">
      <w:pPr>
        <w:spacing w:after="200" w:line="276" w:lineRule="auto"/>
        <w:rPr>
          <w:rFonts w:cs="Arial"/>
        </w:rPr>
      </w:pPr>
      <w:r w:rsidRPr="00F108C1">
        <w:rPr>
          <w:rFonts w:cs="Arial"/>
        </w:rPr>
        <w:br w:type="page"/>
      </w:r>
    </w:p>
    <w:p w:rsidR="001121C6" w:rsidRPr="000E3054" w:rsidRDefault="000E3054" w:rsidP="00BC074F">
      <w:pPr>
        <w:spacing w:after="200"/>
        <w:rPr>
          <w:rFonts w:cs="Arial"/>
          <w:color w:val="FFFFFF" w:themeColor="background1"/>
        </w:rPr>
      </w:pPr>
      <w:r>
        <w:rPr>
          <w:rFonts w:cs="Arial"/>
          <w:color w:val="FFFFFF" w:themeColor="background1"/>
        </w:rPr>
        <w:lastRenderedPageBreak/>
        <w:t>Blank Page for handwritten notes.</w:t>
      </w:r>
    </w:p>
    <w:sectPr w:rsidR="001121C6" w:rsidRPr="000E3054" w:rsidSect="00903FA9">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EE2" w:rsidRDefault="009F3EE2" w:rsidP="00192104">
      <w:r>
        <w:separator/>
      </w:r>
    </w:p>
  </w:endnote>
  <w:endnote w:type="continuationSeparator" w:id="0">
    <w:p w:rsidR="009F3EE2" w:rsidRDefault="009F3EE2" w:rsidP="001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C96DA6">
      <w:rPr>
        <w:rStyle w:val="PageNumber"/>
        <w:rFonts w:cs="Arial"/>
        <w:noProof/>
        <w:sz w:val="18"/>
        <w:szCs w:val="18"/>
      </w:rPr>
      <w:t>1</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C96DA6">
      <w:rPr>
        <w:rStyle w:val="PageNumber"/>
        <w:rFonts w:cs="Arial"/>
        <w:noProof/>
        <w:sz w:val="18"/>
        <w:szCs w:val="18"/>
      </w:rPr>
      <w:t>14</w:t>
    </w:r>
    <w:r w:rsidR="00EC334D" w:rsidRPr="00192104">
      <w:rPr>
        <w:rStyle w:val="PageNumber"/>
        <w:rFonts w:cs="Arial"/>
        <w:sz w:val="18"/>
        <w:szCs w:val="18"/>
      </w:rPr>
      <w:fldChar w:fldCharType="end"/>
    </w:r>
  </w:p>
  <w:p w:rsidR="00EC334D" w:rsidRDefault="00EC334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8C1" w:rsidRPr="00192104" w:rsidRDefault="00F108C1"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sidR="00C96DA6">
      <w:rPr>
        <w:rStyle w:val="PageNumber"/>
        <w:rFonts w:cs="Arial"/>
        <w:noProof/>
        <w:sz w:val="18"/>
        <w:szCs w:val="18"/>
      </w:rPr>
      <w:t>5</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sidR="00C96DA6">
      <w:rPr>
        <w:rStyle w:val="PageNumber"/>
        <w:rFonts w:cs="Arial"/>
        <w:noProof/>
        <w:sz w:val="18"/>
        <w:szCs w:val="18"/>
      </w:rPr>
      <w:t>14</w:t>
    </w:r>
    <w:r w:rsidRPr="00192104">
      <w:rPr>
        <w:rStyle w:val="PageNumber"/>
        <w:rFonts w:cs="Arial"/>
        <w:sz w:val="18"/>
        <w:szCs w:val="18"/>
      </w:rPr>
      <w:fldChar w:fldCharType="end"/>
    </w:r>
  </w:p>
  <w:p w:rsidR="00F108C1" w:rsidRDefault="00F108C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8C1" w:rsidRPr="00192104" w:rsidRDefault="00F108C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rsidR="00F108C1" w:rsidRPr="00192104" w:rsidRDefault="00F108C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8C1" w:rsidRPr="00192104" w:rsidRDefault="00F108C1"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sidR="00C96DA6">
      <w:rPr>
        <w:rStyle w:val="PageNumber"/>
        <w:rFonts w:cs="Arial"/>
        <w:noProof/>
        <w:sz w:val="18"/>
        <w:szCs w:val="18"/>
      </w:rPr>
      <w:t>8</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sidR="00C96DA6">
      <w:rPr>
        <w:rStyle w:val="PageNumber"/>
        <w:rFonts w:cs="Arial"/>
        <w:noProof/>
        <w:sz w:val="18"/>
        <w:szCs w:val="18"/>
      </w:rPr>
      <w:t>14</w:t>
    </w:r>
    <w:r w:rsidRPr="00192104">
      <w:rPr>
        <w:rStyle w:val="PageNumber"/>
        <w:rFonts w:cs="Arial"/>
        <w:sz w:val="18"/>
        <w:szCs w:val="18"/>
      </w:rPr>
      <w:fldChar w:fldCharType="end"/>
    </w:r>
  </w:p>
  <w:p w:rsidR="00F108C1" w:rsidRDefault="00F108C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8C1" w:rsidRPr="00192104" w:rsidRDefault="00F108C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2</w:t>
    </w:r>
    <w:r w:rsidRPr="00192104">
      <w:rPr>
        <w:rStyle w:val="PageNumber"/>
        <w:rFonts w:cs="Arial"/>
        <w:sz w:val="18"/>
        <w:szCs w:val="18"/>
      </w:rPr>
      <w:fldChar w:fldCharType="end"/>
    </w:r>
  </w:p>
  <w:p w:rsidR="00F108C1" w:rsidRPr="00192104" w:rsidRDefault="00F108C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EE2" w:rsidRDefault="009F3EE2" w:rsidP="00192104">
      <w:r>
        <w:separator/>
      </w:r>
    </w:p>
  </w:footnote>
  <w:footnote w:type="continuationSeparator" w:id="0">
    <w:p w:rsidR="009F3EE2" w:rsidRDefault="009F3EE2" w:rsidP="0019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BDD"/>
    <w:multiLevelType w:val="hybridMultilevel"/>
    <w:tmpl w:val="3AB22EA8"/>
    <w:lvl w:ilvl="0" w:tplc="68B2D6B2">
      <w:start w:val="1"/>
      <w:numFmt w:val="decimal"/>
      <w:lvlText w:val="%1."/>
      <w:lvlJc w:val="left"/>
      <w:pPr>
        <w:ind w:left="1170" w:hanging="360"/>
      </w:pPr>
      <w:rPr>
        <w:rFonts w:hint="default"/>
        <w:color w:val="000000"/>
        <w:sz w:val="24"/>
        <w:szCs w:val="24"/>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9F53EAF"/>
    <w:multiLevelType w:val="hybridMultilevel"/>
    <w:tmpl w:val="3AB22EA8"/>
    <w:lvl w:ilvl="0" w:tplc="68B2D6B2">
      <w:start w:val="1"/>
      <w:numFmt w:val="decimal"/>
      <w:lvlText w:val="%1."/>
      <w:lvlJc w:val="left"/>
      <w:pPr>
        <w:ind w:left="1170" w:hanging="360"/>
      </w:pPr>
      <w:rPr>
        <w:rFonts w:hint="default"/>
        <w:color w:val="000000"/>
        <w:sz w:val="24"/>
        <w:szCs w:val="24"/>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C2542"/>
    <w:multiLevelType w:val="hybridMultilevel"/>
    <w:tmpl w:val="3AB22EA8"/>
    <w:lvl w:ilvl="0" w:tplc="68B2D6B2">
      <w:start w:val="1"/>
      <w:numFmt w:val="decimal"/>
      <w:lvlText w:val="%1."/>
      <w:lvlJc w:val="left"/>
      <w:pPr>
        <w:ind w:left="1170" w:hanging="360"/>
      </w:pPr>
      <w:rPr>
        <w:rFonts w:hint="default"/>
        <w:color w:val="000000"/>
        <w:sz w:val="24"/>
        <w:szCs w:val="24"/>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E413C"/>
    <w:multiLevelType w:val="hybridMultilevel"/>
    <w:tmpl w:val="BC7A1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A6"/>
    <w:rsid w:val="00014C91"/>
    <w:rsid w:val="00024DBE"/>
    <w:rsid w:val="00045956"/>
    <w:rsid w:val="00065B78"/>
    <w:rsid w:val="00071779"/>
    <w:rsid w:val="0007381E"/>
    <w:rsid w:val="00075CE1"/>
    <w:rsid w:val="00085A97"/>
    <w:rsid w:val="000C413E"/>
    <w:rsid w:val="000D26AF"/>
    <w:rsid w:val="000E3054"/>
    <w:rsid w:val="001121C6"/>
    <w:rsid w:val="00126B7A"/>
    <w:rsid w:val="00130630"/>
    <w:rsid w:val="001548D3"/>
    <w:rsid w:val="0016769D"/>
    <w:rsid w:val="001816D4"/>
    <w:rsid w:val="00192104"/>
    <w:rsid w:val="0019265A"/>
    <w:rsid w:val="001D6908"/>
    <w:rsid w:val="00204523"/>
    <w:rsid w:val="00280A53"/>
    <w:rsid w:val="00281FF2"/>
    <w:rsid w:val="00291BAA"/>
    <w:rsid w:val="002937C4"/>
    <w:rsid w:val="002B595E"/>
    <w:rsid w:val="002B5E22"/>
    <w:rsid w:val="002F2324"/>
    <w:rsid w:val="0031702D"/>
    <w:rsid w:val="0032680C"/>
    <w:rsid w:val="00341A6B"/>
    <w:rsid w:val="00350D4D"/>
    <w:rsid w:val="003824F2"/>
    <w:rsid w:val="0039609A"/>
    <w:rsid w:val="003A4DCE"/>
    <w:rsid w:val="003D29E1"/>
    <w:rsid w:val="00404E5B"/>
    <w:rsid w:val="004421D7"/>
    <w:rsid w:val="00451542"/>
    <w:rsid w:val="004A5FAC"/>
    <w:rsid w:val="004B01E0"/>
    <w:rsid w:val="004E3C48"/>
    <w:rsid w:val="00505C40"/>
    <w:rsid w:val="005413A9"/>
    <w:rsid w:val="0054535C"/>
    <w:rsid w:val="00553DB7"/>
    <w:rsid w:val="005623F9"/>
    <w:rsid w:val="00576C5E"/>
    <w:rsid w:val="005839FD"/>
    <w:rsid w:val="005F2173"/>
    <w:rsid w:val="005F591D"/>
    <w:rsid w:val="00613D58"/>
    <w:rsid w:val="00622FDF"/>
    <w:rsid w:val="0062382F"/>
    <w:rsid w:val="00634258"/>
    <w:rsid w:val="006536BD"/>
    <w:rsid w:val="00653F5F"/>
    <w:rsid w:val="006558A6"/>
    <w:rsid w:val="006559CC"/>
    <w:rsid w:val="00663253"/>
    <w:rsid w:val="00670A41"/>
    <w:rsid w:val="0069750A"/>
    <w:rsid w:val="00711D24"/>
    <w:rsid w:val="00713324"/>
    <w:rsid w:val="00753359"/>
    <w:rsid w:val="007F28D9"/>
    <w:rsid w:val="008235F7"/>
    <w:rsid w:val="00847C5F"/>
    <w:rsid w:val="008604BF"/>
    <w:rsid w:val="008913ED"/>
    <w:rsid w:val="008D2CD7"/>
    <w:rsid w:val="008D46AC"/>
    <w:rsid w:val="008F1C95"/>
    <w:rsid w:val="008F3F63"/>
    <w:rsid w:val="00903FA9"/>
    <w:rsid w:val="00914B2E"/>
    <w:rsid w:val="0093315A"/>
    <w:rsid w:val="0095155E"/>
    <w:rsid w:val="00977CB5"/>
    <w:rsid w:val="00984457"/>
    <w:rsid w:val="009B34C6"/>
    <w:rsid w:val="009B58BB"/>
    <w:rsid w:val="009C0D64"/>
    <w:rsid w:val="009C42AB"/>
    <w:rsid w:val="009F3EE2"/>
    <w:rsid w:val="00A56FE1"/>
    <w:rsid w:val="00A75E22"/>
    <w:rsid w:val="00A7686A"/>
    <w:rsid w:val="00A94DCE"/>
    <w:rsid w:val="00AA606D"/>
    <w:rsid w:val="00AD21E3"/>
    <w:rsid w:val="00B01289"/>
    <w:rsid w:val="00B26DC2"/>
    <w:rsid w:val="00B32C37"/>
    <w:rsid w:val="00B3419D"/>
    <w:rsid w:val="00B365FE"/>
    <w:rsid w:val="00B5502F"/>
    <w:rsid w:val="00BC074F"/>
    <w:rsid w:val="00BF6B0F"/>
    <w:rsid w:val="00C47601"/>
    <w:rsid w:val="00C96DA6"/>
    <w:rsid w:val="00CA52F5"/>
    <w:rsid w:val="00CF4E5F"/>
    <w:rsid w:val="00D30386"/>
    <w:rsid w:val="00D42FB6"/>
    <w:rsid w:val="00D53F5F"/>
    <w:rsid w:val="00D663C1"/>
    <w:rsid w:val="00DD3B41"/>
    <w:rsid w:val="00DE03A3"/>
    <w:rsid w:val="00DF4B7A"/>
    <w:rsid w:val="00E155D8"/>
    <w:rsid w:val="00E16DB4"/>
    <w:rsid w:val="00E6796F"/>
    <w:rsid w:val="00EA0C0E"/>
    <w:rsid w:val="00EB15C9"/>
    <w:rsid w:val="00EC0CD0"/>
    <w:rsid w:val="00EC334D"/>
    <w:rsid w:val="00EE13F6"/>
    <w:rsid w:val="00F108C1"/>
    <w:rsid w:val="00F16187"/>
    <w:rsid w:val="00F17AE3"/>
    <w:rsid w:val="00F774E0"/>
    <w:rsid w:val="00F868DA"/>
    <w:rsid w:val="00FB0AAC"/>
    <w:rsid w:val="00FC0E80"/>
    <w:rsid w:val="00FE0631"/>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5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5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uiPriority w:val="99"/>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table" w:customStyle="1" w:styleId="TableGrid1">
    <w:name w:val="Table Grid1"/>
    <w:basedOn w:val="TableNormal"/>
    <w:next w:val="TableGrid"/>
    <w:uiPriority w:val="59"/>
    <w:rsid w:val="00F10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0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4051</Words>
  <Characters>23094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CALGreen Code Proposed Express Terms for September 4, 2019 Meeting</vt:lpstr>
    </vt:vector>
  </TitlesOfParts>
  <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CALGreen Code Proposed Express Terms for September 4, 2019 Meeting</dc:title>
  <dc:creator/>
  <cp:lastModifiedBy/>
  <cp:revision>1</cp:revision>
  <dcterms:created xsi:type="dcterms:W3CDTF">2016-10-10T20:23:00Z</dcterms:created>
  <dcterms:modified xsi:type="dcterms:W3CDTF">2019-08-19T19:05:00Z</dcterms:modified>
</cp:coreProperties>
</file>