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69539831" w:rsidR="00767766" w:rsidRPr="009766E0" w:rsidRDefault="00B8115E" w:rsidP="001F2A94">
      <w:pPr>
        <w:pStyle w:val="Heading1"/>
        <w:spacing w:before="0" w:after="0"/>
        <w:jc w:val="center"/>
        <w:rPr>
          <w:rFonts w:cs="Arial"/>
        </w:rPr>
      </w:pPr>
      <w:r w:rsidRPr="009766E0">
        <w:rPr>
          <w:rFonts w:cs="Arial"/>
        </w:rPr>
        <w:t>INITIAL</w:t>
      </w:r>
      <w:r w:rsidR="00767766" w:rsidRPr="009766E0">
        <w:rPr>
          <w:rFonts w:cs="Arial"/>
        </w:rPr>
        <w:t xml:space="preserve"> EXPRESS TERMS</w:t>
      </w:r>
      <w:r w:rsidR="00767766" w:rsidRPr="009766E0">
        <w:rPr>
          <w:rFonts w:cs="Arial"/>
        </w:rPr>
        <w:br/>
        <w:t>FOR PROPOSED BUILDING STANDARDS</w:t>
      </w:r>
      <w:r w:rsidR="00767766" w:rsidRPr="009766E0">
        <w:rPr>
          <w:rFonts w:cs="Arial"/>
        </w:rPr>
        <w:br/>
        <w:t xml:space="preserve">OF THE </w:t>
      </w:r>
      <w:r w:rsidR="00523BDE" w:rsidRPr="009766E0">
        <w:rPr>
          <w:rFonts w:cs="Arial"/>
        </w:rPr>
        <w:t>DIVISION OF THE STATE ARCHITECT</w:t>
      </w:r>
      <w:r w:rsidR="0022313F">
        <w:rPr>
          <w:rFonts w:cs="Arial"/>
        </w:rPr>
        <w:br/>
      </w:r>
      <w:r w:rsidR="00767766" w:rsidRPr="009766E0">
        <w:rPr>
          <w:rFonts w:cs="Arial"/>
        </w:rPr>
        <w:t xml:space="preserve">REGARDING THE </w:t>
      </w:r>
      <w:r w:rsidR="00B86E76" w:rsidRPr="009766E0">
        <w:rPr>
          <w:rFonts w:cs="Arial"/>
        </w:rPr>
        <w:t>2025 CALIFORNIA BUILDING CODE</w:t>
      </w:r>
      <w:r w:rsidR="00767766" w:rsidRPr="009766E0">
        <w:rPr>
          <w:rFonts w:cs="Arial"/>
        </w:rPr>
        <w:t>,</w:t>
      </w:r>
      <w:r w:rsidR="001F2A94" w:rsidRPr="009766E0">
        <w:rPr>
          <w:rFonts w:cs="Arial"/>
        </w:rPr>
        <w:br/>
      </w:r>
      <w:r w:rsidR="00767766" w:rsidRPr="009766E0">
        <w:rPr>
          <w:rFonts w:cs="Arial"/>
        </w:rPr>
        <w:t xml:space="preserve">CALIFORNIA CODE OF REGULATIONS, TITLE 24, PART </w:t>
      </w:r>
      <w:r w:rsidR="00861B0A" w:rsidRPr="009766E0">
        <w:rPr>
          <w:rFonts w:cs="Arial"/>
        </w:rPr>
        <w:t>2</w:t>
      </w:r>
      <w:r w:rsidR="001F2A94" w:rsidRPr="009766E0">
        <w:rPr>
          <w:rFonts w:cs="Arial"/>
        </w:rPr>
        <w:br/>
      </w:r>
      <w:r w:rsidR="00767766" w:rsidRPr="009766E0">
        <w:rPr>
          <w:rFonts w:cs="Arial"/>
        </w:rPr>
        <w:t>(</w:t>
      </w:r>
      <w:r w:rsidR="005D400E" w:rsidRPr="009766E0">
        <w:rPr>
          <w:rFonts w:cs="Arial"/>
        </w:rPr>
        <w:t xml:space="preserve">DSA-SS </w:t>
      </w:r>
      <w:r w:rsidR="008C1096">
        <w:rPr>
          <w:rFonts w:cs="Arial"/>
        </w:rPr>
        <w:t>02</w:t>
      </w:r>
      <w:r w:rsidR="005D400E" w:rsidRPr="009766E0">
        <w:rPr>
          <w:rFonts w:cs="Arial"/>
        </w:rPr>
        <w:t>/25</w:t>
      </w:r>
      <w:r w:rsidR="00767766" w:rsidRPr="009766E0">
        <w:rPr>
          <w:rFonts w:cs="Arial"/>
        </w:rPr>
        <w:t>)</w:t>
      </w:r>
    </w:p>
    <w:p w14:paraId="2178BCDB" w14:textId="3268B497" w:rsidR="00767766" w:rsidRPr="009766E0" w:rsidRDefault="00BE48F6" w:rsidP="00005708">
      <w:pPr>
        <w:spacing w:before="120"/>
        <w:rPr>
          <w:rFonts w:cs="Arial"/>
        </w:rPr>
      </w:pPr>
      <w:r w:rsidRPr="009766E0">
        <w:rPr>
          <w:rFonts w:cs="Arial"/>
        </w:rPr>
        <w:t>The s</w:t>
      </w:r>
      <w:r w:rsidR="00767766" w:rsidRPr="009766E0">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4A108A40" w:rsidR="00AD280C" w:rsidRPr="009766E0" w:rsidRDefault="00AD280C" w:rsidP="00AA0C1D">
      <w:pPr>
        <w:pBdr>
          <w:top w:val="single" w:sz="4" w:space="1" w:color="auto"/>
        </w:pBdr>
        <w:rPr>
          <w:rFonts w:cs="Arial"/>
        </w:rPr>
      </w:pPr>
      <w:proofErr w:type="gramStart"/>
      <w:r w:rsidRPr="009766E0">
        <w:rPr>
          <w:rFonts w:cs="Arial"/>
          <w:szCs w:val="24"/>
        </w:rPr>
        <w:t>If using</w:t>
      </w:r>
      <w:proofErr w:type="gramEnd"/>
      <w:r w:rsidRPr="009766E0">
        <w:rPr>
          <w:rFonts w:cs="Arial"/>
          <w:szCs w:val="24"/>
        </w:rPr>
        <w:t xml:space="preserve"> assistive technology, please adjust your settings to recogni</w:t>
      </w:r>
      <w:r w:rsidR="00332C1D" w:rsidRPr="009766E0">
        <w:rPr>
          <w:rFonts w:cs="Arial"/>
          <w:szCs w:val="24"/>
        </w:rPr>
        <w:t>ze underline, strikeout,</w:t>
      </w:r>
      <w:r w:rsidR="005D400E" w:rsidRPr="009766E0">
        <w:rPr>
          <w:rFonts w:cs="Arial"/>
          <w:szCs w:val="24"/>
        </w:rPr>
        <w:t xml:space="preserve"> highlight,</w:t>
      </w:r>
      <w:r w:rsidR="00332C1D" w:rsidRPr="009766E0">
        <w:rPr>
          <w:rFonts w:cs="Arial"/>
          <w:szCs w:val="24"/>
        </w:rPr>
        <w:t xml:space="preserve"> italic</w:t>
      </w:r>
      <w:r w:rsidRPr="009766E0">
        <w:rPr>
          <w:rFonts w:cs="Arial"/>
          <w:szCs w:val="24"/>
        </w:rPr>
        <w:t xml:space="preserve"> and ellipsis.</w:t>
      </w:r>
    </w:p>
    <w:p w14:paraId="16D083F6" w14:textId="01563FC9" w:rsidR="00AD280C" w:rsidRPr="009766E0" w:rsidRDefault="00AD280C" w:rsidP="00D71CEC">
      <w:pPr>
        <w:pStyle w:val="Heading2"/>
        <w:spacing w:before="0" w:after="0"/>
        <w:ind w:right="-90"/>
        <w:rPr>
          <w:rFonts w:cs="Arial"/>
        </w:rPr>
      </w:pPr>
      <w:r w:rsidRPr="009766E0">
        <w:rPr>
          <w:rFonts w:cs="Arial"/>
        </w:rPr>
        <w:t xml:space="preserve">LEGEND </w:t>
      </w:r>
      <w:r w:rsidR="0073368F" w:rsidRPr="009766E0">
        <w:rPr>
          <w:rFonts w:cs="Arial"/>
        </w:rPr>
        <w:t>for</w:t>
      </w:r>
      <w:r w:rsidRPr="009766E0">
        <w:rPr>
          <w:rFonts w:cs="Arial"/>
        </w:rPr>
        <w:t xml:space="preserve"> EXPRESS TERMS (Based on model code - Part 2)</w:t>
      </w:r>
    </w:p>
    <w:p w14:paraId="1BA1B57A" w14:textId="77777777" w:rsidR="00AF34AD" w:rsidRPr="009766E0" w:rsidRDefault="00AF34AD" w:rsidP="00DC1FDA">
      <w:pPr>
        <w:pStyle w:val="ListParagraph"/>
        <w:numPr>
          <w:ilvl w:val="0"/>
          <w:numId w:val="1"/>
        </w:numPr>
        <w:spacing w:after="0"/>
        <w:rPr>
          <w:rFonts w:cs="Arial"/>
        </w:rPr>
      </w:pPr>
      <w:r w:rsidRPr="009766E0">
        <w:rPr>
          <w:rFonts w:cs="Arial"/>
        </w:rPr>
        <w:t>Model Code or reference standard language appears upright</w:t>
      </w:r>
    </w:p>
    <w:p w14:paraId="25BBB9CD" w14:textId="77777777" w:rsidR="00AF34AD" w:rsidRPr="009766E0" w:rsidRDefault="00AF34AD" w:rsidP="00DC1FDA">
      <w:pPr>
        <w:pStyle w:val="ListParagraph"/>
        <w:numPr>
          <w:ilvl w:val="0"/>
          <w:numId w:val="1"/>
        </w:numPr>
        <w:spacing w:after="0"/>
        <w:rPr>
          <w:rFonts w:cs="Arial"/>
        </w:rPr>
      </w:pPr>
      <w:r w:rsidRPr="009766E0">
        <w:rPr>
          <w:rFonts w:cs="Arial"/>
        </w:rPr>
        <w:t xml:space="preserve">Existing California amendments appear in </w:t>
      </w:r>
      <w:r w:rsidRPr="009766E0">
        <w:rPr>
          <w:rFonts w:cs="Arial"/>
          <w:i/>
        </w:rPr>
        <w:t>italic</w:t>
      </w:r>
    </w:p>
    <w:p w14:paraId="2DD3B4F5" w14:textId="77777777" w:rsidR="00AF34AD" w:rsidRPr="009766E0" w:rsidRDefault="00AF34AD" w:rsidP="00DC1FDA">
      <w:pPr>
        <w:pStyle w:val="ListParagraph"/>
        <w:numPr>
          <w:ilvl w:val="0"/>
          <w:numId w:val="1"/>
        </w:numPr>
        <w:spacing w:after="0"/>
        <w:rPr>
          <w:rFonts w:cs="Arial"/>
          <w:i/>
          <w:u w:val="single"/>
        </w:rPr>
      </w:pPr>
      <w:r w:rsidRPr="009766E0">
        <w:rPr>
          <w:rFonts w:cs="Arial"/>
        </w:rPr>
        <w:t xml:space="preserve">Amended model code or reference standard language, or new California amendments appear </w:t>
      </w:r>
      <w:r w:rsidRPr="009766E0">
        <w:rPr>
          <w:rFonts w:cs="Arial"/>
          <w:i/>
          <w:u w:val="single"/>
        </w:rPr>
        <w:t>underlined &amp; italic</w:t>
      </w:r>
      <w:r w:rsidRPr="009766E0">
        <w:rPr>
          <w:rFonts w:cs="Arial"/>
          <w:iCs/>
        </w:rPr>
        <w:t xml:space="preserve"> </w:t>
      </w:r>
    </w:p>
    <w:p w14:paraId="2DD1D96C" w14:textId="77777777" w:rsidR="00AF34AD" w:rsidRPr="009766E0" w:rsidRDefault="00AF34AD" w:rsidP="00DC1FDA">
      <w:pPr>
        <w:pStyle w:val="ListParagraph"/>
        <w:numPr>
          <w:ilvl w:val="0"/>
          <w:numId w:val="1"/>
        </w:numPr>
        <w:spacing w:after="0"/>
        <w:rPr>
          <w:rFonts w:cs="Arial"/>
          <w:iCs/>
        </w:rPr>
      </w:pPr>
      <w:r w:rsidRPr="009766E0">
        <w:rPr>
          <w:rFonts w:cs="Arial"/>
          <w:iCs/>
        </w:rPr>
        <w:t xml:space="preserve">Reference standard language included in new California amendments appears </w:t>
      </w:r>
      <w:r w:rsidRPr="009766E0">
        <w:rPr>
          <w:rFonts w:cs="Arial"/>
          <w:iCs/>
          <w:u w:val="single"/>
        </w:rPr>
        <w:t>underlined &amp; upright</w:t>
      </w:r>
      <w:r w:rsidRPr="009766E0">
        <w:rPr>
          <w:rFonts w:cs="Arial"/>
          <w:iCs/>
        </w:rPr>
        <w:t xml:space="preserve"> if unchanged</w:t>
      </w:r>
    </w:p>
    <w:p w14:paraId="668EC379" w14:textId="77777777" w:rsidR="00AF34AD" w:rsidRPr="009766E0" w:rsidRDefault="00AF34AD" w:rsidP="00DC1FDA">
      <w:pPr>
        <w:pStyle w:val="ListParagraph"/>
        <w:numPr>
          <w:ilvl w:val="0"/>
          <w:numId w:val="1"/>
        </w:numPr>
        <w:spacing w:after="0"/>
        <w:rPr>
          <w:rFonts w:cs="Arial"/>
        </w:rPr>
      </w:pPr>
      <w:r w:rsidRPr="009766E0">
        <w:rPr>
          <w:rFonts w:cs="Arial"/>
        </w:rPr>
        <w:t xml:space="preserve">Repealed model code or reference standard language appears </w:t>
      </w:r>
      <w:r w:rsidRPr="009766E0">
        <w:rPr>
          <w:rFonts w:cs="Arial"/>
          <w:strike/>
        </w:rPr>
        <w:t>upright and in strikeout</w:t>
      </w:r>
    </w:p>
    <w:p w14:paraId="0DEDDE7D" w14:textId="77777777" w:rsidR="00AF34AD" w:rsidRPr="009766E0" w:rsidRDefault="00AF34AD" w:rsidP="00DC1FDA">
      <w:pPr>
        <w:pStyle w:val="ListParagraph"/>
        <w:numPr>
          <w:ilvl w:val="0"/>
          <w:numId w:val="1"/>
        </w:numPr>
        <w:spacing w:after="0"/>
        <w:rPr>
          <w:rFonts w:cs="Arial"/>
        </w:rPr>
      </w:pPr>
      <w:r w:rsidRPr="009766E0">
        <w:rPr>
          <w:rFonts w:cs="Arial"/>
        </w:rPr>
        <w:t xml:space="preserve">Repealed California amendments appear in </w:t>
      </w:r>
      <w:r w:rsidRPr="009766E0">
        <w:rPr>
          <w:rFonts w:cs="Arial"/>
          <w:i/>
          <w:strike/>
        </w:rPr>
        <w:t>italic and strikeout</w:t>
      </w:r>
    </w:p>
    <w:p w14:paraId="7782C6D4" w14:textId="30EEA2E9" w:rsidR="005D400E" w:rsidRPr="00E86C03" w:rsidRDefault="00AF34AD" w:rsidP="00E86C03">
      <w:pPr>
        <w:pStyle w:val="ListParagraph"/>
        <w:numPr>
          <w:ilvl w:val="0"/>
          <w:numId w:val="1"/>
        </w:numPr>
        <w:spacing w:after="0"/>
        <w:rPr>
          <w:rFonts w:cs="Arial"/>
        </w:rPr>
      </w:pPr>
      <w:r w:rsidRPr="008D7D27">
        <w:rPr>
          <w:rFonts w:cs="Arial"/>
        </w:rPr>
        <w:t xml:space="preserve">Ellipsis </w:t>
      </w:r>
      <w:proofErr w:type="gramStart"/>
      <w:r w:rsidRPr="008D7D27">
        <w:rPr>
          <w:rFonts w:cs="Arial"/>
          <w:szCs w:val="24"/>
        </w:rPr>
        <w:t>(</w:t>
      </w:r>
      <w:r w:rsidRPr="008D7D27">
        <w:rPr>
          <w:rFonts w:cs="Arial"/>
          <w:sz w:val="2"/>
          <w:szCs w:val="2"/>
        </w:rPr>
        <w:t xml:space="preserve"> </w:t>
      </w:r>
      <w:r w:rsidRPr="008D7D27">
        <w:rPr>
          <w:rFonts w:eastAsia="Times New Roman" w:cs="Arial"/>
          <w:szCs w:val="24"/>
          <w:lang w:eastAsia="ko-KR"/>
        </w:rPr>
        <w:t>...</w:t>
      </w:r>
      <w:proofErr w:type="gramEnd"/>
      <w:r w:rsidRPr="008D7D27">
        <w:rPr>
          <w:rFonts w:eastAsia="Times New Roman" w:cs="Arial"/>
          <w:szCs w:val="24"/>
          <w:lang w:eastAsia="ko-KR"/>
        </w:rPr>
        <w:t>)</w:t>
      </w:r>
      <w:r w:rsidRPr="008D7D27">
        <w:rPr>
          <w:rFonts w:eastAsia="Times New Roman" w:cs="Arial"/>
          <w:lang w:eastAsia="ko-KR"/>
        </w:rPr>
        <w:t xml:space="preserve"> indicate existing text remains unchanged</w:t>
      </w:r>
    </w:p>
    <w:p w14:paraId="2AFFEBA7" w14:textId="77777777" w:rsidR="00AD280C" w:rsidRPr="009766E0" w:rsidRDefault="00AD280C" w:rsidP="001F2A94">
      <w:pPr>
        <w:pStyle w:val="BodyText3"/>
        <w:pBdr>
          <w:bottom w:val="single" w:sz="4" w:space="1" w:color="auto"/>
        </w:pBdr>
        <w:spacing w:line="276" w:lineRule="auto"/>
        <w:jc w:val="left"/>
        <w:rPr>
          <w:rFonts w:cs="Arial"/>
          <w:szCs w:val="24"/>
        </w:rPr>
      </w:pPr>
    </w:p>
    <w:p w14:paraId="3700352B" w14:textId="5CF53587" w:rsidR="002537B1" w:rsidRPr="009766E0" w:rsidRDefault="000340B7" w:rsidP="00AA0C1D">
      <w:pPr>
        <w:pStyle w:val="Heading2"/>
        <w:spacing w:before="0"/>
      </w:pPr>
      <w:r w:rsidRPr="009766E0">
        <w:rPr>
          <w:rFonts w:cs="Arial"/>
        </w:rPr>
        <w:t>INITIAL</w:t>
      </w:r>
      <w:r w:rsidR="00767766" w:rsidRPr="009766E0">
        <w:t xml:space="preserve"> EXPRESS TERMS</w:t>
      </w:r>
      <w:r w:rsidR="0083127A" w:rsidRPr="009766E0">
        <w:t xml:space="preserve"> </w:t>
      </w:r>
    </w:p>
    <w:p w14:paraId="1AA29595" w14:textId="6850692D" w:rsidR="003D63AC" w:rsidRDefault="003D63AC" w:rsidP="00AC3ACD">
      <w:pPr>
        <w:pStyle w:val="Heading3"/>
        <w:spacing w:before="120"/>
        <w:rPr>
          <w:rFonts w:eastAsia="Arial" w:cs="Arial"/>
          <w:bCs/>
        </w:rPr>
      </w:pPr>
      <w:r w:rsidRPr="5ECF2130">
        <w:rPr>
          <w:rFonts w:eastAsia="Arial" w:cs="Arial"/>
          <w:bCs/>
        </w:rPr>
        <w:t>ITEM 1</w:t>
      </w:r>
      <w:r>
        <w:br/>
      </w:r>
      <w:r w:rsidRPr="5ECF2130">
        <w:rPr>
          <w:rFonts w:eastAsia="Arial" w:cs="Arial"/>
          <w:bCs/>
        </w:rPr>
        <w:t>Chapter 1 ADMINISTRATION</w:t>
      </w:r>
    </w:p>
    <w:p w14:paraId="6A512980" w14:textId="5AB607AA" w:rsidR="003D63AC" w:rsidRDefault="003D63AC" w:rsidP="00AC3ACD">
      <w:pPr>
        <w:jc w:val="center"/>
      </w:pPr>
      <w:r w:rsidRPr="5ECF2130">
        <w:rPr>
          <w:rFonts w:eastAsia="Arial" w:cs="Arial"/>
          <w:b/>
          <w:bCs/>
          <w:color w:val="000000" w:themeColor="text1"/>
          <w:szCs w:val="24"/>
        </w:rPr>
        <w:t>CHAPTER 1</w:t>
      </w:r>
      <w:r>
        <w:br/>
      </w:r>
      <w:r w:rsidRPr="00D90E7D">
        <w:rPr>
          <w:rFonts w:eastAsia="Arial" w:cs="Arial"/>
          <w:b/>
          <w:bCs/>
          <w:i/>
          <w:iCs/>
          <w:color w:val="000000" w:themeColor="text1"/>
          <w:szCs w:val="24"/>
        </w:rPr>
        <w:t xml:space="preserve">ADMINISTRATION </w:t>
      </w:r>
    </w:p>
    <w:p w14:paraId="46B2126E" w14:textId="77777777" w:rsidR="003D63AC" w:rsidRDefault="003D63AC" w:rsidP="00AC3ACD">
      <w:pPr>
        <w:widowControl/>
        <w:spacing w:after="0"/>
        <w:jc w:val="center"/>
        <w:rPr>
          <w:rFonts w:eastAsia="Arial" w:cs="Arial"/>
          <w:color w:val="000000" w:themeColor="text1"/>
          <w:szCs w:val="24"/>
        </w:rPr>
      </w:pPr>
      <w:r w:rsidRPr="5ECF2130">
        <w:rPr>
          <w:rFonts w:eastAsia="Arial" w:cs="Arial"/>
          <w:b/>
          <w:bCs/>
          <w:i/>
          <w:iCs/>
          <w:color w:val="000000" w:themeColor="text1"/>
          <w:szCs w:val="24"/>
        </w:rPr>
        <w:t>DIVISION II</w:t>
      </w:r>
      <w:r>
        <w:br/>
      </w:r>
      <w:r w:rsidRPr="5ECF2130">
        <w:rPr>
          <w:rFonts w:eastAsia="Arial" w:cs="Arial"/>
          <w:b/>
          <w:bCs/>
          <w:color w:val="000000" w:themeColor="text1"/>
          <w:szCs w:val="24"/>
        </w:rPr>
        <w:t>SCOPE AND ADMINISTRATION</w:t>
      </w:r>
    </w:p>
    <w:p w14:paraId="3879D443"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34D0E110" w14:textId="77777777" w:rsidR="003D63AC" w:rsidRDefault="003D63AC" w:rsidP="00AC3ACD">
      <w:pPr>
        <w:widowControl/>
        <w:spacing w:after="0"/>
        <w:jc w:val="center"/>
        <w:rPr>
          <w:rFonts w:eastAsia="Arial" w:cs="Arial"/>
          <w:color w:val="000000" w:themeColor="text1"/>
          <w:szCs w:val="24"/>
        </w:rPr>
      </w:pPr>
      <w:r w:rsidRPr="5ECF2130">
        <w:rPr>
          <w:rFonts w:eastAsia="Arial" w:cs="Arial"/>
          <w:b/>
          <w:bCs/>
          <w:color w:val="000000" w:themeColor="text1"/>
          <w:szCs w:val="24"/>
        </w:rPr>
        <w:t>PART 2 – ADMINISTRATION AND ENFORCEMENT</w:t>
      </w:r>
    </w:p>
    <w:p w14:paraId="4C56EAAB"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3D758361" w14:textId="77777777" w:rsidR="003D63AC" w:rsidRDefault="003D63AC" w:rsidP="00AC3ACD">
      <w:pPr>
        <w:spacing w:after="0"/>
        <w:jc w:val="center"/>
        <w:rPr>
          <w:rFonts w:eastAsia="Arial" w:cs="Arial"/>
          <w:color w:val="000000" w:themeColor="text1"/>
          <w:szCs w:val="24"/>
        </w:rPr>
      </w:pPr>
      <w:r w:rsidRPr="5ECF2130">
        <w:rPr>
          <w:rFonts w:eastAsia="Arial" w:cs="Arial"/>
          <w:b/>
          <w:bCs/>
          <w:color w:val="000000" w:themeColor="text1"/>
          <w:szCs w:val="24"/>
        </w:rPr>
        <w:t>SECTION 106 – FLOOR AND ROOF DESIGN LOADS</w:t>
      </w:r>
    </w:p>
    <w:p w14:paraId="603DF13C"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435C7233" w14:textId="77777777" w:rsidR="003D63AC" w:rsidRDefault="003D63AC" w:rsidP="00AC3ACD">
      <w:r w:rsidRPr="12EA7501">
        <w:rPr>
          <w:rFonts w:eastAsia="Arial" w:cs="Arial"/>
          <w:b/>
          <w:i/>
        </w:rPr>
        <w:t>106.1.2 Snow load posting. [DSA-SS, DSA-SS/CC]</w:t>
      </w:r>
      <w:r w:rsidRPr="12EA7501">
        <w:rPr>
          <w:rFonts w:eastAsia="Arial" w:cs="Arial"/>
          <w:i/>
        </w:rPr>
        <w:t xml:space="preserve"> When </w:t>
      </w:r>
      <w:r w:rsidRPr="12EA7501">
        <w:rPr>
          <w:rFonts w:eastAsia="Arial" w:cs="Arial"/>
          <w:i/>
          <w:u w:val="single"/>
        </w:rPr>
        <w:t xml:space="preserve">allowable stress </w:t>
      </w:r>
      <w:r w:rsidRPr="12EA7501">
        <w:rPr>
          <w:rFonts w:eastAsia="Arial" w:cs="Arial"/>
          <w:i/>
        </w:rPr>
        <w:t xml:space="preserve">design </w:t>
      </w:r>
      <w:r w:rsidRPr="12EA7501">
        <w:rPr>
          <w:rFonts w:eastAsia="Arial" w:cs="Arial"/>
          <w:i/>
          <w:u w:val="single"/>
        </w:rPr>
        <w:t>level</w:t>
      </w:r>
      <w:r w:rsidRPr="12EA7501">
        <w:rPr>
          <w:rFonts w:eastAsia="Arial" w:cs="Arial"/>
          <w:i/>
        </w:rPr>
        <w:t xml:space="preserve"> snow loads at exterior balconies, decks and other elevated walking surfaces exceed 50 psf, the design snow loads shall be posted as for live loads. When </w:t>
      </w:r>
      <w:r w:rsidRPr="12EA7501">
        <w:rPr>
          <w:rFonts w:eastAsia="Arial" w:cs="Arial"/>
          <w:i/>
          <w:u w:val="single"/>
        </w:rPr>
        <w:t xml:space="preserve">allowable stress </w:t>
      </w:r>
      <w:r w:rsidRPr="12EA7501">
        <w:rPr>
          <w:rFonts w:eastAsia="Arial" w:cs="Arial"/>
          <w:i/>
        </w:rPr>
        <w:t xml:space="preserve">design </w:t>
      </w:r>
      <w:r w:rsidRPr="12EA7501">
        <w:rPr>
          <w:rFonts w:eastAsia="Arial" w:cs="Arial"/>
          <w:i/>
          <w:u w:val="single"/>
        </w:rPr>
        <w:t>level</w:t>
      </w:r>
      <w:r w:rsidRPr="12EA7501">
        <w:rPr>
          <w:rFonts w:eastAsia="Arial" w:cs="Arial"/>
          <w:i/>
        </w:rPr>
        <w:t xml:space="preserve"> roof (not ground) snow loads exceed 20 psf, the roof design snow loads for each roof level of the building shall similarly be conspicuously posted with signs stating the maximum design roof snow loads.</w:t>
      </w:r>
    </w:p>
    <w:p w14:paraId="60DEE9A4" w14:textId="43B44D12" w:rsidR="7285C5D2" w:rsidRPr="00AC3ACD" w:rsidRDefault="7285C5D2" w:rsidP="12EA7501">
      <w:pPr>
        <w:rPr>
          <w:rFonts w:eastAsia="Arial" w:cs="Arial"/>
          <w:b/>
          <w:bCs/>
          <w:color w:val="000000" w:themeColor="text1"/>
          <w:szCs w:val="24"/>
        </w:rPr>
      </w:pPr>
      <w:r w:rsidRPr="00AC3ACD">
        <w:rPr>
          <w:rFonts w:eastAsia="Arial" w:cs="Arial"/>
          <w:b/>
          <w:bCs/>
          <w:color w:val="000000" w:themeColor="text1"/>
          <w:szCs w:val="24"/>
        </w:rPr>
        <w:lastRenderedPageBreak/>
        <w:t>…</w:t>
      </w:r>
    </w:p>
    <w:p w14:paraId="50438ABC" w14:textId="29F79110" w:rsidR="7285C5D2" w:rsidRDefault="7285C5D2" w:rsidP="00AC3ACD">
      <w:pPr>
        <w:pStyle w:val="Heading4"/>
        <w:spacing w:before="120"/>
        <w:ind w:left="0"/>
        <w:rPr>
          <w:rFonts w:eastAsia="Arial" w:cs="Arial"/>
          <w:bCs/>
          <w:iCs w:val="0"/>
          <w:color w:val="000000" w:themeColor="text1"/>
          <w:szCs w:val="24"/>
        </w:rPr>
      </w:pPr>
      <w:r w:rsidRPr="12EA7501">
        <w:rPr>
          <w:rFonts w:eastAsia="Arial" w:cs="Arial"/>
          <w:bCs/>
          <w:iCs w:val="0"/>
          <w:color w:val="000000" w:themeColor="text1"/>
          <w:szCs w:val="24"/>
        </w:rPr>
        <w:t>Notation for [DSA-SS]:</w:t>
      </w:r>
    </w:p>
    <w:p w14:paraId="74DA479B" w14:textId="7FDCEF04" w:rsidR="7285C5D2" w:rsidRPr="00AC3ACD" w:rsidRDefault="7285C5D2" w:rsidP="12EA7501">
      <w:pPr>
        <w:rPr>
          <w:rFonts w:eastAsia="Arial" w:cs="Arial"/>
          <w:color w:val="000000" w:themeColor="text1"/>
          <w:szCs w:val="24"/>
        </w:rPr>
      </w:pPr>
      <w:r w:rsidRPr="00AC3ACD">
        <w:rPr>
          <w:rFonts w:eastAsia="Arial" w:cs="Arial"/>
          <w:color w:val="000000" w:themeColor="text1"/>
          <w:szCs w:val="24"/>
        </w:rPr>
        <w:t>Authority: Education Code sections 17310, 81142, and Health and Safety Code section 16022.</w:t>
      </w:r>
    </w:p>
    <w:p w14:paraId="543CCE15" w14:textId="705CBE43" w:rsidR="7285C5D2" w:rsidRDefault="7285C5D2" w:rsidP="12EA7501">
      <w:pPr>
        <w:rPr>
          <w:rFonts w:eastAsia="Arial" w:cs="Arial"/>
          <w:color w:val="000000" w:themeColor="text1"/>
          <w:szCs w:val="24"/>
        </w:rPr>
      </w:pPr>
      <w:r w:rsidRPr="00AC3ACD">
        <w:rPr>
          <w:rFonts w:eastAsia="Arial" w:cs="Arial"/>
          <w:color w:val="000000" w:themeColor="text1"/>
          <w:szCs w:val="24"/>
        </w:rPr>
        <w:t>Reference(s): Ed</w:t>
      </w:r>
      <w:r w:rsidRPr="12EA7501">
        <w:rPr>
          <w:rFonts w:eastAsia="Arial" w:cs="Arial"/>
          <w:color w:val="000000" w:themeColor="text1"/>
          <w:szCs w:val="24"/>
        </w:rPr>
        <w:t>ucation Code sections 17280 through 17317, 81130 through 81149, and Health and Safety Code sections 16000 through 16023.</w:t>
      </w:r>
    </w:p>
    <w:p w14:paraId="52F12419" w14:textId="0D4FA8EC" w:rsidR="7285C5D2" w:rsidRDefault="7285C5D2" w:rsidP="00AC3ACD">
      <w:pPr>
        <w:pStyle w:val="Heading4"/>
        <w:spacing w:before="120"/>
        <w:ind w:left="0"/>
        <w:rPr>
          <w:rFonts w:eastAsia="Arial" w:cs="Arial"/>
          <w:bCs/>
          <w:iCs w:val="0"/>
          <w:color w:val="000000" w:themeColor="text1"/>
          <w:szCs w:val="24"/>
        </w:rPr>
      </w:pPr>
      <w:r w:rsidRPr="12EA7501">
        <w:rPr>
          <w:rFonts w:eastAsia="Arial" w:cs="Arial"/>
          <w:bCs/>
          <w:iCs w:val="0"/>
          <w:color w:val="000000" w:themeColor="text1"/>
          <w:szCs w:val="24"/>
        </w:rPr>
        <w:t>Notation for [DSA-SS/CC]:</w:t>
      </w:r>
    </w:p>
    <w:p w14:paraId="09A57063" w14:textId="7E2501F3" w:rsidR="7285C5D2" w:rsidRPr="00AC3ACD" w:rsidRDefault="7285C5D2" w:rsidP="12EA7501">
      <w:pPr>
        <w:rPr>
          <w:rFonts w:eastAsia="Arial" w:cs="Arial"/>
          <w:color w:val="000000" w:themeColor="text1"/>
          <w:szCs w:val="24"/>
        </w:rPr>
      </w:pPr>
      <w:r w:rsidRPr="00AC3ACD">
        <w:rPr>
          <w:rFonts w:eastAsia="Arial" w:cs="Arial"/>
          <w:color w:val="000000" w:themeColor="text1"/>
          <w:szCs w:val="24"/>
        </w:rPr>
        <w:t>Authority: Education Code sections 81053.</w:t>
      </w:r>
    </w:p>
    <w:p w14:paraId="081DD2BD" w14:textId="44BF7BC4" w:rsidR="7285C5D2" w:rsidRDefault="7285C5D2" w:rsidP="00AC3ACD">
      <w:r w:rsidRPr="00AC3ACD">
        <w:rPr>
          <w:rFonts w:eastAsia="Arial" w:cs="Arial"/>
          <w:color w:val="000000" w:themeColor="text1"/>
          <w:szCs w:val="24"/>
        </w:rPr>
        <w:t>Reference(s): Educat</w:t>
      </w:r>
      <w:r w:rsidRPr="12EA7501">
        <w:rPr>
          <w:rFonts w:eastAsia="Arial" w:cs="Arial"/>
          <w:color w:val="000000" w:themeColor="text1"/>
          <w:szCs w:val="24"/>
        </w:rPr>
        <w:t>ion Code sections 81052, 81053, and 81130 through 81149.</w:t>
      </w:r>
    </w:p>
    <w:p w14:paraId="10B61AF0" w14:textId="6AC079BB" w:rsidR="00B64AF1" w:rsidRPr="00FC3D11" w:rsidRDefault="00B64AF1" w:rsidP="00FC3D11">
      <w:pPr>
        <w:pStyle w:val="Heading3"/>
      </w:pPr>
      <w:r w:rsidRPr="00FC3D11">
        <w:t xml:space="preserve">ITEM </w:t>
      </w:r>
      <w:r w:rsidR="000F3902" w:rsidRPr="00FC3D11">
        <w:t>2</w:t>
      </w:r>
      <w:r w:rsidRPr="00FC3D11">
        <w:br/>
        <w:t>CHAPTER 16</w:t>
      </w:r>
      <w:r w:rsidR="00275E8B" w:rsidRPr="00FC3D11">
        <w:t xml:space="preserve"> STRUCTURAL DESIGN</w:t>
      </w:r>
    </w:p>
    <w:p w14:paraId="353431E8" w14:textId="77777777" w:rsidR="00B64AF1" w:rsidRPr="00AC3ACD" w:rsidRDefault="00B64AF1" w:rsidP="001C50F7">
      <w:pPr>
        <w:rPr>
          <w:b/>
          <w:bCs/>
        </w:rPr>
      </w:pPr>
      <w:r w:rsidRPr="00AC3ACD">
        <w:rPr>
          <w:b/>
          <w:bCs/>
        </w:rPr>
        <w:t>…</w:t>
      </w:r>
    </w:p>
    <w:p w14:paraId="2E6B62C4" w14:textId="66B74788" w:rsidR="00B64AF1" w:rsidRPr="009766E0" w:rsidRDefault="00742029" w:rsidP="00AC3ACD">
      <w:pPr>
        <w:autoSpaceDE w:val="0"/>
        <w:autoSpaceDN w:val="0"/>
        <w:adjustRightInd w:val="0"/>
        <w:rPr>
          <w:rFonts w:cs="Arial"/>
          <w:i/>
          <w:szCs w:val="24"/>
        </w:rPr>
      </w:pPr>
      <w:r w:rsidRPr="009766E0">
        <w:rPr>
          <w:rFonts w:cs="Arial"/>
          <w:b/>
          <w:i/>
          <w:szCs w:val="24"/>
        </w:rPr>
        <w:t>1617.12.12</w:t>
      </w:r>
      <w:r w:rsidR="00B64AF1" w:rsidRPr="009766E0">
        <w:rPr>
          <w:rFonts w:cs="Arial"/>
          <w:b/>
          <w:i/>
          <w:szCs w:val="24"/>
        </w:rPr>
        <w:t xml:space="preserve"> ASCE 7, Section 13.1.4. </w:t>
      </w:r>
      <w:r w:rsidR="00B64AF1" w:rsidRPr="009766E0">
        <w:rPr>
          <w:rFonts w:cs="Arial"/>
          <w:i/>
          <w:szCs w:val="24"/>
        </w:rPr>
        <w:t>Replace ASCE 7 Section 13.1.4 with the following:</w:t>
      </w:r>
    </w:p>
    <w:p w14:paraId="68B8D45A" w14:textId="77777777" w:rsidR="00B64AF1" w:rsidRPr="009766E0" w:rsidRDefault="00B64AF1" w:rsidP="00AC3ACD">
      <w:pPr>
        <w:widowControl/>
        <w:ind w:left="360"/>
        <w:rPr>
          <w:rFonts w:cs="Arial"/>
          <w:i/>
        </w:rPr>
      </w:pPr>
      <w:r w:rsidRPr="009766E0">
        <w:rPr>
          <w:rFonts w:cs="Arial"/>
          <w:b/>
          <w:i/>
        </w:rPr>
        <w:t>13.1.4. Nonstructural Component</w:t>
      </w:r>
      <w:r w:rsidRPr="009766E0">
        <w:rPr>
          <w:b/>
        </w:rPr>
        <w:t xml:space="preserve"> </w:t>
      </w:r>
      <w:r w:rsidRPr="009766E0">
        <w:rPr>
          <w:rFonts w:cs="Arial"/>
          <w:b/>
          <w:i/>
        </w:rPr>
        <w:t xml:space="preserve">and Equipment Support and Attachment Requirements: </w:t>
      </w:r>
      <w:r w:rsidRPr="009766E0">
        <w:rPr>
          <w:rFonts w:cs="Arial"/>
          <w:i/>
        </w:rPr>
        <w:t>The following nonstructural components and equipment shall be anchored in accordance with this section. Design and detailing shall be in accordance with Chapter 13 except as modified by this section.</w:t>
      </w:r>
    </w:p>
    <w:p w14:paraId="59A69779" w14:textId="77777777" w:rsidR="007A6822" w:rsidRDefault="007A6822" w:rsidP="00AC3ACD">
      <w:pPr>
        <w:autoSpaceDE w:val="0"/>
        <w:autoSpaceDN w:val="0"/>
        <w:adjustRightInd w:val="0"/>
        <w:ind w:firstLine="360"/>
        <w:rPr>
          <w:rFonts w:cs="Arial"/>
          <w:i/>
          <w:szCs w:val="24"/>
        </w:rPr>
      </w:pPr>
      <w:r>
        <w:rPr>
          <w:rFonts w:cs="Arial"/>
          <w:i/>
          <w:szCs w:val="24"/>
        </w:rPr>
        <w:t>1. …</w:t>
      </w:r>
    </w:p>
    <w:p w14:paraId="670DDBAA" w14:textId="77777777" w:rsidR="007A6822" w:rsidRDefault="007A6822" w:rsidP="00AC3ACD">
      <w:pPr>
        <w:autoSpaceDE w:val="0"/>
        <w:autoSpaceDN w:val="0"/>
        <w:adjustRightInd w:val="0"/>
        <w:ind w:firstLine="360"/>
        <w:rPr>
          <w:rFonts w:cs="Arial"/>
          <w:i/>
          <w:szCs w:val="24"/>
        </w:rPr>
      </w:pPr>
      <w:r w:rsidRPr="009766E0">
        <w:rPr>
          <w:rFonts w:cs="Arial"/>
          <w:i/>
          <w:szCs w:val="24"/>
        </w:rPr>
        <w:t>…</w:t>
      </w:r>
    </w:p>
    <w:p w14:paraId="15B76C68" w14:textId="164425E6" w:rsidR="00B64AF1" w:rsidRPr="009766E0" w:rsidRDefault="007A6822" w:rsidP="00AC3ACD">
      <w:pPr>
        <w:autoSpaceDE w:val="0"/>
        <w:autoSpaceDN w:val="0"/>
        <w:adjustRightInd w:val="0"/>
        <w:ind w:left="630" w:hanging="270"/>
        <w:rPr>
          <w:rFonts w:cs="Arial"/>
          <w:i/>
          <w:szCs w:val="24"/>
        </w:rPr>
      </w:pPr>
      <w:r w:rsidRPr="00BA5036">
        <w:rPr>
          <w:rFonts w:cs="Arial"/>
          <w:i/>
          <w:szCs w:val="24"/>
        </w:rPr>
        <w:t xml:space="preserve">8. </w:t>
      </w:r>
      <w:r w:rsidRPr="00DC4810">
        <w:rPr>
          <w:rFonts w:cs="Arial"/>
          <w:b/>
          <w:bCs/>
          <w:i/>
          <w:szCs w:val="24"/>
        </w:rPr>
        <w:t xml:space="preserve">Wall-, Roof- or Floor-Hung Equipment: </w:t>
      </w:r>
      <w:r w:rsidRPr="00BA5036">
        <w:rPr>
          <w:rFonts w:cs="Arial"/>
          <w:i/>
          <w:szCs w:val="24"/>
        </w:rPr>
        <w:t>Seismic design and seismic details shall be provided for wall-, roof- or floor</w:t>
      </w:r>
      <w:r>
        <w:rPr>
          <w:rFonts w:cs="Arial"/>
          <w:i/>
          <w:szCs w:val="24"/>
        </w:rPr>
        <w:t>-</w:t>
      </w:r>
      <w:r w:rsidRPr="00BA5036">
        <w:rPr>
          <w:rFonts w:cs="Arial"/>
          <w:i/>
          <w:szCs w:val="24"/>
        </w:rPr>
        <w:t>hung</w:t>
      </w:r>
      <w:r>
        <w:rPr>
          <w:rFonts w:cs="Arial"/>
          <w:i/>
          <w:szCs w:val="24"/>
        </w:rPr>
        <w:t xml:space="preserve"> </w:t>
      </w:r>
      <w:r w:rsidRPr="00BA5036">
        <w:rPr>
          <w:rFonts w:cs="Arial"/>
          <w:i/>
          <w:szCs w:val="24"/>
        </w:rPr>
        <w:t>nonstructural components and equipment when the component weighs more than 20 pounds (9 kg) or, in the case</w:t>
      </w:r>
      <w:r>
        <w:rPr>
          <w:rFonts w:cs="Arial"/>
          <w:i/>
          <w:szCs w:val="24"/>
        </w:rPr>
        <w:t xml:space="preserve"> </w:t>
      </w:r>
      <w:r w:rsidRPr="00BA5036">
        <w:rPr>
          <w:rFonts w:cs="Arial"/>
          <w:i/>
          <w:szCs w:val="24"/>
        </w:rPr>
        <w:t>of a distribution system, 5 pounds per foot (73 N/m).</w:t>
      </w:r>
    </w:p>
    <w:p w14:paraId="38C69C8F" w14:textId="61E2F93A" w:rsidR="00B64AF1" w:rsidRPr="009766E0" w:rsidRDefault="00B64AF1" w:rsidP="00AC3ACD">
      <w:pPr>
        <w:ind w:left="360"/>
        <w:rPr>
          <w:rFonts w:cs="Arial"/>
          <w:i/>
        </w:rPr>
      </w:pPr>
      <w:r w:rsidRPr="009766E0">
        <w:rPr>
          <w:rFonts w:cs="Arial"/>
          <w:b/>
          <w:i/>
        </w:rPr>
        <w:t>Exemptions:</w:t>
      </w:r>
      <w:r w:rsidRPr="009766E0">
        <w:rPr>
          <w:rFonts w:cs="Arial"/>
          <w:i/>
        </w:rPr>
        <w:t xml:space="preserve"> The following nonstructural components are exempt from the requirements of ASCE 7, Chapter 13:</w:t>
      </w:r>
    </w:p>
    <w:p w14:paraId="3670FE6E" w14:textId="77777777" w:rsidR="00B64AF1" w:rsidRPr="009766E0" w:rsidRDefault="00B64AF1" w:rsidP="00AC3ACD">
      <w:pPr>
        <w:pStyle w:val="ListParagraph"/>
        <w:widowControl/>
        <w:numPr>
          <w:ilvl w:val="0"/>
          <w:numId w:val="6"/>
        </w:numPr>
        <w:tabs>
          <w:tab w:val="left" w:pos="1080"/>
        </w:tabs>
        <w:contextualSpacing w:val="0"/>
        <w:rPr>
          <w:rFonts w:cs="Arial"/>
          <w:i/>
        </w:rPr>
      </w:pPr>
      <w:r w:rsidRPr="009766E0">
        <w:rPr>
          <w:rFonts w:cs="Arial"/>
          <w:i/>
        </w:rPr>
        <w:t>Furniture except storage cabinets as noted in Table 13.5-1.</w:t>
      </w:r>
    </w:p>
    <w:p w14:paraId="27DD8BB1" w14:textId="738B69B0" w:rsidR="00B64AF1" w:rsidRPr="009766E0" w:rsidRDefault="00B64AF1" w:rsidP="00AC3ACD">
      <w:pPr>
        <w:pStyle w:val="ListParagraph"/>
        <w:widowControl/>
        <w:numPr>
          <w:ilvl w:val="0"/>
          <w:numId w:val="5"/>
        </w:numPr>
        <w:tabs>
          <w:tab w:val="left" w:pos="1080"/>
        </w:tabs>
        <w:contextualSpacing w:val="0"/>
        <w:rPr>
          <w:rFonts w:cs="Arial"/>
          <w:i/>
          <w:iCs/>
        </w:rPr>
      </w:pPr>
      <w:r w:rsidRPr="009766E0">
        <w:rPr>
          <w:rFonts w:cs="Arial"/>
          <w:i/>
        </w:rPr>
        <w:t xml:space="preserve">Nonstructural components and equipment, that are </w:t>
      </w:r>
      <w:r w:rsidRPr="009766E0">
        <w:rPr>
          <w:rFonts w:cs="Arial"/>
          <w:i/>
          <w:iCs/>
        </w:rPr>
        <w:t>positively</w:t>
      </w:r>
      <w:r w:rsidRPr="009766E0">
        <w:rPr>
          <w:rFonts w:cs="Arial"/>
          <w:i/>
        </w:rPr>
        <w:t xml:space="preserve"> attached to the structure, provided that the component weighs 20 pounds (9 kg) or less </w:t>
      </w:r>
      <w:r w:rsidRPr="009766E0">
        <w:rPr>
          <w:rFonts w:cs="Arial"/>
          <w:i/>
          <w:u w:val="single"/>
        </w:rPr>
        <w:t>or, in the case of a distribution system, 5 pounds per foot (73 N/m) or less</w:t>
      </w:r>
      <w:r w:rsidRPr="009766E0">
        <w:rPr>
          <w:rFonts w:cs="Arial"/>
          <w:i/>
        </w:rPr>
        <w:t xml:space="preserve">. </w:t>
      </w:r>
      <w:r w:rsidRPr="009766E0">
        <w:rPr>
          <w:rFonts w:cs="Arial"/>
          <w:i/>
          <w:u w:val="single"/>
        </w:rPr>
        <w:t xml:space="preserve">The attachment need not be detailed on the </w:t>
      </w:r>
      <w:r w:rsidR="00C3267C" w:rsidRPr="009766E0">
        <w:rPr>
          <w:rFonts w:cs="Arial"/>
          <w:i/>
          <w:u w:val="single"/>
        </w:rPr>
        <w:t>construction documents</w:t>
      </w:r>
      <w:r w:rsidRPr="009766E0">
        <w:rPr>
          <w:rFonts w:cs="Arial"/>
          <w:i/>
          <w:u w:val="single"/>
        </w:rPr>
        <w:t>.</w:t>
      </w:r>
    </w:p>
    <w:p w14:paraId="7944D4F2" w14:textId="3A63EA72" w:rsidR="00B64AF1" w:rsidRPr="009766E0" w:rsidRDefault="00B64AF1" w:rsidP="00AC3ACD">
      <w:pPr>
        <w:pStyle w:val="ListParagraph"/>
        <w:widowControl/>
        <w:numPr>
          <w:ilvl w:val="0"/>
          <w:numId w:val="5"/>
        </w:numPr>
        <w:tabs>
          <w:tab w:val="left" w:pos="1080"/>
        </w:tabs>
        <w:contextualSpacing w:val="0"/>
        <w:rPr>
          <w:rFonts w:cs="Arial"/>
          <w:i/>
          <w:iCs/>
        </w:rPr>
      </w:pPr>
      <w:r w:rsidRPr="009766E0">
        <w:rPr>
          <w:rFonts w:cs="Arial"/>
          <w:i/>
        </w:rPr>
        <w:t>Discrete architectural, mechanical and electrical components and equipment that are positively attached to the structure, provided that the component weighs 400 pounds (18.44 kg) or less, and the center of mass is located 4 feet (1219 mm) or less above the adjacent floor or roof level that directly supports the component, flexible connections are provided between the component and associated ductwork, piping and conduit where required</w:t>
      </w:r>
      <w:r w:rsidRPr="009766E0">
        <w:rPr>
          <w:rFonts w:cs="Arial"/>
          <w:i/>
          <w:iCs/>
        </w:rPr>
        <w:t>, and the component Importance Factor, I</w:t>
      </w:r>
      <w:r w:rsidRPr="009766E0">
        <w:rPr>
          <w:rFonts w:cs="Arial"/>
          <w:i/>
          <w:iCs/>
          <w:vertAlign w:val="subscript"/>
        </w:rPr>
        <w:t>p</w:t>
      </w:r>
      <w:r w:rsidRPr="009766E0">
        <w:rPr>
          <w:rFonts w:cs="Arial"/>
          <w:i/>
          <w:iCs/>
        </w:rPr>
        <w:t>, is equal to 1.0</w:t>
      </w:r>
      <w:r w:rsidRPr="009766E0">
        <w:rPr>
          <w:rFonts w:cs="Arial"/>
          <w:i/>
        </w:rPr>
        <w:t xml:space="preserve">. </w:t>
      </w:r>
      <w:r w:rsidRPr="009766E0">
        <w:rPr>
          <w:rFonts w:cs="Arial"/>
          <w:i/>
          <w:u w:val="single"/>
        </w:rPr>
        <w:t xml:space="preserve">The attachment need not be detailed on the </w:t>
      </w:r>
      <w:r w:rsidR="00C3267C" w:rsidRPr="009766E0">
        <w:rPr>
          <w:rFonts w:cs="Arial"/>
          <w:i/>
          <w:u w:val="single"/>
        </w:rPr>
        <w:t>construction documents</w:t>
      </w:r>
      <w:r w:rsidRPr="009766E0">
        <w:rPr>
          <w:rFonts w:cs="Arial"/>
          <w:i/>
          <w:u w:val="single"/>
        </w:rPr>
        <w:t>.</w:t>
      </w:r>
    </w:p>
    <w:p w14:paraId="60AA4B56" w14:textId="77777777" w:rsidR="00B64AF1" w:rsidRPr="00AC3ACD" w:rsidRDefault="00B64AF1" w:rsidP="00AC3ACD">
      <w:pPr>
        <w:autoSpaceDE w:val="0"/>
        <w:autoSpaceDN w:val="0"/>
        <w:adjustRightInd w:val="0"/>
        <w:rPr>
          <w:rFonts w:cs="Arial"/>
          <w:b/>
          <w:bCs/>
          <w:i/>
          <w:szCs w:val="24"/>
        </w:rPr>
      </w:pPr>
      <w:r w:rsidRPr="00AC3ACD">
        <w:rPr>
          <w:rFonts w:cs="Arial"/>
          <w:b/>
          <w:bCs/>
          <w:i/>
          <w:szCs w:val="24"/>
        </w:rPr>
        <w:t>…</w:t>
      </w:r>
    </w:p>
    <w:p w14:paraId="3AF906A9" w14:textId="77777777" w:rsidR="00F93F0B" w:rsidRPr="009766E0" w:rsidRDefault="00F93F0B" w:rsidP="00AC3ACD">
      <w:pPr>
        <w:pStyle w:val="Heading4"/>
        <w:spacing w:before="120"/>
        <w:ind w:left="0"/>
      </w:pPr>
      <w:r w:rsidRPr="009766E0">
        <w:lastRenderedPageBreak/>
        <w:t xml:space="preserve">Notation: </w:t>
      </w:r>
    </w:p>
    <w:p w14:paraId="7E814C9E" w14:textId="19821736" w:rsidR="00F93F0B" w:rsidRPr="009766E0" w:rsidRDefault="00F93F0B" w:rsidP="00F93F0B">
      <w:pPr>
        <w:rPr>
          <w:rFonts w:cs="Arial"/>
        </w:rPr>
      </w:pPr>
      <w:r w:rsidRPr="009766E0">
        <w:rPr>
          <w:rFonts w:cs="Arial"/>
        </w:rPr>
        <w:t xml:space="preserve">Authority: </w:t>
      </w:r>
      <w:r w:rsidR="00CE67CD" w:rsidRPr="009766E0">
        <w:rPr>
          <w:rFonts w:cs="Arial"/>
        </w:rPr>
        <w:t>Education Code Section 81053</w:t>
      </w:r>
    </w:p>
    <w:p w14:paraId="416557B0" w14:textId="2A796012" w:rsidR="00F93F0B" w:rsidRPr="009766E0" w:rsidRDefault="00F93F0B" w:rsidP="00F93F0B">
      <w:pPr>
        <w:rPr>
          <w:rFonts w:cs="Arial"/>
        </w:rPr>
      </w:pPr>
      <w:r w:rsidRPr="009766E0">
        <w:rPr>
          <w:rFonts w:cs="Arial"/>
        </w:rPr>
        <w:t xml:space="preserve">Reference(s): </w:t>
      </w:r>
      <w:r w:rsidR="000519A3" w:rsidRPr="009766E0">
        <w:rPr>
          <w:rFonts w:cs="Arial"/>
        </w:rPr>
        <w:t>Education Code Sections 81052, 81053, and 81130 through 81149</w:t>
      </w:r>
    </w:p>
    <w:p w14:paraId="0F513F0C" w14:textId="748DD575" w:rsidR="00426F96" w:rsidRDefault="00426F96" w:rsidP="00FC3D11">
      <w:pPr>
        <w:pStyle w:val="Heading3"/>
      </w:pPr>
      <w:r w:rsidRPr="00FC3D11">
        <w:t xml:space="preserve">ITEM </w:t>
      </w:r>
      <w:r w:rsidR="000F3902" w:rsidRPr="00FC3D11">
        <w:t>3</w:t>
      </w:r>
      <w:r w:rsidRPr="00FC3D11">
        <w:br/>
      </w:r>
      <w:r w:rsidR="000340B7" w:rsidRPr="00FC3D11">
        <w:t>CHAPTER</w:t>
      </w:r>
      <w:r w:rsidRPr="00FC3D11">
        <w:t xml:space="preserve"> </w:t>
      </w:r>
      <w:r w:rsidR="001D703D" w:rsidRPr="00FC3D11">
        <w:t>1</w:t>
      </w:r>
      <w:r w:rsidR="009704CE" w:rsidRPr="00FC3D11">
        <w:t>6</w:t>
      </w:r>
      <w:r w:rsidR="001D703D" w:rsidRPr="00FC3D11">
        <w:t>A</w:t>
      </w:r>
      <w:r w:rsidR="00275E8B" w:rsidRPr="00FC3D11">
        <w:t xml:space="preserve"> STRUCTURAL DESIGN</w:t>
      </w:r>
    </w:p>
    <w:p w14:paraId="1BA9B461" w14:textId="13F2640F" w:rsidR="00F2223C" w:rsidRPr="00AC3ACD" w:rsidRDefault="00084F43" w:rsidP="001C50F7">
      <w:pPr>
        <w:rPr>
          <w:b/>
          <w:bCs/>
        </w:rPr>
      </w:pPr>
      <w:r w:rsidRPr="00AC3ACD">
        <w:rPr>
          <w:b/>
          <w:bCs/>
        </w:rPr>
        <w:t>…</w:t>
      </w:r>
    </w:p>
    <w:p w14:paraId="76685AED" w14:textId="77777777" w:rsidR="00587C18" w:rsidRPr="000E0C6F" w:rsidRDefault="00587C18" w:rsidP="00587C18">
      <w:pPr>
        <w:pStyle w:val="CM473"/>
        <w:spacing w:after="120" w:line="271" w:lineRule="atLeast"/>
        <w:ind w:right="412"/>
        <w:rPr>
          <w:rFonts w:ascii="Arial" w:hAnsi="Arial" w:cs="Arial"/>
          <w:color w:val="000000"/>
        </w:rPr>
      </w:pPr>
      <w:r w:rsidRPr="00F94981">
        <w:rPr>
          <w:rFonts w:ascii="Arial" w:hAnsi="Arial" w:cs="Arial"/>
          <w:b/>
          <w:bCs/>
          <w:color w:val="000000"/>
        </w:rPr>
        <w:t>1603</w:t>
      </w:r>
      <w:r w:rsidRPr="00F94981">
        <w:rPr>
          <w:rFonts w:ascii="Arial" w:hAnsi="Arial" w:cs="Arial"/>
          <w:b/>
          <w:bCs/>
          <w:i/>
          <w:iCs/>
          <w:color w:val="000000"/>
        </w:rPr>
        <w:t>A</w:t>
      </w:r>
      <w:r w:rsidRPr="00F94981">
        <w:rPr>
          <w:rFonts w:ascii="Arial" w:hAnsi="Arial" w:cs="Arial"/>
          <w:b/>
          <w:bCs/>
          <w:color w:val="000000"/>
        </w:rPr>
        <w:t xml:space="preserve">.1.5 </w:t>
      </w:r>
      <w:bookmarkStart w:id="0" w:name="_Hlk208317683"/>
      <w:r w:rsidRPr="00F94981">
        <w:rPr>
          <w:rFonts w:ascii="Arial" w:hAnsi="Arial" w:cs="Arial"/>
          <w:b/>
          <w:bCs/>
          <w:color w:val="000000"/>
        </w:rPr>
        <w:t>Earthquake design data</w:t>
      </w:r>
      <w:r w:rsidRPr="00587C18">
        <w:rPr>
          <w:rFonts w:ascii="Arial" w:hAnsi="Arial" w:cs="Arial"/>
          <w:b/>
          <w:bCs/>
          <w:color w:val="000000"/>
        </w:rPr>
        <w:t>.</w:t>
      </w:r>
      <w:bookmarkEnd w:id="0"/>
      <w:r w:rsidRPr="00587C18">
        <w:rPr>
          <w:rFonts w:ascii="Arial" w:hAnsi="Arial" w:cs="Arial"/>
          <w:color w:val="000000"/>
        </w:rPr>
        <w:t xml:space="preserve"> The following information related to seismic loads shall be shown, regardless of whether seismic loads govern the design of the lateral force-resisting system of the structure:</w:t>
      </w:r>
    </w:p>
    <w:p w14:paraId="1C75273E" w14:textId="77777777" w:rsidR="00587C18" w:rsidRPr="004607BA" w:rsidRDefault="00587C18" w:rsidP="00587C18">
      <w:pPr>
        <w:pStyle w:val="Default"/>
        <w:numPr>
          <w:ilvl w:val="0"/>
          <w:numId w:val="42"/>
        </w:numPr>
        <w:spacing w:after="120"/>
        <w:rPr>
          <w:rFonts w:ascii="Arial" w:hAnsi="Arial" w:cs="Arial"/>
          <w:i/>
          <w:iCs/>
        </w:rPr>
      </w:pPr>
      <w:r w:rsidRPr="004607BA">
        <w:rPr>
          <w:rFonts w:ascii="Arial" w:hAnsi="Arial" w:cs="Arial"/>
          <w:i/>
          <w:iCs/>
          <w:u w:val="single"/>
        </w:rPr>
        <w:t>Project location</w:t>
      </w:r>
      <w:r>
        <w:rPr>
          <w:rFonts w:ascii="Arial" w:hAnsi="Arial" w:cs="Arial"/>
          <w:i/>
          <w:iCs/>
          <w:u w:val="single"/>
        </w:rPr>
        <w:t>.</w:t>
      </w:r>
    </w:p>
    <w:p w14:paraId="556F33CA"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1. </w:t>
      </w:r>
      <w:r w:rsidRPr="00F94981">
        <w:rPr>
          <w:rFonts w:ascii="Arial" w:hAnsi="Arial" w:cs="Arial"/>
        </w:rPr>
        <w:t>Risk category.</w:t>
      </w:r>
    </w:p>
    <w:p w14:paraId="2622A40D"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2. </w:t>
      </w:r>
      <w:r w:rsidRPr="00F94981">
        <w:rPr>
          <w:rFonts w:ascii="Arial" w:hAnsi="Arial" w:cs="Arial"/>
        </w:rPr>
        <w:t xml:space="preserve">Seismic importance factor, </w:t>
      </w:r>
      <w:r w:rsidRPr="00F94981">
        <w:rPr>
          <w:rFonts w:ascii="Arial" w:hAnsi="Arial" w:cs="Arial"/>
          <w:i/>
          <w:iCs/>
        </w:rPr>
        <w:t>I</w:t>
      </w:r>
      <w:r w:rsidRPr="00F94981">
        <w:rPr>
          <w:rFonts w:ascii="Arial" w:hAnsi="Arial" w:cs="Arial"/>
          <w:i/>
          <w:iCs/>
          <w:vertAlign w:val="subscript"/>
        </w:rPr>
        <w:t>e</w:t>
      </w:r>
      <w:r w:rsidRPr="00F94981">
        <w:rPr>
          <w:rFonts w:ascii="Arial" w:hAnsi="Arial" w:cs="Arial"/>
        </w:rPr>
        <w:t>.</w:t>
      </w:r>
    </w:p>
    <w:p w14:paraId="19FC4E22"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3. </w:t>
      </w:r>
      <w:r w:rsidRPr="00F94981">
        <w:rPr>
          <w:rFonts w:ascii="Arial" w:hAnsi="Arial" w:cs="Arial"/>
        </w:rPr>
        <w:t xml:space="preserve">Spectral response acceleration parameters, </w:t>
      </w:r>
      <w:r w:rsidRPr="00F94981">
        <w:rPr>
          <w:rFonts w:ascii="Arial" w:hAnsi="Arial" w:cs="Arial"/>
          <w:i/>
          <w:iCs/>
        </w:rPr>
        <w:t>S</w:t>
      </w:r>
      <w:r w:rsidRPr="00F94981">
        <w:rPr>
          <w:rFonts w:ascii="Arial" w:hAnsi="Arial" w:cs="Arial"/>
          <w:i/>
          <w:iCs/>
          <w:position w:val="-4"/>
          <w:vertAlign w:val="subscript"/>
        </w:rPr>
        <w:t>S</w:t>
      </w:r>
      <w:r w:rsidRPr="00F94981">
        <w:rPr>
          <w:rFonts w:ascii="Arial" w:hAnsi="Arial" w:cs="Arial"/>
          <w:position w:val="-4"/>
          <w:vertAlign w:val="subscript"/>
        </w:rPr>
        <w:t xml:space="preserve"> </w:t>
      </w:r>
      <w:r w:rsidRPr="00F94981">
        <w:rPr>
          <w:rFonts w:ascii="Arial" w:hAnsi="Arial" w:cs="Arial"/>
        </w:rPr>
        <w:t xml:space="preserve">and </w:t>
      </w:r>
      <w:r w:rsidRPr="00F94981">
        <w:rPr>
          <w:rFonts w:ascii="Arial" w:hAnsi="Arial" w:cs="Arial"/>
          <w:i/>
          <w:iCs/>
        </w:rPr>
        <w:t>S</w:t>
      </w:r>
      <w:r w:rsidRPr="00F94981">
        <w:rPr>
          <w:rFonts w:ascii="Arial" w:hAnsi="Arial" w:cs="Arial"/>
          <w:i/>
          <w:iCs/>
          <w:position w:val="-4"/>
          <w:vertAlign w:val="subscript"/>
        </w:rPr>
        <w:t>1</w:t>
      </w:r>
      <w:r w:rsidRPr="00F94981">
        <w:rPr>
          <w:rFonts w:ascii="Arial" w:hAnsi="Arial" w:cs="Arial"/>
        </w:rPr>
        <w:t>.</w:t>
      </w:r>
    </w:p>
    <w:p w14:paraId="7F4E25CC"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4. </w:t>
      </w:r>
      <w:r w:rsidRPr="00F94981">
        <w:rPr>
          <w:rFonts w:ascii="Arial" w:hAnsi="Arial" w:cs="Arial"/>
        </w:rPr>
        <w:t>Site class.</w:t>
      </w:r>
    </w:p>
    <w:p w14:paraId="740CECD5" w14:textId="0125E4C8" w:rsidR="00587C18" w:rsidRPr="00F94981" w:rsidRDefault="00A52C9B" w:rsidP="00587C18">
      <w:pPr>
        <w:pStyle w:val="Default"/>
        <w:numPr>
          <w:ilvl w:val="0"/>
          <w:numId w:val="42"/>
        </w:numPr>
        <w:spacing w:after="120"/>
        <w:rPr>
          <w:rFonts w:ascii="Arial" w:hAnsi="Arial" w:cs="Arial"/>
          <w:i/>
          <w:iCs/>
        </w:rPr>
      </w:pPr>
      <w:r w:rsidRPr="00F94981">
        <w:rPr>
          <w:rFonts w:ascii="Arial" w:hAnsi="Arial" w:cs="Arial"/>
          <w:strike/>
        </w:rPr>
        <w:t>5</w:t>
      </w:r>
      <w:r w:rsidR="00587C18" w:rsidRPr="00F94981">
        <w:rPr>
          <w:rFonts w:ascii="Arial" w:hAnsi="Arial" w:cs="Arial"/>
          <w:strike/>
        </w:rPr>
        <w:t xml:space="preserve">. </w:t>
      </w:r>
      <w:r w:rsidR="00587C18" w:rsidRPr="00F94981">
        <w:rPr>
          <w:rFonts w:ascii="Arial" w:hAnsi="Arial" w:cs="Arial"/>
        </w:rPr>
        <w:t xml:space="preserve">Design spectral response acceleration parameters, </w:t>
      </w:r>
      <w:r w:rsidR="00587C18" w:rsidRPr="00F94981">
        <w:rPr>
          <w:rFonts w:ascii="Arial" w:hAnsi="Arial" w:cs="Arial"/>
          <w:i/>
          <w:iCs/>
        </w:rPr>
        <w:t>S</w:t>
      </w:r>
      <w:r w:rsidR="00587C18" w:rsidRPr="00F94981">
        <w:rPr>
          <w:rFonts w:ascii="Arial" w:hAnsi="Arial" w:cs="Arial"/>
          <w:i/>
          <w:iCs/>
          <w:position w:val="-4"/>
          <w:vertAlign w:val="subscript"/>
        </w:rPr>
        <w:t>DS</w:t>
      </w:r>
      <w:r w:rsidR="00587C18" w:rsidRPr="00F94981">
        <w:rPr>
          <w:rFonts w:ascii="Arial" w:hAnsi="Arial" w:cs="Arial"/>
          <w:position w:val="-4"/>
          <w:vertAlign w:val="subscript"/>
        </w:rPr>
        <w:t xml:space="preserve"> </w:t>
      </w:r>
      <w:r w:rsidR="00587C18" w:rsidRPr="00F94981">
        <w:rPr>
          <w:rFonts w:ascii="Arial" w:hAnsi="Arial" w:cs="Arial"/>
        </w:rPr>
        <w:t xml:space="preserve">and </w:t>
      </w:r>
      <w:r w:rsidR="00587C18" w:rsidRPr="00F94981">
        <w:rPr>
          <w:rFonts w:ascii="Arial" w:hAnsi="Arial" w:cs="Arial"/>
          <w:i/>
          <w:iCs/>
        </w:rPr>
        <w:t>S</w:t>
      </w:r>
      <w:r w:rsidR="00587C18" w:rsidRPr="00F94981">
        <w:rPr>
          <w:rFonts w:ascii="Arial" w:hAnsi="Arial" w:cs="Arial"/>
          <w:i/>
          <w:iCs/>
          <w:position w:val="-4"/>
          <w:vertAlign w:val="subscript"/>
        </w:rPr>
        <w:t>D1</w:t>
      </w:r>
      <w:r w:rsidR="00587C18" w:rsidRPr="00F94981">
        <w:rPr>
          <w:rFonts w:ascii="Arial" w:hAnsi="Arial" w:cs="Arial"/>
        </w:rPr>
        <w:t xml:space="preserve">, </w:t>
      </w:r>
      <w:r w:rsidR="00587C18" w:rsidRPr="00F94981">
        <w:rPr>
          <w:rFonts w:ascii="Arial" w:hAnsi="Arial" w:cs="Arial"/>
          <w:i/>
          <w:iCs/>
          <w:u w:val="single"/>
        </w:rPr>
        <w:t>MPRS spectrum or Site-specific response spectrum</w:t>
      </w:r>
      <w:r w:rsidR="00587C18" w:rsidRPr="00F94981">
        <w:rPr>
          <w:rFonts w:ascii="Arial" w:hAnsi="Arial" w:cs="Arial"/>
          <w:i/>
          <w:iCs/>
        </w:rPr>
        <w:t>.</w:t>
      </w:r>
    </w:p>
    <w:p w14:paraId="2EE68C9C" w14:textId="77777777" w:rsidR="00587C18" w:rsidRPr="00F94981" w:rsidRDefault="00587C18" w:rsidP="00587C18">
      <w:pPr>
        <w:pStyle w:val="CM472"/>
        <w:numPr>
          <w:ilvl w:val="0"/>
          <w:numId w:val="42"/>
        </w:numPr>
        <w:spacing w:after="120" w:line="271" w:lineRule="atLeast"/>
        <w:rPr>
          <w:rFonts w:ascii="Arial" w:hAnsi="Arial" w:cs="Arial"/>
          <w:i/>
          <w:iCs/>
          <w:color w:val="000000"/>
        </w:rPr>
      </w:pPr>
      <w:r w:rsidRPr="00F94981">
        <w:rPr>
          <w:rFonts w:ascii="Arial" w:hAnsi="Arial" w:cs="Arial"/>
          <w:i/>
          <w:iCs/>
          <w:color w:val="000000"/>
          <w:u w:val="single"/>
        </w:rPr>
        <w:t>Design spectral response acceleration, S</w:t>
      </w:r>
      <w:r w:rsidRPr="00F94981">
        <w:rPr>
          <w:rFonts w:ascii="Arial" w:hAnsi="Arial" w:cs="Arial"/>
          <w:i/>
          <w:iCs/>
          <w:color w:val="000000"/>
          <w:u w:val="single"/>
          <w:vertAlign w:val="subscript"/>
        </w:rPr>
        <w:t>DS</w:t>
      </w:r>
      <w:r w:rsidRPr="00F94981">
        <w:rPr>
          <w:rFonts w:ascii="Arial" w:hAnsi="Arial" w:cs="Arial"/>
          <w:i/>
          <w:iCs/>
          <w:color w:val="000000"/>
          <w:u w:val="single"/>
        </w:rPr>
        <w:t>, for non-structural components.</w:t>
      </w:r>
    </w:p>
    <w:p w14:paraId="5DACFF6E" w14:textId="43013798" w:rsidR="00587C18" w:rsidRPr="00F94981" w:rsidRDefault="008F2DE6" w:rsidP="00587C18">
      <w:pPr>
        <w:pStyle w:val="Default"/>
        <w:numPr>
          <w:ilvl w:val="0"/>
          <w:numId w:val="42"/>
        </w:numPr>
        <w:spacing w:after="120"/>
        <w:rPr>
          <w:rFonts w:ascii="Arial" w:hAnsi="Arial" w:cs="Arial"/>
        </w:rPr>
      </w:pPr>
      <w:r w:rsidRPr="00F94981">
        <w:rPr>
          <w:rFonts w:ascii="Arial" w:hAnsi="Arial" w:cs="Arial"/>
          <w:strike/>
        </w:rPr>
        <w:t>6</w:t>
      </w:r>
      <w:r w:rsidR="00587C18" w:rsidRPr="00F94981">
        <w:rPr>
          <w:rFonts w:ascii="Arial" w:hAnsi="Arial" w:cs="Arial"/>
          <w:strike/>
        </w:rPr>
        <w:t xml:space="preserve">. </w:t>
      </w:r>
      <w:r w:rsidR="00587C18" w:rsidRPr="00E92742">
        <w:rPr>
          <w:rFonts w:ascii="Arial" w:hAnsi="Arial" w:cs="Arial"/>
        </w:rPr>
        <w:t>Seismic design category.</w:t>
      </w:r>
    </w:p>
    <w:p w14:paraId="50D01918" w14:textId="5983D44E" w:rsidR="00587C18" w:rsidRPr="00F94981" w:rsidRDefault="00FD49F9" w:rsidP="00587C18">
      <w:pPr>
        <w:pStyle w:val="Default"/>
        <w:numPr>
          <w:ilvl w:val="0"/>
          <w:numId w:val="42"/>
        </w:numPr>
        <w:spacing w:after="120"/>
        <w:rPr>
          <w:rFonts w:ascii="Arial" w:hAnsi="Arial" w:cs="Arial"/>
        </w:rPr>
      </w:pPr>
      <w:r w:rsidRPr="00F94981">
        <w:rPr>
          <w:rFonts w:ascii="Arial" w:hAnsi="Arial" w:cs="Arial"/>
          <w:strike/>
        </w:rPr>
        <w:t>7</w:t>
      </w:r>
      <w:r w:rsidR="00587C18" w:rsidRPr="00F94981">
        <w:rPr>
          <w:rFonts w:ascii="Arial" w:hAnsi="Arial" w:cs="Arial"/>
          <w:strike/>
        </w:rPr>
        <w:t xml:space="preserve">. </w:t>
      </w:r>
      <w:r w:rsidR="00587C18" w:rsidRPr="00F94981">
        <w:rPr>
          <w:rFonts w:ascii="Arial" w:hAnsi="Arial" w:cs="Arial"/>
        </w:rPr>
        <w:t>Basic seismic force-resisting system</w:t>
      </w:r>
      <w:r w:rsidR="00587C18" w:rsidRPr="00F94981">
        <w:rPr>
          <w:rFonts w:ascii="Arial" w:hAnsi="Arial" w:cs="Arial"/>
          <w:strike/>
        </w:rPr>
        <w:t>(s).</w:t>
      </w:r>
      <w:r w:rsidR="00587C18" w:rsidRPr="00F94981">
        <w:rPr>
          <w:rFonts w:ascii="Arial" w:hAnsi="Arial" w:cs="Arial"/>
        </w:rPr>
        <w:t xml:space="preserve"> </w:t>
      </w:r>
      <w:r w:rsidR="00587C18" w:rsidRPr="00F94981">
        <w:rPr>
          <w:rFonts w:ascii="Arial" w:hAnsi="Arial" w:cs="Arial"/>
          <w:i/>
          <w:iCs/>
          <w:u w:val="single"/>
        </w:rPr>
        <w:t>in each direction.</w:t>
      </w:r>
    </w:p>
    <w:p w14:paraId="5A5F8A67" w14:textId="7263B73D" w:rsidR="00587C18" w:rsidRPr="00F94981" w:rsidRDefault="00587C18" w:rsidP="00587C18">
      <w:pPr>
        <w:pStyle w:val="Default"/>
        <w:spacing w:after="120"/>
        <w:ind w:left="720" w:hanging="360"/>
        <w:rPr>
          <w:rFonts w:ascii="Arial" w:hAnsi="Arial" w:cs="Arial"/>
        </w:rPr>
      </w:pPr>
      <w:r w:rsidRPr="00F94981">
        <w:rPr>
          <w:rFonts w:ascii="Arial" w:hAnsi="Arial" w:cs="Arial"/>
          <w:strike/>
        </w:rPr>
        <w:t>8. Design base shear(s).</w:t>
      </w:r>
    </w:p>
    <w:p w14:paraId="1E4D85B6" w14:textId="77777777" w:rsidR="00587C18" w:rsidRPr="00F94981" w:rsidRDefault="00587C18" w:rsidP="00587C18">
      <w:pPr>
        <w:pStyle w:val="Default"/>
        <w:spacing w:after="120"/>
        <w:ind w:left="720" w:hanging="360"/>
        <w:rPr>
          <w:rFonts w:ascii="Arial" w:hAnsi="Arial" w:cs="Arial"/>
        </w:rPr>
      </w:pPr>
      <w:r w:rsidRPr="00F94981">
        <w:rPr>
          <w:rFonts w:ascii="Arial" w:hAnsi="Arial" w:cs="Arial"/>
          <w:strike/>
        </w:rPr>
        <w:t xml:space="preserve">9. Seismic response coefficient(s), </w:t>
      </w:r>
      <w:r w:rsidRPr="00F94981">
        <w:rPr>
          <w:rFonts w:ascii="Arial" w:hAnsi="Arial" w:cs="Arial"/>
          <w:i/>
          <w:iCs/>
          <w:strike/>
        </w:rPr>
        <w:t>CS</w:t>
      </w:r>
      <w:r w:rsidRPr="00F94981">
        <w:rPr>
          <w:rFonts w:ascii="Arial" w:hAnsi="Arial" w:cs="Arial"/>
          <w:strike/>
        </w:rPr>
        <w:t>.</w:t>
      </w:r>
    </w:p>
    <w:p w14:paraId="1F0F4700" w14:textId="2AFBF37C" w:rsidR="00587C18" w:rsidRPr="00F94981" w:rsidRDefault="00BA06F0" w:rsidP="00F94981">
      <w:pPr>
        <w:pStyle w:val="Default"/>
        <w:spacing w:after="120"/>
        <w:ind w:left="720" w:hanging="360"/>
        <w:rPr>
          <w:rFonts w:ascii="Arial" w:hAnsi="Arial" w:cs="Arial"/>
          <w:i/>
          <w:iCs/>
        </w:rPr>
      </w:pPr>
      <w:r w:rsidRPr="00F94981">
        <w:rPr>
          <w:rFonts w:ascii="Arial" w:hAnsi="Arial" w:cs="Arial"/>
        </w:rPr>
        <w:t>10</w:t>
      </w:r>
      <w:r w:rsidR="007853FE" w:rsidRPr="00F94981">
        <w:rPr>
          <w:rFonts w:ascii="Arial" w:hAnsi="Arial" w:cs="Arial"/>
        </w:rPr>
        <w:t>.</w:t>
      </w:r>
      <w:r w:rsidRPr="00F94981">
        <w:rPr>
          <w:rFonts w:ascii="Arial" w:hAnsi="Arial" w:cs="Arial"/>
        </w:rPr>
        <w:t xml:space="preserve"> </w:t>
      </w:r>
      <w:r w:rsidR="00587C18" w:rsidRPr="00F94981">
        <w:rPr>
          <w:rFonts w:ascii="Arial" w:hAnsi="Arial" w:cs="Arial"/>
          <w:strike/>
        </w:rPr>
        <w:t xml:space="preserve">Response modification coefficient(s), </w:t>
      </w:r>
      <w:r w:rsidR="00587C18" w:rsidRPr="00F94981">
        <w:rPr>
          <w:rFonts w:ascii="Arial" w:hAnsi="Arial" w:cs="Arial"/>
          <w:i/>
          <w:iCs/>
          <w:strike/>
        </w:rPr>
        <w:t>R</w:t>
      </w:r>
      <w:r w:rsidR="00587C18" w:rsidRPr="00F94981">
        <w:rPr>
          <w:rFonts w:ascii="Arial" w:hAnsi="Arial" w:cs="Arial"/>
          <w:strike/>
        </w:rPr>
        <w:t>.</w:t>
      </w:r>
      <w:r w:rsidR="00587C18" w:rsidRPr="00F94981">
        <w:rPr>
          <w:rFonts w:ascii="Arial" w:hAnsi="Arial" w:cs="Arial"/>
        </w:rPr>
        <w:t xml:space="preserve"> </w:t>
      </w:r>
      <w:r w:rsidR="00587C18" w:rsidRPr="00F94981">
        <w:rPr>
          <w:rFonts w:ascii="Arial" w:hAnsi="Arial" w:cs="Arial"/>
          <w:i/>
          <w:iCs/>
          <w:u w:val="single"/>
        </w:rPr>
        <w:t>Seismic force-resisting system factors R, C</w:t>
      </w:r>
      <w:r w:rsidR="00587C18" w:rsidRPr="00F94981">
        <w:rPr>
          <w:rFonts w:ascii="Arial" w:hAnsi="Arial" w:cs="Arial"/>
          <w:i/>
          <w:iCs/>
          <w:position w:val="-4"/>
          <w:u w:val="single"/>
          <w:vertAlign w:val="subscript"/>
        </w:rPr>
        <w:t>d</w:t>
      </w:r>
      <w:r w:rsidR="00587C18" w:rsidRPr="00F94981">
        <w:rPr>
          <w:rFonts w:ascii="Arial" w:hAnsi="Arial" w:cs="Arial"/>
          <w:i/>
          <w:iCs/>
          <w:u w:val="single"/>
        </w:rPr>
        <w:t>, and Ω</w:t>
      </w:r>
      <w:r w:rsidR="00587C18" w:rsidRPr="00F94981">
        <w:rPr>
          <w:rFonts w:ascii="Arial" w:hAnsi="Arial" w:cs="Arial"/>
          <w:i/>
          <w:iCs/>
          <w:position w:val="-4"/>
          <w:u w:val="single"/>
          <w:vertAlign w:val="subscript"/>
        </w:rPr>
        <w:t>0</w:t>
      </w:r>
      <w:r w:rsidR="00C52FBA" w:rsidRPr="00F94981">
        <w:rPr>
          <w:rFonts w:ascii="Arial" w:hAnsi="Arial" w:cs="Arial"/>
          <w:i/>
          <w:iCs/>
          <w:u w:val="single"/>
        </w:rPr>
        <w:t xml:space="preserve"> i</w:t>
      </w:r>
      <w:r w:rsidR="00587C18" w:rsidRPr="00F94981">
        <w:rPr>
          <w:rFonts w:ascii="Arial" w:hAnsi="Arial" w:cs="Arial"/>
          <w:i/>
          <w:iCs/>
          <w:u w:val="single"/>
        </w:rPr>
        <w:t>n each direction.</w:t>
      </w:r>
    </w:p>
    <w:p w14:paraId="2823811A"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Seismic response coefficient, C</w:t>
      </w:r>
      <w:r w:rsidRPr="00F94981">
        <w:rPr>
          <w:rFonts w:ascii="Arial" w:hAnsi="Arial" w:cs="Arial"/>
          <w:i/>
          <w:iCs/>
          <w:u w:val="single"/>
          <w:vertAlign w:val="subscript"/>
        </w:rPr>
        <w:t>s</w:t>
      </w:r>
      <w:r w:rsidRPr="00F94981">
        <w:rPr>
          <w:rFonts w:ascii="Arial" w:hAnsi="Arial" w:cs="Arial"/>
          <w:i/>
          <w:iCs/>
          <w:u w:val="single"/>
        </w:rPr>
        <w:t>, in each direction.</w:t>
      </w:r>
    </w:p>
    <w:p w14:paraId="751C7B76"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Design base shear, V, in each direction.</w:t>
      </w:r>
    </w:p>
    <w:p w14:paraId="60B966D6"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Design earthquake displacement, δ</w:t>
      </w:r>
      <w:r w:rsidRPr="00F94981">
        <w:rPr>
          <w:rFonts w:ascii="Arial" w:hAnsi="Arial" w:cs="Arial"/>
          <w:i/>
          <w:iCs/>
          <w:position w:val="-4"/>
          <w:u w:val="single"/>
          <w:vertAlign w:val="subscript"/>
        </w:rPr>
        <w:t>DE</w:t>
      </w:r>
      <w:r w:rsidRPr="00F94981">
        <w:rPr>
          <w:rFonts w:ascii="Arial" w:hAnsi="Arial" w:cs="Arial"/>
          <w:i/>
          <w:iCs/>
          <w:u w:val="single"/>
        </w:rPr>
        <w:t>, in each direction.</w:t>
      </w:r>
    </w:p>
    <w:p w14:paraId="43AAFB14" w14:textId="77777777" w:rsidR="00587C18" w:rsidRPr="00E5668A"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Redundancy factor, ρ, in each</w:t>
      </w:r>
      <w:r w:rsidRPr="00E5668A">
        <w:rPr>
          <w:rFonts w:ascii="Arial" w:hAnsi="Arial" w:cs="Arial"/>
          <w:i/>
          <w:iCs/>
          <w:u w:val="single"/>
        </w:rPr>
        <w:t xml:space="preserve"> direction.</w:t>
      </w:r>
    </w:p>
    <w:p w14:paraId="116F1838" w14:textId="77777777" w:rsidR="00587C18" w:rsidRPr="000E0C6F" w:rsidRDefault="00587C18" w:rsidP="00F94981">
      <w:pPr>
        <w:pStyle w:val="CM473"/>
        <w:numPr>
          <w:ilvl w:val="0"/>
          <w:numId w:val="43"/>
        </w:numPr>
        <w:spacing w:after="120" w:line="271" w:lineRule="atLeast"/>
        <w:rPr>
          <w:rFonts w:ascii="Arial" w:hAnsi="Arial" w:cs="Arial"/>
          <w:color w:val="000000"/>
        </w:rPr>
      </w:pPr>
      <w:r w:rsidRPr="000E0C6F">
        <w:rPr>
          <w:rFonts w:ascii="Arial" w:hAnsi="Arial" w:cs="Arial"/>
          <w:strike/>
          <w:color w:val="000000"/>
        </w:rPr>
        <w:t>11.</w:t>
      </w:r>
      <w:r w:rsidRPr="00477CD2">
        <w:rPr>
          <w:rFonts w:ascii="Arial" w:hAnsi="Arial" w:cs="Arial"/>
          <w:color w:val="000000"/>
        </w:rPr>
        <w:t xml:space="preserve"> </w:t>
      </w:r>
      <w:r w:rsidRPr="000E0C6F">
        <w:rPr>
          <w:rFonts w:ascii="Arial" w:hAnsi="Arial" w:cs="Arial"/>
          <w:color w:val="000000"/>
        </w:rPr>
        <w:t>Analysis procedure used.</w:t>
      </w:r>
    </w:p>
    <w:p w14:paraId="6E00C9AC" w14:textId="77777777" w:rsidR="00587C18" w:rsidRPr="00FA2791" w:rsidRDefault="00587C18" w:rsidP="00F94981">
      <w:pPr>
        <w:pStyle w:val="Default"/>
        <w:numPr>
          <w:ilvl w:val="0"/>
          <w:numId w:val="43"/>
        </w:numPr>
        <w:spacing w:after="120"/>
        <w:rPr>
          <w:rFonts w:ascii="Arial" w:hAnsi="Arial" w:cs="Arial"/>
          <w:i/>
          <w:iCs/>
        </w:rPr>
      </w:pPr>
      <w:r w:rsidRPr="00FA2791">
        <w:rPr>
          <w:rFonts w:ascii="Arial" w:hAnsi="Arial" w:cs="Arial"/>
          <w:i/>
          <w:iCs/>
          <w:u w:val="single"/>
        </w:rPr>
        <w:t>Fundamental period, T, in each direction.</w:t>
      </w:r>
    </w:p>
    <w:p w14:paraId="2F45C791" w14:textId="77777777" w:rsidR="00587C18" w:rsidRPr="000E2B4F" w:rsidRDefault="00587C18" w:rsidP="00F94981">
      <w:pPr>
        <w:pStyle w:val="Default"/>
        <w:numPr>
          <w:ilvl w:val="0"/>
          <w:numId w:val="43"/>
        </w:numPr>
        <w:spacing w:after="120"/>
        <w:rPr>
          <w:rFonts w:ascii="Arial" w:hAnsi="Arial" w:cs="Arial"/>
        </w:rPr>
      </w:pPr>
      <w:r w:rsidRPr="00FA2791">
        <w:rPr>
          <w:rFonts w:ascii="Arial" w:hAnsi="Arial" w:cs="Arial"/>
          <w:i/>
          <w:iCs/>
          <w:u w:val="single"/>
        </w:rPr>
        <w:t>Approximate fundamental period, T</w:t>
      </w:r>
      <w:r w:rsidRPr="00FA2791">
        <w:rPr>
          <w:rFonts w:ascii="Arial" w:hAnsi="Arial" w:cs="Arial"/>
          <w:i/>
          <w:iCs/>
          <w:u w:val="single"/>
          <w:vertAlign w:val="subscript"/>
        </w:rPr>
        <w:t>a</w:t>
      </w:r>
      <w:r w:rsidRPr="00FA2791">
        <w:rPr>
          <w:rFonts w:ascii="Arial" w:hAnsi="Arial" w:cs="Arial"/>
          <w:i/>
          <w:iCs/>
          <w:u w:val="single"/>
        </w:rPr>
        <w:t>, in each direction.</w:t>
      </w:r>
    </w:p>
    <w:p w14:paraId="2305D7B9" w14:textId="77777777" w:rsidR="00587C18" w:rsidRPr="004C64B1" w:rsidRDefault="00587C18" w:rsidP="00F94981">
      <w:pPr>
        <w:pStyle w:val="Default"/>
        <w:numPr>
          <w:ilvl w:val="0"/>
          <w:numId w:val="43"/>
        </w:numPr>
        <w:spacing w:after="120"/>
        <w:rPr>
          <w:rFonts w:ascii="Arial" w:hAnsi="Arial" w:cs="Arial"/>
        </w:rPr>
      </w:pPr>
      <w:r w:rsidRPr="004C64B1">
        <w:rPr>
          <w:rFonts w:ascii="Arial" w:hAnsi="Arial" w:cs="Arial"/>
          <w:i/>
          <w:iCs/>
          <w:strike/>
        </w:rPr>
        <w:t>12.</w:t>
      </w:r>
      <w:r w:rsidRPr="004C64B1">
        <w:rPr>
          <w:rFonts w:ascii="Arial" w:hAnsi="Arial" w:cs="Arial"/>
          <w:i/>
          <w:iCs/>
        </w:rPr>
        <w:t>Applicable horizontal structural irregularities.</w:t>
      </w:r>
    </w:p>
    <w:p w14:paraId="3231AA13" w14:textId="77777777" w:rsidR="00587C18" w:rsidRPr="004C64B1" w:rsidRDefault="00587C18" w:rsidP="00F94981">
      <w:pPr>
        <w:pStyle w:val="Default"/>
        <w:numPr>
          <w:ilvl w:val="0"/>
          <w:numId w:val="43"/>
        </w:numPr>
        <w:spacing w:after="120"/>
        <w:rPr>
          <w:rFonts w:ascii="Arial" w:hAnsi="Arial" w:cs="Arial"/>
        </w:rPr>
      </w:pPr>
      <w:r w:rsidRPr="004C64B1">
        <w:rPr>
          <w:rFonts w:ascii="Arial" w:hAnsi="Arial" w:cs="Arial"/>
          <w:i/>
          <w:iCs/>
          <w:strike/>
        </w:rPr>
        <w:t>13</w:t>
      </w:r>
      <w:r w:rsidRPr="004C64B1">
        <w:rPr>
          <w:rFonts w:ascii="Arial" w:hAnsi="Arial" w:cs="Arial"/>
          <w:i/>
          <w:iCs/>
        </w:rPr>
        <w:t>.Applicable vertical structural irregularities.</w:t>
      </w:r>
    </w:p>
    <w:p w14:paraId="36567AE3" w14:textId="77777777" w:rsidR="00587C18" w:rsidRPr="004245BB" w:rsidRDefault="00587C18" w:rsidP="00F94981">
      <w:pPr>
        <w:pStyle w:val="Default"/>
        <w:numPr>
          <w:ilvl w:val="0"/>
          <w:numId w:val="43"/>
        </w:numPr>
        <w:spacing w:after="120"/>
        <w:rPr>
          <w:rFonts w:ascii="Arial" w:hAnsi="Arial" w:cs="Arial"/>
        </w:rPr>
      </w:pPr>
      <w:r w:rsidRPr="004C64B1">
        <w:rPr>
          <w:rFonts w:ascii="Arial" w:hAnsi="Arial" w:cs="Arial"/>
          <w:i/>
          <w:iCs/>
          <w:strike/>
        </w:rPr>
        <w:t>14.</w:t>
      </w:r>
      <w:r w:rsidRPr="004C64B1">
        <w:rPr>
          <w:rFonts w:ascii="Arial" w:hAnsi="Arial" w:cs="Arial"/>
          <w:i/>
          <w:iCs/>
        </w:rPr>
        <w:t>Location of base as defined in ASCE 7, Section 11.2.</w:t>
      </w:r>
    </w:p>
    <w:p w14:paraId="2EB52418" w14:textId="77777777" w:rsidR="00587C18" w:rsidRPr="004245BB" w:rsidRDefault="00587C18" w:rsidP="00F94981">
      <w:pPr>
        <w:pStyle w:val="Default"/>
        <w:numPr>
          <w:ilvl w:val="0"/>
          <w:numId w:val="43"/>
        </w:numPr>
        <w:spacing w:after="240"/>
        <w:rPr>
          <w:rFonts w:ascii="Arial" w:hAnsi="Arial" w:cs="Arial"/>
          <w:u w:val="single"/>
        </w:rPr>
      </w:pPr>
      <w:r w:rsidRPr="004245BB">
        <w:rPr>
          <w:rFonts w:ascii="Arial" w:hAnsi="Arial" w:cs="Arial"/>
          <w:i/>
          <w:iCs/>
          <w:u w:val="single"/>
        </w:rPr>
        <w:t xml:space="preserve">Grade plane </w:t>
      </w:r>
      <w:r>
        <w:rPr>
          <w:rFonts w:ascii="Arial" w:hAnsi="Arial" w:cs="Arial"/>
          <w:i/>
          <w:iCs/>
          <w:u w:val="single"/>
        </w:rPr>
        <w:t xml:space="preserve">level </w:t>
      </w:r>
      <w:r w:rsidRPr="004245BB">
        <w:rPr>
          <w:rFonts w:ascii="Arial" w:hAnsi="Arial" w:cs="Arial"/>
          <w:i/>
          <w:iCs/>
          <w:u w:val="single"/>
        </w:rPr>
        <w:t xml:space="preserve">or level of the seismic base. </w:t>
      </w:r>
    </w:p>
    <w:p w14:paraId="76366716" w14:textId="77777777" w:rsidR="00587C18" w:rsidRPr="004C64B1" w:rsidRDefault="00587C18" w:rsidP="00587C18">
      <w:pPr>
        <w:autoSpaceDE w:val="0"/>
        <w:autoSpaceDN w:val="0"/>
        <w:adjustRightInd w:val="0"/>
        <w:spacing w:after="240"/>
        <w:ind w:left="360"/>
        <w:rPr>
          <w:rFonts w:cs="Arial"/>
          <w:i/>
          <w:iCs/>
          <w:szCs w:val="24"/>
        </w:rPr>
      </w:pPr>
      <w:r w:rsidRPr="004C64B1">
        <w:rPr>
          <w:rFonts w:cs="Arial"/>
          <w:b/>
          <w:bCs/>
          <w:i/>
          <w:iCs/>
          <w:szCs w:val="24"/>
        </w:rPr>
        <w:t xml:space="preserve">1603A.1.5.1 Connections. </w:t>
      </w:r>
      <w:r w:rsidRPr="004C64B1">
        <w:rPr>
          <w:rFonts w:cs="Arial"/>
          <w:i/>
          <w:iCs/>
          <w:szCs w:val="24"/>
        </w:rPr>
        <w:t>Connections that resist design seismic forces</w:t>
      </w:r>
      <w:r>
        <w:rPr>
          <w:rFonts w:cs="Arial"/>
          <w:i/>
          <w:iCs/>
          <w:szCs w:val="24"/>
        </w:rPr>
        <w:t xml:space="preserve"> </w:t>
      </w:r>
      <w:r w:rsidRPr="008F5367">
        <w:rPr>
          <w:rFonts w:cs="Arial"/>
          <w:i/>
          <w:iCs/>
          <w:szCs w:val="24"/>
        </w:rPr>
        <w:t xml:space="preserve">shall be </w:t>
      </w:r>
      <w:r w:rsidRPr="008F5367">
        <w:rPr>
          <w:rFonts w:cs="Arial"/>
          <w:i/>
          <w:iCs/>
          <w:szCs w:val="24"/>
        </w:rPr>
        <w:lastRenderedPageBreak/>
        <w:t>designed and detailed on</w:t>
      </w:r>
      <w:r>
        <w:rPr>
          <w:rFonts w:cs="Arial"/>
          <w:i/>
          <w:iCs/>
          <w:szCs w:val="24"/>
        </w:rPr>
        <w:t xml:space="preserve"> </w:t>
      </w:r>
      <w:r w:rsidRPr="008F5367">
        <w:rPr>
          <w:rFonts w:cs="Arial"/>
          <w:i/>
          <w:iCs/>
          <w:szCs w:val="24"/>
        </w:rPr>
        <w:t>the design drawings.</w:t>
      </w:r>
    </w:p>
    <w:p w14:paraId="201DA3F1" w14:textId="5BEFB933" w:rsidR="00587C18" w:rsidRDefault="00587C18" w:rsidP="00587C18">
      <w:pPr>
        <w:pStyle w:val="CM467"/>
        <w:spacing w:after="120" w:line="273" w:lineRule="atLeast"/>
        <w:rPr>
          <w:rFonts w:ascii="Arial" w:hAnsi="Arial" w:cs="Arial"/>
          <w:color w:val="000000"/>
        </w:rPr>
      </w:pPr>
      <w:bookmarkStart w:id="1" w:name="_Hlk208317857"/>
      <w:r w:rsidRPr="00F94981">
        <w:rPr>
          <w:rFonts w:ascii="Arial" w:hAnsi="Arial" w:cs="Arial"/>
          <w:b/>
          <w:bCs/>
          <w:color w:val="000000"/>
        </w:rPr>
        <w:t>1603</w:t>
      </w:r>
      <w:r w:rsidRPr="00F94981">
        <w:rPr>
          <w:rFonts w:ascii="Arial" w:hAnsi="Arial" w:cs="Arial"/>
          <w:b/>
          <w:bCs/>
          <w:i/>
          <w:iCs/>
          <w:color w:val="000000"/>
        </w:rPr>
        <w:t>A</w:t>
      </w:r>
      <w:r w:rsidRPr="00F94981">
        <w:rPr>
          <w:rFonts w:ascii="Arial" w:hAnsi="Arial" w:cs="Arial"/>
          <w:b/>
          <w:bCs/>
          <w:color w:val="000000"/>
        </w:rPr>
        <w:t>.1.6 Geotechnical information</w:t>
      </w:r>
      <w:r w:rsidRPr="001042F5">
        <w:rPr>
          <w:rFonts w:ascii="Arial" w:hAnsi="Arial" w:cs="Arial"/>
          <w:b/>
          <w:bCs/>
          <w:color w:val="000000"/>
        </w:rPr>
        <w:t>.</w:t>
      </w:r>
      <w:r w:rsidRPr="00080C63">
        <w:rPr>
          <w:rFonts w:ascii="Arial" w:hAnsi="Arial" w:cs="Arial"/>
          <w:color w:val="000000"/>
        </w:rPr>
        <w:t xml:space="preserve"> </w:t>
      </w:r>
      <w:bookmarkEnd w:id="1"/>
      <w:r w:rsidRPr="000E0C6F">
        <w:rPr>
          <w:rFonts w:ascii="Arial" w:hAnsi="Arial" w:cs="Arial"/>
          <w:strike/>
          <w:color w:val="000000"/>
        </w:rPr>
        <w:t>The design load-bearing values of soils shall be shown on the construction documents.</w:t>
      </w:r>
      <w:r w:rsidRPr="00080C63">
        <w:rPr>
          <w:rFonts w:ascii="Arial" w:hAnsi="Arial" w:cs="Arial"/>
          <w:strike/>
          <w:color w:val="000000"/>
        </w:rPr>
        <w:t xml:space="preserve"> </w:t>
      </w:r>
      <w:r w:rsidRPr="00F166F5">
        <w:rPr>
          <w:rFonts w:ascii="Arial" w:hAnsi="Arial" w:cs="Arial"/>
          <w:i/>
          <w:iCs/>
          <w:color w:val="000000"/>
          <w:u w:val="single"/>
        </w:rPr>
        <w:t>The construction documents shall provide a description of the foundation system and the design load-bearing values of soils and/or deep foundations elements. In Seismic Design Categories C through F, the capacity of the soil/foundation for seismic load cases shall be included.</w:t>
      </w:r>
    </w:p>
    <w:p w14:paraId="2C270C39" w14:textId="77777777" w:rsidR="00587C18" w:rsidRPr="006222FD" w:rsidRDefault="00587C18" w:rsidP="00587C18">
      <w:pPr>
        <w:autoSpaceDE w:val="0"/>
        <w:autoSpaceDN w:val="0"/>
        <w:adjustRightInd w:val="0"/>
        <w:rPr>
          <w:b/>
          <w:bCs/>
        </w:rPr>
      </w:pPr>
      <w:r w:rsidRPr="006222FD">
        <w:rPr>
          <w:b/>
          <w:bCs/>
        </w:rPr>
        <w:t>…</w:t>
      </w:r>
    </w:p>
    <w:p w14:paraId="1ED91761" w14:textId="77777777" w:rsidR="009704CE" w:rsidRPr="009766E0" w:rsidRDefault="009704CE" w:rsidP="00C05076">
      <w:pPr>
        <w:autoSpaceDE w:val="0"/>
        <w:autoSpaceDN w:val="0"/>
        <w:adjustRightInd w:val="0"/>
        <w:spacing w:before="120"/>
        <w:rPr>
          <w:rFonts w:cs="Arial"/>
          <w:i/>
          <w:szCs w:val="24"/>
        </w:rPr>
      </w:pPr>
      <w:r w:rsidRPr="009766E0">
        <w:rPr>
          <w:rFonts w:cs="Arial"/>
          <w:b/>
          <w:i/>
          <w:szCs w:val="24"/>
        </w:rPr>
        <w:t xml:space="preserve">1617A.1.18 ASCE 7, Section 13.1.4. </w:t>
      </w:r>
      <w:r w:rsidRPr="009766E0">
        <w:rPr>
          <w:rFonts w:cs="Arial"/>
          <w:i/>
          <w:szCs w:val="24"/>
        </w:rPr>
        <w:t>Replace ASCE 7 Section 13.1.4 with the following:</w:t>
      </w:r>
    </w:p>
    <w:p w14:paraId="51DBE176" w14:textId="77777777" w:rsidR="008C59AF" w:rsidRPr="009766E0" w:rsidRDefault="008C59AF" w:rsidP="00C7455F">
      <w:pPr>
        <w:widowControl/>
        <w:spacing w:before="120"/>
        <w:ind w:left="360"/>
        <w:rPr>
          <w:rFonts w:cs="Arial"/>
          <w:i/>
        </w:rPr>
      </w:pPr>
      <w:r w:rsidRPr="009766E0">
        <w:rPr>
          <w:rFonts w:cs="Arial"/>
          <w:b/>
          <w:i/>
        </w:rPr>
        <w:t>13.1.4. Nonstructural Component</w:t>
      </w:r>
      <w:r w:rsidRPr="009766E0">
        <w:rPr>
          <w:b/>
        </w:rPr>
        <w:t xml:space="preserve"> </w:t>
      </w:r>
      <w:r w:rsidRPr="009766E0">
        <w:rPr>
          <w:rFonts w:cs="Arial"/>
          <w:b/>
          <w:i/>
        </w:rPr>
        <w:t xml:space="preserve">and Equipment Support and Attachment Requirements: </w:t>
      </w:r>
      <w:r w:rsidRPr="009766E0">
        <w:rPr>
          <w:rFonts w:cs="Arial"/>
          <w:i/>
        </w:rPr>
        <w:t>The following nonstructural components and equipment shall be anchored in accordance with this section. Design and detailing shall be in accordance with Chapter 13 except as modified by this section.</w:t>
      </w:r>
    </w:p>
    <w:p w14:paraId="53F92704" w14:textId="77777777" w:rsidR="0035574E" w:rsidRDefault="0035574E" w:rsidP="0035574E">
      <w:pPr>
        <w:autoSpaceDE w:val="0"/>
        <w:autoSpaceDN w:val="0"/>
        <w:adjustRightInd w:val="0"/>
        <w:ind w:firstLine="360"/>
        <w:rPr>
          <w:rFonts w:cs="Arial"/>
          <w:i/>
          <w:szCs w:val="24"/>
        </w:rPr>
      </w:pPr>
      <w:r>
        <w:rPr>
          <w:rFonts w:cs="Arial"/>
          <w:i/>
          <w:szCs w:val="24"/>
        </w:rPr>
        <w:t>1. …</w:t>
      </w:r>
    </w:p>
    <w:p w14:paraId="185A9F32" w14:textId="77777777" w:rsidR="0035574E" w:rsidRPr="009766E0" w:rsidRDefault="0035574E" w:rsidP="0035574E">
      <w:pPr>
        <w:autoSpaceDE w:val="0"/>
        <w:autoSpaceDN w:val="0"/>
        <w:adjustRightInd w:val="0"/>
        <w:ind w:firstLine="360"/>
        <w:rPr>
          <w:rFonts w:cs="Arial"/>
          <w:i/>
          <w:szCs w:val="24"/>
        </w:rPr>
      </w:pPr>
      <w:r w:rsidRPr="009766E0">
        <w:rPr>
          <w:rFonts w:cs="Arial"/>
          <w:i/>
          <w:szCs w:val="24"/>
        </w:rPr>
        <w:t>…</w:t>
      </w:r>
    </w:p>
    <w:p w14:paraId="679A0A5E" w14:textId="71EAF332" w:rsidR="0035574E" w:rsidRPr="009766E0" w:rsidRDefault="0035574E" w:rsidP="0035574E">
      <w:pPr>
        <w:autoSpaceDE w:val="0"/>
        <w:autoSpaceDN w:val="0"/>
        <w:adjustRightInd w:val="0"/>
        <w:ind w:left="720" w:hanging="360"/>
        <w:rPr>
          <w:rFonts w:cs="Arial"/>
          <w:i/>
          <w:szCs w:val="24"/>
        </w:rPr>
      </w:pPr>
      <w:r>
        <w:rPr>
          <w:rFonts w:cs="Arial"/>
          <w:i/>
          <w:szCs w:val="24"/>
        </w:rPr>
        <w:t>10</w:t>
      </w:r>
      <w:r w:rsidRPr="00BA5036">
        <w:rPr>
          <w:rFonts w:cs="Arial"/>
          <w:i/>
          <w:szCs w:val="24"/>
        </w:rPr>
        <w:t xml:space="preserve">. </w:t>
      </w:r>
      <w:r w:rsidRPr="00DC4810">
        <w:rPr>
          <w:rFonts w:cs="Arial"/>
          <w:b/>
          <w:bCs/>
          <w:i/>
          <w:szCs w:val="24"/>
        </w:rPr>
        <w:t xml:space="preserve">Wall-, Roof- or Floor-Hung Equipment: </w:t>
      </w:r>
      <w:r w:rsidRPr="00BA5036">
        <w:rPr>
          <w:rFonts w:cs="Arial"/>
          <w:i/>
          <w:szCs w:val="24"/>
        </w:rPr>
        <w:t>Seismic design and seismic details shall be provided for wall-, roof- or floor</w:t>
      </w:r>
      <w:r>
        <w:rPr>
          <w:rFonts w:cs="Arial"/>
          <w:i/>
          <w:szCs w:val="24"/>
        </w:rPr>
        <w:t>-</w:t>
      </w:r>
      <w:r w:rsidRPr="00BA5036">
        <w:rPr>
          <w:rFonts w:cs="Arial"/>
          <w:i/>
          <w:szCs w:val="24"/>
        </w:rPr>
        <w:t>hung</w:t>
      </w:r>
      <w:r>
        <w:rPr>
          <w:rFonts w:cs="Arial"/>
          <w:i/>
          <w:szCs w:val="24"/>
        </w:rPr>
        <w:t xml:space="preserve"> </w:t>
      </w:r>
      <w:r w:rsidRPr="00BA5036">
        <w:rPr>
          <w:rFonts w:cs="Arial"/>
          <w:i/>
          <w:szCs w:val="24"/>
        </w:rPr>
        <w:t>nonstructural components and equipment when the component weighs more than 20 pounds (9 kg) or, in the case</w:t>
      </w:r>
      <w:r>
        <w:rPr>
          <w:rFonts w:cs="Arial"/>
          <w:i/>
          <w:szCs w:val="24"/>
        </w:rPr>
        <w:t xml:space="preserve"> </w:t>
      </w:r>
      <w:r w:rsidRPr="00BA5036">
        <w:rPr>
          <w:rFonts w:cs="Arial"/>
          <w:i/>
          <w:szCs w:val="24"/>
        </w:rPr>
        <w:t>of a distribution system, 5 pounds per foot (73 N/m).</w:t>
      </w:r>
    </w:p>
    <w:p w14:paraId="5856C4FD" w14:textId="77777777" w:rsidR="00DC2C14" w:rsidRPr="009766E0" w:rsidRDefault="00DC2C14" w:rsidP="00551588">
      <w:pPr>
        <w:spacing w:before="120"/>
        <w:ind w:left="360"/>
        <w:rPr>
          <w:rFonts w:cs="Arial"/>
          <w:i/>
        </w:rPr>
      </w:pPr>
      <w:r w:rsidRPr="009766E0">
        <w:rPr>
          <w:rFonts w:cs="Arial"/>
          <w:b/>
          <w:i/>
        </w:rPr>
        <w:t>[DSA-SS] Exemptions:</w:t>
      </w:r>
      <w:r w:rsidRPr="009766E0">
        <w:rPr>
          <w:rFonts w:cs="Arial"/>
          <w:i/>
        </w:rPr>
        <w:t xml:space="preserve"> The following nonstructural components are exempt from the requirements of ASCE 7, Chapter 13:</w:t>
      </w:r>
    </w:p>
    <w:p w14:paraId="13CFFC06" w14:textId="314FA2A3" w:rsidR="00DC2C14" w:rsidRPr="009766E0" w:rsidRDefault="00D82B62" w:rsidP="00DC1FDA">
      <w:pPr>
        <w:pStyle w:val="ListParagraph"/>
        <w:widowControl/>
        <w:numPr>
          <w:ilvl w:val="0"/>
          <w:numId w:val="10"/>
        </w:numPr>
        <w:tabs>
          <w:tab w:val="left" w:pos="1080"/>
        </w:tabs>
        <w:contextualSpacing w:val="0"/>
        <w:rPr>
          <w:rFonts w:cs="Arial"/>
          <w:i/>
        </w:rPr>
      </w:pPr>
      <w:r w:rsidRPr="009766E0">
        <w:rPr>
          <w:rFonts w:cs="Arial"/>
          <w:i/>
        </w:rPr>
        <w:t>Furniture except storage cabinets as noted in Table 13.5-1.</w:t>
      </w:r>
    </w:p>
    <w:p w14:paraId="2D042B0D" w14:textId="7711C22A" w:rsidR="00DC2C14" w:rsidRPr="009766E0" w:rsidRDefault="00DC2C14" w:rsidP="00DC1FDA">
      <w:pPr>
        <w:pStyle w:val="ListParagraph"/>
        <w:widowControl/>
        <w:numPr>
          <w:ilvl w:val="0"/>
          <w:numId w:val="11"/>
        </w:numPr>
        <w:tabs>
          <w:tab w:val="left" w:pos="1080"/>
        </w:tabs>
        <w:contextualSpacing w:val="0"/>
        <w:rPr>
          <w:rFonts w:cs="Arial"/>
          <w:i/>
          <w:iCs/>
        </w:rPr>
      </w:pPr>
      <w:r w:rsidRPr="009766E0">
        <w:rPr>
          <w:rFonts w:cs="Arial"/>
          <w:i/>
        </w:rPr>
        <w:t xml:space="preserve">Nonstructural components and equipment, that are </w:t>
      </w:r>
      <w:r w:rsidRPr="009766E0">
        <w:rPr>
          <w:rFonts w:cs="Arial"/>
          <w:i/>
          <w:iCs/>
        </w:rPr>
        <w:t>positively</w:t>
      </w:r>
      <w:r w:rsidRPr="009766E0">
        <w:rPr>
          <w:rFonts w:cs="Arial"/>
          <w:i/>
        </w:rPr>
        <w:t xml:space="preserve"> attached to the structure, provided that the component weighs 20 pounds (9 kg) or less</w:t>
      </w:r>
      <w:r w:rsidR="00221FCF" w:rsidRPr="009766E0">
        <w:rPr>
          <w:rFonts w:cs="Arial"/>
          <w:i/>
        </w:rPr>
        <w:t xml:space="preserve"> </w:t>
      </w:r>
      <w:r w:rsidR="00221FCF" w:rsidRPr="009766E0">
        <w:rPr>
          <w:rFonts w:cs="Arial"/>
          <w:i/>
          <w:u w:val="single"/>
        </w:rPr>
        <w:t>or, in the case of a distribution system, 5 pounds per foot (73 N/m) or less</w:t>
      </w:r>
      <w:r w:rsidRPr="009766E0">
        <w:rPr>
          <w:rFonts w:cs="Arial"/>
          <w:i/>
        </w:rPr>
        <w:t>.</w:t>
      </w:r>
      <w:r w:rsidR="002216CE" w:rsidRPr="009766E0">
        <w:rPr>
          <w:rFonts w:cs="Arial"/>
          <w:i/>
        </w:rPr>
        <w:t xml:space="preserve"> </w:t>
      </w:r>
      <w:r w:rsidR="002216CE" w:rsidRPr="009766E0">
        <w:rPr>
          <w:rFonts w:cs="Arial"/>
          <w:i/>
          <w:u w:val="single"/>
        </w:rPr>
        <w:t xml:space="preserve">The attachment need not be detailed on the </w:t>
      </w:r>
      <w:r w:rsidR="00C3267C" w:rsidRPr="009766E0">
        <w:rPr>
          <w:rFonts w:cs="Arial"/>
          <w:i/>
          <w:u w:val="single"/>
        </w:rPr>
        <w:t>construction documents</w:t>
      </w:r>
      <w:r w:rsidR="004E4AAE" w:rsidRPr="009766E0">
        <w:rPr>
          <w:rFonts w:cs="Arial"/>
          <w:i/>
          <w:u w:val="single"/>
        </w:rPr>
        <w:t>.</w:t>
      </w:r>
    </w:p>
    <w:p w14:paraId="13F46665" w14:textId="3DB11864" w:rsidR="00DC2C14" w:rsidRPr="009766E0" w:rsidRDefault="00DC2C14" w:rsidP="00DC1FDA">
      <w:pPr>
        <w:pStyle w:val="ListParagraph"/>
        <w:widowControl/>
        <w:numPr>
          <w:ilvl w:val="0"/>
          <w:numId w:val="11"/>
        </w:numPr>
        <w:tabs>
          <w:tab w:val="left" w:pos="1080"/>
        </w:tabs>
        <w:contextualSpacing w:val="0"/>
        <w:rPr>
          <w:rFonts w:cs="Arial"/>
          <w:i/>
          <w:iCs/>
        </w:rPr>
      </w:pPr>
      <w:r w:rsidRPr="009766E0">
        <w:rPr>
          <w:rFonts w:cs="Arial"/>
          <w:i/>
        </w:rPr>
        <w:t>Discrete architectural, mechanical and electrical components and equipment that are positively attached to the structure, provided that the component weighs 400 pounds (18.44 kg) or less, and the center of mass is located 4 feet (1219 mm) or less above the adjacent floor or roof level that directly supports the component, flexible connections are provided between the component and associated ductwork, piping and conduit where required</w:t>
      </w:r>
      <w:r w:rsidRPr="009766E0">
        <w:rPr>
          <w:rFonts w:cs="Arial"/>
          <w:i/>
          <w:iCs/>
        </w:rPr>
        <w:t>, and the component Importance Factor, I</w:t>
      </w:r>
      <w:r w:rsidRPr="009766E0">
        <w:rPr>
          <w:rFonts w:cs="Arial"/>
          <w:i/>
          <w:iCs/>
          <w:vertAlign w:val="subscript"/>
        </w:rPr>
        <w:t>p</w:t>
      </w:r>
      <w:r w:rsidRPr="009766E0">
        <w:rPr>
          <w:rFonts w:cs="Arial"/>
          <w:i/>
          <w:iCs/>
        </w:rPr>
        <w:t>, is equal to 1.0</w:t>
      </w:r>
      <w:r w:rsidRPr="009766E0">
        <w:rPr>
          <w:rFonts w:cs="Arial"/>
          <w:i/>
        </w:rPr>
        <w:t>.</w:t>
      </w:r>
      <w:r w:rsidR="004E4AAE" w:rsidRPr="009766E0">
        <w:rPr>
          <w:rFonts w:cs="Arial"/>
          <w:i/>
        </w:rPr>
        <w:t xml:space="preserve"> </w:t>
      </w:r>
      <w:r w:rsidR="004E4AAE" w:rsidRPr="009766E0">
        <w:rPr>
          <w:rFonts w:cs="Arial"/>
          <w:i/>
          <w:u w:val="single"/>
        </w:rPr>
        <w:t xml:space="preserve">The attachment need not be detailed on the </w:t>
      </w:r>
      <w:r w:rsidR="00C3267C" w:rsidRPr="009766E0">
        <w:rPr>
          <w:rFonts w:cs="Arial"/>
          <w:i/>
          <w:u w:val="single"/>
        </w:rPr>
        <w:t>construction documents</w:t>
      </w:r>
      <w:r w:rsidR="004E4AAE" w:rsidRPr="009766E0">
        <w:rPr>
          <w:rFonts w:cs="Arial"/>
          <w:i/>
          <w:u w:val="single"/>
        </w:rPr>
        <w:t>.</w:t>
      </w:r>
    </w:p>
    <w:p w14:paraId="50A68214" w14:textId="39EE4781" w:rsidR="009704CE" w:rsidRPr="009766E0" w:rsidRDefault="00EE2D6A" w:rsidP="008219A2">
      <w:pPr>
        <w:autoSpaceDE w:val="0"/>
        <w:autoSpaceDN w:val="0"/>
        <w:adjustRightInd w:val="0"/>
        <w:rPr>
          <w:rFonts w:cs="Arial"/>
          <w:i/>
          <w:szCs w:val="24"/>
        </w:rPr>
      </w:pPr>
      <w:r w:rsidRPr="009766E0">
        <w:rPr>
          <w:rFonts w:cs="Arial"/>
          <w:i/>
          <w:szCs w:val="24"/>
        </w:rPr>
        <w:t>…</w:t>
      </w:r>
    </w:p>
    <w:p w14:paraId="0410A7FA" w14:textId="77777777" w:rsidR="00F93F0B" w:rsidRPr="009766E0" w:rsidRDefault="00F93F0B" w:rsidP="00920EE8">
      <w:pPr>
        <w:pStyle w:val="Heading4"/>
        <w:spacing w:before="0"/>
        <w:ind w:left="0"/>
      </w:pPr>
      <w:r w:rsidRPr="009766E0">
        <w:t xml:space="preserve">Notation: </w:t>
      </w:r>
    </w:p>
    <w:p w14:paraId="7878F6F8" w14:textId="77777777" w:rsidR="00F011E0" w:rsidRPr="009766E0" w:rsidRDefault="00F011E0" w:rsidP="00920EE8">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53A78632" w14:textId="77777777" w:rsidR="00F011E0" w:rsidRPr="009766E0" w:rsidRDefault="00F011E0" w:rsidP="00920EE8">
      <w:pPr>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25C7466C" w14:textId="1E4C81B3" w:rsidR="009704CE" w:rsidRPr="00FC3D11" w:rsidRDefault="009704CE" w:rsidP="00FC3D11">
      <w:pPr>
        <w:pStyle w:val="Heading3"/>
      </w:pPr>
      <w:r w:rsidRPr="00FC3D11">
        <w:lastRenderedPageBreak/>
        <w:t xml:space="preserve">ITEM </w:t>
      </w:r>
      <w:r w:rsidR="000F3902" w:rsidRPr="00FC3D11">
        <w:t>4</w:t>
      </w:r>
      <w:r w:rsidRPr="00FC3D11">
        <w:br/>
        <w:t>CHAPTER 17A</w:t>
      </w:r>
      <w:r w:rsidR="007C65B6" w:rsidRPr="00FC3D11">
        <w:t xml:space="preserve"> SPECIAL INSPECTIONS AND TESTS</w:t>
      </w:r>
    </w:p>
    <w:p w14:paraId="68E55C06" w14:textId="77777777" w:rsidR="009704CE" w:rsidRPr="006222FD" w:rsidRDefault="009704CE" w:rsidP="001C50F7">
      <w:pPr>
        <w:rPr>
          <w:b/>
          <w:bCs/>
        </w:rPr>
      </w:pPr>
      <w:r w:rsidRPr="006222FD">
        <w:rPr>
          <w:b/>
          <w:bCs/>
        </w:rPr>
        <w:t>…</w:t>
      </w:r>
    </w:p>
    <w:p w14:paraId="6EE518F8" w14:textId="020C9D75" w:rsidR="00DA2311" w:rsidRPr="000070EF" w:rsidRDefault="00AD0B5D" w:rsidP="000070EF">
      <w:pPr>
        <w:rPr>
          <w:b/>
          <w:bCs/>
          <w:i/>
          <w:iCs/>
        </w:rPr>
      </w:pPr>
      <w:r w:rsidRPr="000070EF">
        <w:rPr>
          <w:b/>
          <w:bCs/>
          <w:i/>
          <w:iCs/>
        </w:rPr>
        <w:t xml:space="preserve">1705A.5.5 Structural glued laminated and cross-laminated timber. </w:t>
      </w:r>
      <w:r w:rsidRPr="006222FD">
        <w:rPr>
          <w:i/>
          <w:iCs/>
        </w:rPr>
        <w:t xml:space="preserve">… </w:t>
      </w:r>
    </w:p>
    <w:p w14:paraId="55774A25" w14:textId="7FE14234" w:rsidR="00AD0B5D" w:rsidRPr="00913041" w:rsidRDefault="00DA2311" w:rsidP="00913041">
      <w:pPr>
        <w:rPr>
          <w:b/>
          <w:i/>
          <w:iCs/>
        </w:rPr>
      </w:pPr>
      <w:r w:rsidRPr="00913041">
        <w:rPr>
          <w:b/>
          <w:i/>
          <w:iCs/>
        </w:rPr>
        <w:t>Exception:</w:t>
      </w:r>
      <w:r w:rsidRPr="00913041">
        <w:rPr>
          <w:i/>
          <w:iCs/>
        </w:rPr>
        <w:t xml:space="preserve"> Special Inspection is not required for non-custom prismatic glued laminated members identified on drawings </w:t>
      </w:r>
      <w:r w:rsidRPr="00913041">
        <w:rPr>
          <w:i/>
          <w:iCs/>
          <w:strike/>
        </w:rPr>
        <w:t>and sourced from stock or general inventory</w:t>
      </w:r>
      <w:r w:rsidR="00B94595" w:rsidRPr="00913041">
        <w:rPr>
          <w:i/>
          <w:iCs/>
          <w:strike/>
        </w:rPr>
        <w:t xml:space="preserve"> </w:t>
      </w:r>
      <w:r w:rsidRPr="00913041">
        <w:rPr>
          <w:i/>
          <w:iCs/>
        </w:rPr>
        <w:t xml:space="preserve">of 5 1/2-inch maximum width and 18-inch maximum depth, and with a maximum clear span of 32 feet, manufactured and marked in accordance with ANSI/APA A190.1 Section 14.1 for noncustom members. </w:t>
      </w:r>
    </w:p>
    <w:p w14:paraId="73B21C76" w14:textId="77777777" w:rsidR="008219A2" w:rsidRPr="006222FD" w:rsidRDefault="008219A2" w:rsidP="001C50F7">
      <w:pPr>
        <w:rPr>
          <w:b/>
          <w:bCs/>
        </w:rPr>
      </w:pPr>
      <w:r w:rsidRPr="006222FD">
        <w:rPr>
          <w:b/>
          <w:bCs/>
        </w:rPr>
        <w:t>…</w:t>
      </w:r>
    </w:p>
    <w:p w14:paraId="2F6E960F" w14:textId="01A7DCCA" w:rsidR="00FF2CCB" w:rsidRPr="009766E0" w:rsidRDefault="00FF2CCB" w:rsidP="006222FD">
      <w:pPr>
        <w:pStyle w:val="Heading4"/>
        <w:spacing w:before="120"/>
        <w:ind w:left="0"/>
      </w:pPr>
      <w:r w:rsidRPr="009766E0">
        <w:t>Notation</w:t>
      </w:r>
      <w:r w:rsidR="00E1634C">
        <w:t xml:space="preserve"> </w:t>
      </w:r>
      <w:r w:rsidRPr="009766E0">
        <w:t>for [DSA-SS]:</w:t>
      </w:r>
    </w:p>
    <w:p w14:paraId="407F9B56" w14:textId="77777777" w:rsidR="00FF2CCB" w:rsidRPr="006222FD" w:rsidRDefault="00FF2CCB" w:rsidP="00FF2CCB">
      <w:pPr>
        <w:rPr>
          <w:rFonts w:cs="Arial"/>
        </w:rPr>
      </w:pPr>
      <w:r w:rsidRPr="006222FD">
        <w:rPr>
          <w:rFonts w:cs="Arial"/>
        </w:rPr>
        <w:t xml:space="preserve">Authority: </w:t>
      </w:r>
      <w:r w:rsidRPr="006222FD">
        <w:rPr>
          <w:rFonts w:cs="Arial"/>
          <w:noProof/>
        </w:rPr>
        <w:t>Education Code sections 17310, 81142, and Health and Safety Code section 16022.</w:t>
      </w:r>
    </w:p>
    <w:p w14:paraId="7A76FC91" w14:textId="77777777" w:rsidR="00FF2CCB" w:rsidRPr="009766E0" w:rsidRDefault="00FF2CCB" w:rsidP="00FF2CCB">
      <w:pPr>
        <w:rPr>
          <w:rFonts w:cs="Arial"/>
        </w:rPr>
      </w:pPr>
      <w:r w:rsidRPr="006222FD">
        <w:rPr>
          <w:rFonts w:cs="Arial"/>
        </w:rPr>
        <w:t xml:space="preserve">Reference(s): </w:t>
      </w:r>
      <w:r w:rsidRPr="006222FD">
        <w:rPr>
          <w:rFonts w:cs="Arial"/>
          <w:noProof/>
        </w:rPr>
        <w:t>E</w:t>
      </w:r>
      <w:r w:rsidRPr="009766E0">
        <w:rPr>
          <w:rFonts w:cs="Arial"/>
          <w:noProof/>
        </w:rPr>
        <w:t>ducation Code sections 17280 through 17317, 81130 through 81149, and Health and Safety Code sections 16000 through 16023.</w:t>
      </w:r>
    </w:p>
    <w:p w14:paraId="41C44E12" w14:textId="6EB2EF58" w:rsidR="00FF2CCB" w:rsidRPr="009766E0" w:rsidRDefault="00FF2CCB" w:rsidP="006222FD">
      <w:pPr>
        <w:pStyle w:val="Heading4"/>
        <w:spacing w:before="120"/>
        <w:ind w:left="0"/>
      </w:pPr>
      <w:r w:rsidRPr="009766E0">
        <w:t>Notation for [DSA-SS/CC]:</w:t>
      </w:r>
    </w:p>
    <w:p w14:paraId="22F3EB12" w14:textId="77777777" w:rsidR="00FF2CCB" w:rsidRPr="006222FD" w:rsidRDefault="00FF2CCB" w:rsidP="00FF2CCB">
      <w:pPr>
        <w:rPr>
          <w:rFonts w:cs="Arial"/>
        </w:rPr>
      </w:pPr>
      <w:r w:rsidRPr="006222FD">
        <w:rPr>
          <w:rFonts w:cs="Arial"/>
        </w:rPr>
        <w:t xml:space="preserve">Authority: </w:t>
      </w:r>
      <w:r w:rsidRPr="006222FD">
        <w:rPr>
          <w:rFonts w:cs="Arial"/>
          <w:noProof/>
        </w:rPr>
        <w:t>Education Code sections 81053.</w:t>
      </w:r>
    </w:p>
    <w:p w14:paraId="028DE5EA" w14:textId="77777777" w:rsidR="00FF2CCB" w:rsidRPr="009766E0" w:rsidRDefault="00FF2CCB" w:rsidP="00FF2CCB">
      <w:pPr>
        <w:rPr>
          <w:rFonts w:cs="Arial"/>
          <w:noProof/>
        </w:rPr>
      </w:pPr>
      <w:r w:rsidRPr="006222FD">
        <w:rPr>
          <w:rFonts w:cs="Arial"/>
        </w:rPr>
        <w:t xml:space="preserve">Reference(s): </w:t>
      </w:r>
      <w:r w:rsidRPr="006222FD">
        <w:rPr>
          <w:rFonts w:cs="Arial"/>
          <w:noProof/>
        </w:rPr>
        <w:t>Edu</w:t>
      </w:r>
      <w:r w:rsidRPr="009766E0">
        <w:rPr>
          <w:rFonts w:cs="Arial"/>
          <w:noProof/>
        </w:rPr>
        <w:t>cation Code sections 81052, 81053, and 81130 through 81149.</w:t>
      </w:r>
    </w:p>
    <w:p w14:paraId="6E4614D7" w14:textId="5AF608B0" w:rsidR="00FD6FDE" w:rsidRPr="00FC3D11" w:rsidRDefault="00AC5C01" w:rsidP="00FC3D11">
      <w:pPr>
        <w:pStyle w:val="Heading3"/>
      </w:pPr>
      <w:r w:rsidRPr="00FC3D11">
        <w:t xml:space="preserve">ITEM </w:t>
      </w:r>
      <w:r w:rsidR="000F3902" w:rsidRPr="00FC3D11">
        <w:t>5</w:t>
      </w:r>
      <w:r w:rsidRPr="00FC3D11">
        <w:br/>
      </w:r>
      <w:r w:rsidR="00331BA0" w:rsidRPr="00FC3D11">
        <w:t xml:space="preserve">CHAPTER </w:t>
      </w:r>
      <w:r w:rsidRPr="00FC3D11">
        <w:t>21</w:t>
      </w:r>
      <w:r w:rsidR="004F5B87" w:rsidRPr="00FC3D11">
        <w:t xml:space="preserve"> MASONRY</w:t>
      </w:r>
    </w:p>
    <w:p w14:paraId="5DB972AF" w14:textId="77777777" w:rsidR="00817005" w:rsidRPr="006222FD" w:rsidRDefault="00817005" w:rsidP="00961C63">
      <w:pPr>
        <w:rPr>
          <w:b/>
          <w:bCs/>
        </w:rPr>
      </w:pPr>
      <w:r w:rsidRPr="006222FD">
        <w:rPr>
          <w:b/>
          <w:bCs/>
        </w:rPr>
        <w:t>…</w:t>
      </w:r>
    </w:p>
    <w:p w14:paraId="0BB11EE1" w14:textId="09A017B0" w:rsidR="00AE0526" w:rsidRPr="009766E0" w:rsidRDefault="00AE0526" w:rsidP="00961C63">
      <w:pPr>
        <w:rPr>
          <w:rFonts w:cs="Arial"/>
          <w:i/>
          <w:iCs/>
        </w:rPr>
      </w:pPr>
      <w:r w:rsidRPr="009766E0">
        <w:rPr>
          <w:rFonts w:cs="Arial"/>
          <w:b/>
          <w:bCs/>
          <w:i/>
          <w:iCs/>
        </w:rPr>
        <w:t>2115.3.2.2 TMS 602, Article 3.4B Reinforcement.</w:t>
      </w:r>
      <w:r w:rsidR="006B37A5" w:rsidRPr="009766E0">
        <w:rPr>
          <w:rFonts w:cs="Arial"/>
          <w:b/>
          <w:bCs/>
          <w:i/>
          <w:iCs/>
        </w:rPr>
        <w:t xml:space="preserve"> </w:t>
      </w:r>
      <w:r w:rsidRPr="009766E0">
        <w:rPr>
          <w:rFonts w:cs="Arial"/>
          <w:i/>
          <w:iCs/>
        </w:rPr>
        <w:t>Modify TMS Article 3.4 B.1 through 3.4B.3 as follows:</w:t>
      </w:r>
    </w:p>
    <w:p w14:paraId="24FA6333" w14:textId="77777777" w:rsidR="00AE0526" w:rsidRPr="009766E0" w:rsidRDefault="00AE0526" w:rsidP="00961C63">
      <w:pPr>
        <w:ind w:firstLine="360"/>
        <w:rPr>
          <w:rFonts w:cs="Arial"/>
        </w:rPr>
      </w:pPr>
      <w:r w:rsidRPr="009766E0">
        <w:rPr>
          <w:rFonts w:cs="Arial"/>
        </w:rPr>
        <w:t>…</w:t>
      </w:r>
    </w:p>
    <w:p w14:paraId="34BC5D9D" w14:textId="2B7E692E" w:rsidR="00AE0526" w:rsidRPr="009766E0" w:rsidRDefault="00AE0526" w:rsidP="00DC1FDA">
      <w:pPr>
        <w:pStyle w:val="ListParagraph"/>
        <w:numPr>
          <w:ilvl w:val="0"/>
          <w:numId w:val="4"/>
        </w:numPr>
        <w:contextualSpacing w:val="0"/>
        <w:rPr>
          <w:rFonts w:cs="Arial"/>
        </w:rPr>
      </w:pPr>
      <w:r w:rsidRPr="009766E0">
        <w:rPr>
          <w:rFonts w:cs="Arial"/>
        </w:rPr>
        <w:t>Maintain clear distance between reinforcing bars and the interior of masonry unit or formed surface of at least ½ inch (12.7 mm</w:t>
      </w:r>
      <w:r w:rsidR="00FC3D11" w:rsidRPr="009766E0">
        <w:rPr>
          <w:rFonts w:cs="Arial"/>
        </w:rPr>
        <w:t>)</w:t>
      </w:r>
      <w:bookmarkStart w:id="2" w:name="_Hlk220320274"/>
      <w:r w:rsidR="00FC3D11" w:rsidRPr="009766E0">
        <w:rPr>
          <w:rFonts w:cs="Arial"/>
          <w:strike/>
        </w:rPr>
        <w:t xml:space="preserve"> </w:t>
      </w:r>
      <w:r w:rsidR="00FC3D11" w:rsidRPr="009766E0">
        <w:rPr>
          <w:rFonts w:cs="Arial"/>
          <w:i/>
          <w:iCs/>
          <w:strike/>
        </w:rPr>
        <w:t>and a minimum of one bar diameter</w:t>
      </w:r>
      <w:r w:rsidR="00FC3D11" w:rsidRPr="009766E0">
        <w:rPr>
          <w:rFonts w:cs="Arial"/>
          <w:i/>
          <w:iCs/>
        </w:rPr>
        <w:t>,</w:t>
      </w:r>
      <w:r w:rsidR="00FC3D11" w:rsidRPr="009766E0">
        <w:rPr>
          <w:rFonts w:cs="Arial"/>
        </w:rPr>
        <w:t xml:space="preserve"> </w:t>
      </w:r>
      <w:bookmarkEnd w:id="2"/>
      <w:r w:rsidRPr="009766E0">
        <w:rPr>
          <w:rFonts w:cs="Arial"/>
        </w:rPr>
        <w:t>except where</w:t>
      </w:r>
      <w:r w:rsidR="0055727B">
        <w:rPr>
          <w:rFonts w:cs="Arial"/>
        </w:rPr>
        <w:t xml:space="preserve"> </w:t>
      </w:r>
      <w:r w:rsidR="004E68D4" w:rsidRPr="004E68D4">
        <w:rPr>
          <w:rFonts w:cs="Arial"/>
        </w:rPr>
        <w:t>cross webs of hollow units are used as supports for horizontal reinforcement.</w:t>
      </w:r>
    </w:p>
    <w:p w14:paraId="78F98AD0" w14:textId="184F50EA" w:rsidR="00F72B07" w:rsidRPr="006222FD" w:rsidRDefault="00F72B07" w:rsidP="00961C63">
      <w:pPr>
        <w:ind w:firstLine="360"/>
        <w:rPr>
          <w:rFonts w:cs="Arial"/>
          <w:b/>
          <w:bCs/>
        </w:rPr>
      </w:pPr>
      <w:r w:rsidRPr="006222FD">
        <w:rPr>
          <w:rFonts w:cs="Arial"/>
          <w:b/>
          <w:bCs/>
        </w:rPr>
        <w:t>…</w:t>
      </w:r>
    </w:p>
    <w:p w14:paraId="50215895" w14:textId="2585A5E4" w:rsidR="00F72B07" w:rsidRPr="009766E0" w:rsidRDefault="00F72B07" w:rsidP="00961C63">
      <w:pPr>
        <w:autoSpaceDE w:val="0"/>
        <w:autoSpaceDN w:val="0"/>
        <w:adjustRightInd w:val="0"/>
        <w:rPr>
          <w:rFonts w:cs="Arial"/>
          <w:i/>
          <w:iCs/>
        </w:rPr>
      </w:pPr>
      <w:r w:rsidRPr="009766E0">
        <w:rPr>
          <w:b/>
          <w:i/>
        </w:rPr>
        <w:t xml:space="preserve">2115.3.2.5 TMS 602, Article 3.5 F.1 Grout Key. </w:t>
      </w:r>
      <w:r w:rsidRPr="009766E0">
        <w:rPr>
          <w:rFonts w:cs="Arial"/>
          <w:i/>
        </w:rPr>
        <w:t>Replace TMS 602, Article 3.5 F.1 as follows:</w:t>
      </w:r>
    </w:p>
    <w:p w14:paraId="2A501F3A" w14:textId="62FCC3B4" w:rsidR="00F72B07" w:rsidRPr="006B2897" w:rsidRDefault="002B090F" w:rsidP="006B2897">
      <w:pPr>
        <w:pStyle w:val="ListParagraph"/>
        <w:numPr>
          <w:ilvl w:val="0"/>
          <w:numId w:val="3"/>
        </w:numPr>
        <w:autoSpaceDE w:val="0"/>
        <w:autoSpaceDN w:val="0"/>
        <w:adjustRightInd w:val="0"/>
        <w:contextualSpacing w:val="0"/>
        <w:rPr>
          <w:rFonts w:cs="Arial"/>
          <w:i/>
          <w:iCs/>
          <w:strike/>
        </w:rPr>
      </w:pPr>
      <w:r w:rsidRPr="006B2897">
        <w:rPr>
          <w:rFonts w:cs="Arial"/>
          <w:i/>
          <w:iCs/>
        </w:rPr>
        <w:t>Between grout pours</w:t>
      </w:r>
      <w:r w:rsidR="006B2897">
        <w:rPr>
          <w:rFonts w:cs="Arial"/>
          <w:i/>
          <w:iCs/>
        </w:rPr>
        <w:t xml:space="preserve"> </w:t>
      </w:r>
      <w:r w:rsidR="00944510" w:rsidRPr="006B2897">
        <w:rPr>
          <w:rFonts w:cs="Arial"/>
          <w:i/>
          <w:iCs/>
        </w:rPr>
        <w:t>or where grouting has been stopped more than an hour, a horizontal construction joint shall be formed by terminating grout a minimum of 1</w:t>
      </w:r>
      <w:r w:rsidR="00BA0B03" w:rsidRPr="006B2897">
        <w:rPr>
          <w:rFonts w:cs="Arial"/>
          <w:i/>
          <w:iCs/>
        </w:rPr>
        <w:t xml:space="preserve">½ </w:t>
      </w:r>
      <w:r w:rsidR="00944510" w:rsidRPr="006B2897">
        <w:rPr>
          <w:rFonts w:cs="Arial"/>
          <w:i/>
          <w:iCs/>
        </w:rPr>
        <w:t xml:space="preserve">inches (38.1 mm) and a maximum of one-half the masonry unit height below a mortar joint, except at the top of the wall. Where bond beams occur, the grout pour shall be terminated a minimum of 1/2 inch (12.7 mm) below </w:t>
      </w:r>
      <w:proofErr w:type="gramStart"/>
      <w:r w:rsidR="00944510" w:rsidRPr="006B2897">
        <w:rPr>
          <w:rFonts w:cs="Arial"/>
          <w:i/>
          <w:iCs/>
        </w:rPr>
        <w:t>the</w:t>
      </w:r>
      <w:r w:rsidR="00BC0985">
        <w:rPr>
          <w:rFonts w:cs="Arial"/>
          <w:i/>
          <w:iCs/>
        </w:rPr>
        <w:t>e</w:t>
      </w:r>
      <w:proofErr w:type="gramEnd"/>
      <w:r w:rsidR="00944510" w:rsidRPr="006B2897">
        <w:rPr>
          <w:rFonts w:cs="Arial"/>
          <w:i/>
          <w:iCs/>
        </w:rPr>
        <w:t xml:space="preserve"> mortar joint.</w:t>
      </w:r>
      <w:r w:rsidR="00450327" w:rsidRPr="006B2897">
        <w:rPr>
          <w:rFonts w:cs="Arial"/>
          <w:i/>
          <w:iCs/>
        </w:rPr>
        <w:t xml:space="preserve"> </w:t>
      </w:r>
      <w:r w:rsidR="00F72B07" w:rsidRPr="006B2897">
        <w:rPr>
          <w:rFonts w:cs="Arial"/>
          <w:i/>
          <w:iCs/>
          <w:strike/>
        </w:rPr>
        <w:t xml:space="preserve">Horizontal reinforcement shall be placed in bond beam units with a minimum grout cover of 1 inch (25.4 mm) above reinforcing steel for each grout pour. </w:t>
      </w:r>
    </w:p>
    <w:p w14:paraId="5ECAB867" w14:textId="77777777" w:rsidR="00F72B07" w:rsidRPr="009766E0" w:rsidRDefault="00F72B07" w:rsidP="00961C63">
      <w:pPr>
        <w:autoSpaceDE w:val="0"/>
        <w:autoSpaceDN w:val="0"/>
        <w:adjustRightInd w:val="0"/>
        <w:ind w:firstLine="360"/>
        <w:rPr>
          <w:rFonts w:cs="Arial"/>
        </w:rPr>
      </w:pPr>
      <w:r w:rsidRPr="009766E0">
        <w:rPr>
          <w:rFonts w:cs="Arial"/>
        </w:rPr>
        <w:lastRenderedPageBreak/>
        <w:t>…</w:t>
      </w:r>
    </w:p>
    <w:p w14:paraId="22113A6F" w14:textId="68CEBADD" w:rsidR="00F72B07" w:rsidRPr="009766E0" w:rsidRDefault="00F72B07" w:rsidP="00961C63">
      <w:pPr>
        <w:autoSpaceDE w:val="0"/>
        <w:autoSpaceDN w:val="0"/>
        <w:adjustRightInd w:val="0"/>
        <w:rPr>
          <w:rFonts w:cs="Arial"/>
          <w:i/>
        </w:rPr>
      </w:pPr>
      <w:r w:rsidRPr="009766E0">
        <w:rPr>
          <w:b/>
          <w:i/>
        </w:rPr>
        <w:t xml:space="preserve">2115.5.3 </w:t>
      </w:r>
      <w:r w:rsidRPr="009766E0">
        <w:rPr>
          <w:rFonts w:cs="Arial"/>
          <w:b/>
          <w:i/>
        </w:rPr>
        <w:t xml:space="preserve">TMS 402, Sections 7.4.4.1 and 7.4.5.1. </w:t>
      </w:r>
      <w:r w:rsidRPr="009766E0">
        <w:rPr>
          <w:rFonts w:cs="Arial"/>
          <w:i/>
        </w:rPr>
        <w:t xml:space="preserve">Replace TMS 402, Section 7.4.4.1 as follows and delete Section 7.4.5.1: </w:t>
      </w:r>
    </w:p>
    <w:p w14:paraId="09FB8733" w14:textId="26DE7A1B" w:rsidR="00F72B07" w:rsidRPr="009766E0" w:rsidRDefault="00F72B07" w:rsidP="00961C63">
      <w:pPr>
        <w:autoSpaceDE w:val="0"/>
        <w:autoSpaceDN w:val="0"/>
        <w:adjustRightInd w:val="0"/>
        <w:ind w:left="360"/>
        <w:rPr>
          <w:rFonts w:cs="Arial"/>
          <w:i/>
          <w:iCs/>
          <w:strike/>
        </w:rPr>
      </w:pPr>
      <w:r w:rsidRPr="009766E0">
        <w:rPr>
          <w:rFonts w:cs="Arial"/>
          <w:b/>
          <w:bCs/>
          <w:i/>
          <w:iCs/>
        </w:rPr>
        <w:t xml:space="preserve">7.4.4.1 Minimum reinforcement requirements for masonry walls. </w:t>
      </w:r>
      <w:r w:rsidRPr="009766E0">
        <w:rPr>
          <w:rFonts w:cs="Arial"/>
          <w:i/>
          <w:iCs/>
        </w:rPr>
        <w:t>The total area of reinforcement in reinforced masonry walls shall not be less than 0.003 times the sectional area of the wall. Neither the horizontal nor the vertical reinforcement shall be less than one third of the total.</w:t>
      </w:r>
      <w:r w:rsidRPr="009766E0">
        <w:rPr>
          <w:rFonts w:cs="Arial"/>
          <w:i/>
          <w:iCs/>
          <w:spacing w:val="-6"/>
        </w:rPr>
        <w:t xml:space="preserve"> Horizontal and vertical reinforcement shall be spaced at not more than 24 inches (610 mm) center to center. </w:t>
      </w:r>
      <w:r w:rsidRPr="009766E0">
        <w:rPr>
          <w:rFonts w:cs="Arial"/>
          <w:i/>
          <w:iCs/>
          <w:strike/>
        </w:rPr>
        <w:t>Where</w:t>
      </w:r>
      <w:r w:rsidRPr="009766E0">
        <w:rPr>
          <w:rFonts w:cs="Arial"/>
          <w:i/>
          <w:iCs/>
          <w:strike/>
          <w:spacing w:val="-5"/>
        </w:rPr>
        <w:t xml:space="preserve"> other than running </w:t>
      </w:r>
      <w:r w:rsidRPr="009766E0">
        <w:rPr>
          <w:rFonts w:cs="Arial"/>
          <w:i/>
          <w:iCs/>
          <w:strike/>
        </w:rPr>
        <w:t>bond</w:t>
      </w:r>
      <w:r w:rsidRPr="009766E0">
        <w:rPr>
          <w:rFonts w:cs="Arial"/>
          <w:i/>
          <w:iCs/>
          <w:strike/>
          <w:spacing w:val="-6"/>
        </w:rPr>
        <w:t xml:space="preserve"> </w:t>
      </w:r>
      <w:r w:rsidRPr="009766E0">
        <w:rPr>
          <w:rFonts w:cs="Arial"/>
          <w:i/>
          <w:iCs/>
          <w:strike/>
        </w:rPr>
        <w:t>is</w:t>
      </w:r>
      <w:r w:rsidRPr="009766E0">
        <w:rPr>
          <w:rFonts w:cs="Arial"/>
          <w:i/>
          <w:iCs/>
          <w:strike/>
          <w:spacing w:val="-5"/>
        </w:rPr>
        <w:t xml:space="preserve"> </w:t>
      </w:r>
      <w:r w:rsidRPr="009766E0">
        <w:rPr>
          <w:rFonts w:cs="Arial"/>
          <w:i/>
          <w:iCs/>
          <w:strike/>
        </w:rPr>
        <w:t>used</w:t>
      </w:r>
      <w:r w:rsidRPr="009766E0">
        <w:rPr>
          <w:rFonts w:cs="Arial"/>
          <w:i/>
          <w:iCs/>
          <w:strike/>
          <w:spacing w:val="-6"/>
        </w:rPr>
        <w:t xml:space="preserve"> </w:t>
      </w:r>
      <w:r w:rsidRPr="009766E0">
        <w:rPr>
          <w:rFonts w:cs="Arial"/>
          <w:i/>
          <w:iCs/>
          <w:strike/>
        </w:rPr>
        <w:t>in</w:t>
      </w:r>
      <w:r w:rsidRPr="009766E0">
        <w:rPr>
          <w:rFonts w:cs="Arial"/>
          <w:i/>
          <w:iCs/>
          <w:strike/>
          <w:spacing w:val="-5"/>
        </w:rPr>
        <w:t xml:space="preserve"> </w:t>
      </w:r>
      <w:r w:rsidRPr="009766E0">
        <w:rPr>
          <w:rFonts w:cs="Arial"/>
          <w:i/>
          <w:iCs/>
          <w:strike/>
        </w:rPr>
        <w:t>reinforced hollow-unit masonry, the open-end type of unit shall be used with vertical reinforcement spaced a maximum of 16 inches (406 mm) on</w:t>
      </w:r>
      <w:r w:rsidRPr="009766E0">
        <w:rPr>
          <w:rFonts w:cs="Arial"/>
          <w:i/>
          <w:iCs/>
          <w:strike/>
          <w:spacing w:val="-4"/>
        </w:rPr>
        <w:t xml:space="preserve"> </w:t>
      </w:r>
      <w:r w:rsidRPr="009766E0">
        <w:rPr>
          <w:rFonts w:cs="Arial"/>
          <w:i/>
          <w:iCs/>
          <w:strike/>
        </w:rPr>
        <w:t>center.</w:t>
      </w:r>
    </w:p>
    <w:p w14:paraId="19223393" w14:textId="117E5EF6" w:rsidR="00F72B07" w:rsidRPr="009766E0" w:rsidRDefault="00F72B07" w:rsidP="00961C63">
      <w:pPr>
        <w:ind w:left="360"/>
        <w:rPr>
          <w:rFonts w:cs="Arial"/>
        </w:rPr>
      </w:pPr>
      <w:r w:rsidRPr="009766E0">
        <w:rPr>
          <w:rFonts w:cs="Arial"/>
        </w:rPr>
        <w:t>…</w:t>
      </w:r>
    </w:p>
    <w:p w14:paraId="751C8102" w14:textId="77777777" w:rsidR="00321E95" w:rsidRPr="009766E0" w:rsidRDefault="00321E95" w:rsidP="00961C63">
      <w:pPr>
        <w:pStyle w:val="Heading4"/>
        <w:spacing w:before="0"/>
        <w:ind w:left="0"/>
      </w:pPr>
      <w:r w:rsidRPr="009766E0">
        <w:t xml:space="preserve">Notation: </w:t>
      </w:r>
    </w:p>
    <w:p w14:paraId="3336EBD5" w14:textId="77777777" w:rsidR="00E532C7" w:rsidRPr="009766E0" w:rsidRDefault="00E532C7" w:rsidP="00E532C7">
      <w:pPr>
        <w:rPr>
          <w:rFonts w:cs="Arial"/>
        </w:rPr>
      </w:pPr>
      <w:r w:rsidRPr="009766E0">
        <w:rPr>
          <w:rFonts w:cs="Arial"/>
        </w:rPr>
        <w:t>Authority: Education Code Section 81053</w:t>
      </w:r>
    </w:p>
    <w:p w14:paraId="5D0227AA" w14:textId="77777777" w:rsidR="00E532C7" w:rsidRPr="009766E0" w:rsidRDefault="00E532C7" w:rsidP="00E532C7">
      <w:pPr>
        <w:rPr>
          <w:rFonts w:cs="Arial"/>
        </w:rPr>
      </w:pPr>
      <w:r w:rsidRPr="009766E0">
        <w:rPr>
          <w:rFonts w:cs="Arial"/>
        </w:rPr>
        <w:t>Reference(s): Education Code Sections 81052, 81053, and 81130 through 81149</w:t>
      </w:r>
    </w:p>
    <w:p w14:paraId="51444AF1" w14:textId="52FD1511" w:rsidR="00DC720B" w:rsidRPr="00FC3D11" w:rsidRDefault="00DC720B" w:rsidP="00FC3D11">
      <w:pPr>
        <w:pStyle w:val="Heading3"/>
      </w:pPr>
      <w:r w:rsidRPr="00FC3D11">
        <w:t xml:space="preserve">ITEM </w:t>
      </w:r>
      <w:r w:rsidR="000F3902" w:rsidRPr="00FC3D11">
        <w:t>6</w:t>
      </w:r>
      <w:r w:rsidRPr="00FC3D11">
        <w:br/>
        <w:t>CHAPTER 21A MASONRY</w:t>
      </w:r>
    </w:p>
    <w:p w14:paraId="3A857143" w14:textId="2C56EBA3" w:rsidR="00AB08B4" w:rsidRPr="009766E0" w:rsidRDefault="00AB08B4" w:rsidP="00961C63">
      <w:pPr>
        <w:autoSpaceDE w:val="0"/>
        <w:autoSpaceDN w:val="0"/>
        <w:adjustRightInd w:val="0"/>
        <w:rPr>
          <w:rFonts w:cs="Arial"/>
          <w:bCs/>
          <w:i/>
        </w:rPr>
      </w:pPr>
      <w:r w:rsidRPr="009766E0">
        <w:rPr>
          <w:rFonts w:cs="Arial"/>
          <w:bCs/>
          <w:i/>
        </w:rPr>
        <w:t>…</w:t>
      </w:r>
    </w:p>
    <w:p w14:paraId="5242F24E" w14:textId="438625DD" w:rsidR="00DC7181" w:rsidRPr="009766E0" w:rsidRDefault="00DC7181" w:rsidP="00961C63">
      <w:pPr>
        <w:autoSpaceDE w:val="0"/>
        <w:autoSpaceDN w:val="0"/>
        <w:adjustRightInd w:val="0"/>
        <w:rPr>
          <w:rFonts w:cs="Arial"/>
          <w:b/>
          <w:i/>
        </w:rPr>
      </w:pPr>
      <w:r w:rsidRPr="009766E0">
        <w:rPr>
          <w:rFonts w:cs="Arial"/>
          <w:b/>
          <w:i/>
        </w:rPr>
        <w:t xml:space="preserve">2104A.1.3.5 [DSA-SS] TMS 602, Article 3.5 C Grout pour height. </w:t>
      </w:r>
      <w:r w:rsidRPr="009766E0">
        <w:rPr>
          <w:rFonts w:cs="Arial"/>
          <w:i/>
        </w:rPr>
        <w:t>Replace TMS 602, Article 3.</w:t>
      </w:r>
      <w:r w:rsidRPr="009766E0">
        <w:rPr>
          <w:rFonts w:cs="Arial"/>
          <w:bCs/>
          <w:i/>
        </w:rPr>
        <w:t>5 C</w:t>
      </w:r>
      <w:r w:rsidRPr="009766E0">
        <w:rPr>
          <w:rFonts w:cs="Arial"/>
          <w:i/>
        </w:rPr>
        <w:t xml:space="preserve"> and Table 7 </w:t>
      </w:r>
      <w:r w:rsidRPr="009766E0">
        <w:rPr>
          <w:rFonts w:cs="Arial"/>
          <w:bCs/>
          <w:i/>
        </w:rPr>
        <w:t>as follows</w:t>
      </w:r>
      <w:r w:rsidRPr="009766E0">
        <w:rPr>
          <w:rFonts w:cs="Arial"/>
          <w:bCs/>
          <w:i/>
          <w:u w:val="single"/>
        </w:rPr>
        <w:t>:</w:t>
      </w:r>
    </w:p>
    <w:p w14:paraId="27ED5CF2" w14:textId="0C846735" w:rsidR="00DC7181" w:rsidRPr="009766E0" w:rsidRDefault="00DC7181" w:rsidP="00F94981">
      <w:pPr>
        <w:pStyle w:val="ListParagraph"/>
        <w:widowControl/>
        <w:numPr>
          <w:ilvl w:val="0"/>
          <w:numId w:val="2"/>
        </w:numPr>
        <w:autoSpaceDE w:val="0"/>
        <w:autoSpaceDN w:val="0"/>
        <w:adjustRightInd w:val="0"/>
        <w:ind w:left="360" w:hanging="360"/>
        <w:rPr>
          <w:rFonts w:cs="Arial"/>
          <w:b/>
          <w:i/>
          <w:snapToGrid/>
          <w:szCs w:val="24"/>
          <w:u w:val="single"/>
        </w:rPr>
      </w:pPr>
      <w:r w:rsidRPr="009766E0">
        <w:rPr>
          <w:rFonts w:cs="Arial"/>
          <w:szCs w:val="24"/>
        </w:rPr>
        <w:t xml:space="preserve">Do not exceed the </w:t>
      </w:r>
      <w:proofErr w:type="gramStart"/>
      <w:r w:rsidRPr="009766E0">
        <w:rPr>
          <w:rFonts w:cs="Arial"/>
          <w:szCs w:val="24"/>
        </w:rPr>
        <w:t>grout</w:t>
      </w:r>
      <w:proofErr w:type="gramEnd"/>
      <w:r w:rsidRPr="009766E0">
        <w:rPr>
          <w:rFonts w:cs="Arial"/>
          <w:szCs w:val="24"/>
        </w:rPr>
        <w:t xml:space="preserve"> pour height given in Table 7</w:t>
      </w:r>
      <w:r w:rsidRPr="009766E0">
        <w:rPr>
          <w:rFonts w:cs="Arial"/>
          <w:i/>
          <w:szCs w:val="24"/>
        </w:rPr>
        <w:t xml:space="preserve">. </w:t>
      </w:r>
      <w:r w:rsidRPr="009766E0">
        <w:rPr>
          <w:rFonts w:cs="Arial"/>
          <w:i/>
          <w:iCs/>
          <w:strike/>
        </w:rPr>
        <w:t xml:space="preserve">Grout pours not terminated at the top of constructed masonry shall comply with TMS 602, Articles 3.5 C.3.a through 3.5 C.3.c. </w:t>
      </w:r>
    </w:p>
    <w:p w14:paraId="581372D3" w14:textId="7D86BD4F" w:rsidR="00DC7181" w:rsidRPr="009766E0" w:rsidRDefault="4822FE6C" w:rsidP="00DC1FDA">
      <w:pPr>
        <w:pStyle w:val="ListParagraph"/>
        <w:widowControl/>
        <w:numPr>
          <w:ilvl w:val="0"/>
          <w:numId w:val="2"/>
        </w:numPr>
        <w:autoSpaceDE w:val="0"/>
        <w:autoSpaceDN w:val="0"/>
        <w:adjustRightInd w:val="0"/>
        <w:ind w:left="360" w:hanging="360"/>
        <w:rPr>
          <w:rFonts w:cs="Arial"/>
          <w:b/>
          <w:bCs/>
          <w:i/>
          <w:iCs/>
          <w:strike/>
          <w:snapToGrid/>
          <w:u w:val="single"/>
        </w:rPr>
      </w:pPr>
      <w:r w:rsidRPr="009766E0">
        <w:rPr>
          <w:rFonts w:cs="Arial"/>
          <w:i/>
          <w:iCs/>
        </w:rPr>
        <w:t xml:space="preserve">The top of the grout pour shall be in the top course of the constructed masonry. </w:t>
      </w:r>
      <w:r w:rsidRPr="009766E0">
        <w:rPr>
          <w:rFonts w:cs="Arial"/>
          <w:i/>
          <w:iCs/>
          <w:strike/>
        </w:rPr>
        <w:t>Grout pours not terminated within the top course of the constructed masonry shall comply with TMS 602, Articles 3.5 C.3.a through 3.5 C.3</w:t>
      </w:r>
      <w:r w:rsidRPr="00167001">
        <w:rPr>
          <w:rFonts w:cs="Arial"/>
          <w:i/>
          <w:iCs/>
          <w:strike/>
        </w:rPr>
        <w:t>.c.</w:t>
      </w:r>
      <w:r w:rsidRPr="009766E0">
        <w:rPr>
          <w:rFonts w:cs="Arial"/>
          <w:i/>
          <w:iCs/>
          <w:strike/>
        </w:rPr>
        <w:t xml:space="preserve"> </w:t>
      </w:r>
    </w:p>
    <w:p w14:paraId="6E43A599" w14:textId="77777777" w:rsidR="00E633BF" w:rsidRPr="009766E0" w:rsidRDefault="00E633BF" w:rsidP="00DC1FDA">
      <w:pPr>
        <w:pStyle w:val="ListParagraph"/>
        <w:numPr>
          <w:ilvl w:val="0"/>
          <w:numId w:val="2"/>
        </w:numPr>
        <w:adjustRightInd w:val="0"/>
        <w:ind w:left="360" w:hanging="360"/>
        <w:contextualSpacing w:val="0"/>
        <w:rPr>
          <w:rFonts w:cs="Arial"/>
          <w:i/>
        </w:rPr>
      </w:pPr>
      <w:r w:rsidRPr="009766E0">
        <w:rPr>
          <w:rFonts w:cs="Arial"/>
          <w:i/>
        </w:rPr>
        <w:t>…</w:t>
      </w:r>
    </w:p>
    <w:p w14:paraId="0A7FB40C" w14:textId="689A0AE3" w:rsidR="00BA1803" w:rsidRPr="009766E0" w:rsidRDefault="00BA1803" w:rsidP="00E633BF">
      <w:pPr>
        <w:adjustRightInd w:val="0"/>
        <w:rPr>
          <w:rFonts w:cs="Arial"/>
          <w:i/>
        </w:rPr>
      </w:pPr>
      <w:r w:rsidRPr="009766E0">
        <w:rPr>
          <w:rFonts w:cs="Arial"/>
          <w:i/>
        </w:rPr>
        <w:t>…</w:t>
      </w:r>
    </w:p>
    <w:p w14:paraId="65D28FAC" w14:textId="77777777" w:rsidR="00CD652A" w:rsidRPr="009766E0" w:rsidRDefault="00CD652A" w:rsidP="00167001">
      <w:pPr>
        <w:pStyle w:val="Heading4"/>
        <w:spacing w:before="120"/>
        <w:ind w:left="0"/>
      </w:pPr>
      <w:r w:rsidRPr="009766E0">
        <w:t xml:space="preserve">Notation: </w:t>
      </w:r>
    </w:p>
    <w:p w14:paraId="33ACFFFB" w14:textId="77777777" w:rsidR="00E42F51" w:rsidRPr="009766E0" w:rsidRDefault="00E42F51" w:rsidP="00167001">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0EE50E1D" w14:textId="77777777" w:rsidR="00E42F51" w:rsidRPr="009766E0" w:rsidRDefault="00E42F51" w:rsidP="00167001">
      <w:pPr>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048C22BF" w14:textId="659B2F24" w:rsidR="0082350C" w:rsidRPr="00167001" w:rsidRDefault="0082350C" w:rsidP="00167001">
      <w:pPr>
        <w:pStyle w:val="Heading3"/>
      </w:pPr>
      <w:r w:rsidRPr="00167001">
        <w:t xml:space="preserve">ITEM </w:t>
      </w:r>
      <w:r w:rsidR="000F3902" w:rsidRPr="00167001">
        <w:t>7</w:t>
      </w:r>
      <w:r w:rsidRPr="00167001">
        <w:br/>
        <w:t>CHAPTER 22 STEEL</w:t>
      </w:r>
    </w:p>
    <w:p w14:paraId="0F1DA4EC" w14:textId="77777777" w:rsidR="0082350C" w:rsidRPr="009766E0" w:rsidRDefault="0082350C" w:rsidP="0082350C">
      <w:pPr>
        <w:autoSpaceDE w:val="0"/>
        <w:autoSpaceDN w:val="0"/>
        <w:adjustRightInd w:val="0"/>
        <w:rPr>
          <w:rFonts w:cs="Arial"/>
          <w:bCs/>
          <w:i/>
        </w:rPr>
      </w:pPr>
      <w:r w:rsidRPr="009766E0">
        <w:rPr>
          <w:rFonts w:cs="Arial"/>
          <w:bCs/>
          <w:i/>
        </w:rPr>
        <w:t>…</w:t>
      </w:r>
    </w:p>
    <w:p w14:paraId="55592A07" w14:textId="178D26AC" w:rsidR="00905CED" w:rsidRPr="005D6C57" w:rsidRDefault="00527E4E" w:rsidP="005D6C57">
      <w:pPr>
        <w:rPr>
          <w:i/>
          <w:iCs/>
          <w:strike/>
        </w:rPr>
      </w:pPr>
      <w:r w:rsidRPr="00527E4E">
        <w:rPr>
          <w:b/>
          <w:i/>
          <w:iCs/>
          <w:strike/>
        </w:rPr>
        <w:t>2215.2.2 Section D2. Modify Section D2.6c(b)(2) as follows:</w:t>
      </w:r>
    </w:p>
    <w:p w14:paraId="104C2CA3" w14:textId="2FAA96BD" w:rsidR="00905CED" w:rsidRPr="00FC3D11" w:rsidRDefault="00C7401C" w:rsidP="00DC1FDA">
      <w:pPr>
        <w:pStyle w:val="ListParagraph"/>
        <w:numPr>
          <w:ilvl w:val="0"/>
          <w:numId w:val="8"/>
        </w:numPr>
        <w:ind w:left="1080"/>
        <w:rPr>
          <w:bCs/>
          <w:strike/>
        </w:rPr>
      </w:pPr>
      <w:r w:rsidRPr="00167001">
        <w:rPr>
          <w:strike/>
        </w:rPr>
        <w:t>The</w:t>
      </w:r>
      <w:r w:rsidR="00905CED" w:rsidRPr="00167001">
        <w:rPr>
          <w:strike/>
        </w:rPr>
        <w:t xml:space="preserve"> moment calculated using the </w:t>
      </w:r>
      <w:r w:rsidR="00905CED" w:rsidRPr="00167001">
        <w:rPr>
          <w:i/>
          <w:iCs/>
          <w:strike/>
        </w:rPr>
        <w:t xml:space="preserve">load combinations of the applicable building code, including the amplified seismic load, provided the connection or other mechanism within the column base is designed to have the ductility </w:t>
      </w:r>
      <w:r w:rsidR="00905CED" w:rsidRPr="00167001">
        <w:rPr>
          <w:i/>
          <w:iCs/>
          <w:strike/>
        </w:rPr>
        <w:lastRenderedPageBreak/>
        <w:t>necessary to accommodate the column base rotation resulting from the design story drift.</w:t>
      </w:r>
    </w:p>
    <w:p w14:paraId="495C0E7F" w14:textId="77777777" w:rsidR="0082350C" w:rsidRPr="009766E0" w:rsidRDefault="0082350C" w:rsidP="0082350C">
      <w:pPr>
        <w:autoSpaceDE w:val="0"/>
        <w:autoSpaceDN w:val="0"/>
        <w:adjustRightInd w:val="0"/>
        <w:rPr>
          <w:rFonts w:cs="Arial"/>
          <w:bCs/>
          <w:i/>
        </w:rPr>
      </w:pPr>
      <w:r w:rsidRPr="009766E0">
        <w:rPr>
          <w:rFonts w:cs="Arial"/>
          <w:bCs/>
          <w:i/>
        </w:rPr>
        <w:t>…</w:t>
      </w:r>
    </w:p>
    <w:p w14:paraId="5BEF8F5C" w14:textId="77777777" w:rsidR="00F93F0B" w:rsidRPr="009766E0" w:rsidRDefault="00F93F0B" w:rsidP="00167001">
      <w:pPr>
        <w:pStyle w:val="Heading4"/>
        <w:spacing w:before="0"/>
        <w:ind w:left="0"/>
      </w:pPr>
      <w:r w:rsidRPr="009766E0">
        <w:t xml:space="preserve">Notation: </w:t>
      </w:r>
    </w:p>
    <w:p w14:paraId="69CC1CDF" w14:textId="77777777" w:rsidR="00E532C7" w:rsidRPr="009766E0" w:rsidRDefault="00E532C7" w:rsidP="00E532C7">
      <w:pPr>
        <w:rPr>
          <w:rFonts w:cs="Arial"/>
        </w:rPr>
      </w:pPr>
      <w:r w:rsidRPr="009766E0">
        <w:rPr>
          <w:rFonts w:cs="Arial"/>
        </w:rPr>
        <w:t>Authority: Education Code Section 81053</w:t>
      </w:r>
    </w:p>
    <w:p w14:paraId="567C8814" w14:textId="77777777" w:rsidR="00E532C7" w:rsidRPr="009766E0" w:rsidRDefault="00E532C7" w:rsidP="00E532C7">
      <w:pPr>
        <w:rPr>
          <w:rFonts w:cs="Arial"/>
        </w:rPr>
      </w:pPr>
      <w:r w:rsidRPr="009766E0">
        <w:rPr>
          <w:rFonts w:cs="Arial"/>
        </w:rPr>
        <w:t>Reference(s): Education Code Sections 81052, 81053, and 81130 through 81149</w:t>
      </w:r>
    </w:p>
    <w:p w14:paraId="4BE95F5F" w14:textId="10A369A2" w:rsidR="00F8071F" w:rsidRPr="00FC3D11" w:rsidRDefault="00F8071F" w:rsidP="00FC3D11">
      <w:pPr>
        <w:pStyle w:val="Heading3"/>
      </w:pPr>
      <w:r w:rsidRPr="00FC3D11">
        <w:t xml:space="preserve">ITEM </w:t>
      </w:r>
      <w:r w:rsidR="000F3902" w:rsidRPr="00FC3D11">
        <w:t>8</w:t>
      </w:r>
      <w:r w:rsidRPr="00FC3D11">
        <w:br/>
        <w:t xml:space="preserve">CHAPTER 22A </w:t>
      </w:r>
      <w:r w:rsidR="008A2F04" w:rsidRPr="00FC3D11">
        <w:t>STEEL</w:t>
      </w:r>
    </w:p>
    <w:p w14:paraId="52FC9C0C" w14:textId="77777777" w:rsidR="00F8071F" w:rsidRPr="009766E0" w:rsidRDefault="00F8071F" w:rsidP="00F8071F">
      <w:pPr>
        <w:autoSpaceDE w:val="0"/>
        <w:autoSpaceDN w:val="0"/>
        <w:adjustRightInd w:val="0"/>
        <w:rPr>
          <w:rFonts w:cs="Arial"/>
          <w:bCs/>
          <w:i/>
        </w:rPr>
      </w:pPr>
      <w:r w:rsidRPr="009766E0">
        <w:rPr>
          <w:rFonts w:cs="Arial"/>
          <w:bCs/>
          <w:i/>
        </w:rPr>
        <w:t>…</w:t>
      </w:r>
    </w:p>
    <w:p w14:paraId="6135F357" w14:textId="48C8C23C" w:rsidR="00FC2981" w:rsidRPr="009766E0" w:rsidRDefault="00FC2981" w:rsidP="00FC2981">
      <w:pPr>
        <w:rPr>
          <w:strike/>
        </w:rPr>
      </w:pPr>
      <w:r w:rsidRPr="009766E0">
        <w:rPr>
          <w:rFonts w:eastAsia="Arial" w:cs="Arial"/>
          <w:b/>
          <w:i/>
          <w:iCs/>
          <w:strike/>
        </w:rPr>
        <w:t>2202A.5.2</w:t>
      </w:r>
      <w:r w:rsidRPr="009766E0">
        <w:rPr>
          <w:rFonts w:eastAsia="Arial" w:cs="Arial"/>
          <w:strike/>
        </w:rPr>
        <w:t xml:space="preserve"> </w:t>
      </w:r>
      <w:r w:rsidRPr="009766E0">
        <w:rPr>
          <w:rFonts w:eastAsia="Arial" w:cs="Arial"/>
          <w:b/>
          <w:i/>
          <w:strike/>
        </w:rPr>
        <w:t>Section D2.</w:t>
      </w:r>
      <w:r w:rsidRPr="009766E0">
        <w:rPr>
          <w:rFonts w:eastAsia="Arial" w:cs="Arial"/>
          <w:b/>
          <w:strike/>
        </w:rPr>
        <w:t xml:space="preserve"> </w:t>
      </w:r>
      <w:r w:rsidRPr="009766E0">
        <w:rPr>
          <w:rFonts w:eastAsia="Arial" w:cs="Arial"/>
          <w:i/>
          <w:strike/>
        </w:rPr>
        <w:t>Modify Section D2.6c(b)(2) as follows:</w:t>
      </w:r>
    </w:p>
    <w:p w14:paraId="6DC53FA6" w14:textId="535F2892" w:rsidR="00FC2981" w:rsidRPr="009766E0" w:rsidRDefault="00FC2981" w:rsidP="00DC1FDA">
      <w:pPr>
        <w:pStyle w:val="ListParagraph"/>
        <w:numPr>
          <w:ilvl w:val="0"/>
          <w:numId w:val="9"/>
        </w:numPr>
        <w:ind w:left="648"/>
        <w:rPr>
          <w:rFonts w:eastAsia="Arial" w:cs="Arial"/>
          <w:strike/>
          <w:szCs w:val="24"/>
        </w:rPr>
      </w:pPr>
      <w:r w:rsidRPr="009766E0">
        <w:rPr>
          <w:rFonts w:eastAsia="Arial" w:cs="Arial"/>
          <w:strike/>
          <w:szCs w:val="24"/>
        </w:rPr>
        <w:t xml:space="preserve"> The moment calculated using the</w:t>
      </w:r>
      <w:r w:rsidRPr="009766E0">
        <w:rPr>
          <w:rFonts w:eastAsia="Arial" w:cs="Arial"/>
          <w:i/>
          <w:iCs/>
          <w:strike/>
          <w:szCs w:val="24"/>
        </w:rPr>
        <w:t xml:space="preserve"> load combinations of the applicable building code, including the amplified seismic load, </w:t>
      </w:r>
      <w:r w:rsidRPr="009766E0">
        <w:rPr>
          <w:rFonts w:eastAsia="Arial" w:cs="Arial"/>
          <w:strike/>
          <w:szCs w:val="24"/>
        </w:rPr>
        <w:t>provided</w:t>
      </w:r>
      <w:r w:rsidRPr="009766E0">
        <w:rPr>
          <w:rFonts w:eastAsia="Arial" w:cs="Arial"/>
          <w:i/>
          <w:iCs/>
          <w:strike/>
          <w:szCs w:val="24"/>
        </w:rPr>
        <w:t xml:space="preserve"> the connection or other mechanism within the column base is designed</w:t>
      </w:r>
      <w:r w:rsidRPr="009766E0">
        <w:rPr>
          <w:rFonts w:eastAsia="Arial" w:cs="Arial"/>
          <w:i/>
          <w:strike/>
          <w:szCs w:val="24"/>
        </w:rPr>
        <w:t xml:space="preserve"> to </w:t>
      </w:r>
      <w:r w:rsidRPr="009766E0">
        <w:rPr>
          <w:rFonts w:eastAsia="Arial" w:cs="Arial"/>
          <w:i/>
          <w:iCs/>
          <w:strike/>
          <w:szCs w:val="24"/>
        </w:rPr>
        <w:t xml:space="preserve">have the ductility necessary to accommodate the column base rotation resulting from the design story drift. </w:t>
      </w:r>
    </w:p>
    <w:p w14:paraId="19D5742B" w14:textId="77777777" w:rsidR="00FC2981" w:rsidRPr="009766E0" w:rsidRDefault="00FC2981" w:rsidP="00FC2981">
      <w:pPr>
        <w:autoSpaceDE w:val="0"/>
        <w:autoSpaceDN w:val="0"/>
        <w:adjustRightInd w:val="0"/>
        <w:rPr>
          <w:rFonts w:cs="Arial"/>
          <w:bCs/>
          <w:i/>
        </w:rPr>
      </w:pPr>
      <w:r w:rsidRPr="009766E0">
        <w:rPr>
          <w:rFonts w:cs="Arial"/>
          <w:bCs/>
          <w:i/>
        </w:rPr>
        <w:t>…</w:t>
      </w:r>
    </w:p>
    <w:p w14:paraId="785C7C1E" w14:textId="77777777" w:rsidR="00F93F0B" w:rsidRPr="009766E0" w:rsidRDefault="00F93F0B" w:rsidP="00167001">
      <w:pPr>
        <w:pStyle w:val="Heading4"/>
        <w:spacing w:before="0"/>
        <w:ind w:left="0"/>
      </w:pPr>
      <w:r w:rsidRPr="009766E0">
        <w:t xml:space="preserve">Notation: </w:t>
      </w:r>
    </w:p>
    <w:p w14:paraId="60F28F6A" w14:textId="77777777" w:rsidR="00E42F51" w:rsidRPr="009766E0" w:rsidRDefault="00E42F51" w:rsidP="00167001">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5474C1C7" w14:textId="77777777" w:rsidR="00E42F51" w:rsidRPr="009766E0" w:rsidRDefault="00E42F51" w:rsidP="00167001">
      <w:pPr>
        <w:spacing w:after="240"/>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451B597F" w14:textId="7E9980A7" w:rsidR="00484BD2" w:rsidRPr="00FC3D11" w:rsidRDefault="00484BD2" w:rsidP="00FC3D11">
      <w:pPr>
        <w:pStyle w:val="Heading3"/>
      </w:pPr>
      <w:r w:rsidRPr="00FC3D11">
        <w:t xml:space="preserve">ITEM </w:t>
      </w:r>
      <w:r w:rsidR="000F3902" w:rsidRPr="00FC3D11">
        <w:t>9</w:t>
      </w:r>
      <w:r w:rsidRPr="00FC3D11">
        <w:br/>
      </w:r>
      <w:r w:rsidR="002A71E9" w:rsidRPr="00FC3D11">
        <w:t xml:space="preserve">CHAPTER </w:t>
      </w:r>
      <w:r w:rsidRPr="00FC3D11">
        <w:t>35</w:t>
      </w:r>
      <w:r w:rsidR="00704ED5" w:rsidRPr="00FC3D11">
        <w:t xml:space="preserve"> – REFERENCED STAN</w:t>
      </w:r>
      <w:r w:rsidR="00BA1803" w:rsidRPr="00FC3D11">
        <w:t>DARDS</w:t>
      </w:r>
    </w:p>
    <w:p w14:paraId="74C8F264" w14:textId="2DAC2676" w:rsidR="00BA1803" w:rsidRPr="009766E0" w:rsidRDefault="00D60B2B" w:rsidP="00BA1803">
      <w:r w:rsidRPr="009766E0">
        <w:t>…</w:t>
      </w:r>
    </w:p>
    <w:p w14:paraId="38ED0F0E" w14:textId="4011D88C" w:rsidR="00A46D16" w:rsidRPr="009766E0" w:rsidRDefault="00A46D16" w:rsidP="00A46D16">
      <w:pPr>
        <w:rPr>
          <w:i/>
        </w:rPr>
      </w:pPr>
      <w:r w:rsidRPr="009766E0">
        <w:rPr>
          <w:b/>
          <w:bCs/>
        </w:rPr>
        <w:t xml:space="preserve">ACI </w:t>
      </w:r>
      <w:r w:rsidRPr="009766E0">
        <w:t xml:space="preserve">American </w:t>
      </w:r>
      <w:r w:rsidR="000D758B" w:rsidRPr="009766E0">
        <w:t>Concrete</w:t>
      </w:r>
      <w:r w:rsidRPr="009766E0">
        <w:t xml:space="preserve"> Institute, </w:t>
      </w:r>
      <w:r w:rsidR="000D758B" w:rsidRPr="009766E0">
        <w:t>38800 Country Club Drive</w:t>
      </w:r>
      <w:r w:rsidR="00FF4C24" w:rsidRPr="009766E0">
        <w:t>, Farmington Hills, MI 48331-3439</w:t>
      </w:r>
    </w:p>
    <w:p w14:paraId="34D42CD0" w14:textId="59982E92" w:rsidR="00B057E9" w:rsidRPr="009766E0" w:rsidRDefault="00B057E9" w:rsidP="00A46D16">
      <w:pPr>
        <w:rPr>
          <w:i/>
          <w:iCs/>
        </w:rPr>
      </w:pPr>
      <w:r w:rsidRPr="009766E0">
        <w:rPr>
          <w:i/>
          <w:iCs/>
        </w:rPr>
        <w:t>…</w:t>
      </w:r>
    </w:p>
    <w:p w14:paraId="40F8E95A" w14:textId="366614EF" w:rsidR="00DB7754" w:rsidRPr="009766E0" w:rsidRDefault="00E16EDB" w:rsidP="00A46D16">
      <w:pPr>
        <w:rPr>
          <w:rFonts w:cs="Arial"/>
          <w:b/>
          <w:bCs/>
          <w:i/>
          <w:iCs/>
          <w:u w:val="single"/>
        </w:rPr>
      </w:pPr>
      <w:r w:rsidRPr="009766E0">
        <w:rPr>
          <w:rFonts w:cs="Arial"/>
          <w:b/>
          <w:bCs/>
          <w:i/>
          <w:iCs/>
          <w:u w:val="single"/>
        </w:rPr>
        <w:t xml:space="preserve">318—19 (22): </w:t>
      </w:r>
      <w:r w:rsidR="00023E0A" w:rsidRPr="009766E0">
        <w:rPr>
          <w:rFonts w:cs="Arial"/>
          <w:b/>
          <w:bCs/>
          <w:i/>
          <w:iCs/>
          <w:u w:val="single"/>
        </w:rPr>
        <w:t>[DSA</w:t>
      </w:r>
      <w:r w:rsidR="003462F4" w:rsidRPr="009766E0">
        <w:rPr>
          <w:rFonts w:cs="Arial"/>
          <w:b/>
          <w:bCs/>
          <w:i/>
          <w:iCs/>
          <w:u w:val="single"/>
        </w:rPr>
        <w:t>-SS, DSA-SS/CC]</w:t>
      </w:r>
      <w:r w:rsidR="00F1154D" w:rsidRPr="009766E0">
        <w:rPr>
          <w:rFonts w:cs="Arial"/>
          <w:b/>
          <w:bCs/>
          <w:i/>
          <w:iCs/>
          <w:u w:val="single"/>
        </w:rPr>
        <w:t xml:space="preserve"> </w:t>
      </w:r>
      <w:r w:rsidRPr="009766E0">
        <w:rPr>
          <w:rFonts w:cs="Arial"/>
          <w:b/>
          <w:bCs/>
          <w:i/>
          <w:iCs/>
          <w:u w:val="single"/>
        </w:rPr>
        <w:t>Building Code Requirements for Structural Concrete</w:t>
      </w:r>
      <w:r w:rsidR="005033D0" w:rsidRPr="009766E0">
        <w:rPr>
          <w:rFonts w:cs="Arial"/>
          <w:b/>
          <w:bCs/>
          <w:i/>
          <w:iCs/>
          <w:u w:val="single"/>
        </w:rPr>
        <w:t xml:space="preserve"> …</w:t>
      </w:r>
    </w:p>
    <w:p w14:paraId="3642B51B" w14:textId="281CEE20" w:rsidR="00B057E9" w:rsidRPr="009766E0" w:rsidRDefault="00DB7754" w:rsidP="00A46D16">
      <w:r w:rsidRPr="009766E0">
        <w:rPr>
          <w:rFonts w:cs="Arial"/>
        </w:rPr>
        <w:t>…</w:t>
      </w:r>
      <w:r w:rsidR="00E16EDB" w:rsidRPr="009766E0">
        <w:rPr>
          <w:rFonts w:cs="Arial"/>
        </w:rPr>
        <w:t> </w:t>
      </w:r>
    </w:p>
    <w:p w14:paraId="5E6DE885" w14:textId="77777777" w:rsidR="0016742A" w:rsidRPr="009766E0" w:rsidRDefault="0016742A" w:rsidP="0016742A">
      <w:r w:rsidRPr="009766E0">
        <w:rPr>
          <w:b/>
          <w:bCs/>
        </w:rPr>
        <w:t xml:space="preserve">ASCE/SEI </w:t>
      </w:r>
      <w:r w:rsidRPr="009766E0">
        <w:t>American Society of Civil Engineers Structural Engineering Institute, 1801 Alexander Bell Drive, Reston, VA 20191 </w:t>
      </w:r>
    </w:p>
    <w:p w14:paraId="38241354" w14:textId="77777777" w:rsidR="0016742A" w:rsidRPr="009766E0" w:rsidRDefault="0016742A" w:rsidP="0016742A">
      <w:r w:rsidRPr="009766E0">
        <w:t>… </w:t>
      </w:r>
    </w:p>
    <w:p w14:paraId="5B064C57" w14:textId="45C0D251" w:rsidR="0016742A" w:rsidRPr="009766E0" w:rsidRDefault="0016742A" w:rsidP="0016742A">
      <w:pPr>
        <w:rPr>
          <w:rFonts w:cs="Arial"/>
          <w:strike/>
        </w:rPr>
      </w:pPr>
      <w:r w:rsidRPr="009766E0">
        <w:rPr>
          <w:rFonts w:cs="Arial"/>
          <w:b/>
          <w:bCs/>
          <w:i/>
          <w:iCs/>
          <w:strike/>
        </w:rPr>
        <w:t>41</w:t>
      </w:r>
      <w:r w:rsidR="00F42034" w:rsidRPr="009766E0">
        <w:rPr>
          <w:rFonts w:cs="Arial"/>
          <w:b/>
          <w:bCs/>
          <w:i/>
          <w:iCs/>
          <w:strike/>
        </w:rPr>
        <w:t>—</w:t>
      </w:r>
      <w:r w:rsidRPr="009766E0">
        <w:rPr>
          <w:rFonts w:cs="Arial"/>
          <w:b/>
          <w:bCs/>
          <w:i/>
          <w:iCs/>
          <w:strike/>
        </w:rPr>
        <w:t>17: [DSA-SS, DSA-SS/CC] Seismic Evaluation and Retrofit of Existing Buildings</w:t>
      </w:r>
      <w:r w:rsidRPr="009766E0">
        <w:rPr>
          <w:rFonts w:cs="Arial"/>
          <w:strike/>
        </w:rPr>
        <w:t> </w:t>
      </w:r>
    </w:p>
    <w:p w14:paraId="6B880B90" w14:textId="4F200152" w:rsidR="00BC0F80" w:rsidRPr="009766E0" w:rsidRDefault="00BC0F80" w:rsidP="0016742A">
      <w:pPr>
        <w:rPr>
          <w:rFonts w:cs="Arial"/>
          <w:strike/>
        </w:rPr>
      </w:pPr>
      <w:r w:rsidRPr="009766E0">
        <w:rPr>
          <w:rFonts w:cs="Arial"/>
          <w:strike/>
        </w:rPr>
        <w:t>160</w:t>
      </w:r>
      <w:r w:rsidR="00621B47" w:rsidRPr="009766E0">
        <w:rPr>
          <w:rFonts w:cs="Arial"/>
          <w:strike/>
        </w:rPr>
        <w:t>3A.2</w:t>
      </w:r>
    </w:p>
    <w:p w14:paraId="1B8EA0C8" w14:textId="4663659A" w:rsidR="00372408" w:rsidRPr="009766E0" w:rsidRDefault="0008592C" w:rsidP="0016742A">
      <w:pPr>
        <w:rPr>
          <w:rFonts w:cs="Arial"/>
        </w:rPr>
      </w:pPr>
      <w:r w:rsidRPr="009766E0">
        <w:rPr>
          <w:rFonts w:cs="Arial"/>
        </w:rPr>
        <w:t>…</w:t>
      </w:r>
    </w:p>
    <w:p w14:paraId="2E2021D0" w14:textId="442A228C" w:rsidR="00620AA9" w:rsidRPr="009766E0" w:rsidRDefault="00620AA9" w:rsidP="0017172B">
      <w:pPr>
        <w:pStyle w:val="Heading4"/>
        <w:spacing w:before="0"/>
        <w:ind w:left="0"/>
        <w:rPr>
          <w:rFonts w:cs="Arial"/>
          <w:snapToGrid/>
          <w:szCs w:val="24"/>
        </w:rPr>
      </w:pPr>
      <w:r w:rsidRPr="009766E0">
        <w:rPr>
          <w:rFonts w:cs="Arial"/>
          <w:szCs w:val="24"/>
        </w:rPr>
        <w:lastRenderedPageBreak/>
        <w:t>Notation</w:t>
      </w:r>
      <w:r w:rsidR="0017172B">
        <w:rPr>
          <w:rFonts w:cs="Arial"/>
          <w:szCs w:val="24"/>
        </w:rPr>
        <w:t xml:space="preserve"> </w:t>
      </w:r>
      <w:r w:rsidR="0017172B" w:rsidRPr="0017172B">
        <w:rPr>
          <w:rFonts w:cs="Arial"/>
          <w:szCs w:val="24"/>
        </w:rPr>
        <w:t>for [DSA-SS]</w:t>
      </w:r>
      <w:r w:rsidRPr="009766E0">
        <w:rPr>
          <w:rFonts w:cs="Arial"/>
          <w:szCs w:val="24"/>
        </w:rPr>
        <w:t>:</w:t>
      </w:r>
    </w:p>
    <w:p w14:paraId="21BDF464" w14:textId="77777777" w:rsidR="00620AA9" w:rsidRPr="009766E0" w:rsidRDefault="00620AA9" w:rsidP="00620AA9">
      <w:pPr>
        <w:rPr>
          <w:rFonts w:cs="Arial"/>
          <w:snapToGrid/>
          <w:szCs w:val="24"/>
        </w:rPr>
      </w:pPr>
      <w:r w:rsidRPr="009766E0">
        <w:rPr>
          <w:rFonts w:cs="Arial"/>
          <w:szCs w:val="24"/>
        </w:rPr>
        <w:t xml:space="preserve">Authority: </w:t>
      </w:r>
      <w:r w:rsidRPr="009766E0">
        <w:rPr>
          <w:rFonts w:cs="Arial"/>
          <w:noProof/>
          <w:szCs w:val="24"/>
        </w:rPr>
        <w:t>Education Code Section 17310 and 81142, and Health and Safety Code Section 16022</w:t>
      </w:r>
    </w:p>
    <w:p w14:paraId="0F557347" w14:textId="77777777" w:rsidR="00620AA9" w:rsidRPr="009766E0" w:rsidRDefault="00620AA9" w:rsidP="0017172B">
      <w:pPr>
        <w:rPr>
          <w:rFonts w:cs="Arial"/>
          <w:noProof/>
          <w:szCs w:val="24"/>
        </w:rPr>
      </w:pPr>
      <w:r w:rsidRPr="009766E0">
        <w:rPr>
          <w:rFonts w:cs="Arial"/>
          <w:szCs w:val="24"/>
        </w:rPr>
        <w:t xml:space="preserve">Reference: </w:t>
      </w:r>
      <w:r w:rsidRPr="009766E0">
        <w:rPr>
          <w:rFonts w:cs="Arial"/>
          <w:noProof/>
          <w:szCs w:val="24"/>
        </w:rPr>
        <w:t>Education Code Sections 17280 through 17317, and 81130 through 81149, and Health and Safety Code Sections 16000 through 16023</w:t>
      </w:r>
    </w:p>
    <w:p w14:paraId="5C342131" w14:textId="3924CE68" w:rsidR="00620AA9" w:rsidRPr="009766E0" w:rsidRDefault="00620AA9" w:rsidP="0017172B">
      <w:pPr>
        <w:pStyle w:val="Heading4"/>
        <w:spacing w:before="120"/>
        <w:ind w:left="0"/>
        <w:rPr>
          <w:rFonts w:cs="Arial"/>
          <w:szCs w:val="24"/>
        </w:rPr>
      </w:pPr>
      <w:r w:rsidRPr="009766E0">
        <w:rPr>
          <w:rFonts w:cs="Arial"/>
          <w:szCs w:val="24"/>
        </w:rPr>
        <w:t>Notatio</w:t>
      </w:r>
      <w:r w:rsidR="00FC7328">
        <w:rPr>
          <w:rFonts w:cs="Arial"/>
          <w:szCs w:val="24"/>
        </w:rPr>
        <w:t>n</w:t>
      </w:r>
      <w:r w:rsidR="0017172B" w:rsidRPr="0017172B">
        <w:rPr>
          <w:rFonts w:cs="Arial"/>
          <w:szCs w:val="24"/>
        </w:rPr>
        <w:t xml:space="preserve"> for [DSA-SS/CC]</w:t>
      </w:r>
      <w:r w:rsidRPr="009766E0">
        <w:rPr>
          <w:rFonts w:cs="Arial"/>
          <w:szCs w:val="24"/>
        </w:rPr>
        <w:t>:</w:t>
      </w:r>
    </w:p>
    <w:p w14:paraId="56EA29B2" w14:textId="77777777" w:rsidR="00620AA9" w:rsidRPr="009766E0" w:rsidRDefault="00620AA9" w:rsidP="00620AA9">
      <w:pPr>
        <w:rPr>
          <w:rFonts w:cs="Arial"/>
          <w:szCs w:val="24"/>
        </w:rPr>
      </w:pPr>
      <w:r w:rsidRPr="009766E0">
        <w:rPr>
          <w:rFonts w:cs="Arial"/>
          <w:szCs w:val="24"/>
        </w:rPr>
        <w:t xml:space="preserve">Authority: </w:t>
      </w:r>
      <w:r w:rsidRPr="009766E0">
        <w:rPr>
          <w:rFonts w:cs="Arial"/>
          <w:noProof/>
          <w:szCs w:val="24"/>
        </w:rPr>
        <w:t>Education Code Section 81053</w:t>
      </w:r>
    </w:p>
    <w:p w14:paraId="49CCE4C4" w14:textId="1A6EB596" w:rsidR="00D60B2B" w:rsidRPr="009766E0" w:rsidRDefault="00620AA9" w:rsidP="00BA1803">
      <w:pPr>
        <w:rPr>
          <w:rFonts w:cs="Arial"/>
          <w:szCs w:val="24"/>
        </w:rPr>
      </w:pPr>
      <w:r w:rsidRPr="009766E0">
        <w:rPr>
          <w:rFonts w:cs="Arial"/>
          <w:szCs w:val="24"/>
        </w:rPr>
        <w:t xml:space="preserve">Reference: </w:t>
      </w:r>
      <w:r w:rsidRPr="009766E0">
        <w:rPr>
          <w:rFonts w:cs="Arial"/>
          <w:noProof/>
          <w:szCs w:val="24"/>
        </w:rPr>
        <w:t>Education Code Sections 81052, 81053, and 81130 through 81149</w:t>
      </w:r>
    </w:p>
    <w:p w14:paraId="51BFE821" w14:textId="77777777" w:rsidR="00484BD2" w:rsidRDefault="00484BD2" w:rsidP="00CD652A">
      <w:pPr>
        <w:rPr>
          <w:rFonts w:cs="Arial"/>
        </w:rPr>
      </w:pPr>
    </w:p>
    <w:sectPr w:rsidR="00484BD2"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3EDD" w14:textId="77777777" w:rsidR="007A2B95" w:rsidRDefault="007A2B95">
      <w:r>
        <w:separator/>
      </w:r>
    </w:p>
  </w:endnote>
  <w:endnote w:type="continuationSeparator" w:id="0">
    <w:p w14:paraId="0841DFAE" w14:textId="77777777" w:rsidR="007A2B95" w:rsidRDefault="007A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Nimbus Sans L">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50930CAA" w:rsidR="008908A5" w:rsidRDefault="004C15D7" w:rsidP="00AA0C1D">
    <w:pPr>
      <w:pStyle w:val="Footer"/>
      <w:tabs>
        <w:tab w:val="clear" w:pos="4320"/>
        <w:tab w:val="clear" w:pos="8640"/>
        <w:tab w:val="right" w:pos="9180"/>
      </w:tabs>
    </w:pPr>
    <w:r w:rsidRPr="00F94981">
      <w:t>BSC TP-103 (Rev. 05/25) Initial Express Terms</w:t>
    </w:r>
    <w:r w:rsidR="00A8502F" w:rsidRPr="00F94981">
      <w:tab/>
    </w:r>
    <w:r w:rsidR="008C1096" w:rsidRPr="00F94981">
      <w:t xml:space="preserve">January </w:t>
    </w:r>
    <w:r w:rsidR="00F94981" w:rsidRPr="00F94981">
      <w:t>1</w:t>
    </w:r>
    <w:r w:rsidR="00F94981">
      <w:t>4</w:t>
    </w:r>
    <w:r w:rsidR="008C1096" w:rsidRPr="00F94981">
      <w:t>, 2026</w:t>
    </w:r>
  </w:p>
  <w:p w14:paraId="1FC53460" w14:textId="79F90BB8" w:rsidR="000E6C5E" w:rsidRDefault="00B94595" w:rsidP="000E6C5E">
    <w:pPr>
      <w:pStyle w:val="Footer"/>
      <w:tabs>
        <w:tab w:val="clear" w:pos="4320"/>
        <w:tab w:val="clear" w:pos="8640"/>
        <w:tab w:val="center" w:pos="4860"/>
        <w:tab w:val="right" w:pos="9180"/>
      </w:tabs>
      <w:rPr>
        <w:szCs w:val="16"/>
      </w:rPr>
    </w:pPr>
    <w:r>
      <w:rPr>
        <w:szCs w:val="16"/>
      </w:rPr>
      <w:t xml:space="preserve">DSA-SS </w:t>
    </w:r>
    <w:r w:rsidR="004A6704">
      <w:rPr>
        <w:szCs w:val="16"/>
      </w:rPr>
      <w:t>02</w:t>
    </w:r>
    <w:r>
      <w:rPr>
        <w:szCs w:val="16"/>
      </w:rPr>
      <w:t>/25</w:t>
    </w:r>
    <w:r w:rsidR="000E6C5E">
      <w:rPr>
        <w:szCs w:val="16"/>
      </w:rPr>
      <w:t xml:space="preserve"> - Part 2 – 2025 Intervening </w:t>
    </w:r>
    <w:r w:rsidR="000E6C5E" w:rsidRPr="006D1470">
      <w:rPr>
        <w:szCs w:val="16"/>
      </w:rPr>
      <w:t>Code Cycle</w:t>
    </w:r>
    <w:r w:rsidR="000E6C5E">
      <w:rPr>
        <w:szCs w:val="16"/>
      </w:rPr>
      <w:tab/>
    </w:r>
    <w:r w:rsidR="000E6C5E">
      <w:rPr>
        <w:szCs w:val="16"/>
      </w:rPr>
      <w:tab/>
      <w:t>IET</w:t>
    </w:r>
  </w:p>
  <w:p w14:paraId="5D269932" w14:textId="0E4A1AB8" w:rsidR="009C2981" w:rsidRDefault="000E6C5E" w:rsidP="00D107A7">
    <w:pPr>
      <w:pStyle w:val="Footer"/>
      <w:tabs>
        <w:tab w:val="clear" w:pos="4320"/>
        <w:tab w:val="clear" w:pos="8640"/>
        <w:tab w:val="center" w:pos="4860"/>
        <w:tab w:val="right" w:pos="9180"/>
      </w:tabs>
    </w:pPr>
    <w:r>
      <w:rPr>
        <w:szCs w:val="16"/>
      </w:rPr>
      <w:t>Division of the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B3D0" w14:textId="77777777" w:rsidR="007A2B95" w:rsidRDefault="007A2B95">
      <w:r>
        <w:separator/>
      </w:r>
    </w:p>
  </w:footnote>
  <w:footnote w:type="continuationSeparator" w:id="0">
    <w:p w14:paraId="3CD28D84" w14:textId="77777777" w:rsidR="007A2B95" w:rsidRDefault="007A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0C4E2EE4"/>
    <w:multiLevelType w:val="hybridMultilevel"/>
    <w:tmpl w:val="2D825E9E"/>
    <w:lvl w:ilvl="0" w:tplc="3B54780C">
      <w:start w:val="1"/>
      <w:numFmt w:val="decimal"/>
      <w:lvlText w:val="%1."/>
      <w:lvlJc w:val="left"/>
      <w:pPr>
        <w:ind w:left="480" w:hanging="390"/>
      </w:pPr>
      <w:rPr>
        <w:rFonts w:ascii="Arial" w:eastAsia="Times New Roman" w:hAnsi="Arial" w:cs="Arial" w:hint="default"/>
        <w:b w:val="0"/>
        <w:bCs w:val="0"/>
        <w:i/>
        <w:iCs/>
        <w:strike w:val="0"/>
        <w:spacing w:val="0"/>
        <w:w w:val="99"/>
        <w:sz w:val="24"/>
        <w:szCs w:val="24"/>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0CD27FE9"/>
    <w:multiLevelType w:val="hybridMultilevel"/>
    <w:tmpl w:val="FA74D3F6"/>
    <w:lvl w:ilvl="0" w:tplc="04090011">
      <w:start w:val="1"/>
      <w:numFmt w:val="decimal"/>
      <w:lvlText w:val="%1)"/>
      <w:lvlJc w:val="left"/>
      <w:pPr>
        <w:ind w:left="750" w:hanging="390"/>
      </w:pPr>
      <w:rPr>
        <w:rFonts w:hint="default"/>
        <w:b w:val="0"/>
        <w:bCs w:val="0"/>
        <w:i/>
        <w:iCs/>
        <w:strike w:val="0"/>
        <w:spacing w:val="0"/>
        <w:w w:val="99"/>
        <w:sz w:val="24"/>
        <w:szCs w:val="24"/>
        <w:u w:val="none"/>
      </w:rPr>
    </w:lvl>
    <w:lvl w:ilvl="1" w:tplc="5044C2E4">
      <w:start w:val="1"/>
      <w:numFmt w:val="lowerLetter"/>
      <w:lvlText w:val="%2."/>
      <w:lvlJc w:val="left"/>
      <w:pPr>
        <w:ind w:left="1440" w:hanging="360"/>
      </w:pPr>
      <w:rPr>
        <w:strike w:val="0"/>
        <w:u w:val="no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17D0CEB"/>
    <w:multiLevelType w:val="hybridMultilevel"/>
    <w:tmpl w:val="247AAD9E"/>
    <w:lvl w:ilvl="0" w:tplc="226E2E4C">
      <w:start w:val="2"/>
      <w:numFmt w:val="decimal"/>
      <w:lvlText w:val="%1."/>
      <w:lvlJc w:val="left"/>
      <w:pPr>
        <w:ind w:left="390" w:hanging="390"/>
      </w:pPr>
      <w:rPr>
        <w:rFonts w:ascii="Arial" w:eastAsia="Times New Roman" w:hAnsi="Arial" w:cs="Arial" w:hint="default"/>
        <w:b w:val="0"/>
        <w:bCs w:val="0"/>
        <w:i/>
        <w:iCs/>
        <w:strike w:val="0"/>
        <w:spacing w:val="0"/>
        <w:w w:val="99"/>
        <w:sz w:val="24"/>
        <w:szCs w:val="24"/>
        <w:u w:val="single"/>
      </w:rPr>
    </w:lvl>
    <w:lvl w:ilvl="1" w:tplc="022EDCEA">
      <w:start w:val="1"/>
      <w:numFmt w:val="lowerLetter"/>
      <w:lvlText w:val="%2."/>
      <w:lvlJc w:val="left"/>
      <w:pPr>
        <w:ind w:left="1080" w:hanging="360"/>
      </w:pPr>
      <w:rPr>
        <w:strike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DC3DAA"/>
    <w:multiLevelType w:val="hybridMultilevel"/>
    <w:tmpl w:val="64BE5F64"/>
    <w:lvl w:ilvl="0" w:tplc="99469F3A">
      <w:start w:val="1"/>
      <w:numFmt w:val="decimal"/>
      <w:lvlText w:val="%1."/>
      <w:lvlJc w:val="left"/>
      <w:pPr>
        <w:ind w:left="1080" w:hanging="390"/>
      </w:pPr>
      <w:rPr>
        <w:rFonts w:ascii="Arial" w:eastAsia="Times New Roman" w:hAnsi="Arial" w:cs="Arial" w:hint="default"/>
        <w:b w:val="0"/>
        <w:bCs w:val="0"/>
        <w:i/>
        <w:iCs/>
        <w:strike/>
        <w:spacing w:val="0"/>
        <w:w w:val="99"/>
        <w:sz w:val="24"/>
        <w:szCs w:val="24"/>
        <w:u w:val="none"/>
      </w:rPr>
    </w:lvl>
    <w:lvl w:ilvl="1" w:tplc="E68638F6">
      <w:start w:val="1"/>
      <w:numFmt w:val="decimal"/>
      <w:lvlText w:val="%2."/>
      <w:lvlJc w:val="left"/>
      <w:pPr>
        <w:ind w:left="1770" w:hanging="360"/>
      </w:pPr>
      <w:rPr>
        <w:rFonts w:ascii="Arial" w:eastAsia="Arial" w:hAnsi="Arial" w:cs="Arial" w:hint="default"/>
        <w:strike/>
        <w:color w:val="404040"/>
        <w:spacing w:val="-1"/>
        <w:w w:val="102"/>
        <w:sz w:val="22"/>
        <w:szCs w:val="22"/>
      </w:rPr>
    </w:lvl>
    <w:lvl w:ilvl="2" w:tplc="FFFFFFFF">
      <w:start w:val="1"/>
      <w:numFmt w:val="lowerRoman"/>
      <w:lvlText w:val="%3."/>
      <w:lvlJc w:val="right"/>
      <w:pPr>
        <w:ind w:left="2490" w:hanging="180"/>
      </w:pPr>
    </w:lvl>
    <w:lvl w:ilvl="3" w:tplc="FFFFFFFF">
      <w:start w:val="1"/>
      <w:numFmt w:val="decimal"/>
      <w:lvlText w:val="%4."/>
      <w:lvlJc w:val="left"/>
      <w:pPr>
        <w:ind w:left="3210" w:hanging="360"/>
      </w:pPr>
    </w:lvl>
    <w:lvl w:ilvl="4" w:tplc="FFFFFFFF">
      <w:start w:val="1"/>
      <w:numFmt w:val="lowerLetter"/>
      <w:lvlText w:val="%5."/>
      <w:lvlJc w:val="left"/>
      <w:pPr>
        <w:ind w:left="3930" w:hanging="360"/>
      </w:pPr>
    </w:lvl>
    <w:lvl w:ilvl="5" w:tplc="FFFFFFFF">
      <w:start w:val="1"/>
      <w:numFmt w:val="lowerRoman"/>
      <w:lvlText w:val="%6."/>
      <w:lvlJc w:val="right"/>
      <w:pPr>
        <w:ind w:left="4650" w:hanging="180"/>
      </w:pPr>
    </w:lvl>
    <w:lvl w:ilvl="6" w:tplc="FFFFFFFF">
      <w:start w:val="1"/>
      <w:numFmt w:val="decimal"/>
      <w:lvlText w:val="%7."/>
      <w:lvlJc w:val="left"/>
      <w:pPr>
        <w:ind w:left="5370" w:hanging="360"/>
      </w:pPr>
    </w:lvl>
    <w:lvl w:ilvl="7" w:tplc="FFFFFFFF">
      <w:start w:val="1"/>
      <w:numFmt w:val="lowerLetter"/>
      <w:lvlText w:val="%8."/>
      <w:lvlJc w:val="left"/>
      <w:pPr>
        <w:ind w:left="6090" w:hanging="360"/>
      </w:pPr>
    </w:lvl>
    <w:lvl w:ilvl="8" w:tplc="FFFFFFFF">
      <w:start w:val="1"/>
      <w:numFmt w:val="lowerRoman"/>
      <w:lvlText w:val="%9."/>
      <w:lvlJc w:val="right"/>
      <w:pPr>
        <w:ind w:left="6810" w:hanging="180"/>
      </w:pPr>
    </w:lvl>
  </w:abstractNum>
  <w:abstractNum w:abstractNumId="15" w15:restartNumberingAfterBreak="0">
    <w:nsid w:val="16FC7BA4"/>
    <w:multiLevelType w:val="hybridMultilevel"/>
    <w:tmpl w:val="B9546D74"/>
    <w:lvl w:ilvl="0" w:tplc="68588AE2">
      <w:start w:val="2"/>
      <w:numFmt w:val="lowerLetter"/>
      <w:lvlText w:val="%1."/>
      <w:lvlJc w:val="left"/>
      <w:pPr>
        <w:ind w:left="0" w:hanging="360"/>
      </w:pPr>
      <w:rPr>
        <w:rFonts w:hint="default"/>
        <w:strike/>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CC86E28"/>
    <w:multiLevelType w:val="multilevel"/>
    <w:tmpl w:val="9D6E0E76"/>
    <w:lvl w:ilvl="0">
      <w:start w:val="2215"/>
      <w:numFmt w:val="decimal"/>
      <w:lvlText w:val="%1"/>
      <w:lvlJc w:val="left"/>
      <w:pPr>
        <w:ind w:left="920" w:hanging="920"/>
      </w:pPr>
      <w:rPr>
        <w:rFonts w:eastAsia="Arial" w:cs="Arial" w:hint="default"/>
        <w:b/>
        <w:i/>
      </w:rPr>
    </w:lvl>
    <w:lvl w:ilvl="1">
      <w:start w:val="2"/>
      <w:numFmt w:val="decimal"/>
      <w:lvlText w:val="%1.%2"/>
      <w:lvlJc w:val="left"/>
      <w:pPr>
        <w:ind w:left="920" w:hanging="920"/>
      </w:pPr>
      <w:rPr>
        <w:rFonts w:eastAsia="Arial" w:cs="Arial" w:hint="default"/>
        <w:b/>
        <w:i/>
      </w:rPr>
    </w:lvl>
    <w:lvl w:ilvl="2">
      <w:start w:val="2"/>
      <w:numFmt w:val="decimal"/>
      <w:lvlText w:val="%1.%2.%3"/>
      <w:lvlJc w:val="left"/>
      <w:pPr>
        <w:ind w:left="920" w:hanging="920"/>
      </w:pPr>
      <w:rPr>
        <w:rFonts w:eastAsia="Arial" w:cs="Arial" w:hint="default"/>
        <w:b/>
        <w:i/>
      </w:rPr>
    </w:lvl>
    <w:lvl w:ilvl="3">
      <w:start w:val="1"/>
      <w:numFmt w:val="decimal"/>
      <w:lvlText w:val="%1.%2.%3.%4"/>
      <w:lvlJc w:val="left"/>
      <w:pPr>
        <w:ind w:left="1080" w:hanging="1080"/>
      </w:pPr>
      <w:rPr>
        <w:rFonts w:eastAsia="Arial" w:cs="Arial" w:hint="default"/>
        <w:b/>
        <w:i/>
      </w:rPr>
    </w:lvl>
    <w:lvl w:ilvl="4">
      <w:start w:val="1"/>
      <w:numFmt w:val="decimal"/>
      <w:lvlText w:val="%1.%2.%3.%4.%5"/>
      <w:lvlJc w:val="left"/>
      <w:pPr>
        <w:ind w:left="1080" w:hanging="1080"/>
      </w:pPr>
      <w:rPr>
        <w:rFonts w:eastAsia="Arial" w:cs="Arial" w:hint="default"/>
        <w:b/>
        <w:i/>
      </w:rPr>
    </w:lvl>
    <w:lvl w:ilvl="5">
      <w:start w:val="1"/>
      <w:numFmt w:val="decimal"/>
      <w:lvlText w:val="%1.%2.%3.%4.%5.%6"/>
      <w:lvlJc w:val="left"/>
      <w:pPr>
        <w:ind w:left="1440" w:hanging="1440"/>
      </w:pPr>
      <w:rPr>
        <w:rFonts w:eastAsia="Arial" w:cs="Arial" w:hint="default"/>
        <w:b/>
        <w:i/>
      </w:rPr>
    </w:lvl>
    <w:lvl w:ilvl="6">
      <w:start w:val="1"/>
      <w:numFmt w:val="decimal"/>
      <w:lvlText w:val="%1.%2.%3.%4.%5.%6.%7"/>
      <w:lvlJc w:val="left"/>
      <w:pPr>
        <w:ind w:left="1440" w:hanging="1440"/>
      </w:pPr>
      <w:rPr>
        <w:rFonts w:eastAsia="Arial" w:cs="Arial" w:hint="default"/>
        <w:b/>
        <w:i/>
      </w:rPr>
    </w:lvl>
    <w:lvl w:ilvl="7">
      <w:start w:val="1"/>
      <w:numFmt w:val="decimal"/>
      <w:lvlText w:val="%1.%2.%3.%4.%5.%6.%7.%8"/>
      <w:lvlJc w:val="left"/>
      <w:pPr>
        <w:ind w:left="1800" w:hanging="1800"/>
      </w:pPr>
      <w:rPr>
        <w:rFonts w:eastAsia="Arial" w:cs="Arial" w:hint="default"/>
        <w:b/>
        <w:i/>
      </w:rPr>
    </w:lvl>
    <w:lvl w:ilvl="8">
      <w:start w:val="1"/>
      <w:numFmt w:val="decimal"/>
      <w:lvlText w:val="%1.%2.%3.%4.%5.%6.%7.%8.%9"/>
      <w:lvlJc w:val="left"/>
      <w:pPr>
        <w:ind w:left="1800" w:hanging="1800"/>
      </w:pPr>
      <w:rPr>
        <w:rFonts w:eastAsia="Arial" w:cs="Arial" w:hint="default"/>
        <w:b/>
        <w:i/>
      </w:rPr>
    </w:lvl>
  </w:abstractNum>
  <w:abstractNum w:abstractNumId="17" w15:restartNumberingAfterBreak="0">
    <w:nsid w:val="20C44134"/>
    <w:multiLevelType w:val="hybridMultilevel"/>
    <w:tmpl w:val="CD6E9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EA1137"/>
    <w:multiLevelType w:val="hybridMultilevel"/>
    <w:tmpl w:val="44ACEBC8"/>
    <w:lvl w:ilvl="0" w:tplc="0E841910">
      <w:start w:val="2"/>
      <w:numFmt w:val="decimal"/>
      <w:lvlText w:val="%1."/>
      <w:lvlJc w:val="left"/>
      <w:pPr>
        <w:ind w:left="1050" w:hanging="360"/>
      </w:pPr>
      <w:rPr>
        <w:rFonts w:ascii="Arial" w:eastAsia="Times New Roman" w:hAnsi="Arial" w:cs="Arial" w:hint="default"/>
        <w:b w:val="0"/>
        <w:bCs w:val="0"/>
        <w:i/>
        <w:iCs/>
        <w:strike/>
        <w:spacing w:val="0"/>
        <w:w w:val="99"/>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02845"/>
    <w:multiLevelType w:val="hybridMultilevel"/>
    <w:tmpl w:val="7BF25C60"/>
    <w:lvl w:ilvl="0" w:tplc="4E905174">
      <w:start w:val="2"/>
      <w:numFmt w:val="decimal"/>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9184C"/>
    <w:multiLevelType w:val="hybridMultilevel"/>
    <w:tmpl w:val="D80A7F20"/>
    <w:lvl w:ilvl="0" w:tplc="90349FB6">
      <w:start w:val="2"/>
      <w:numFmt w:val="lowerLetter"/>
      <w:lvlText w:val="%1."/>
      <w:lvlJc w:val="left"/>
      <w:pPr>
        <w:ind w:left="1350" w:hanging="360"/>
      </w:pPr>
      <w:rPr>
        <w:rFonts w:hint="default"/>
        <w:strike w:val="0"/>
        <w:u w:val="none"/>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373B0595"/>
    <w:multiLevelType w:val="hybridMultilevel"/>
    <w:tmpl w:val="7BF25C60"/>
    <w:lvl w:ilvl="0" w:tplc="FFFFFFFF">
      <w:start w:val="2"/>
      <w:numFmt w:val="decimal"/>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C751D"/>
    <w:multiLevelType w:val="hybridMultilevel"/>
    <w:tmpl w:val="D142602E"/>
    <w:lvl w:ilvl="0" w:tplc="3250A144">
      <w:start w:val="1"/>
      <w:numFmt w:val="decimal"/>
      <w:lvlText w:val="%1."/>
      <w:lvlJc w:val="left"/>
      <w:pPr>
        <w:ind w:left="720" w:hanging="360"/>
      </w:pPr>
      <w:rPr>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72635"/>
    <w:multiLevelType w:val="hybridMultilevel"/>
    <w:tmpl w:val="451005A8"/>
    <w:lvl w:ilvl="0" w:tplc="727EC982">
      <w:start w:val="3"/>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826DB"/>
    <w:multiLevelType w:val="hybridMultilevel"/>
    <w:tmpl w:val="BC827C1A"/>
    <w:lvl w:ilvl="0" w:tplc="9D3C71B8">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932"/>
    <w:multiLevelType w:val="hybridMultilevel"/>
    <w:tmpl w:val="2ED2BD72"/>
    <w:lvl w:ilvl="0" w:tplc="4A144C7C">
      <w:start w:val="2"/>
      <w:numFmt w:val="decimal"/>
      <w:lvlText w:val="%1."/>
      <w:lvlJc w:val="left"/>
      <w:pPr>
        <w:ind w:left="390" w:hanging="390"/>
      </w:pPr>
      <w:rPr>
        <w:rFonts w:hint="default"/>
        <w:i w:val="0"/>
        <w:iCs w:val="0"/>
        <w:strike w:val="0"/>
        <w:spacing w:val="-1"/>
        <w:w w:val="102"/>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F54B9D"/>
    <w:multiLevelType w:val="hybridMultilevel"/>
    <w:tmpl w:val="FDB0F25E"/>
    <w:lvl w:ilvl="0" w:tplc="AF1691E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F35DD0"/>
    <w:multiLevelType w:val="hybridMultilevel"/>
    <w:tmpl w:val="CE3C7616"/>
    <w:lvl w:ilvl="0" w:tplc="CF78E336">
      <w:start w:val="2"/>
      <w:numFmt w:val="decimal"/>
      <w:lvlText w:val="(%1)"/>
      <w:lvlJc w:val="left"/>
      <w:pPr>
        <w:ind w:left="45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6668D"/>
    <w:multiLevelType w:val="hybridMultilevel"/>
    <w:tmpl w:val="D2A0D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BF18FD"/>
    <w:multiLevelType w:val="hybridMultilevel"/>
    <w:tmpl w:val="22D22B96"/>
    <w:lvl w:ilvl="0" w:tplc="718C6390">
      <w:start w:val="3"/>
      <w:numFmt w:val="low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03973"/>
    <w:multiLevelType w:val="hybridMultilevel"/>
    <w:tmpl w:val="73A26D54"/>
    <w:lvl w:ilvl="0" w:tplc="5A4A35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85942"/>
    <w:multiLevelType w:val="hybridMultilevel"/>
    <w:tmpl w:val="1018B1AC"/>
    <w:lvl w:ilvl="0" w:tplc="5A4A3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057B06"/>
    <w:multiLevelType w:val="multilevel"/>
    <w:tmpl w:val="7B6ECAF2"/>
    <w:lvl w:ilvl="0">
      <w:start w:val="2215"/>
      <w:numFmt w:val="decimal"/>
      <w:lvlText w:val="%1"/>
      <w:lvlJc w:val="left"/>
      <w:pPr>
        <w:ind w:left="920" w:hanging="920"/>
      </w:pPr>
      <w:rPr>
        <w:rFonts w:hint="default"/>
        <w:b/>
      </w:rPr>
    </w:lvl>
    <w:lvl w:ilvl="1">
      <w:start w:val="2"/>
      <w:numFmt w:val="decimal"/>
      <w:lvlText w:val="%1.%2"/>
      <w:lvlJc w:val="left"/>
      <w:pPr>
        <w:ind w:left="920" w:hanging="920"/>
      </w:pPr>
      <w:rPr>
        <w:rFonts w:hint="default"/>
        <w:b/>
      </w:rPr>
    </w:lvl>
    <w:lvl w:ilvl="2">
      <w:start w:val="2"/>
      <w:numFmt w:val="decimal"/>
      <w:lvlText w:val="%1.%2.%3"/>
      <w:lvlJc w:val="left"/>
      <w:pPr>
        <w:ind w:left="920" w:hanging="9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7706578"/>
    <w:multiLevelType w:val="hybridMultilevel"/>
    <w:tmpl w:val="EBACB6B2"/>
    <w:lvl w:ilvl="0" w:tplc="E092E4A4">
      <w:start w:val="11"/>
      <w:numFmt w:val="decimal"/>
      <w:lvlText w:val="%1."/>
      <w:lvlJc w:val="left"/>
      <w:pPr>
        <w:ind w:left="720" w:hanging="360"/>
      </w:pPr>
      <w:rPr>
        <w:rFonts w:hint="default"/>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846F6"/>
    <w:multiLevelType w:val="multilevel"/>
    <w:tmpl w:val="EBACBC64"/>
    <w:lvl w:ilvl="0">
      <w:start w:val="2"/>
      <w:numFmt w:val="decimal"/>
      <w:lvlText w:val="%1"/>
      <w:lvlJc w:val="left"/>
      <w:pPr>
        <w:ind w:left="920" w:hanging="920"/>
      </w:pPr>
      <w:rPr>
        <w:rFonts w:eastAsia="Arial" w:cs="Arial" w:hint="default"/>
        <w:b/>
        <w:i/>
      </w:rPr>
    </w:lvl>
    <w:lvl w:ilvl="1">
      <w:start w:val="2"/>
      <w:numFmt w:val="decimal"/>
      <w:lvlText w:val="%1.%2"/>
      <w:lvlJc w:val="left"/>
      <w:pPr>
        <w:ind w:left="920" w:hanging="920"/>
      </w:pPr>
      <w:rPr>
        <w:rFonts w:eastAsia="Arial" w:cs="Arial" w:hint="default"/>
        <w:b/>
        <w:i/>
      </w:rPr>
    </w:lvl>
    <w:lvl w:ilvl="2">
      <w:start w:val="2"/>
      <w:numFmt w:val="decimal"/>
      <w:lvlText w:val="%1.%2.%3"/>
      <w:lvlJc w:val="left"/>
      <w:pPr>
        <w:ind w:left="920" w:hanging="920"/>
      </w:pPr>
      <w:rPr>
        <w:rFonts w:eastAsia="Arial" w:cs="Arial" w:hint="default"/>
        <w:b/>
        <w:i/>
      </w:rPr>
    </w:lvl>
    <w:lvl w:ilvl="3">
      <w:start w:val="1"/>
      <w:numFmt w:val="decimal"/>
      <w:lvlText w:val="%1.%2.%3.%4"/>
      <w:lvlJc w:val="left"/>
      <w:pPr>
        <w:ind w:left="1080" w:hanging="1080"/>
      </w:pPr>
      <w:rPr>
        <w:rFonts w:eastAsia="Arial" w:cs="Arial" w:hint="default"/>
        <w:b/>
        <w:i/>
      </w:rPr>
    </w:lvl>
    <w:lvl w:ilvl="4">
      <w:start w:val="1"/>
      <w:numFmt w:val="decimal"/>
      <w:lvlText w:val="%1.%2.%3.%4.%5"/>
      <w:lvlJc w:val="left"/>
      <w:pPr>
        <w:ind w:left="1080" w:hanging="1080"/>
      </w:pPr>
      <w:rPr>
        <w:rFonts w:eastAsia="Arial" w:cs="Arial" w:hint="default"/>
        <w:b/>
        <w:i/>
      </w:rPr>
    </w:lvl>
    <w:lvl w:ilvl="5">
      <w:start w:val="1"/>
      <w:numFmt w:val="decimal"/>
      <w:lvlText w:val="%1.%2.%3.%4.%5.%6"/>
      <w:lvlJc w:val="left"/>
      <w:pPr>
        <w:ind w:left="1440" w:hanging="1440"/>
      </w:pPr>
      <w:rPr>
        <w:rFonts w:eastAsia="Arial" w:cs="Arial" w:hint="default"/>
        <w:b/>
        <w:i/>
      </w:rPr>
    </w:lvl>
    <w:lvl w:ilvl="6">
      <w:start w:val="1"/>
      <w:numFmt w:val="decimal"/>
      <w:lvlText w:val="%1.%2.%3.%4.%5.%6.%7"/>
      <w:lvlJc w:val="left"/>
      <w:pPr>
        <w:ind w:left="1440" w:hanging="1440"/>
      </w:pPr>
      <w:rPr>
        <w:rFonts w:eastAsia="Arial" w:cs="Arial" w:hint="default"/>
        <w:b/>
        <w:i/>
      </w:rPr>
    </w:lvl>
    <w:lvl w:ilvl="7">
      <w:start w:val="1"/>
      <w:numFmt w:val="decimal"/>
      <w:lvlText w:val="%1.%2.%3.%4.%5.%6.%7.%8"/>
      <w:lvlJc w:val="left"/>
      <w:pPr>
        <w:ind w:left="1800" w:hanging="1800"/>
      </w:pPr>
      <w:rPr>
        <w:rFonts w:eastAsia="Arial" w:cs="Arial" w:hint="default"/>
        <w:b/>
        <w:i/>
      </w:rPr>
    </w:lvl>
    <w:lvl w:ilvl="8">
      <w:start w:val="1"/>
      <w:numFmt w:val="decimal"/>
      <w:lvlText w:val="%1.%2.%3.%4.%5.%6.%7.%8.%9"/>
      <w:lvlJc w:val="left"/>
      <w:pPr>
        <w:ind w:left="1800" w:hanging="1800"/>
      </w:pPr>
      <w:rPr>
        <w:rFonts w:eastAsia="Arial" w:cs="Arial" w:hint="default"/>
        <w:b/>
        <w:i/>
      </w:rPr>
    </w:lvl>
  </w:abstractNum>
  <w:abstractNum w:abstractNumId="42" w15:restartNumberingAfterBreak="0">
    <w:nsid w:val="7C7906F8"/>
    <w:multiLevelType w:val="hybridMultilevel"/>
    <w:tmpl w:val="F6A6DE6E"/>
    <w:lvl w:ilvl="0" w:tplc="72A6D52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D55D7"/>
    <w:multiLevelType w:val="hybridMultilevel"/>
    <w:tmpl w:val="CD6E9EE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2212069">
    <w:abstractNumId w:val="21"/>
  </w:num>
  <w:num w:numId="2" w16cid:durableId="1935700462">
    <w:abstractNumId w:val="11"/>
  </w:num>
  <w:num w:numId="3" w16cid:durableId="907423091">
    <w:abstractNumId w:val="30"/>
  </w:num>
  <w:num w:numId="4" w16cid:durableId="491221861">
    <w:abstractNumId w:val="25"/>
  </w:num>
  <w:num w:numId="5" w16cid:durableId="104275179">
    <w:abstractNumId w:val="19"/>
  </w:num>
  <w:num w:numId="6" w16cid:durableId="1978559405">
    <w:abstractNumId w:val="17"/>
  </w:num>
  <w:num w:numId="7" w16cid:durableId="1330017653">
    <w:abstractNumId w:val="38"/>
  </w:num>
  <w:num w:numId="8" w16cid:durableId="524562149">
    <w:abstractNumId w:val="31"/>
  </w:num>
  <w:num w:numId="9" w16cid:durableId="22948854">
    <w:abstractNumId w:val="26"/>
  </w:num>
  <w:num w:numId="10" w16cid:durableId="1462185315">
    <w:abstractNumId w:val="43"/>
  </w:num>
  <w:num w:numId="11" w16cid:durableId="1255287012">
    <w:abstractNumId w:val="23"/>
  </w:num>
  <w:num w:numId="12" w16cid:durableId="1034841984">
    <w:abstractNumId w:val="22"/>
  </w:num>
  <w:num w:numId="13" w16cid:durableId="79449155">
    <w:abstractNumId w:val="29"/>
  </w:num>
  <w:num w:numId="14" w16cid:durableId="1549343205">
    <w:abstractNumId w:val="10"/>
  </w:num>
  <w:num w:numId="15" w16cid:durableId="1290357534">
    <w:abstractNumId w:val="32"/>
  </w:num>
  <w:num w:numId="16" w16cid:durableId="366837411">
    <w:abstractNumId w:val="39"/>
  </w:num>
  <w:num w:numId="17" w16cid:durableId="707072491">
    <w:abstractNumId w:val="36"/>
  </w:num>
  <w:num w:numId="18" w16cid:durableId="1689793772">
    <w:abstractNumId w:val="27"/>
  </w:num>
  <w:num w:numId="19" w16cid:durableId="1785074914">
    <w:abstractNumId w:val="9"/>
  </w:num>
  <w:num w:numId="20" w16cid:durableId="1393381900">
    <w:abstractNumId w:val="7"/>
  </w:num>
  <w:num w:numId="21" w16cid:durableId="1804540055">
    <w:abstractNumId w:val="6"/>
  </w:num>
  <w:num w:numId="22" w16cid:durableId="1604072198">
    <w:abstractNumId w:val="5"/>
  </w:num>
  <w:num w:numId="23" w16cid:durableId="633558354">
    <w:abstractNumId w:val="4"/>
  </w:num>
  <w:num w:numId="24" w16cid:durableId="904293254">
    <w:abstractNumId w:val="8"/>
  </w:num>
  <w:num w:numId="25" w16cid:durableId="1984314033">
    <w:abstractNumId w:val="3"/>
  </w:num>
  <w:num w:numId="26" w16cid:durableId="1470200902">
    <w:abstractNumId w:val="2"/>
  </w:num>
  <w:num w:numId="27" w16cid:durableId="323708092">
    <w:abstractNumId w:val="1"/>
  </w:num>
  <w:num w:numId="28" w16cid:durableId="398134602">
    <w:abstractNumId w:val="0"/>
  </w:num>
  <w:num w:numId="29" w16cid:durableId="1749497105">
    <w:abstractNumId w:val="12"/>
  </w:num>
  <w:num w:numId="30" w16cid:durableId="1964579021">
    <w:abstractNumId w:val="15"/>
  </w:num>
  <w:num w:numId="31" w16cid:durableId="1621301067">
    <w:abstractNumId w:val="20"/>
  </w:num>
  <w:num w:numId="32" w16cid:durableId="659045309">
    <w:abstractNumId w:val="13"/>
  </w:num>
  <w:num w:numId="33" w16cid:durableId="1980450846">
    <w:abstractNumId w:val="42"/>
  </w:num>
  <w:num w:numId="34" w16cid:durableId="1405683517">
    <w:abstractNumId w:val="34"/>
  </w:num>
  <w:num w:numId="35" w16cid:durableId="1983925961">
    <w:abstractNumId w:val="14"/>
  </w:num>
  <w:num w:numId="36" w16cid:durableId="2029871481">
    <w:abstractNumId w:val="18"/>
  </w:num>
  <w:num w:numId="37" w16cid:durableId="1640378923">
    <w:abstractNumId w:val="28"/>
  </w:num>
  <w:num w:numId="38" w16cid:durableId="247886698">
    <w:abstractNumId w:val="16"/>
  </w:num>
  <w:num w:numId="39" w16cid:durableId="2022508567">
    <w:abstractNumId w:val="41"/>
  </w:num>
  <w:num w:numId="40" w16cid:durableId="534780455">
    <w:abstractNumId w:val="37"/>
  </w:num>
  <w:num w:numId="41" w16cid:durableId="1420180125">
    <w:abstractNumId w:val="35"/>
  </w:num>
  <w:num w:numId="42" w16cid:durableId="346489853">
    <w:abstractNumId w:val="24"/>
  </w:num>
  <w:num w:numId="43" w16cid:durableId="290478862">
    <w:abstractNumId w:val="40"/>
  </w:num>
  <w:num w:numId="44" w16cid:durableId="26943679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85F"/>
    <w:rsid w:val="00005708"/>
    <w:rsid w:val="000070EF"/>
    <w:rsid w:val="000101DF"/>
    <w:rsid w:val="00011B6E"/>
    <w:rsid w:val="000132D5"/>
    <w:rsid w:val="0001539B"/>
    <w:rsid w:val="00023E0A"/>
    <w:rsid w:val="00024D9E"/>
    <w:rsid w:val="000257AD"/>
    <w:rsid w:val="00031093"/>
    <w:rsid w:val="000340B7"/>
    <w:rsid w:val="00034AC1"/>
    <w:rsid w:val="000354D2"/>
    <w:rsid w:val="00036E16"/>
    <w:rsid w:val="00043112"/>
    <w:rsid w:val="00045B4C"/>
    <w:rsid w:val="00046773"/>
    <w:rsid w:val="000519A3"/>
    <w:rsid w:val="00053405"/>
    <w:rsid w:val="0006560C"/>
    <w:rsid w:val="00066A08"/>
    <w:rsid w:val="000714EA"/>
    <w:rsid w:val="00077B06"/>
    <w:rsid w:val="000815A7"/>
    <w:rsid w:val="00081645"/>
    <w:rsid w:val="00084F43"/>
    <w:rsid w:val="0008592C"/>
    <w:rsid w:val="00095BD2"/>
    <w:rsid w:val="00096112"/>
    <w:rsid w:val="000A0EF8"/>
    <w:rsid w:val="000A39D7"/>
    <w:rsid w:val="000A655A"/>
    <w:rsid w:val="000A690A"/>
    <w:rsid w:val="000B136A"/>
    <w:rsid w:val="000B4609"/>
    <w:rsid w:val="000B5D13"/>
    <w:rsid w:val="000C0E15"/>
    <w:rsid w:val="000C2D43"/>
    <w:rsid w:val="000C348F"/>
    <w:rsid w:val="000D0A46"/>
    <w:rsid w:val="000D6B67"/>
    <w:rsid w:val="000D758B"/>
    <w:rsid w:val="000E24B4"/>
    <w:rsid w:val="000E668B"/>
    <w:rsid w:val="000E6C5E"/>
    <w:rsid w:val="000F3902"/>
    <w:rsid w:val="000F3FB9"/>
    <w:rsid w:val="001042F5"/>
    <w:rsid w:val="00104998"/>
    <w:rsid w:val="00110B4A"/>
    <w:rsid w:val="001159FF"/>
    <w:rsid w:val="0012254E"/>
    <w:rsid w:val="00123F82"/>
    <w:rsid w:val="00126956"/>
    <w:rsid w:val="0013045A"/>
    <w:rsid w:val="00135CEB"/>
    <w:rsid w:val="00137844"/>
    <w:rsid w:val="0014223F"/>
    <w:rsid w:val="001449AA"/>
    <w:rsid w:val="00154071"/>
    <w:rsid w:val="00154433"/>
    <w:rsid w:val="00156095"/>
    <w:rsid w:val="00164809"/>
    <w:rsid w:val="00167001"/>
    <w:rsid w:val="0016742A"/>
    <w:rsid w:val="0017172B"/>
    <w:rsid w:val="00172C37"/>
    <w:rsid w:val="00173985"/>
    <w:rsid w:val="001745B1"/>
    <w:rsid w:val="00175449"/>
    <w:rsid w:val="00176848"/>
    <w:rsid w:val="001826F4"/>
    <w:rsid w:val="001873F3"/>
    <w:rsid w:val="00190E7A"/>
    <w:rsid w:val="001912F7"/>
    <w:rsid w:val="00192876"/>
    <w:rsid w:val="0019348A"/>
    <w:rsid w:val="001A0BFF"/>
    <w:rsid w:val="001A51D0"/>
    <w:rsid w:val="001A5317"/>
    <w:rsid w:val="001A6165"/>
    <w:rsid w:val="001A6B80"/>
    <w:rsid w:val="001A6CBA"/>
    <w:rsid w:val="001B1AF5"/>
    <w:rsid w:val="001B1B2C"/>
    <w:rsid w:val="001B4333"/>
    <w:rsid w:val="001B5A97"/>
    <w:rsid w:val="001B6F2A"/>
    <w:rsid w:val="001B7B8B"/>
    <w:rsid w:val="001C4F88"/>
    <w:rsid w:val="001C50F7"/>
    <w:rsid w:val="001D15D1"/>
    <w:rsid w:val="001D6449"/>
    <w:rsid w:val="001D703D"/>
    <w:rsid w:val="001D7B30"/>
    <w:rsid w:val="001E0E55"/>
    <w:rsid w:val="001E2EAA"/>
    <w:rsid w:val="001E635B"/>
    <w:rsid w:val="001E71DE"/>
    <w:rsid w:val="001F1DBE"/>
    <w:rsid w:val="001F2A94"/>
    <w:rsid w:val="001F3DFE"/>
    <w:rsid w:val="001F6735"/>
    <w:rsid w:val="00200281"/>
    <w:rsid w:val="00201A96"/>
    <w:rsid w:val="002026BE"/>
    <w:rsid w:val="0021415B"/>
    <w:rsid w:val="00214BF8"/>
    <w:rsid w:val="002216CE"/>
    <w:rsid w:val="00221FCF"/>
    <w:rsid w:val="0022313F"/>
    <w:rsid w:val="00232846"/>
    <w:rsid w:val="00233F4E"/>
    <w:rsid w:val="00234A84"/>
    <w:rsid w:val="00241C76"/>
    <w:rsid w:val="00241CB9"/>
    <w:rsid w:val="00245B7F"/>
    <w:rsid w:val="00251ED7"/>
    <w:rsid w:val="002523E2"/>
    <w:rsid w:val="002537B1"/>
    <w:rsid w:val="0025596D"/>
    <w:rsid w:val="00256E74"/>
    <w:rsid w:val="00257CF9"/>
    <w:rsid w:val="0026053B"/>
    <w:rsid w:val="00260BAD"/>
    <w:rsid w:val="00265C2F"/>
    <w:rsid w:val="002678E5"/>
    <w:rsid w:val="00273769"/>
    <w:rsid w:val="002749AA"/>
    <w:rsid w:val="00275E8B"/>
    <w:rsid w:val="00277CC5"/>
    <w:rsid w:val="00277D71"/>
    <w:rsid w:val="00286AA9"/>
    <w:rsid w:val="002915CB"/>
    <w:rsid w:val="00293189"/>
    <w:rsid w:val="00295E27"/>
    <w:rsid w:val="00295F52"/>
    <w:rsid w:val="002965E0"/>
    <w:rsid w:val="002A039E"/>
    <w:rsid w:val="002A2B3A"/>
    <w:rsid w:val="002A71E9"/>
    <w:rsid w:val="002B090F"/>
    <w:rsid w:val="002B0B3C"/>
    <w:rsid w:val="002B15C3"/>
    <w:rsid w:val="002C0715"/>
    <w:rsid w:val="002C35AA"/>
    <w:rsid w:val="002C440F"/>
    <w:rsid w:val="002C5AFE"/>
    <w:rsid w:val="002C74A2"/>
    <w:rsid w:val="002C7A25"/>
    <w:rsid w:val="002D1B8F"/>
    <w:rsid w:val="002D21E4"/>
    <w:rsid w:val="002D3BB2"/>
    <w:rsid w:val="002D3F86"/>
    <w:rsid w:val="002D4F21"/>
    <w:rsid w:val="002E10AE"/>
    <w:rsid w:val="002F1714"/>
    <w:rsid w:val="002F4F83"/>
    <w:rsid w:val="00301808"/>
    <w:rsid w:val="00305C48"/>
    <w:rsid w:val="0030639B"/>
    <w:rsid w:val="003079C9"/>
    <w:rsid w:val="00321E95"/>
    <w:rsid w:val="00331BA0"/>
    <w:rsid w:val="00332C1D"/>
    <w:rsid w:val="00340A1E"/>
    <w:rsid w:val="00345229"/>
    <w:rsid w:val="003462F4"/>
    <w:rsid w:val="00347E4F"/>
    <w:rsid w:val="00347EFB"/>
    <w:rsid w:val="00350D97"/>
    <w:rsid w:val="00351540"/>
    <w:rsid w:val="00351E2B"/>
    <w:rsid w:val="003527A1"/>
    <w:rsid w:val="00353425"/>
    <w:rsid w:val="00353B32"/>
    <w:rsid w:val="00353FF9"/>
    <w:rsid w:val="00354F5E"/>
    <w:rsid w:val="0035574E"/>
    <w:rsid w:val="003641DE"/>
    <w:rsid w:val="00364971"/>
    <w:rsid w:val="00370346"/>
    <w:rsid w:val="00372408"/>
    <w:rsid w:val="0037247F"/>
    <w:rsid w:val="0037338E"/>
    <w:rsid w:val="00373EC3"/>
    <w:rsid w:val="00374CA7"/>
    <w:rsid w:val="003751C1"/>
    <w:rsid w:val="003759F8"/>
    <w:rsid w:val="00381DB0"/>
    <w:rsid w:val="00382EE9"/>
    <w:rsid w:val="0038327A"/>
    <w:rsid w:val="0038630C"/>
    <w:rsid w:val="00387DC5"/>
    <w:rsid w:val="003942B6"/>
    <w:rsid w:val="003979C9"/>
    <w:rsid w:val="003A28EC"/>
    <w:rsid w:val="003A2FC8"/>
    <w:rsid w:val="003B470F"/>
    <w:rsid w:val="003B7B4C"/>
    <w:rsid w:val="003C0D2E"/>
    <w:rsid w:val="003C4A3F"/>
    <w:rsid w:val="003C5419"/>
    <w:rsid w:val="003C56D4"/>
    <w:rsid w:val="003C7035"/>
    <w:rsid w:val="003D18E3"/>
    <w:rsid w:val="003D241B"/>
    <w:rsid w:val="003D2EF8"/>
    <w:rsid w:val="003D5608"/>
    <w:rsid w:val="003D63AC"/>
    <w:rsid w:val="003D63EF"/>
    <w:rsid w:val="003D653E"/>
    <w:rsid w:val="003E0D9B"/>
    <w:rsid w:val="003E10BE"/>
    <w:rsid w:val="003F3E8A"/>
    <w:rsid w:val="00401EAB"/>
    <w:rsid w:val="00403FEA"/>
    <w:rsid w:val="00404533"/>
    <w:rsid w:val="00410627"/>
    <w:rsid w:val="00416AC3"/>
    <w:rsid w:val="00421C03"/>
    <w:rsid w:val="00426F96"/>
    <w:rsid w:val="00433D7C"/>
    <w:rsid w:val="004356AC"/>
    <w:rsid w:val="00435F20"/>
    <w:rsid w:val="00436343"/>
    <w:rsid w:val="00436EA9"/>
    <w:rsid w:val="00443718"/>
    <w:rsid w:val="00446845"/>
    <w:rsid w:val="00450327"/>
    <w:rsid w:val="00456038"/>
    <w:rsid w:val="00460C88"/>
    <w:rsid w:val="00460F4B"/>
    <w:rsid w:val="00461D40"/>
    <w:rsid w:val="00461FA9"/>
    <w:rsid w:val="00462492"/>
    <w:rsid w:val="00463924"/>
    <w:rsid w:val="0046521A"/>
    <w:rsid w:val="0046659F"/>
    <w:rsid w:val="0047629E"/>
    <w:rsid w:val="00482D14"/>
    <w:rsid w:val="00482F46"/>
    <w:rsid w:val="00484B36"/>
    <w:rsid w:val="00484BD2"/>
    <w:rsid w:val="0049298C"/>
    <w:rsid w:val="004957C8"/>
    <w:rsid w:val="004A6704"/>
    <w:rsid w:val="004B1057"/>
    <w:rsid w:val="004B2AB9"/>
    <w:rsid w:val="004C1567"/>
    <w:rsid w:val="004C15D7"/>
    <w:rsid w:val="004C1BA6"/>
    <w:rsid w:val="004C48A0"/>
    <w:rsid w:val="004C56DD"/>
    <w:rsid w:val="004D2C0F"/>
    <w:rsid w:val="004D58AE"/>
    <w:rsid w:val="004E00A3"/>
    <w:rsid w:val="004E4AAE"/>
    <w:rsid w:val="004E5B9A"/>
    <w:rsid w:val="004E68D4"/>
    <w:rsid w:val="004E69D2"/>
    <w:rsid w:val="004F2661"/>
    <w:rsid w:val="004F4618"/>
    <w:rsid w:val="004F58A7"/>
    <w:rsid w:val="004F5B87"/>
    <w:rsid w:val="005033D0"/>
    <w:rsid w:val="00504806"/>
    <w:rsid w:val="0052147B"/>
    <w:rsid w:val="00523BDE"/>
    <w:rsid w:val="00527722"/>
    <w:rsid w:val="00527E4E"/>
    <w:rsid w:val="00531175"/>
    <w:rsid w:val="00533B7B"/>
    <w:rsid w:val="00535084"/>
    <w:rsid w:val="00535D04"/>
    <w:rsid w:val="005412B2"/>
    <w:rsid w:val="00541492"/>
    <w:rsid w:val="005417DB"/>
    <w:rsid w:val="0054234F"/>
    <w:rsid w:val="00543FE1"/>
    <w:rsid w:val="005453B6"/>
    <w:rsid w:val="00551519"/>
    <w:rsid w:val="00551588"/>
    <w:rsid w:val="0055727B"/>
    <w:rsid w:val="00563190"/>
    <w:rsid w:val="00570119"/>
    <w:rsid w:val="0057260F"/>
    <w:rsid w:val="00573347"/>
    <w:rsid w:val="0057664B"/>
    <w:rsid w:val="00580BA7"/>
    <w:rsid w:val="00581DE3"/>
    <w:rsid w:val="00585730"/>
    <w:rsid w:val="00587C18"/>
    <w:rsid w:val="00593DDD"/>
    <w:rsid w:val="005A582A"/>
    <w:rsid w:val="005B18CB"/>
    <w:rsid w:val="005B4347"/>
    <w:rsid w:val="005D042F"/>
    <w:rsid w:val="005D061C"/>
    <w:rsid w:val="005D400E"/>
    <w:rsid w:val="005D6C57"/>
    <w:rsid w:val="005E09CB"/>
    <w:rsid w:val="005E162F"/>
    <w:rsid w:val="005E45EB"/>
    <w:rsid w:val="005E56FD"/>
    <w:rsid w:val="005F09E2"/>
    <w:rsid w:val="005F1F14"/>
    <w:rsid w:val="005F25AD"/>
    <w:rsid w:val="005F2C25"/>
    <w:rsid w:val="005F5E18"/>
    <w:rsid w:val="00600471"/>
    <w:rsid w:val="006005C2"/>
    <w:rsid w:val="0061175B"/>
    <w:rsid w:val="00615AEB"/>
    <w:rsid w:val="006169B9"/>
    <w:rsid w:val="00620AA9"/>
    <w:rsid w:val="00621B47"/>
    <w:rsid w:val="006222FD"/>
    <w:rsid w:val="0063032F"/>
    <w:rsid w:val="0063055B"/>
    <w:rsid w:val="00632E8D"/>
    <w:rsid w:val="0063717E"/>
    <w:rsid w:val="006374F9"/>
    <w:rsid w:val="00642758"/>
    <w:rsid w:val="006454FB"/>
    <w:rsid w:val="00654F10"/>
    <w:rsid w:val="00656F84"/>
    <w:rsid w:val="00664F8A"/>
    <w:rsid w:val="0066622F"/>
    <w:rsid w:val="00667332"/>
    <w:rsid w:val="006749B1"/>
    <w:rsid w:val="00682A35"/>
    <w:rsid w:val="00682F94"/>
    <w:rsid w:val="00682FDB"/>
    <w:rsid w:val="006833CC"/>
    <w:rsid w:val="006855F1"/>
    <w:rsid w:val="006879B9"/>
    <w:rsid w:val="00692077"/>
    <w:rsid w:val="00693305"/>
    <w:rsid w:val="00694E35"/>
    <w:rsid w:val="0069558C"/>
    <w:rsid w:val="00696B09"/>
    <w:rsid w:val="006A0653"/>
    <w:rsid w:val="006A21F1"/>
    <w:rsid w:val="006A4BEF"/>
    <w:rsid w:val="006B079D"/>
    <w:rsid w:val="006B2897"/>
    <w:rsid w:val="006B37A5"/>
    <w:rsid w:val="006B5EF1"/>
    <w:rsid w:val="006B6ABA"/>
    <w:rsid w:val="006B747C"/>
    <w:rsid w:val="006C1C33"/>
    <w:rsid w:val="006D1470"/>
    <w:rsid w:val="006D21F9"/>
    <w:rsid w:val="006E0BE6"/>
    <w:rsid w:val="006E5504"/>
    <w:rsid w:val="006E6164"/>
    <w:rsid w:val="006E74FC"/>
    <w:rsid w:val="006F044E"/>
    <w:rsid w:val="006F1639"/>
    <w:rsid w:val="006F27E3"/>
    <w:rsid w:val="00700B58"/>
    <w:rsid w:val="00701E2C"/>
    <w:rsid w:val="00704ED5"/>
    <w:rsid w:val="0070689B"/>
    <w:rsid w:val="00712842"/>
    <w:rsid w:val="007165DA"/>
    <w:rsid w:val="00721CF0"/>
    <w:rsid w:val="00723C64"/>
    <w:rsid w:val="00723EC9"/>
    <w:rsid w:val="00725752"/>
    <w:rsid w:val="007304C9"/>
    <w:rsid w:val="007306D7"/>
    <w:rsid w:val="0073339B"/>
    <w:rsid w:val="0073368F"/>
    <w:rsid w:val="00733FCE"/>
    <w:rsid w:val="0073479C"/>
    <w:rsid w:val="00740028"/>
    <w:rsid w:val="00742029"/>
    <w:rsid w:val="007444FB"/>
    <w:rsid w:val="007463FA"/>
    <w:rsid w:val="0074744C"/>
    <w:rsid w:val="00750097"/>
    <w:rsid w:val="00750E73"/>
    <w:rsid w:val="007518DF"/>
    <w:rsid w:val="00751FA8"/>
    <w:rsid w:val="00752B5F"/>
    <w:rsid w:val="00753F0D"/>
    <w:rsid w:val="007559D4"/>
    <w:rsid w:val="0076338B"/>
    <w:rsid w:val="00765577"/>
    <w:rsid w:val="00766E92"/>
    <w:rsid w:val="00767398"/>
    <w:rsid w:val="00767766"/>
    <w:rsid w:val="00767E94"/>
    <w:rsid w:val="00774046"/>
    <w:rsid w:val="007746D5"/>
    <w:rsid w:val="00780700"/>
    <w:rsid w:val="00784EB7"/>
    <w:rsid w:val="007853FE"/>
    <w:rsid w:val="00790663"/>
    <w:rsid w:val="00791C91"/>
    <w:rsid w:val="0079307D"/>
    <w:rsid w:val="00797F0D"/>
    <w:rsid w:val="007A2B95"/>
    <w:rsid w:val="007A4227"/>
    <w:rsid w:val="007A4BDD"/>
    <w:rsid w:val="007A510C"/>
    <w:rsid w:val="007A6822"/>
    <w:rsid w:val="007A7E2F"/>
    <w:rsid w:val="007B0231"/>
    <w:rsid w:val="007B3872"/>
    <w:rsid w:val="007B4553"/>
    <w:rsid w:val="007B49D3"/>
    <w:rsid w:val="007C0233"/>
    <w:rsid w:val="007C03CD"/>
    <w:rsid w:val="007C40AE"/>
    <w:rsid w:val="007C5E34"/>
    <w:rsid w:val="007C65B6"/>
    <w:rsid w:val="007C682A"/>
    <w:rsid w:val="007D1884"/>
    <w:rsid w:val="007D1980"/>
    <w:rsid w:val="007D410B"/>
    <w:rsid w:val="007D4133"/>
    <w:rsid w:val="007D5CCB"/>
    <w:rsid w:val="007E1459"/>
    <w:rsid w:val="007E4B8E"/>
    <w:rsid w:val="007F0B88"/>
    <w:rsid w:val="007F6086"/>
    <w:rsid w:val="007F7C22"/>
    <w:rsid w:val="00800DF2"/>
    <w:rsid w:val="00801113"/>
    <w:rsid w:val="00803D1D"/>
    <w:rsid w:val="00803D87"/>
    <w:rsid w:val="00811235"/>
    <w:rsid w:val="0081299A"/>
    <w:rsid w:val="00812B29"/>
    <w:rsid w:val="00817005"/>
    <w:rsid w:val="008207AF"/>
    <w:rsid w:val="008219A2"/>
    <w:rsid w:val="0082350C"/>
    <w:rsid w:val="008236F5"/>
    <w:rsid w:val="00823C0D"/>
    <w:rsid w:val="00827C36"/>
    <w:rsid w:val="00830A76"/>
    <w:rsid w:val="0083127A"/>
    <w:rsid w:val="00831773"/>
    <w:rsid w:val="00831879"/>
    <w:rsid w:val="00835314"/>
    <w:rsid w:val="00840D14"/>
    <w:rsid w:val="00842CF5"/>
    <w:rsid w:val="00844257"/>
    <w:rsid w:val="0084581E"/>
    <w:rsid w:val="00847775"/>
    <w:rsid w:val="0085233D"/>
    <w:rsid w:val="00853BDD"/>
    <w:rsid w:val="008545BA"/>
    <w:rsid w:val="00860D91"/>
    <w:rsid w:val="00861B0A"/>
    <w:rsid w:val="00874839"/>
    <w:rsid w:val="00877C8E"/>
    <w:rsid w:val="008808D2"/>
    <w:rsid w:val="008819EE"/>
    <w:rsid w:val="00883648"/>
    <w:rsid w:val="00884BA8"/>
    <w:rsid w:val="00886B18"/>
    <w:rsid w:val="008908A5"/>
    <w:rsid w:val="00891C9B"/>
    <w:rsid w:val="008922D6"/>
    <w:rsid w:val="0089553F"/>
    <w:rsid w:val="008A1E40"/>
    <w:rsid w:val="008A2AC5"/>
    <w:rsid w:val="008A2F04"/>
    <w:rsid w:val="008A3B4E"/>
    <w:rsid w:val="008A5BAA"/>
    <w:rsid w:val="008A63B1"/>
    <w:rsid w:val="008B456A"/>
    <w:rsid w:val="008B6F4E"/>
    <w:rsid w:val="008C1096"/>
    <w:rsid w:val="008C59AF"/>
    <w:rsid w:val="008D123C"/>
    <w:rsid w:val="008D3F2A"/>
    <w:rsid w:val="008D7D27"/>
    <w:rsid w:val="008E0205"/>
    <w:rsid w:val="008E36A8"/>
    <w:rsid w:val="008F1AE2"/>
    <w:rsid w:val="008F2193"/>
    <w:rsid w:val="008F2DE6"/>
    <w:rsid w:val="008F3120"/>
    <w:rsid w:val="00902762"/>
    <w:rsid w:val="00904F97"/>
    <w:rsid w:val="00905CED"/>
    <w:rsid w:val="0090753D"/>
    <w:rsid w:val="0091141E"/>
    <w:rsid w:val="00911827"/>
    <w:rsid w:val="00913041"/>
    <w:rsid w:val="00913BC0"/>
    <w:rsid w:val="00915559"/>
    <w:rsid w:val="00920EE8"/>
    <w:rsid w:val="009246F5"/>
    <w:rsid w:val="009301B0"/>
    <w:rsid w:val="00934C8A"/>
    <w:rsid w:val="00936C17"/>
    <w:rsid w:val="00944510"/>
    <w:rsid w:val="009462AF"/>
    <w:rsid w:val="00946A4F"/>
    <w:rsid w:val="00950096"/>
    <w:rsid w:val="00950DDD"/>
    <w:rsid w:val="00955316"/>
    <w:rsid w:val="009603E4"/>
    <w:rsid w:val="00961C63"/>
    <w:rsid w:val="00965AAB"/>
    <w:rsid w:val="00965EAB"/>
    <w:rsid w:val="009704CE"/>
    <w:rsid w:val="0097442A"/>
    <w:rsid w:val="00975FF7"/>
    <w:rsid w:val="00976593"/>
    <w:rsid w:val="009766E0"/>
    <w:rsid w:val="00976F83"/>
    <w:rsid w:val="00990B61"/>
    <w:rsid w:val="00991033"/>
    <w:rsid w:val="0099136B"/>
    <w:rsid w:val="00992CF9"/>
    <w:rsid w:val="0099586A"/>
    <w:rsid w:val="009A1B7D"/>
    <w:rsid w:val="009A52ED"/>
    <w:rsid w:val="009A55C0"/>
    <w:rsid w:val="009A693A"/>
    <w:rsid w:val="009B1622"/>
    <w:rsid w:val="009B75E7"/>
    <w:rsid w:val="009C2981"/>
    <w:rsid w:val="009C40AA"/>
    <w:rsid w:val="009C529A"/>
    <w:rsid w:val="009C6E91"/>
    <w:rsid w:val="009D60C1"/>
    <w:rsid w:val="009D63D1"/>
    <w:rsid w:val="009E0E79"/>
    <w:rsid w:val="009E2641"/>
    <w:rsid w:val="009E6B12"/>
    <w:rsid w:val="009E7E70"/>
    <w:rsid w:val="009F125B"/>
    <w:rsid w:val="009F23ED"/>
    <w:rsid w:val="009F5DAC"/>
    <w:rsid w:val="009F7271"/>
    <w:rsid w:val="009F7E26"/>
    <w:rsid w:val="00A013EA"/>
    <w:rsid w:val="00A02EAA"/>
    <w:rsid w:val="00A0431B"/>
    <w:rsid w:val="00A05E2C"/>
    <w:rsid w:val="00A1138C"/>
    <w:rsid w:val="00A138AA"/>
    <w:rsid w:val="00A15E1D"/>
    <w:rsid w:val="00A21BBB"/>
    <w:rsid w:val="00A23E8E"/>
    <w:rsid w:val="00A245FD"/>
    <w:rsid w:val="00A3260F"/>
    <w:rsid w:val="00A32DA5"/>
    <w:rsid w:val="00A32F3B"/>
    <w:rsid w:val="00A400B4"/>
    <w:rsid w:val="00A46D16"/>
    <w:rsid w:val="00A52C9B"/>
    <w:rsid w:val="00A545D2"/>
    <w:rsid w:val="00A56E6B"/>
    <w:rsid w:val="00A60CA1"/>
    <w:rsid w:val="00A60FFD"/>
    <w:rsid w:val="00A73CBE"/>
    <w:rsid w:val="00A757A3"/>
    <w:rsid w:val="00A76E67"/>
    <w:rsid w:val="00A81002"/>
    <w:rsid w:val="00A81130"/>
    <w:rsid w:val="00A84BA6"/>
    <w:rsid w:val="00A8502F"/>
    <w:rsid w:val="00A93205"/>
    <w:rsid w:val="00A935DC"/>
    <w:rsid w:val="00A945EE"/>
    <w:rsid w:val="00A952CD"/>
    <w:rsid w:val="00AA0C1D"/>
    <w:rsid w:val="00AA1633"/>
    <w:rsid w:val="00AA21E9"/>
    <w:rsid w:val="00AA3323"/>
    <w:rsid w:val="00AA3618"/>
    <w:rsid w:val="00AA74DB"/>
    <w:rsid w:val="00AB0893"/>
    <w:rsid w:val="00AB08B4"/>
    <w:rsid w:val="00AB436F"/>
    <w:rsid w:val="00AB4400"/>
    <w:rsid w:val="00AC1F10"/>
    <w:rsid w:val="00AC3ACD"/>
    <w:rsid w:val="00AC57CB"/>
    <w:rsid w:val="00AC5C01"/>
    <w:rsid w:val="00AC6A02"/>
    <w:rsid w:val="00AD0B5D"/>
    <w:rsid w:val="00AD280C"/>
    <w:rsid w:val="00AE0526"/>
    <w:rsid w:val="00AE1056"/>
    <w:rsid w:val="00AE267C"/>
    <w:rsid w:val="00AE2A9F"/>
    <w:rsid w:val="00AF03CC"/>
    <w:rsid w:val="00AF245C"/>
    <w:rsid w:val="00AF34AD"/>
    <w:rsid w:val="00AF4E96"/>
    <w:rsid w:val="00AF5A8B"/>
    <w:rsid w:val="00B02A12"/>
    <w:rsid w:val="00B057E9"/>
    <w:rsid w:val="00B05F76"/>
    <w:rsid w:val="00B11AD5"/>
    <w:rsid w:val="00B12076"/>
    <w:rsid w:val="00B179A8"/>
    <w:rsid w:val="00B2050C"/>
    <w:rsid w:val="00B205F8"/>
    <w:rsid w:val="00B22456"/>
    <w:rsid w:val="00B30FE7"/>
    <w:rsid w:val="00B33ABF"/>
    <w:rsid w:val="00B35156"/>
    <w:rsid w:val="00B413A1"/>
    <w:rsid w:val="00B41D73"/>
    <w:rsid w:val="00B42895"/>
    <w:rsid w:val="00B445D7"/>
    <w:rsid w:val="00B463A6"/>
    <w:rsid w:val="00B463F6"/>
    <w:rsid w:val="00B466FA"/>
    <w:rsid w:val="00B502E5"/>
    <w:rsid w:val="00B521C6"/>
    <w:rsid w:val="00B64AF1"/>
    <w:rsid w:val="00B65D89"/>
    <w:rsid w:val="00B65FD3"/>
    <w:rsid w:val="00B70F40"/>
    <w:rsid w:val="00B73402"/>
    <w:rsid w:val="00B76093"/>
    <w:rsid w:val="00B77095"/>
    <w:rsid w:val="00B80331"/>
    <w:rsid w:val="00B8115E"/>
    <w:rsid w:val="00B81A94"/>
    <w:rsid w:val="00B82D20"/>
    <w:rsid w:val="00B82E06"/>
    <w:rsid w:val="00B84D3B"/>
    <w:rsid w:val="00B86E76"/>
    <w:rsid w:val="00B86FB5"/>
    <w:rsid w:val="00B87188"/>
    <w:rsid w:val="00B94595"/>
    <w:rsid w:val="00B96F11"/>
    <w:rsid w:val="00BA06F0"/>
    <w:rsid w:val="00BA0B03"/>
    <w:rsid w:val="00BA1803"/>
    <w:rsid w:val="00BA3E82"/>
    <w:rsid w:val="00BB4612"/>
    <w:rsid w:val="00BB6C3D"/>
    <w:rsid w:val="00BC0985"/>
    <w:rsid w:val="00BC0F80"/>
    <w:rsid w:val="00BC1102"/>
    <w:rsid w:val="00BC3F6E"/>
    <w:rsid w:val="00BC6455"/>
    <w:rsid w:val="00BD0DFB"/>
    <w:rsid w:val="00BE123C"/>
    <w:rsid w:val="00BE2096"/>
    <w:rsid w:val="00BE48F6"/>
    <w:rsid w:val="00BF251B"/>
    <w:rsid w:val="00BF71F2"/>
    <w:rsid w:val="00C0208D"/>
    <w:rsid w:val="00C05076"/>
    <w:rsid w:val="00C05267"/>
    <w:rsid w:val="00C122C8"/>
    <w:rsid w:val="00C1720B"/>
    <w:rsid w:val="00C20AAE"/>
    <w:rsid w:val="00C20BE2"/>
    <w:rsid w:val="00C20ECA"/>
    <w:rsid w:val="00C219DA"/>
    <w:rsid w:val="00C26269"/>
    <w:rsid w:val="00C278ED"/>
    <w:rsid w:val="00C30FA7"/>
    <w:rsid w:val="00C3104C"/>
    <w:rsid w:val="00C31AFD"/>
    <w:rsid w:val="00C3267C"/>
    <w:rsid w:val="00C34C68"/>
    <w:rsid w:val="00C36475"/>
    <w:rsid w:val="00C44C36"/>
    <w:rsid w:val="00C467B6"/>
    <w:rsid w:val="00C479F7"/>
    <w:rsid w:val="00C51454"/>
    <w:rsid w:val="00C527E3"/>
    <w:rsid w:val="00C52FBA"/>
    <w:rsid w:val="00C53EC2"/>
    <w:rsid w:val="00C54261"/>
    <w:rsid w:val="00C545DD"/>
    <w:rsid w:val="00C60AB0"/>
    <w:rsid w:val="00C655BA"/>
    <w:rsid w:val="00C67B72"/>
    <w:rsid w:val="00C71296"/>
    <w:rsid w:val="00C7401C"/>
    <w:rsid w:val="00C7455F"/>
    <w:rsid w:val="00C74CC9"/>
    <w:rsid w:val="00C80916"/>
    <w:rsid w:val="00C80CD9"/>
    <w:rsid w:val="00C9222D"/>
    <w:rsid w:val="00C97345"/>
    <w:rsid w:val="00C9753B"/>
    <w:rsid w:val="00C97C18"/>
    <w:rsid w:val="00CA32C4"/>
    <w:rsid w:val="00CA4CE5"/>
    <w:rsid w:val="00CA7039"/>
    <w:rsid w:val="00CB4DB3"/>
    <w:rsid w:val="00CB4F72"/>
    <w:rsid w:val="00CC0EF6"/>
    <w:rsid w:val="00CD1C5B"/>
    <w:rsid w:val="00CD4CF2"/>
    <w:rsid w:val="00CD652A"/>
    <w:rsid w:val="00CD71EA"/>
    <w:rsid w:val="00CD744A"/>
    <w:rsid w:val="00CE406D"/>
    <w:rsid w:val="00CE56AD"/>
    <w:rsid w:val="00CE665E"/>
    <w:rsid w:val="00CE67CD"/>
    <w:rsid w:val="00CE6817"/>
    <w:rsid w:val="00CF12C6"/>
    <w:rsid w:val="00CF1DA1"/>
    <w:rsid w:val="00CF3372"/>
    <w:rsid w:val="00CF395F"/>
    <w:rsid w:val="00CF62D9"/>
    <w:rsid w:val="00CF7019"/>
    <w:rsid w:val="00D06606"/>
    <w:rsid w:val="00D107A7"/>
    <w:rsid w:val="00D14695"/>
    <w:rsid w:val="00D165EB"/>
    <w:rsid w:val="00D20195"/>
    <w:rsid w:val="00D205E3"/>
    <w:rsid w:val="00D21797"/>
    <w:rsid w:val="00D24E07"/>
    <w:rsid w:val="00D275E7"/>
    <w:rsid w:val="00D3186C"/>
    <w:rsid w:val="00D31955"/>
    <w:rsid w:val="00D34891"/>
    <w:rsid w:val="00D457D7"/>
    <w:rsid w:val="00D52C22"/>
    <w:rsid w:val="00D538D0"/>
    <w:rsid w:val="00D60B2B"/>
    <w:rsid w:val="00D61D75"/>
    <w:rsid w:val="00D65452"/>
    <w:rsid w:val="00D6547E"/>
    <w:rsid w:val="00D71CEC"/>
    <w:rsid w:val="00D75ED1"/>
    <w:rsid w:val="00D82B62"/>
    <w:rsid w:val="00D83B2E"/>
    <w:rsid w:val="00D848F2"/>
    <w:rsid w:val="00D85ED3"/>
    <w:rsid w:val="00D8629E"/>
    <w:rsid w:val="00D87922"/>
    <w:rsid w:val="00D90E7D"/>
    <w:rsid w:val="00D910E7"/>
    <w:rsid w:val="00D91AE2"/>
    <w:rsid w:val="00D9350F"/>
    <w:rsid w:val="00D94320"/>
    <w:rsid w:val="00D96CDF"/>
    <w:rsid w:val="00DA04D6"/>
    <w:rsid w:val="00DA0982"/>
    <w:rsid w:val="00DA2311"/>
    <w:rsid w:val="00DA5A13"/>
    <w:rsid w:val="00DA5CDA"/>
    <w:rsid w:val="00DA78C7"/>
    <w:rsid w:val="00DB6BC7"/>
    <w:rsid w:val="00DB7754"/>
    <w:rsid w:val="00DC164D"/>
    <w:rsid w:val="00DC1FDA"/>
    <w:rsid w:val="00DC2C14"/>
    <w:rsid w:val="00DC6AEF"/>
    <w:rsid w:val="00DC7181"/>
    <w:rsid w:val="00DC720B"/>
    <w:rsid w:val="00DC75F5"/>
    <w:rsid w:val="00DD2593"/>
    <w:rsid w:val="00DD3D3C"/>
    <w:rsid w:val="00DD7FB9"/>
    <w:rsid w:val="00DE2137"/>
    <w:rsid w:val="00DE21F2"/>
    <w:rsid w:val="00DF0601"/>
    <w:rsid w:val="00DF46DC"/>
    <w:rsid w:val="00DF4C6C"/>
    <w:rsid w:val="00DF7195"/>
    <w:rsid w:val="00E00AB6"/>
    <w:rsid w:val="00E0190E"/>
    <w:rsid w:val="00E07AC8"/>
    <w:rsid w:val="00E100C3"/>
    <w:rsid w:val="00E117DF"/>
    <w:rsid w:val="00E119F2"/>
    <w:rsid w:val="00E15A26"/>
    <w:rsid w:val="00E16084"/>
    <w:rsid w:val="00E1634C"/>
    <w:rsid w:val="00E16EDB"/>
    <w:rsid w:val="00E30347"/>
    <w:rsid w:val="00E36700"/>
    <w:rsid w:val="00E3790F"/>
    <w:rsid w:val="00E42AB6"/>
    <w:rsid w:val="00E42F51"/>
    <w:rsid w:val="00E44A2A"/>
    <w:rsid w:val="00E46E3A"/>
    <w:rsid w:val="00E47D61"/>
    <w:rsid w:val="00E47E32"/>
    <w:rsid w:val="00E52947"/>
    <w:rsid w:val="00E532C7"/>
    <w:rsid w:val="00E53D35"/>
    <w:rsid w:val="00E57740"/>
    <w:rsid w:val="00E60064"/>
    <w:rsid w:val="00E629B0"/>
    <w:rsid w:val="00E633BF"/>
    <w:rsid w:val="00E645A7"/>
    <w:rsid w:val="00E648D0"/>
    <w:rsid w:val="00E678CF"/>
    <w:rsid w:val="00E727B9"/>
    <w:rsid w:val="00E7281B"/>
    <w:rsid w:val="00E734E8"/>
    <w:rsid w:val="00E80F1C"/>
    <w:rsid w:val="00E8190C"/>
    <w:rsid w:val="00E82EC1"/>
    <w:rsid w:val="00E8690D"/>
    <w:rsid w:val="00E86C03"/>
    <w:rsid w:val="00E8773F"/>
    <w:rsid w:val="00E87ABE"/>
    <w:rsid w:val="00E9015B"/>
    <w:rsid w:val="00E92742"/>
    <w:rsid w:val="00E929AD"/>
    <w:rsid w:val="00E95208"/>
    <w:rsid w:val="00EA0E14"/>
    <w:rsid w:val="00EB17C2"/>
    <w:rsid w:val="00EB257F"/>
    <w:rsid w:val="00EB6E97"/>
    <w:rsid w:val="00EB7481"/>
    <w:rsid w:val="00EC0359"/>
    <w:rsid w:val="00EC27FE"/>
    <w:rsid w:val="00EC55B6"/>
    <w:rsid w:val="00EC6479"/>
    <w:rsid w:val="00EC7A65"/>
    <w:rsid w:val="00ED1B22"/>
    <w:rsid w:val="00ED27E1"/>
    <w:rsid w:val="00ED7F7A"/>
    <w:rsid w:val="00EE2D6A"/>
    <w:rsid w:val="00EE3D00"/>
    <w:rsid w:val="00EF26E2"/>
    <w:rsid w:val="00EF41B9"/>
    <w:rsid w:val="00F011E0"/>
    <w:rsid w:val="00F0420F"/>
    <w:rsid w:val="00F057BF"/>
    <w:rsid w:val="00F1154D"/>
    <w:rsid w:val="00F152F2"/>
    <w:rsid w:val="00F15F90"/>
    <w:rsid w:val="00F17139"/>
    <w:rsid w:val="00F17649"/>
    <w:rsid w:val="00F2223C"/>
    <w:rsid w:val="00F224C3"/>
    <w:rsid w:val="00F36760"/>
    <w:rsid w:val="00F40004"/>
    <w:rsid w:val="00F42034"/>
    <w:rsid w:val="00F4291A"/>
    <w:rsid w:val="00F42C73"/>
    <w:rsid w:val="00F4375C"/>
    <w:rsid w:val="00F47083"/>
    <w:rsid w:val="00F50658"/>
    <w:rsid w:val="00F52350"/>
    <w:rsid w:val="00F6092D"/>
    <w:rsid w:val="00F61E87"/>
    <w:rsid w:val="00F620D8"/>
    <w:rsid w:val="00F62139"/>
    <w:rsid w:val="00F67959"/>
    <w:rsid w:val="00F70382"/>
    <w:rsid w:val="00F72B07"/>
    <w:rsid w:val="00F768B4"/>
    <w:rsid w:val="00F77757"/>
    <w:rsid w:val="00F8071F"/>
    <w:rsid w:val="00F84CAC"/>
    <w:rsid w:val="00F861D1"/>
    <w:rsid w:val="00F873F1"/>
    <w:rsid w:val="00F924A6"/>
    <w:rsid w:val="00F93ADA"/>
    <w:rsid w:val="00F93F0B"/>
    <w:rsid w:val="00F94981"/>
    <w:rsid w:val="00F97C83"/>
    <w:rsid w:val="00F97EF1"/>
    <w:rsid w:val="00FA002F"/>
    <w:rsid w:val="00FA1527"/>
    <w:rsid w:val="00FB0440"/>
    <w:rsid w:val="00FB5912"/>
    <w:rsid w:val="00FC0341"/>
    <w:rsid w:val="00FC2981"/>
    <w:rsid w:val="00FC3D11"/>
    <w:rsid w:val="00FC7328"/>
    <w:rsid w:val="00FD0040"/>
    <w:rsid w:val="00FD3CCB"/>
    <w:rsid w:val="00FD45EA"/>
    <w:rsid w:val="00FD49F9"/>
    <w:rsid w:val="00FD60A1"/>
    <w:rsid w:val="00FD6FDE"/>
    <w:rsid w:val="00FE056D"/>
    <w:rsid w:val="00FE1510"/>
    <w:rsid w:val="00FE4917"/>
    <w:rsid w:val="00FF11EA"/>
    <w:rsid w:val="00FF16FC"/>
    <w:rsid w:val="00FF2CCB"/>
    <w:rsid w:val="00FF4C24"/>
    <w:rsid w:val="00FF7BFE"/>
    <w:rsid w:val="04BAB091"/>
    <w:rsid w:val="10F085B8"/>
    <w:rsid w:val="12EA7501"/>
    <w:rsid w:val="1F78D81D"/>
    <w:rsid w:val="4822FE6C"/>
    <w:rsid w:val="542B77CB"/>
    <w:rsid w:val="58D739A1"/>
    <w:rsid w:val="61407AE6"/>
    <w:rsid w:val="6C15FD00"/>
    <w:rsid w:val="7285C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E043E224-5867-4803-9CA1-5A1D3B24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F51"/>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AC3ACD"/>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AC3ACD"/>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nhideWhenUsed/>
    <w:rsid w:val="0057664B"/>
    <w:rPr>
      <w:sz w:val="16"/>
      <w:szCs w:val="16"/>
    </w:rPr>
  </w:style>
  <w:style w:type="paragraph" w:styleId="CommentText">
    <w:name w:val="annotation text"/>
    <w:basedOn w:val="Normal"/>
    <w:link w:val="CommentTextChar"/>
    <w:unhideWhenUsed/>
    <w:rsid w:val="0057664B"/>
    <w:rPr>
      <w:sz w:val="20"/>
    </w:rPr>
  </w:style>
  <w:style w:type="character" w:customStyle="1" w:styleId="CommentTextChar">
    <w:name w:val="Comment Text Char"/>
    <w:basedOn w:val="DefaultParagraphFont"/>
    <w:link w:val="CommentText"/>
    <w:rsid w:val="0057664B"/>
    <w:rPr>
      <w:rFonts w:ascii="Arial" w:hAnsi="Arial"/>
      <w:snapToGrid w:val="0"/>
    </w:rPr>
  </w:style>
  <w:style w:type="paragraph" w:styleId="CommentSubject">
    <w:name w:val="annotation subject"/>
    <w:basedOn w:val="CommentText"/>
    <w:next w:val="CommentText"/>
    <w:link w:val="CommentSubjectChar"/>
    <w:semiHidden/>
    <w:unhideWhenUsed/>
    <w:rsid w:val="0057664B"/>
    <w:rPr>
      <w:b/>
      <w:bCs/>
    </w:rPr>
  </w:style>
  <w:style w:type="character" w:customStyle="1" w:styleId="CommentSubjectChar">
    <w:name w:val="Comment Subject Char"/>
    <w:basedOn w:val="CommentTextChar"/>
    <w:link w:val="CommentSubject"/>
    <w:semiHidden/>
    <w:rsid w:val="0057664B"/>
    <w:rPr>
      <w:rFonts w:ascii="Arial" w:hAnsi="Arial"/>
      <w:b/>
      <w:bCs/>
      <w:snapToGrid w:val="0"/>
    </w:rPr>
  </w:style>
  <w:style w:type="character" w:styleId="Mention">
    <w:name w:val="Mention"/>
    <w:basedOn w:val="DefaultParagraphFont"/>
    <w:uiPriority w:val="99"/>
    <w:unhideWhenUsed/>
    <w:rsid w:val="00DC7181"/>
    <w:rPr>
      <w:color w:val="2B579A"/>
      <w:shd w:val="clear" w:color="auto" w:fill="E1DFDD"/>
    </w:rPr>
  </w:style>
  <w:style w:type="paragraph" w:customStyle="1" w:styleId="Default">
    <w:name w:val="Default"/>
    <w:rsid w:val="00587C18"/>
    <w:pPr>
      <w:autoSpaceDE w:val="0"/>
      <w:autoSpaceDN w:val="0"/>
      <w:adjustRightInd w:val="0"/>
    </w:pPr>
    <w:rPr>
      <w:rFonts w:ascii="Nimbus Sans L" w:eastAsiaTheme="minorHAnsi" w:hAnsi="Nimbus Sans L" w:cs="Nimbus Sans L"/>
      <w:color w:val="000000"/>
      <w:sz w:val="24"/>
      <w:szCs w:val="24"/>
      <w14:ligatures w14:val="standardContextual"/>
    </w:rPr>
  </w:style>
  <w:style w:type="paragraph" w:customStyle="1" w:styleId="CM473">
    <w:name w:val="CM473"/>
    <w:basedOn w:val="Default"/>
    <w:next w:val="Default"/>
    <w:uiPriority w:val="99"/>
    <w:rsid w:val="00587C18"/>
    <w:rPr>
      <w:rFonts w:cstheme="minorBidi"/>
      <w:color w:val="auto"/>
    </w:rPr>
  </w:style>
  <w:style w:type="paragraph" w:customStyle="1" w:styleId="CM472">
    <w:name w:val="CM472"/>
    <w:basedOn w:val="Default"/>
    <w:next w:val="Default"/>
    <w:uiPriority w:val="99"/>
    <w:rsid w:val="00587C18"/>
    <w:rPr>
      <w:rFonts w:cstheme="minorBidi"/>
      <w:color w:val="auto"/>
    </w:rPr>
  </w:style>
  <w:style w:type="paragraph" w:customStyle="1" w:styleId="CM467">
    <w:name w:val="CM467"/>
    <w:basedOn w:val="Default"/>
    <w:next w:val="Default"/>
    <w:uiPriority w:val="99"/>
    <w:rsid w:val="00587C1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417">
      <w:bodyDiv w:val="1"/>
      <w:marLeft w:val="0"/>
      <w:marRight w:val="0"/>
      <w:marTop w:val="0"/>
      <w:marBottom w:val="0"/>
      <w:divBdr>
        <w:top w:val="none" w:sz="0" w:space="0" w:color="auto"/>
        <w:left w:val="none" w:sz="0" w:space="0" w:color="auto"/>
        <w:bottom w:val="none" w:sz="0" w:space="0" w:color="auto"/>
        <w:right w:val="none" w:sz="0" w:space="0" w:color="auto"/>
      </w:divBdr>
      <w:divsChild>
        <w:div w:id="185602314">
          <w:marLeft w:val="0"/>
          <w:marRight w:val="0"/>
          <w:marTop w:val="0"/>
          <w:marBottom w:val="0"/>
          <w:divBdr>
            <w:top w:val="none" w:sz="0" w:space="0" w:color="auto"/>
            <w:left w:val="none" w:sz="0" w:space="0" w:color="auto"/>
            <w:bottom w:val="none" w:sz="0" w:space="0" w:color="auto"/>
            <w:right w:val="none" w:sz="0" w:space="0" w:color="auto"/>
          </w:divBdr>
        </w:div>
        <w:div w:id="660045640">
          <w:marLeft w:val="0"/>
          <w:marRight w:val="0"/>
          <w:marTop w:val="0"/>
          <w:marBottom w:val="0"/>
          <w:divBdr>
            <w:top w:val="none" w:sz="0" w:space="0" w:color="auto"/>
            <w:left w:val="none" w:sz="0" w:space="0" w:color="auto"/>
            <w:bottom w:val="none" w:sz="0" w:space="0" w:color="auto"/>
            <w:right w:val="none" w:sz="0" w:space="0" w:color="auto"/>
          </w:divBdr>
        </w:div>
      </w:divsChild>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775833611">
      <w:bodyDiv w:val="1"/>
      <w:marLeft w:val="0"/>
      <w:marRight w:val="0"/>
      <w:marTop w:val="0"/>
      <w:marBottom w:val="0"/>
      <w:divBdr>
        <w:top w:val="none" w:sz="0" w:space="0" w:color="auto"/>
        <w:left w:val="none" w:sz="0" w:space="0" w:color="auto"/>
        <w:bottom w:val="none" w:sz="0" w:space="0" w:color="auto"/>
        <w:right w:val="none" w:sz="0" w:space="0" w:color="auto"/>
      </w:divBdr>
      <w:divsChild>
        <w:div w:id="111705101">
          <w:marLeft w:val="0"/>
          <w:marRight w:val="0"/>
          <w:marTop w:val="0"/>
          <w:marBottom w:val="0"/>
          <w:divBdr>
            <w:top w:val="none" w:sz="0" w:space="0" w:color="auto"/>
            <w:left w:val="none" w:sz="0" w:space="0" w:color="auto"/>
            <w:bottom w:val="none" w:sz="0" w:space="0" w:color="auto"/>
            <w:right w:val="none" w:sz="0" w:space="0" w:color="auto"/>
          </w:divBdr>
        </w:div>
        <w:div w:id="258372713">
          <w:marLeft w:val="0"/>
          <w:marRight w:val="0"/>
          <w:marTop w:val="0"/>
          <w:marBottom w:val="0"/>
          <w:divBdr>
            <w:top w:val="none" w:sz="0" w:space="0" w:color="auto"/>
            <w:left w:val="none" w:sz="0" w:space="0" w:color="auto"/>
            <w:bottom w:val="none" w:sz="0" w:space="0" w:color="auto"/>
            <w:right w:val="none" w:sz="0" w:space="0" w:color="auto"/>
          </w:divBdr>
        </w:div>
        <w:div w:id="964041563">
          <w:marLeft w:val="0"/>
          <w:marRight w:val="0"/>
          <w:marTop w:val="0"/>
          <w:marBottom w:val="0"/>
          <w:divBdr>
            <w:top w:val="none" w:sz="0" w:space="0" w:color="auto"/>
            <w:left w:val="none" w:sz="0" w:space="0" w:color="auto"/>
            <w:bottom w:val="none" w:sz="0" w:space="0" w:color="auto"/>
            <w:right w:val="none" w:sz="0" w:space="0" w:color="auto"/>
          </w:divBdr>
        </w:div>
        <w:div w:id="2057926869">
          <w:marLeft w:val="0"/>
          <w:marRight w:val="0"/>
          <w:marTop w:val="0"/>
          <w:marBottom w:val="0"/>
          <w:divBdr>
            <w:top w:val="none" w:sz="0" w:space="0" w:color="auto"/>
            <w:left w:val="none" w:sz="0" w:space="0" w:color="auto"/>
            <w:bottom w:val="none" w:sz="0" w:space="0" w:color="auto"/>
            <w:right w:val="none" w:sz="0" w:space="0" w:color="auto"/>
          </w:divBdr>
        </w:div>
      </w:divsChild>
    </w:div>
    <w:div w:id="1250693795">
      <w:bodyDiv w:val="1"/>
      <w:marLeft w:val="0"/>
      <w:marRight w:val="0"/>
      <w:marTop w:val="0"/>
      <w:marBottom w:val="0"/>
      <w:divBdr>
        <w:top w:val="none" w:sz="0" w:space="0" w:color="auto"/>
        <w:left w:val="none" w:sz="0" w:space="0" w:color="auto"/>
        <w:bottom w:val="none" w:sz="0" w:space="0" w:color="auto"/>
        <w:right w:val="none" w:sz="0" w:space="0" w:color="auto"/>
      </w:divBdr>
      <w:divsChild>
        <w:div w:id="66849906">
          <w:marLeft w:val="0"/>
          <w:marRight w:val="0"/>
          <w:marTop w:val="0"/>
          <w:marBottom w:val="0"/>
          <w:divBdr>
            <w:top w:val="none" w:sz="0" w:space="0" w:color="auto"/>
            <w:left w:val="none" w:sz="0" w:space="0" w:color="auto"/>
            <w:bottom w:val="none" w:sz="0" w:space="0" w:color="auto"/>
            <w:right w:val="none" w:sz="0" w:space="0" w:color="auto"/>
          </w:divBdr>
        </w:div>
        <w:div w:id="189344256">
          <w:marLeft w:val="0"/>
          <w:marRight w:val="0"/>
          <w:marTop w:val="0"/>
          <w:marBottom w:val="0"/>
          <w:divBdr>
            <w:top w:val="none" w:sz="0" w:space="0" w:color="auto"/>
            <w:left w:val="none" w:sz="0" w:space="0" w:color="auto"/>
            <w:bottom w:val="none" w:sz="0" w:space="0" w:color="auto"/>
            <w:right w:val="none" w:sz="0" w:space="0" w:color="auto"/>
          </w:divBdr>
        </w:div>
        <w:div w:id="600797574">
          <w:marLeft w:val="0"/>
          <w:marRight w:val="0"/>
          <w:marTop w:val="0"/>
          <w:marBottom w:val="0"/>
          <w:divBdr>
            <w:top w:val="none" w:sz="0" w:space="0" w:color="auto"/>
            <w:left w:val="none" w:sz="0" w:space="0" w:color="auto"/>
            <w:bottom w:val="none" w:sz="0" w:space="0" w:color="auto"/>
            <w:right w:val="none" w:sz="0" w:space="0" w:color="auto"/>
          </w:divBdr>
        </w:div>
        <w:div w:id="1287200714">
          <w:marLeft w:val="0"/>
          <w:marRight w:val="0"/>
          <w:marTop w:val="0"/>
          <w:marBottom w:val="0"/>
          <w:divBdr>
            <w:top w:val="none" w:sz="0" w:space="0" w:color="auto"/>
            <w:left w:val="none" w:sz="0" w:space="0" w:color="auto"/>
            <w:bottom w:val="none" w:sz="0" w:space="0" w:color="auto"/>
            <w:right w:val="none" w:sz="0" w:space="0" w:color="auto"/>
          </w:divBdr>
        </w:div>
      </w:divsChild>
    </w:div>
    <w:div w:id="1281642279">
      <w:bodyDiv w:val="1"/>
      <w:marLeft w:val="0"/>
      <w:marRight w:val="0"/>
      <w:marTop w:val="0"/>
      <w:marBottom w:val="0"/>
      <w:divBdr>
        <w:top w:val="none" w:sz="0" w:space="0" w:color="auto"/>
        <w:left w:val="none" w:sz="0" w:space="0" w:color="auto"/>
        <w:bottom w:val="none" w:sz="0" w:space="0" w:color="auto"/>
        <w:right w:val="none" w:sz="0" w:space="0" w:color="auto"/>
      </w:divBdr>
      <w:divsChild>
        <w:div w:id="1831095461">
          <w:marLeft w:val="0"/>
          <w:marRight w:val="0"/>
          <w:marTop w:val="0"/>
          <w:marBottom w:val="0"/>
          <w:divBdr>
            <w:top w:val="none" w:sz="0" w:space="0" w:color="auto"/>
            <w:left w:val="none" w:sz="0" w:space="0" w:color="auto"/>
            <w:bottom w:val="none" w:sz="0" w:space="0" w:color="auto"/>
            <w:right w:val="none" w:sz="0" w:space="0" w:color="auto"/>
          </w:divBdr>
        </w:div>
        <w:div w:id="1961255474">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d08c854e-6660-4123-822d-cb2f4c79ac96"/>
    <ds:schemaRef ds:uri="http://purl.org/dc/dcmitype/"/>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9F423485-8FEA-4FF8-8860-47D18A5B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2092</Words>
  <Characters>11590</Characters>
  <Application>Microsoft Office Word</Application>
  <DocSecurity>0</DocSecurity>
  <Lines>282</Lines>
  <Paragraphs>180</Paragraphs>
  <ScaleCrop>false</ScaleCrop>
  <HeadingPairs>
    <vt:vector size="2" baseType="variant">
      <vt:variant>
        <vt:lpstr>Title</vt:lpstr>
      </vt:variant>
      <vt:variant>
        <vt:i4>1</vt:i4>
      </vt:variant>
    </vt:vector>
  </HeadingPairs>
  <TitlesOfParts>
    <vt:vector size="1" baseType="lpstr">
      <vt:lpstr>DSASS-02-25-IET-PT2</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DSASS-02-25-IET-PT2</dc:title>
  <dc:subject/>
  <dc:creator>CBSC</dc:creator>
  <cp:keywords/>
  <cp:lastModifiedBy>Severon, Kristina@DGS</cp:lastModifiedBy>
  <cp:revision>3</cp:revision>
  <cp:lastPrinted>2020-02-18T23:46:00Z</cp:lastPrinted>
  <dcterms:created xsi:type="dcterms:W3CDTF">2026-01-29T22:49:00Z</dcterms:created>
  <dcterms:modified xsi:type="dcterms:W3CDTF">2026-01-29T22:50:00Z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41edfcac-9a02-489c-bb9c-d02cc42a7af7</vt:lpwstr>
  </property>
  <property fmtid="{D5CDD505-2E9C-101B-9397-08002B2CF9AE}" pid="4" name="_MarkAsFinal">
    <vt:bool>true</vt:bool>
  </property>
</Properties>
</file>