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CC0D" w14:textId="6480DEC4" w:rsidR="00A23DA3" w:rsidRPr="000560B2" w:rsidRDefault="00A23DA3" w:rsidP="002858DF">
      <w:pPr>
        <w:pStyle w:val="Heading1"/>
        <w:spacing w:before="120" w:after="120"/>
        <w:jc w:val="center"/>
        <w:rPr>
          <w:rFonts w:cs="Arial"/>
        </w:rPr>
      </w:pPr>
      <w:r w:rsidRPr="000560B2">
        <w:rPr>
          <w:rFonts w:cs="Arial"/>
        </w:rPr>
        <w:t>INITIAL STATEMENT OF REASONS</w:t>
      </w:r>
      <w:r w:rsidR="009B40E8" w:rsidRPr="000560B2">
        <w:rPr>
          <w:rFonts w:cs="Arial"/>
        </w:rPr>
        <w:br/>
      </w:r>
      <w:r w:rsidRPr="00C04DFB">
        <w:rPr>
          <w:rFonts w:cs="Arial"/>
        </w:rPr>
        <w:t>FOR</w:t>
      </w:r>
      <w:r w:rsidR="00154D19" w:rsidRPr="00C04DFB">
        <w:rPr>
          <w:rFonts w:cs="Arial"/>
        </w:rPr>
        <w:t xml:space="preserve"> </w:t>
      </w:r>
      <w:r w:rsidRPr="00C04DFB">
        <w:rPr>
          <w:rFonts w:cs="Arial"/>
        </w:rPr>
        <w:t>PROPOSED BUILDING STANDARDS</w:t>
      </w:r>
      <w:r w:rsidR="00194C5C" w:rsidRPr="00C04DFB">
        <w:rPr>
          <w:rFonts w:cs="Arial"/>
        </w:rPr>
        <w:br/>
      </w:r>
      <w:r w:rsidRPr="00C04DFB">
        <w:rPr>
          <w:rFonts w:cs="Arial"/>
        </w:rPr>
        <w:t>OF THE</w:t>
      </w:r>
      <w:r w:rsidR="00154D19" w:rsidRPr="00C04DFB">
        <w:rPr>
          <w:rFonts w:cs="Arial"/>
        </w:rPr>
        <w:t xml:space="preserve"> </w:t>
      </w:r>
      <w:r w:rsidR="00C50026" w:rsidRPr="00C50026">
        <w:rPr>
          <w:rFonts w:cs="Arial"/>
        </w:rPr>
        <w:t>DIVISION OF THE STATE ARCHITECT (DSA-SS, DSA-SS/CC)</w:t>
      </w:r>
      <w:r w:rsidR="00953053" w:rsidRPr="00C04DFB">
        <w:rPr>
          <w:rFonts w:cs="Arial"/>
        </w:rPr>
        <w:br/>
      </w:r>
      <w:r w:rsidRPr="00C04DFB">
        <w:rPr>
          <w:rFonts w:cs="Arial"/>
        </w:rPr>
        <w:t>REGARDING THE</w:t>
      </w:r>
      <w:r w:rsidR="0007443F">
        <w:rPr>
          <w:rFonts w:cs="Arial"/>
        </w:rPr>
        <w:t xml:space="preserve"> </w:t>
      </w:r>
      <w:r w:rsidR="0007443F" w:rsidRPr="0007443F">
        <w:rPr>
          <w:rFonts w:cs="Arial"/>
        </w:rPr>
        <w:t>2025 CALIFORNIA EXISTING BUILDING CODE</w:t>
      </w:r>
      <w:r w:rsidRPr="00C04DFB">
        <w:rPr>
          <w:rFonts w:cs="Arial"/>
        </w:rPr>
        <w:t xml:space="preserve"> </w:t>
      </w:r>
      <w:r w:rsidR="002858DF" w:rsidRPr="00C04DFB">
        <w:rPr>
          <w:rFonts w:cs="Arial"/>
        </w:rPr>
        <w:br/>
      </w:r>
      <w:r w:rsidRPr="00C04DFB">
        <w:rPr>
          <w:rFonts w:cs="Arial"/>
        </w:rPr>
        <w:t>CALIFORNIA CODE OF REGULATIONS,</w:t>
      </w:r>
      <w:r w:rsidR="00796EC6" w:rsidRPr="00C04DFB">
        <w:rPr>
          <w:rFonts w:cs="Arial"/>
        </w:rPr>
        <w:t xml:space="preserve"> </w:t>
      </w:r>
      <w:r w:rsidRPr="00C04DFB">
        <w:rPr>
          <w:rFonts w:cs="Arial"/>
        </w:rPr>
        <w:t xml:space="preserve">TITLE 24, PART </w:t>
      </w:r>
      <w:r w:rsidR="00C50026" w:rsidRPr="00C50026">
        <w:rPr>
          <w:rFonts w:cs="Arial"/>
        </w:rPr>
        <w:t>10</w:t>
      </w:r>
      <w:r w:rsidR="002858DF">
        <w:rPr>
          <w:rFonts w:cs="Arial"/>
          <w:noProof/>
        </w:rPr>
        <w:br/>
      </w:r>
      <w:r w:rsidR="008714C7" w:rsidRPr="000560B2">
        <w:rPr>
          <w:rFonts w:cs="Arial"/>
        </w:rPr>
        <w:t>(</w:t>
      </w:r>
      <w:r w:rsidR="008714C7" w:rsidRPr="000560B2">
        <w:rPr>
          <w:rFonts w:cs="Arial"/>
          <w:highlight w:val="lightGray"/>
        </w:rPr>
        <w:fldChar w:fldCharType="begin">
          <w:ffData>
            <w:name w:val="Text78"/>
            <w:enabled/>
            <w:calcOnExit w:val="0"/>
            <w:textInput>
              <w:default w:val="[SUBJECT MATTER]"/>
              <w:format w:val="UPPERCASE"/>
            </w:textInput>
          </w:ffData>
        </w:fldChar>
      </w:r>
      <w:r w:rsidR="008714C7" w:rsidRPr="000560B2">
        <w:rPr>
          <w:rFonts w:cs="Arial"/>
          <w:highlight w:val="lightGray"/>
        </w:rPr>
        <w:instrText xml:space="preserve"> FORMTEXT </w:instrText>
      </w:r>
      <w:r w:rsidR="008714C7" w:rsidRPr="000560B2">
        <w:rPr>
          <w:rFonts w:cs="Arial"/>
          <w:highlight w:val="lightGray"/>
        </w:rPr>
      </w:r>
      <w:r w:rsidR="008714C7" w:rsidRPr="000560B2">
        <w:rPr>
          <w:rFonts w:cs="Arial"/>
          <w:highlight w:val="lightGray"/>
        </w:rPr>
        <w:fldChar w:fldCharType="separate"/>
      </w:r>
      <w:r w:rsidR="008714C7" w:rsidRPr="000560B2">
        <w:rPr>
          <w:rFonts w:cs="Arial"/>
          <w:highlight w:val="lightGray"/>
        </w:rPr>
        <w:t>[RULEMAKING FILE #]</w:t>
      </w:r>
      <w:r w:rsidR="008714C7" w:rsidRPr="000560B2">
        <w:rPr>
          <w:rFonts w:cs="Arial"/>
          <w:highlight w:val="lightGray"/>
        </w:rPr>
        <w:fldChar w:fldCharType="end"/>
      </w:r>
      <w:r w:rsidR="008714C7" w:rsidRPr="000560B2">
        <w:rPr>
          <w:rFonts w:cs="Arial"/>
        </w:rPr>
        <w:t>)</w:t>
      </w:r>
    </w:p>
    <w:p w14:paraId="7945F034" w14:textId="77777777" w:rsidR="00A23DA3" w:rsidRPr="000560B2" w:rsidRDefault="00A23DA3" w:rsidP="00194C5C">
      <w:pPr>
        <w:spacing w:before="120"/>
        <w:rPr>
          <w:rFonts w:cs="Arial"/>
        </w:rPr>
      </w:pPr>
      <w:r w:rsidRPr="000560B2">
        <w:rPr>
          <w:rFonts w:cs="Arial"/>
        </w:rPr>
        <w:t xml:space="preserve">The Administrative Procedure Act (APA) requires that an Initial Statement of Reasons be available to the public upon request when rulemaking action is being undertaken. The following information required by the APA pertains to this </w:t>
      </w:r>
      <w:proofErr w:type="gramStart"/>
      <w:r w:rsidRPr="000560B2">
        <w:rPr>
          <w:rFonts w:cs="Arial"/>
        </w:rPr>
        <w:t>particular rulemaking</w:t>
      </w:r>
      <w:proofErr w:type="gramEnd"/>
      <w:r w:rsidRPr="000560B2">
        <w:rPr>
          <w:rFonts w:cs="Arial"/>
        </w:rPr>
        <w:t xml:space="preserve"> action:</w:t>
      </w:r>
    </w:p>
    <w:p w14:paraId="0B1CE0CC" w14:textId="77777777" w:rsidR="00A23DA3" w:rsidRPr="000560B2" w:rsidRDefault="00A23DA3" w:rsidP="002858DF">
      <w:pPr>
        <w:pStyle w:val="Heading2"/>
      </w:pPr>
      <w:r w:rsidRPr="000560B2">
        <w:t>STATEMENT OF SPECIFIC</w:t>
      </w:r>
      <w:r w:rsidR="00383163" w:rsidRPr="000560B2">
        <w:t xml:space="preserve"> </w:t>
      </w:r>
      <w:r w:rsidR="009F4C5C" w:rsidRPr="000560B2">
        <w:t>PURPOSE,</w:t>
      </w:r>
      <w:r w:rsidRPr="000560B2">
        <w:t xml:space="preserve"> </w:t>
      </w:r>
      <w:r w:rsidR="009F4C5C" w:rsidRPr="000560B2">
        <w:t xml:space="preserve">PROBLEM, </w:t>
      </w:r>
      <w:r w:rsidRPr="000560B2">
        <w:t>RATIONALE</w:t>
      </w:r>
      <w:r w:rsidR="009F4C5C" w:rsidRPr="000560B2">
        <w:t xml:space="preserve"> and BENEFITS</w:t>
      </w:r>
    </w:p>
    <w:p w14:paraId="6DE8A6C8" w14:textId="743D022B" w:rsidR="00A23DA3" w:rsidRDefault="00A23DA3" w:rsidP="00194C5C">
      <w:pPr>
        <w:widowControl/>
        <w:rPr>
          <w:rFonts w:cs="Arial"/>
          <w:szCs w:val="24"/>
        </w:rPr>
      </w:pPr>
      <w:r w:rsidRPr="000560B2">
        <w:rPr>
          <w:rFonts w:cs="Arial"/>
          <w:szCs w:val="24"/>
        </w:rPr>
        <w:t>Government Code Section 11346.2</w:t>
      </w:r>
      <w:r w:rsidR="00135F2F" w:rsidRPr="000560B2">
        <w:rPr>
          <w:rFonts w:cs="Arial"/>
          <w:szCs w:val="24"/>
        </w:rPr>
        <w:t>(b)(1)</w:t>
      </w:r>
      <w:r w:rsidRPr="000560B2">
        <w:rPr>
          <w:rFonts w:cs="Arial"/>
          <w:szCs w:val="24"/>
        </w:rPr>
        <w:t xml:space="preserve"> requires a statement of specific purpose of </w:t>
      </w:r>
      <w:r w:rsidR="00E7437B" w:rsidRPr="000560B2">
        <w:rPr>
          <w:rFonts w:cs="Arial"/>
          <w:bCs/>
          <w:szCs w:val="24"/>
        </w:rPr>
        <w:t>each</w:t>
      </w:r>
      <w:r w:rsidRPr="000560B2">
        <w:rPr>
          <w:rFonts w:cs="Arial"/>
          <w:szCs w:val="24"/>
        </w:rPr>
        <w:t xml:space="preserve"> adoption, amendment, or repeal</w:t>
      </w:r>
      <w:r w:rsidR="00383163" w:rsidRPr="000560B2">
        <w:rPr>
          <w:rFonts w:cs="Arial"/>
          <w:szCs w:val="24"/>
        </w:rPr>
        <w:t xml:space="preserve"> and the problem the agency intends to address</w:t>
      </w:r>
      <w:r w:rsidRPr="000560B2">
        <w:rPr>
          <w:rFonts w:cs="Arial"/>
          <w:szCs w:val="24"/>
        </w:rPr>
        <w:t xml:space="preserve"> and the rational</w:t>
      </w:r>
      <w:r w:rsidR="00383163" w:rsidRPr="000560B2">
        <w:rPr>
          <w:rFonts w:cs="Arial"/>
          <w:szCs w:val="24"/>
        </w:rPr>
        <w:t>e</w:t>
      </w:r>
      <w:r w:rsidRPr="000560B2">
        <w:rPr>
          <w:rFonts w:cs="Arial"/>
          <w:szCs w:val="24"/>
        </w:rPr>
        <w:t xml:space="preserve"> </w:t>
      </w:r>
      <w:r w:rsidR="00383163" w:rsidRPr="000560B2">
        <w:rPr>
          <w:rFonts w:cs="Arial"/>
          <w:szCs w:val="24"/>
        </w:rPr>
        <w:t xml:space="preserve">for </w:t>
      </w:r>
      <w:r w:rsidRPr="000560B2">
        <w:rPr>
          <w:rFonts w:cs="Arial"/>
          <w:szCs w:val="24"/>
        </w:rPr>
        <w:t xml:space="preserve">the determination by the agency that </w:t>
      </w:r>
      <w:r w:rsidR="00E7437B" w:rsidRPr="000560B2">
        <w:rPr>
          <w:rFonts w:cs="Arial"/>
          <w:szCs w:val="24"/>
        </w:rPr>
        <w:t>each</w:t>
      </w:r>
      <w:r w:rsidRPr="000560B2">
        <w:rPr>
          <w:rFonts w:cs="Arial"/>
          <w:szCs w:val="24"/>
        </w:rPr>
        <w:t xml:space="preserve"> adoption, amendment, or repeal is reasonably necessary to carry out the purpose </w:t>
      </w:r>
      <w:r w:rsidR="00383163" w:rsidRPr="000560B2">
        <w:rPr>
          <w:rFonts w:cs="Arial"/>
          <w:szCs w:val="24"/>
        </w:rPr>
        <w:t xml:space="preserve">and address the problem </w:t>
      </w:r>
      <w:r w:rsidRPr="000560B2">
        <w:rPr>
          <w:rFonts w:cs="Arial"/>
          <w:szCs w:val="24"/>
        </w:rPr>
        <w:t>for which it is proposed.</w:t>
      </w:r>
      <w:r w:rsidR="00383163" w:rsidRPr="000560B2">
        <w:rPr>
          <w:rFonts w:cs="Arial"/>
          <w:szCs w:val="24"/>
        </w:rPr>
        <w:t xml:space="preserve"> The statement shall enumerate the benefits </w:t>
      </w:r>
      <w:r w:rsidR="009F4C5C" w:rsidRPr="000560B2">
        <w:rPr>
          <w:rFonts w:cs="Arial"/>
          <w:szCs w:val="24"/>
        </w:rPr>
        <w:t>anticipated from the regulatory action, including the benefits or goals provided in the authorizing statute.</w:t>
      </w:r>
    </w:p>
    <w:p w14:paraId="23A245C4" w14:textId="5F3563C6" w:rsidR="00823227" w:rsidRPr="000560B2" w:rsidRDefault="00BC60F9" w:rsidP="002858DF">
      <w:pPr>
        <w:pStyle w:val="Heading3"/>
        <w:rPr>
          <w:bCs/>
        </w:rPr>
      </w:pPr>
      <w:r w:rsidRPr="000560B2">
        <w:rPr>
          <w:bCs/>
        </w:rPr>
        <w:t>IT</w:t>
      </w:r>
      <w:r w:rsidRPr="00041D6E">
        <w:rPr>
          <w:bCs/>
        </w:rPr>
        <w:t>EM</w:t>
      </w:r>
      <w:r w:rsidR="00823227" w:rsidRPr="00041D6E">
        <w:rPr>
          <w:bCs/>
        </w:rPr>
        <w:t xml:space="preserve"> </w:t>
      </w:r>
      <w:r w:rsidR="00434EE2" w:rsidRPr="00041D6E">
        <w:rPr>
          <w:noProof/>
        </w:rPr>
        <w:fldChar w:fldCharType="begin">
          <w:ffData>
            <w:name w:val="Text85"/>
            <w:enabled/>
            <w:calcOnExit w:val="0"/>
            <w:textInput>
              <w:default w:val="1"/>
            </w:textInput>
          </w:ffData>
        </w:fldChar>
      </w:r>
      <w:bookmarkStart w:id="0" w:name="Text85"/>
      <w:r w:rsidR="00434EE2" w:rsidRPr="00041D6E">
        <w:rPr>
          <w:noProof/>
        </w:rPr>
        <w:instrText xml:space="preserve"> FORMTEXT </w:instrText>
      </w:r>
      <w:r w:rsidR="00434EE2" w:rsidRPr="00041D6E">
        <w:rPr>
          <w:noProof/>
        </w:rPr>
      </w:r>
      <w:r w:rsidR="00434EE2" w:rsidRPr="00041D6E">
        <w:rPr>
          <w:noProof/>
        </w:rPr>
        <w:fldChar w:fldCharType="separate"/>
      </w:r>
      <w:r w:rsidR="00434EE2" w:rsidRPr="00041D6E">
        <w:rPr>
          <w:noProof/>
        </w:rPr>
        <w:t>1</w:t>
      </w:r>
      <w:r w:rsidR="00434EE2" w:rsidRPr="00041D6E">
        <w:rPr>
          <w:noProof/>
        </w:rPr>
        <w:fldChar w:fldCharType="end"/>
      </w:r>
      <w:bookmarkEnd w:id="0"/>
      <w:r w:rsidR="0030549F" w:rsidRPr="00041D6E">
        <w:rPr>
          <w:noProof/>
        </w:rPr>
        <w:br/>
      </w:r>
      <w:r w:rsidR="00823227" w:rsidRPr="00041D6E">
        <w:rPr>
          <w:bCs/>
        </w:rPr>
        <w:t xml:space="preserve">Chapter </w:t>
      </w:r>
      <w:r w:rsidR="00041D6E" w:rsidRPr="00041D6E">
        <w:rPr>
          <w:noProof/>
        </w:rPr>
        <w:fldChar w:fldCharType="begin">
          <w:ffData>
            <w:name w:val=""/>
            <w:enabled/>
            <w:calcOnExit w:val="0"/>
            <w:textInput>
              <w:default w:val="3 - PROVISIONS FOR ALL COMPLIANCE METHODS"/>
            </w:textInput>
          </w:ffData>
        </w:fldChar>
      </w:r>
      <w:r w:rsidR="00041D6E" w:rsidRPr="00041D6E">
        <w:rPr>
          <w:noProof/>
        </w:rPr>
        <w:instrText xml:space="preserve"> FORMTEXT </w:instrText>
      </w:r>
      <w:r w:rsidR="00041D6E" w:rsidRPr="00041D6E">
        <w:rPr>
          <w:noProof/>
        </w:rPr>
      </w:r>
      <w:r w:rsidR="00041D6E" w:rsidRPr="00041D6E">
        <w:rPr>
          <w:noProof/>
        </w:rPr>
        <w:fldChar w:fldCharType="separate"/>
      </w:r>
      <w:r w:rsidR="00041D6E" w:rsidRPr="00041D6E">
        <w:rPr>
          <w:noProof/>
        </w:rPr>
        <w:t>3 - PROVISIONS FOR ALL COMPLIANCE METHODS</w:t>
      </w:r>
      <w:r w:rsidR="00041D6E" w:rsidRPr="00041D6E">
        <w:rPr>
          <w:noProof/>
        </w:rPr>
        <w:fldChar w:fldCharType="end"/>
      </w:r>
    </w:p>
    <w:p w14:paraId="43732E39" w14:textId="27D142F4" w:rsidR="00733B93" w:rsidRDefault="00C30087" w:rsidP="00BF7AF2">
      <w:pPr>
        <w:widowControl/>
        <w:autoSpaceDE w:val="0"/>
        <w:autoSpaceDN w:val="0"/>
        <w:adjustRightInd w:val="0"/>
        <w:rPr>
          <w:rFonts w:cs="Arial"/>
          <w:szCs w:val="24"/>
        </w:rPr>
      </w:pPr>
      <w:r w:rsidRPr="000C4678">
        <w:rPr>
          <w:rFonts w:cs="Arial"/>
          <w:b/>
          <w:bCs/>
          <w:szCs w:val="24"/>
        </w:rPr>
        <w:t>Section</w:t>
      </w:r>
      <w:r w:rsidR="00333622" w:rsidRPr="000C4678">
        <w:rPr>
          <w:rFonts w:cs="Arial"/>
          <w:b/>
          <w:bCs/>
          <w:szCs w:val="24"/>
        </w:rPr>
        <w:t>s</w:t>
      </w:r>
      <w:r w:rsidRPr="000C4678">
        <w:rPr>
          <w:rFonts w:cs="Arial"/>
          <w:b/>
          <w:bCs/>
          <w:szCs w:val="24"/>
        </w:rPr>
        <w:t xml:space="preserve"> </w:t>
      </w:r>
      <w:r w:rsidR="00333622" w:rsidRPr="000C4678">
        <w:rPr>
          <w:rFonts w:cs="Arial"/>
          <w:b/>
          <w:bCs/>
          <w:szCs w:val="24"/>
        </w:rPr>
        <w:t>317.3 and 317.3.1</w:t>
      </w:r>
      <w:r w:rsidR="00333622">
        <w:rPr>
          <w:rFonts w:cs="Arial"/>
          <w:szCs w:val="24"/>
        </w:rPr>
        <w:t xml:space="preserve"> </w:t>
      </w:r>
      <w:r w:rsidR="007D17B5">
        <w:rPr>
          <w:rFonts w:cs="Arial"/>
          <w:szCs w:val="24"/>
        </w:rPr>
        <w:t>–</w:t>
      </w:r>
      <w:r w:rsidR="00333622">
        <w:rPr>
          <w:rFonts w:cs="Arial"/>
          <w:szCs w:val="24"/>
        </w:rPr>
        <w:t xml:space="preserve"> </w:t>
      </w:r>
      <w:r w:rsidR="007D17B5">
        <w:rPr>
          <w:rFonts w:cs="Arial"/>
          <w:szCs w:val="24"/>
        </w:rPr>
        <w:t xml:space="preserve">In accordance </w:t>
      </w:r>
      <w:r w:rsidR="008C0727">
        <w:rPr>
          <w:rFonts w:cs="Arial"/>
          <w:szCs w:val="24"/>
        </w:rPr>
        <w:t xml:space="preserve">with Section </w:t>
      </w:r>
      <w:r w:rsidR="00BF3295">
        <w:rPr>
          <w:rFonts w:cs="Arial"/>
          <w:szCs w:val="24"/>
        </w:rPr>
        <w:t>1</w:t>
      </w:r>
      <w:r w:rsidR="00DD0494">
        <w:rPr>
          <w:rFonts w:cs="Arial"/>
          <w:szCs w:val="24"/>
        </w:rPr>
        <w:t xml:space="preserve">.9.2.1, state-owned and state-leased essential services buildings </w:t>
      </w:r>
      <w:r w:rsidR="00CC6602">
        <w:rPr>
          <w:rFonts w:cs="Arial"/>
          <w:szCs w:val="24"/>
        </w:rPr>
        <w:t xml:space="preserve">come under </w:t>
      </w:r>
      <w:r w:rsidR="00D93DF5">
        <w:rPr>
          <w:rFonts w:cs="Arial"/>
          <w:szCs w:val="24"/>
        </w:rPr>
        <w:t xml:space="preserve">the </w:t>
      </w:r>
      <w:r w:rsidR="00CC6602">
        <w:rPr>
          <w:rFonts w:cs="Arial"/>
          <w:szCs w:val="24"/>
        </w:rPr>
        <w:t>jurisdiction</w:t>
      </w:r>
      <w:r w:rsidR="00D93DF5">
        <w:rPr>
          <w:rFonts w:cs="Arial"/>
          <w:szCs w:val="24"/>
        </w:rPr>
        <w:t xml:space="preserve"> of DSA</w:t>
      </w:r>
      <w:r w:rsidR="00CC6602">
        <w:rPr>
          <w:rFonts w:cs="Arial"/>
          <w:szCs w:val="24"/>
        </w:rPr>
        <w:t>.</w:t>
      </w:r>
      <w:r w:rsidR="007D6645">
        <w:rPr>
          <w:rFonts w:cs="Arial"/>
          <w:szCs w:val="24"/>
        </w:rPr>
        <w:t xml:space="preserve"> </w:t>
      </w:r>
      <w:r w:rsidR="00CD6866">
        <w:rPr>
          <w:rFonts w:cs="Arial"/>
          <w:szCs w:val="24"/>
        </w:rPr>
        <w:t xml:space="preserve">During the 2015 Triennial Rulemaking Cycle, </w:t>
      </w:r>
      <w:r w:rsidR="0065004B">
        <w:rPr>
          <w:rFonts w:cs="Arial"/>
          <w:szCs w:val="24"/>
        </w:rPr>
        <w:t xml:space="preserve">Existing Building provisions </w:t>
      </w:r>
      <w:r w:rsidR="000E1AEB">
        <w:rPr>
          <w:rFonts w:cs="Arial"/>
          <w:szCs w:val="24"/>
        </w:rPr>
        <w:t xml:space="preserve">were </w:t>
      </w:r>
      <w:r w:rsidR="00E67223">
        <w:rPr>
          <w:rFonts w:cs="Arial"/>
          <w:szCs w:val="24"/>
        </w:rPr>
        <w:t>relocated from</w:t>
      </w:r>
      <w:r w:rsidR="0065004B">
        <w:rPr>
          <w:rFonts w:cs="Arial"/>
          <w:szCs w:val="24"/>
        </w:rPr>
        <w:t xml:space="preserve"> Part 2</w:t>
      </w:r>
      <w:r w:rsidR="00C8435D">
        <w:rPr>
          <w:rFonts w:cs="Arial"/>
          <w:szCs w:val="24"/>
        </w:rPr>
        <w:t xml:space="preserve"> </w:t>
      </w:r>
      <w:r w:rsidR="00E67223">
        <w:rPr>
          <w:rFonts w:cs="Arial"/>
          <w:szCs w:val="24"/>
        </w:rPr>
        <w:t xml:space="preserve">to </w:t>
      </w:r>
      <w:r w:rsidR="00C8435D">
        <w:rPr>
          <w:rFonts w:cs="Arial"/>
          <w:szCs w:val="24"/>
        </w:rPr>
        <w:t xml:space="preserve">Part </w:t>
      </w:r>
      <w:r w:rsidR="00B624BB">
        <w:rPr>
          <w:rFonts w:cs="Arial"/>
          <w:szCs w:val="24"/>
        </w:rPr>
        <w:t>10</w:t>
      </w:r>
      <w:r w:rsidR="00C8435D">
        <w:rPr>
          <w:rFonts w:cs="Arial"/>
          <w:szCs w:val="24"/>
        </w:rPr>
        <w:t xml:space="preserve">. Thus, </w:t>
      </w:r>
      <w:r w:rsidR="00CD6866">
        <w:rPr>
          <w:rFonts w:cs="Arial"/>
          <w:szCs w:val="24"/>
        </w:rPr>
        <w:t xml:space="preserve">the </w:t>
      </w:r>
      <w:r w:rsidR="004D1ACF">
        <w:rPr>
          <w:rFonts w:cs="Arial"/>
          <w:szCs w:val="24"/>
        </w:rPr>
        <w:t>structural provisions</w:t>
      </w:r>
      <w:r w:rsidR="00895707">
        <w:rPr>
          <w:rFonts w:cs="Arial"/>
          <w:szCs w:val="24"/>
        </w:rPr>
        <w:t xml:space="preserve"> for existing buildings</w:t>
      </w:r>
      <w:r w:rsidR="004D1ACF">
        <w:rPr>
          <w:rFonts w:cs="Arial"/>
          <w:szCs w:val="24"/>
        </w:rPr>
        <w:t xml:space="preserve"> </w:t>
      </w:r>
      <w:r w:rsidR="00251907">
        <w:rPr>
          <w:rFonts w:cs="Arial"/>
          <w:szCs w:val="24"/>
        </w:rPr>
        <w:t xml:space="preserve">previously </w:t>
      </w:r>
      <w:r w:rsidR="00914515">
        <w:rPr>
          <w:rFonts w:cs="Arial"/>
          <w:szCs w:val="24"/>
        </w:rPr>
        <w:t xml:space="preserve">located </w:t>
      </w:r>
      <w:r w:rsidR="00251907">
        <w:rPr>
          <w:rFonts w:cs="Arial"/>
          <w:szCs w:val="24"/>
        </w:rPr>
        <w:t>in Sections 3417-34</w:t>
      </w:r>
      <w:r w:rsidR="00EE44F4">
        <w:rPr>
          <w:rFonts w:cs="Arial"/>
          <w:szCs w:val="24"/>
        </w:rPr>
        <w:t>2</w:t>
      </w:r>
      <w:r w:rsidR="00E360AD">
        <w:rPr>
          <w:rFonts w:cs="Arial"/>
          <w:szCs w:val="24"/>
        </w:rPr>
        <w:t>3</w:t>
      </w:r>
      <w:r w:rsidR="00EE44F4">
        <w:rPr>
          <w:rFonts w:cs="Arial"/>
          <w:szCs w:val="24"/>
        </w:rPr>
        <w:t xml:space="preserve"> of Part 2 w</w:t>
      </w:r>
      <w:r w:rsidR="004D1ACF">
        <w:rPr>
          <w:rFonts w:cs="Arial"/>
          <w:szCs w:val="24"/>
        </w:rPr>
        <w:t>ere</w:t>
      </w:r>
      <w:r w:rsidR="00EE44F4">
        <w:rPr>
          <w:rFonts w:cs="Arial"/>
          <w:szCs w:val="24"/>
        </w:rPr>
        <w:t xml:space="preserve"> </w:t>
      </w:r>
      <w:r w:rsidR="00E4660E">
        <w:rPr>
          <w:rFonts w:cs="Arial"/>
          <w:szCs w:val="24"/>
        </w:rPr>
        <w:t>relocated</w:t>
      </w:r>
      <w:r w:rsidR="00EE44F4">
        <w:rPr>
          <w:rFonts w:cs="Arial"/>
          <w:szCs w:val="24"/>
        </w:rPr>
        <w:t xml:space="preserve"> to Sections 317-32</w:t>
      </w:r>
      <w:r w:rsidR="00E360AD">
        <w:rPr>
          <w:rFonts w:cs="Arial"/>
          <w:szCs w:val="24"/>
        </w:rPr>
        <w:t>3</w:t>
      </w:r>
      <w:r w:rsidR="00EE44F4">
        <w:rPr>
          <w:rFonts w:cs="Arial"/>
          <w:szCs w:val="24"/>
        </w:rPr>
        <w:t xml:space="preserve"> of Part 10. </w:t>
      </w:r>
      <w:r w:rsidR="00914515">
        <w:rPr>
          <w:rFonts w:cs="Arial"/>
          <w:szCs w:val="24"/>
        </w:rPr>
        <w:t>The intent was for the language to remain intact, with no change in regulatory effect</w:t>
      </w:r>
      <w:r w:rsidR="00087479">
        <w:rPr>
          <w:rFonts w:cs="Arial"/>
          <w:szCs w:val="24"/>
        </w:rPr>
        <w:t xml:space="preserve"> as the primary purpose for the</w:t>
      </w:r>
      <w:r w:rsidR="008B64AB">
        <w:rPr>
          <w:rFonts w:cs="Arial"/>
          <w:szCs w:val="24"/>
        </w:rPr>
        <w:t xml:space="preserve"> </w:t>
      </w:r>
      <w:r w:rsidR="007E5DD3">
        <w:rPr>
          <w:rFonts w:cs="Arial"/>
          <w:szCs w:val="24"/>
        </w:rPr>
        <w:t>relocation</w:t>
      </w:r>
      <w:r w:rsidR="008B64AB">
        <w:rPr>
          <w:rFonts w:cs="Arial"/>
          <w:szCs w:val="24"/>
        </w:rPr>
        <w:t xml:space="preserve"> was </w:t>
      </w:r>
      <w:r w:rsidR="008B6E8E">
        <w:rPr>
          <w:rFonts w:cs="Arial"/>
          <w:szCs w:val="24"/>
        </w:rPr>
        <w:t xml:space="preserve">to improve </w:t>
      </w:r>
      <w:r w:rsidR="008B64AB">
        <w:rPr>
          <w:rFonts w:cs="Arial"/>
          <w:szCs w:val="24"/>
        </w:rPr>
        <w:t>organizational alignment with the content of the I-codes that</w:t>
      </w:r>
      <w:r w:rsidR="008D263C">
        <w:rPr>
          <w:rFonts w:cs="Arial"/>
          <w:szCs w:val="24"/>
        </w:rPr>
        <w:t xml:space="preserve"> are the base model codes for California’s Title 24</w:t>
      </w:r>
      <w:r w:rsidR="00914515">
        <w:rPr>
          <w:rFonts w:cs="Arial"/>
          <w:szCs w:val="24"/>
        </w:rPr>
        <w:t xml:space="preserve">. </w:t>
      </w:r>
      <w:r w:rsidR="008F37D8">
        <w:rPr>
          <w:rFonts w:cs="Arial"/>
          <w:szCs w:val="24"/>
        </w:rPr>
        <w:t xml:space="preserve">Although the 2013 CBC contained no </w:t>
      </w:r>
      <w:r w:rsidR="008F37D8" w:rsidRPr="00B20933">
        <w:rPr>
          <w:rFonts w:cs="Arial"/>
          <w:b/>
          <w:bCs/>
          <w:i/>
          <w:iCs/>
          <w:szCs w:val="24"/>
        </w:rPr>
        <w:t>[DSA-SS]</w:t>
      </w:r>
      <w:r w:rsidR="00CE3756">
        <w:rPr>
          <w:rFonts w:cs="Arial"/>
          <w:szCs w:val="24"/>
        </w:rPr>
        <w:t xml:space="preserve">, </w:t>
      </w:r>
      <w:r w:rsidR="00CE3756" w:rsidRPr="00B20933">
        <w:rPr>
          <w:rFonts w:cs="Arial"/>
          <w:b/>
          <w:bCs/>
          <w:i/>
          <w:iCs/>
          <w:szCs w:val="24"/>
        </w:rPr>
        <w:t>[DSA-SS/CC]</w:t>
      </w:r>
      <w:r w:rsidR="00CE3756">
        <w:rPr>
          <w:rFonts w:cs="Arial"/>
          <w:szCs w:val="24"/>
        </w:rPr>
        <w:t xml:space="preserve">, nor </w:t>
      </w:r>
      <w:r w:rsidR="00CE3756" w:rsidRPr="00B20933">
        <w:rPr>
          <w:rFonts w:cs="Arial"/>
          <w:b/>
          <w:bCs/>
          <w:i/>
          <w:iCs/>
          <w:szCs w:val="24"/>
        </w:rPr>
        <w:t>[BSC]</w:t>
      </w:r>
      <w:r w:rsidR="00CE3756">
        <w:rPr>
          <w:rFonts w:cs="Arial"/>
          <w:szCs w:val="24"/>
        </w:rPr>
        <w:t xml:space="preserve"> specific banners</w:t>
      </w:r>
      <w:r w:rsidR="000B2B55">
        <w:rPr>
          <w:rFonts w:cs="Arial"/>
          <w:szCs w:val="24"/>
        </w:rPr>
        <w:t xml:space="preserve"> in Sections 3417-342</w:t>
      </w:r>
      <w:r w:rsidR="00E360AD">
        <w:rPr>
          <w:rFonts w:cs="Arial"/>
          <w:szCs w:val="24"/>
        </w:rPr>
        <w:t>3</w:t>
      </w:r>
      <w:r w:rsidR="00CE3756">
        <w:rPr>
          <w:rFonts w:cs="Arial"/>
          <w:szCs w:val="24"/>
        </w:rPr>
        <w:t>, the 2016</w:t>
      </w:r>
      <w:r w:rsidR="000B2B55">
        <w:rPr>
          <w:rFonts w:cs="Arial"/>
          <w:szCs w:val="24"/>
        </w:rPr>
        <w:t xml:space="preserve"> CEBC and forward now includes those banners in Sections 317-32</w:t>
      </w:r>
      <w:r w:rsidR="00E360AD">
        <w:rPr>
          <w:rFonts w:cs="Arial"/>
          <w:szCs w:val="24"/>
        </w:rPr>
        <w:t>3</w:t>
      </w:r>
      <w:r w:rsidR="000B2B55">
        <w:rPr>
          <w:rFonts w:cs="Arial"/>
          <w:szCs w:val="24"/>
        </w:rPr>
        <w:t>.</w:t>
      </w:r>
    </w:p>
    <w:p w14:paraId="359A3564" w14:textId="78F46C15" w:rsidR="00D976B0" w:rsidRDefault="00CD0338" w:rsidP="00BF7AF2">
      <w:pPr>
        <w:widowControl/>
        <w:autoSpaceDE w:val="0"/>
        <w:autoSpaceDN w:val="0"/>
        <w:adjustRightInd w:val="0"/>
        <w:rPr>
          <w:rFonts w:ascii="Times New Roman" w:hAnsi="Times New Roman"/>
          <w:i/>
          <w:iCs/>
          <w:szCs w:val="24"/>
        </w:rPr>
      </w:pPr>
      <w:r>
        <w:rPr>
          <w:rFonts w:cs="Arial"/>
          <w:szCs w:val="24"/>
        </w:rPr>
        <w:t xml:space="preserve">The language </w:t>
      </w:r>
      <w:r w:rsidR="008E5749">
        <w:rPr>
          <w:rFonts w:cs="Arial"/>
          <w:szCs w:val="24"/>
        </w:rPr>
        <w:t xml:space="preserve">in the second paragraph of </w:t>
      </w:r>
      <w:r w:rsidR="00CD5C93">
        <w:rPr>
          <w:rFonts w:cs="Arial"/>
          <w:szCs w:val="24"/>
        </w:rPr>
        <w:t xml:space="preserve">2013 CBC </w:t>
      </w:r>
      <w:r w:rsidR="00334EA2">
        <w:rPr>
          <w:rFonts w:cs="Arial"/>
          <w:szCs w:val="24"/>
        </w:rPr>
        <w:t>3417.1.2</w:t>
      </w:r>
      <w:r w:rsidR="00931954">
        <w:rPr>
          <w:rFonts w:cs="Arial"/>
          <w:szCs w:val="24"/>
        </w:rPr>
        <w:t xml:space="preserve"> states</w:t>
      </w:r>
      <w:r w:rsidR="008E5749">
        <w:rPr>
          <w:rFonts w:cs="Arial"/>
          <w:szCs w:val="24"/>
        </w:rPr>
        <w:t>:</w:t>
      </w:r>
      <w:r w:rsidR="00B5029E">
        <w:rPr>
          <w:rFonts w:cs="Arial"/>
          <w:szCs w:val="24"/>
        </w:rPr>
        <w:t xml:space="preserve"> </w:t>
      </w:r>
      <w:r w:rsidR="008E5749" w:rsidRPr="00A367D2">
        <w:rPr>
          <w:rFonts w:ascii="Times New Roman" w:hAnsi="Times New Roman"/>
          <w:i/>
          <w:iCs/>
          <w:szCs w:val="24"/>
        </w:rPr>
        <w:t>“The provisions of Section 3</w:t>
      </w:r>
      <w:r w:rsidR="00A73061" w:rsidRPr="00A367D2">
        <w:rPr>
          <w:rFonts w:ascii="Times New Roman" w:hAnsi="Times New Roman"/>
          <w:i/>
          <w:iCs/>
          <w:szCs w:val="24"/>
        </w:rPr>
        <w:t>4</w:t>
      </w:r>
      <w:r w:rsidR="008E5749" w:rsidRPr="00A367D2">
        <w:rPr>
          <w:rFonts w:ascii="Times New Roman" w:hAnsi="Times New Roman"/>
          <w:i/>
          <w:iCs/>
          <w:szCs w:val="24"/>
        </w:rPr>
        <w:t>17 through 3</w:t>
      </w:r>
      <w:r w:rsidR="00A73061" w:rsidRPr="00A367D2">
        <w:rPr>
          <w:rFonts w:ascii="Times New Roman" w:hAnsi="Times New Roman"/>
          <w:i/>
          <w:iCs/>
          <w:szCs w:val="24"/>
        </w:rPr>
        <w:t>4</w:t>
      </w:r>
      <w:r w:rsidR="008E5749" w:rsidRPr="00A367D2">
        <w:rPr>
          <w:rFonts w:ascii="Times New Roman" w:hAnsi="Times New Roman"/>
          <w:i/>
          <w:iCs/>
          <w:szCs w:val="24"/>
        </w:rPr>
        <w:t>23 also establish minimum standards for earthquake evaluation and</w:t>
      </w:r>
      <w:r w:rsidR="000F1253" w:rsidRPr="00A367D2">
        <w:rPr>
          <w:rFonts w:ascii="Times New Roman" w:hAnsi="Times New Roman"/>
          <w:i/>
          <w:iCs/>
          <w:szCs w:val="24"/>
        </w:rPr>
        <w:t xml:space="preserve"> </w:t>
      </w:r>
      <w:r w:rsidR="008E5749" w:rsidRPr="00A367D2">
        <w:rPr>
          <w:rFonts w:ascii="Times New Roman" w:hAnsi="Times New Roman"/>
          <w:i/>
          <w:iCs/>
          <w:szCs w:val="24"/>
        </w:rPr>
        <w:t>design for rehabilitation of existing public buildings currently under the jurisdiction of DSA-SS</w:t>
      </w:r>
      <w:r w:rsidR="00B700CC">
        <w:rPr>
          <w:rFonts w:ascii="Times New Roman" w:hAnsi="Times New Roman"/>
          <w:i/>
          <w:iCs/>
          <w:szCs w:val="24"/>
        </w:rPr>
        <w:t xml:space="preserve">.” </w:t>
      </w:r>
      <w:r w:rsidR="00B700CC">
        <w:rPr>
          <w:rFonts w:cs="Arial"/>
          <w:szCs w:val="24"/>
        </w:rPr>
        <w:t>T</w:t>
      </w:r>
      <w:r w:rsidR="00931954" w:rsidRPr="00BF7AF2">
        <w:rPr>
          <w:rFonts w:cs="Arial"/>
          <w:szCs w:val="24"/>
        </w:rPr>
        <w:t xml:space="preserve">hat language </w:t>
      </w:r>
      <w:r w:rsidR="00064B4B">
        <w:rPr>
          <w:rFonts w:cs="Arial"/>
          <w:szCs w:val="24"/>
        </w:rPr>
        <w:t xml:space="preserve">has remained </w:t>
      </w:r>
      <w:r w:rsidR="00F273C2">
        <w:rPr>
          <w:rFonts w:cs="Arial"/>
          <w:szCs w:val="24"/>
          <w:u w:val="single"/>
        </w:rPr>
        <w:t xml:space="preserve">unchanged </w:t>
      </w:r>
      <w:r w:rsidR="00931954">
        <w:rPr>
          <w:rFonts w:cs="Arial"/>
          <w:szCs w:val="24"/>
        </w:rPr>
        <w:t xml:space="preserve">in </w:t>
      </w:r>
      <w:r w:rsidR="00FB3ED4">
        <w:rPr>
          <w:rFonts w:cs="Arial"/>
          <w:szCs w:val="24"/>
        </w:rPr>
        <w:t xml:space="preserve">the </w:t>
      </w:r>
      <w:r w:rsidR="00CD5C93">
        <w:rPr>
          <w:rFonts w:cs="Arial"/>
          <w:szCs w:val="24"/>
        </w:rPr>
        <w:t>2016</w:t>
      </w:r>
      <w:r w:rsidR="00352011">
        <w:rPr>
          <w:rFonts w:cs="Arial"/>
          <w:szCs w:val="24"/>
        </w:rPr>
        <w:t xml:space="preserve"> CEBC 317.1.2 </w:t>
      </w:r>
      <w:r w:rsidR="00F6463A">
        <w:rPr>
          <w:rFonts w:cs="Arial"/>
          <w:szCs w:val="24"/>
        </w:rPr>
        <w:t xml:space="preserve">to </w:t>
      </w:r>
      <w:r w:rsidR="00BD35B4">
        <w:rPr>
          <w:rFonts w:cs="Arial"/>
          <w:szCs w:val="24"/>
        </w:rPr>
        <w:t>2022</w:t>
      </w:r>
      <w:r w:rsidR="00CD5C93">
        <w:rPr>
          <w:rFonts w:cs="Arial"/>
          <w:szCs w:val="24"/>
        </w:rPr>
        <w:t xml:space="preserve"> CEBC </w:t>
      </w:r>
      <w:r w:rsidR="00931954">
        <w:rPr>
          <w:rFonts w:cs="Arial"/>
          <w:szCs w:val="24"/>
        </w:rPr>
        <w:t>317.1.2 except</w:t>
      </w:r>
      <w:r w:rsidR="00A73061">
        <w:rPr>
          <w:rFonts w:cs="Arial"/>
          <w:szCs w:val="24"/>
        </w:rPr>
        <w:t xml:space="preserve"> </w:t>
      </w:r>
      <w:r w:rsidR="0064087A">
        <w:rPr>
          <w:rFonts w:cs="Arial"/>
          <w:szCs w:val="24"/>
        </w:rPr>
        <w:t>the reference to</w:t>
      </w:r>
      <w:r w:rsidR="00CF7B13">
        <w:rPr>
          <w:rFonts w:cs="Arial"/>
          <w:szCs w:val="24"/>
        </w:rPr>
        <w:t xml:space="preserve"> </w:t>
      </w:r>
      <w:r w:rsidR="0064087A" w:rsidRPr="00A367D2">
        <w:rPr>
          <w:rFonts w:ascii="Times New Roman" w:hAnsi="Times New Roman"/>
          <w:i/>
          <w:iCs/>
          <w:szCs w:val="24"/>
        </w:rPr>
        <w:t>“Section 3417-3423</w:t>
      </w:r>
      <w:r w:rsidR="0064087A" w:rsidRPr="00BF7AF2">
        <w:rPr>
          <w:rFonts w:cs="Arial"/>
          <w:szCs w:val="24"/>
        </w:rPr>
        <w:t>”</w:t>
      </w:r>
      <w:r w:rsidR="00BA66E9" w:rsidRPr="00BF7AF2">
        <w:rPr>
          <w:rFonts w:cs="Arial"/>
          <w:szCs w:val="24"/>
        </w:rPr>
        <w:t xml:space="preserve"> in the </w:t>
      </w:r>
      <w:r w:rsidR="002B3AF0" w:rsidRPr="00BF7AF2">
        <w:rPr>
          <w:rFonts w:cs="Arial"/>
          <w:szCs w:val="24"/>
        </w:rPr>
        <w:t xml:space="preserve">2013 </w:t>
      </w:r>
      <w:r w:rsidR="00BA66E9" w:rsidRPr="00BF7AF2">
        <w:rPr>
          <w:rFonts w:cs="Arial"/>
          <w:szCs w:val="24"/>
        </w:rPr>
        <w:t xml:space="preserve">CBC </w:t>
      </w:r>
      <w:r w:rsidR="005E214E">
        <w:rPr>
          <w:rFonts w:cs="Arial"/>
          <w:szCs w:val="24"/>
        </w:rPr>
        <w:t xml:space="preserve">language </w:t>
      </w:r>
      <w:r w:rsidR="00BA66E9" w:rsidRPr="00BF7AF2">
        <w:rPr>
          <w:rFonts w:cs="Arial"/>
          <w:szCs w:val="24"/>
        </w:rPr>
        <w:t>has been replaced with</w:t>
      </w:r>
      <w:r w:rsidR="00BA66E9">
        <w:rPr>
          <w:rFonts w:ascii="Times New Roman" w:hAnsi="Times New Roman"/>
          <w:i/>
          <w:iCs/>
          <w:szCs w:val="24"/>
        </w:rPr>
        <w:t xml:space="preserve"> </w:t>
      </w:r>
      <w:r w:rsidR="00A73061" w:rsidRPr="00A367D2">
        <w:rPr>
          <w:rFonts w:ascii="Times New Roman" w:hAnsi="Times New Roman"/>
          <w:i/>
          <w:iCs/>
          <w:szCs w:val="24"/>
        </w:rPr>
        <w:t>“Section 317-323”</w:t>
      </w:r>
      <w:r w:rsidR="00BA66E9">
        <w:rPr>
          <w:rFonts w:cs="Arial"/>
          <w:szCs w:val="24"/>
        </w:rPr>
        <w:t xml:space="preserve"> in the </w:t>
      </w:r>
      <w:r w:rsidR="002B3AF0">
        <w:rPr>
          <w:rFonts w:cs="Arial"/>
          <w:szCs w:val="24"/>
        </w:rPr>
        <w:t>CEBC from 2016 to present</w:t>
      </w:r>
      <w:r w:rsidR="00A73061" w:rsidRPr="00A367D2">
        <w:rPr>
          <w:rFonts w:ascii="Times New Roman" w:hAnsi="Times New Roman"/>
          <w:i/>
          <w:iCs/>
          <w:szCs w:val="24"/>
        </w:rPr>
        <w:t>.</w:t>
      </w:r>
      <w:r w:rsidR="008E5749" w:rsidRPr="00A367D2">
        <w:rPr>
          <w:rFonts w:ascii="Times New Roman" w:hAnsi="Times New Roman"/>
          <w:i/>
          <w:iCs/>
          <w:szCs w:val="24"/>
        </w:rPr>
        <w:t xml:space="preserve"> </w:t>
      </w:r>
    </w:p>
    <w:p w14:paraId="74826A83" w14:textId="730E4628" w:rsidR="00A23DA3" w:rsidRDefault="00AF1B85" w:rsidP="00BF7AF2">
      <w:pPr>
        <w:widowControl/>
        <w:autoSpaceDE w:val="0"/>
        <w:autoSpaceDN w:val="0"/>
        <w:adjustRightInd w:val="0"/>
        <w:spacing w:after="0"/>
        <w:rPr>
          <w:rFonts w:cs="Arial"/>
          <w:szCs w:val="24"/>
        </w:rPr>
      </w:pPr>
      <w:r>
        <w:rPr>
          <w:rFonts w:cs="Arial"/>
          <w:szCs w:val="24"/>
        </w:rPr>
        <w:t>Section 3417.3 addressed the ap</w:t>
      </w:r>
      <w:r w:rsidR="001B0887">
        <w:rPr>
          <w:rFonts w:cs="Arial"/>
          <w:szCs w:val="24"/>
        </w:rPr>
        <w:t xml:space="preserve">plicability of when the requirements in </w:t>
      </w:r>
      <w:r w:rsidR="00941709">
        <w:rPr>
          <w:rFonts w:cs="Arial"/>
          <w:szCs w:val="24"/>
        </w:rPr>
        <w:t xml:space="preserve">Section </w:t>
      </w:r>
      <w:r w:rsidR="001B0887">
        <w:rPr>
          <w:rFonts w:cs="Arial"/>
          <w:szCs w:val="24"/>
        </w:rPr>
        <w:t>3</w:t>
      </w:r>
      <w:r w:rsidR="007F7CD6">
        <w:rPr>
          <w:rFonts w:cs="Arial"/>
          <w:szCs w:val="24"/>
        </w:rPr>
        <w:t>4</w:t>
      </w:r>
      <w:r w:rsidR="001B0887">
        <w:rPr>
          <w:rFonts w:cs="Arial"/>
          <w:szCs w:val="24"/>
        </w:rPr>
        <w:t>17 apply</w:t>
      </w:r>
      <w:r w:rsidR="008F2485">
        <w:rPr>
          <w:rFonts w:cs="Arial"/>
          <w:szCs w:val="24"/>
        </w:rPr>
        <w:t xml:space="preserve">. </w:t>
      </w:r>
      <w:r w:rsidR="00941709">
        <w:rPr>
          <w:rFonts w:cs="Arial"/>
          <w:szCs w:val="24"/>
        </w:rPr>
        <w:t xml:space="preserve">Section </w:t>
      </w:r>
      <w:r w:rsidR="008F2485">
        <w:rPr>
          <w:rFonts w:cs="Arial"/>
          <w:szCs w:val="24"/>
        </w:rPr>
        <w:t xml:space="preserve">3417.1 addressed state-owned buildings, </w:t>
      </w:r>
      <w:r w:rsidR="00941709">
        <w:rPr>
          <w:rFonts w:cs="Arial"/>
          <w:szCs w:val="24"/>
        </w:rPr>
        <w:t xml:space="preserve">Section </w:t>
      </w:r>
      <w:r w:rsidR="008F2485">
        <w:rPr>
          <w:rFonts w:cs="Arial"/>
          <w:szCs w:val="24"/>
        </w:rPr>
        <w:t xml:space="preserve">3417.3.2 addressed public school buildings, and </w:t>
      </w:r>
      <w:r w:rsidR="00941709">
        <w:rPr>
          <w:rFonts w:cs="Arial"/>
          <w:szCs w:val="24"/>
        </w:rPr>
        <w:t xml:space="preserve">Section </w:t>
      </w:r>
      <w:r w:rsidR="008F2485">
        <w:rPr>
          <w:rFonts w:cs="Arial"/>
          <w:szCs w:val="24"/>
        </w:rPr>
        <w:t>3417.3 add</w:t>
      </w:r>
      <w:r w:rsidR="00E43F6A">
        <w:rPr>
          <w:rFonts w:cs="Arial"/>
          <w:szCs w:val="24"/>
        </w:rPr>
        <w:t>ressed community college buildings.</w:t>
      </w:r>
      <w:r w:rsidR="007F7CD6">
        <w:rPr>
          <w:rFonts w:cs="Arial"/>
          <w:szCs w:val="24"/>
        </w:rPr>
        <w:t xml:space="preserve"> Once again, the language in</w:t>
      </w:r>
      <w:r w:rsidR="00B63D98">
        <w:rPr>
          <w:rFonts w:cs="Arial"/>
          <w:szCs w:val="24"/>
        </w:rPr>
        <w:t xml:space="preserve"> these sections is identical except for numbering changes (replace 34</w:t>
      </w:r>
      <w:r w:rsidR="004C2F19">
        <w:rPr>
          <w:rFonts w:cs="Arial"/>
          <w:szCs w:val="24"/>
        </w:rPr>
        <w:t>xx with 3xx) from the 2013 CBC to the 2016</w:t>
      </w:r>
      <w:r w:rsidR="00962290">
        <w:rPr>
          <w:rFonts w:cs="Arial"/>
          <w:szCs w:val="24"/>
        </w:rPr>
        <w:t xml:space="preserve"> CEBC and forward</w:t>
      </w:r>
      <w:r w:rsidR="004C2F19">
        <w:rPr>
          <w:rFonts w:cs="Arial"/>
          <w:szCs w:val="24"/>
        </w:rPr>
        <w:t xml:space="preserve">. </w:t>
      </w:r>
      <w:r w:rsidR="008F08E2">
        <w:rPr>
          <w:rFonts w:cs="Arial"/>
          <w:szCs w:val="24"/>
        </w:rPr>
        <w:t>In the 2016 CEBC</w:t>
      </w:r>
      <w:r w:rsidR="00F16545">
        <w:rPr>
          <w:rFonts w:cs="Arial"/>
          <w:szCs w:val="24"/>
        </w:rPr>
        <w:t>, t</w:t>
      </w:r>
      <w:r w:rsidR="00E87E55">
        <w:rPr>
          <w:rFonts w:cs="Arial"/>
          <w:szCs w:val="24"/>
        </w:rPr>
        <w:t>he</w:t>
      </w:r>
      <w:r w:rsidR="008F08E2">
        <w:rPr>
          <w:rFonts w:cs="Arial"/>
          <w:szCs w:val="24"/>
        </w:rPr>
        <w:t xml:space="preserve"> </w:t>
      </w:r>
      <w:r w:rsidR="00E87E55" w:rsidRPr="002F3544">
        <w:rPr>
          <w:rFonts w:cs="Arial"/>
          <w:b/>
          <w:bCs/>
          <w:i/>
          <w:iCs/>
          <w:szCs w:val="24"/>
        </w:rPr>
        <w:t>[DSA-SS]</w:t>
      </w:r>
      <w:r w:rsidR="00E87E55">
        <w:rPr>
          <w:rFonts w:cs="Arial"/>
          <w:szCs w:val="24"/>
        </w:rPr>
        <w:t xml:space="preserve"> banner was assigned to </w:t>
      </w:r>
      <w:r w:rsidR="00941709">
        <w:rPr>
          <w:rFonts w:cs="Arial"/>
          <w:szCs w:val="24"/>
        </w:rPr>
        <w:t xml:space="preserve">Section </w:t>
      </w:r>
      <w:r w:rsidR="00E87E55">
        <w:rPr>
          <w:rFonts w:cs="Arial"/>
          <w:szCs w:val="24"/>
        </w:rPr>
        <w:t xml:space="preserve">317.3.2 for public school buildings and the </w:t>
      </w:r>
      <w:r w:rsidR="00E87E55" w:rsidRPr="002F3544">
        <w:rPr>
          <w:rFonts w:cs="Arial"/>
          <w:b/>
          <w:bCs/>
          <w:i/>
          <w:iCs/>
          <w:szCs w:val="24"/>
        </w:rPr>
        <w:t>[DSA-</w:t>
      </w:r>
      <w:r w:rsidR="005833B1" w:rsidRPr="002F3544">
        <w:rPr>
          <w:rFonts w:cs="Arial"/>
          <w:b/>
          <w:bCs/>
          <w:i/>
          <w:iCs/>
          <w:szCs w:val="24"/>
        </w:rPr>
        <w:t xml:space="preserve">SS/CC] </w:t>
      </w:r>
      <w:r w:rsidR="005833B1">
        <w:rPr>
          <w:rFonts w:cs="Arial"/>
          <w:szCs w:val="24"/>
        </w:rPr>
        <w:t xml:space="preserve">banner was assigned to </w:t>
      </w:r>
      <w:r w:rsidR="00941709">
        <w:rPr>
          <w:rFonts w:cs="Arial"/>
          <w:szCs w:val="24"/>
        </w:rPr>
        <w:t xml:space="preserve">Section </w:t>
      </w:r>
      <w:r w:rsidR="005833B1">
        <w:rPr>
          <w:rFonts w:cs="Arial"/>
          <w:szCs w:val="24"/>
        </w:rPr>
        <w:t>317.3.3 for community college buildings.</w:t>
      </w:r>
      <w:r w:rsidR="00F16545">
        <w:rPr>
          <w:rFonts w:cs="Arial"/>
          <w:szCs w:val="24"/>
        </w:rPr>
        <w:t xml:space="preserve"> </w:t>
      </w:r>
      <w:r w:rsidR="00F16545" w:rsidRPr="00BF7AF2">
        <w:rPr>
          <w:rFonts w:cs="Arial"/>
          <w:szCs w:val="24"/>
          <w:u w:val="single"/>
        </w:rPr>
        <w:t>Both</w:t>
      </w:r>
      <w:r w:rsidR="00F16545">
        <w:rPr>
          <w:rFonts w:cs="Arial"/>
          <w:szCs w:val="24"/>
        </w:rPr>
        <w:t xml:space="preserve"> the </w:t>
      </w:r>
      <w:r w:rsidR="00F16545" w:rsidRPr="00B20933">
        <w:rPr>
          <w:rFonts w:cs="Arial"/>
          <w:b/>
          <w:bCs/>
          <w:i/>
          <w:iCs/>
          <w:szCs w:val="24"/>
        </w:rPr>
        <w:t>[BSC]</w:t>
      </w:r>
      <w:r w:rsidR="00F16545">
        <w:rPr>
          <w:rFonts w:cs="Arial"/>
          <w:b/>
          <w:bCs/>
          <w:i/>
          <w:iCs/>
          <w:szCs w:val="24"/>
        </w:rPr>
        <w:t xml:space="preserve"> </w:t>
      </w:r>
      <w:r w:rsidR="00F16545" w:rsidRPr="00BF7AF2">
        <w:rPr>
          <w:rFonts w:cs="Arial"/>
          <w:i/>
          <w:iCs/>
          <w:szCs w:val="24"/>
          <w:u w:val="single"/>
        </w:rPr>
        <w:t>and</w:t>
      </w:r>
      <w:r w:rsidR="00F16545" w:rsidRPr="00F16545">
        <w:rPr>
          <w:rFonts w:cs="Arial"/>
          <w:szCs w:val="24"/>
        </w:rPr>
        <w:t xml:space="preserve"> </w:t>
      </w:r>
      <w:r w:rsidR="00F16545" w:rsidRPr="00836B9C">
        <w:rPr>
          <w:rFonts w:cs="Arial"/>
          <w:b/>
          <w:bCs/>
          <w:i/>
          <w:iCs/>
          <w:szCs w:val="24"/>
        </w:rPr>
        <w:t>[DSA-SS]</w:t>
      </w:r>
      <w:r w:rsidR="00F16545">
        <w:rPr>
          <w:rFonts w:cs="Arial"/>
          <w:szCs w:val="24"/>
        </w:rPr>
        <w:t xml:space="preserve"> banner should have been assigned to </w:t>
      </w:r>
      <w:r w:rsidR="00901CDE">
        <w:rPr>
          <w:rFonts w:cs="Arial"/>
          <w:szCs w:val="24"/>
        </w:rPr>
        <w:t xml:space="preserve">Section </w:t>
      </w:r>
      <w:r w:rsidR="00F16545">
        <w:rPr>
          <w:rFonts w:cs="Arial"/>
          <w:szCs w:val="24"/>
        </w:rPr>
        <w:t xml:space="preserve">317.3.1 </w:t>
      </w:r>
      <w:r w:rsidR="00E4796E">
        <w:rPr>
          <w:rFonts w:cs="Arial"/>
          <w:szCs w:val="24"/>
        </w:rPr>
        <w:t xml:space="preserve">for state-owned </w:t>
      </w:r>
      <w:r w:rsidR="00C32281">
        <w:rPr>
          <w:rFonts w:cs="Arial"/>
          <w:szCs w:val="24"/>
        </w:rPr>
        <w:t>buildings</w:t>
      </w:r>
      <w:r w:rsidR="00E4796E">
        <w:rPr>
          <w:rFonts w:cs="Arial"/>
          <w:szCs w:val="24"/>
        </w:rPr>
        <w:t xml:space="preserve"> </w:t>
      </w:r>
      <w:r w:rsidR="00F16545">
        <w:rPr>
          <w:rFonts w:cs="Arial"/>
          <w:szCs w:val="24"/>
        </w:rPr>
        <w:t xml:space="preserve">but </w:t>
      </w:r>
      <w:r w:rsidR="00E4796E">
        <w:rPr>
          <w:rFonts w:cs="Arial"/>
          <w:szCs w:val="24"/>
        </w:rPr>
        <w:t xml:space="preserve">the </w:t>
      </w:r>
      <w:r w:rsidR="00F16545">
        <w:rPr>
          <w:rFonts w:cs="Arial"/>
          <w:szCs w:val="24"/>
        </w:rPr>
        <w:t xml:space="preserve">[DSA-SS] </w:t>
      </w:r>
      <w:r w:rsidR="00E4796E">
        <w:rPr>
          <w:rFonts w:cs="Arial"/>
          <w:szCs w:val="24"/>
        </w:rPr>
        <w:t xml:space="preserve">banner was </w:t>
      </w:r>
      <w:r w:rsidR="00C32281">
        <w:rPr>
          <w:rFonts w:cs="Arial"/>
          <w:szCs w:val="24"/>
        </w:rPr>
        <w:t xml:space="preserve">unintentionally </w:t>
      </w:r>
      <w:r w:rsidR="00E4796E">
        <w:rPr>
          <w:rFonts w:cs="Arial"/>
          <w:szCs w:val="24"/>
        </w:rPr>
        <w:t>omitted</w:t>
      </w:r>
      <w:r w:rsidR="00F16545">
        <w:rPr>
          <w:rFonts w:cs="Arial"/>
          <w:szCs w:val="24"/>
        </w:rPr>
        <w:t xml:space="preserve">. </w:t>
      </w:r>
      <w:r w:rsidR="008F08E2">
        <w:rPr>
          <w:rFonts w:cs="Arial"/>
          <w:szCs w:val="24"/>
        </w:rPr>
        <w:t xml:space="preserve"> </w:t>
      </w:r>
      <w:r w:rsidR="00FF69BB">
        <w:rPr>
          <w:rFonts w:cs="Arial"/>
          <w:szCs w:val="24"/>
        </w:rPr>
        <w:t xml:space="preserve">DSA proposes to add the </w:t>
      </w:r>
      <w:r w:rsidR="00FF69BB" w:rsidRPr="00D04D61">
        <w:rPr>
          <w:rFonts w:cs="Arial"/>
          <w:b/>
          <w:bCs/>
          <w:i/>
          <w:iCs/>
          <w:szCs w:val="24"/>
        </w:rPr>
        <w:t>[DSA-SS]</w:t>
      </w:r>
      <w:r w:rsidR="00FF69BB">
        <w:rPr>
          <w:rFonts w:cs="Arial"/>
          <w:szCs w:val="24"/>
        </w:rPr>
        <w:t xml:space="preserve"> banner to the title of </w:t>
      </w:r>
      <w:r w:rsidR="0066203C">
        <w:rPr>
          <w:rFonts w:cs="Arial"/>
          <w:szCs w:val="24"/>
        </w:rPr>
        <w:t xml:space="preserve">Section 317.3.1 </w:t>
      </w:r>
      <w:r w:rsidR="00D07480">
        <w:rPr>
          <w:rFonts w:cs="Arial"/>
          <w:szCs w:val="24"/>
        </w:rPr>
        <w:t>to correct this error</w:t>
      </w:r>
      <w:r w:rsidR="00732C21">
        <w:rPr>
          <w:rFonts w:cs="Arial"/>
          <w:szCs w:val="24"/>
        </w:rPr>
        <w:t xml:space="preserve">. This </w:t>
      </w:r>
      <w:r w:rsidR="002F3544">
        <w:rPr>
          <w:rFonts w:cs="Arial"/>
          <w:szCs w:val="24"/>
        </w:rPr>
        <w:t xml:space="preserve">correction </w:t>
      </w:r>
      <w:r w:rsidR="00732C21">
        <w:rPr>
          <w:rFonts w:cs="Arial"/>
          <w:szCs w:val="24"/>
        </w:rPr>
        <w:t xml:space="preserve">is beneficial </w:t>
      </w:r>
      <w:r w:rsidR="004B2450">
        <w:rPr>
          <w:rFonts w:cs="Arial"/>
          <w:szCs w:val="24"/>
        </w:rPr>
        <w:t>to</w:t>
      </w:r>
      <w:r w:rsidR="000604E9">
        <w:rPr>
          <w:rFonts w:cs="Arial"/>
          <w:szCs w:val="24"/>
        </w:rPr>
        <w:t xml:space="preserve"> agencies responsible for</w:t>
      </w:r>
      <w:r w:rsidR="008E0F88">
        <w:rPr>
          <w:rFonts w:cs="Arial"/>
          <w:szCs w:val="24"/>
        </w:rPr>
        <w:t xml:space="preserve"> existing</w:t>
      </w:r>
      <w:r w:rsidR="000604E9">
        <w:rPr>
          <w:rFonts w:cs="Arial"/>
          <w:szCs w:val="24"/>
        </w:rPr>
        <w:t xml:space="preserve"> state-owned and state-</w:t>
      </w:r>
      <w:r w:rsidR="000604E9">
        <w:rPr>
          <w:rFonts w:cs="Arial"/>
          <w:szCs w:val="24"/>
        </w:rPr>
        <w:lastRenderedPageBreak/>
        <w:t>leased essential services buildings</w:t>
      </w:r>
      <w:r w:rsidR="004B2450">
        <w:rPr>
          <w:rFonts w:cs="Arial"/>
          <w:szCs w:val="24"/>
        </w:rPr>
        <w:t xml:space="preserve"> by providing clea</w:t>
      </w:r>
      <w:r w:rsidR="00F04E71">
        <w:rPr>
          <w:rFonts w:cs="Arial"/>
          <w:szCs w:val="24"/>
        </w:rPr>
        <w:t>r</w:t>
      </w:r>
      <w:r w:rsidR="004B2450">
        <w:rPr>
          <w:rFonts w:cs="Arial"/>
          <w:szCs w:val="24"/>
        </w:rPr>
        <w:t xml:space="preserve"> regulatory </w:t>
      </w:r>
      <w:r w:rsidR="00F04E71">
        <w:rPr>
          <w:rFonts w:cs="Arial"/>
          <w:szCs w:val="24"/>
        </w:rPr>
        <w:t xml:space="preserve">direction on when the provisions of Section 317 through 323 apply to </w:t>
      </w:r>
      <w:r w:rsidR="008E0F88">
        <w:rPr>
          <w:rFonts w:cs="Arial"/>
          <w:szCs w:val="24"/>
        </w:rPr>
        <w:t>their projects.</w:t>
      </w:r>
    </w:p>
    <w:p w14:paraId="4DF4FC07" w14:textId="6CBFC69F" w:rsidR="00A93288" w:rsidRDefault="00AD5BAF" w:rsidP="009D3104">
      <w:pPr>
        <w:widowControl/>
        <w:spacing w:before="120"/>
        <w:rPr>
          <w:rFonts w:cs="Arial"/>
          <w:szCs w:val="24"/>
        </w:rPr>
      </w:pPr>
      <w:r w:rsidRPr="00D93DF5">
        <w:rPr>
          <w:rFonts w:cs="Arial"/>
          <w:b/>
          <w:bCs/>
          <w:szCs w:val="24"/>
        </w:rPr>
        <w:t>Table 317.5</w:t>
      </w:r>
      <w:r>
        <w:rPr>
          <w:rFonts w:cs="Arial"/>
          <w:szCs w:val="24"/>
        </w:rPr>
        <w:t xml:space="preserve"> – </w:t>
      </w:r>
      <w:r w:rsidR="00D93DF5">
        <w:rPr>
          <w:rFonts w:cs="Arial"/>
          <w:szCs w:val="24"/>
        </w:rPr>
        <w:t>In accordance with Section 1.9.2.1, state-owned and state-leased essential services buildings come under the jurisdiction of DSA</w:t>
      </w:r>
      <w:r w:rsidR="00AA3C7E">
        <w:rPr>
          <w:rFonts w:cs="Arial"/>
          <w:szCs w:val="24"/>
        </w:rPr>
        <w:t xml:space="preserve">. Essential services buildings are </w:t>
      </w:r>
      <w:r w:rsidR="0072393A">
        <w:rPr>
          <w:rFonts w:cs="Arial"/>
          <w:szCs w:val="24"/>
        </w:rPr>
        <w:t xml:space="preserve">designated Risk Category IV in accordance with </w:t>
      </w:r>
      <w:r w:rsidR="006553D8">
        <w:rPr>
          <w:rFonts w:cs="Arial"/>
          <w:szCs w:val="24"/>
        </w:rPr>
        <w:t>California Building Code Table 1604A</w:t>
      </w:r>
      <w:r w:rsidR="00164A40">
        <w:rPr>
          <w:rFonts w:cs="Arial"/>
          <w:szCs w:val="24"/>
        </w:rPr>
        <w:t>.5</w:t>
      </w:r>
      <w:r w:rsidR="00D93DF5">
        <w:rPr>
          <w:rFonts w:cs="Arial"/>
          <w:szCs w:val="24"/>
        </w:rPr>
        <w:t xml:space="preserve">. </w:t>
      </w:r>
      <w:r>
        <w:rPr>
          <w:rFonts w:cs="Arial"/>
          <w:szCs w:val="24"/>
        </w:rPr>
        <w:t xml:space="preserve">The </w:t>
      </w:r>
      <w:r w:rsidR="003333E7">
        <w:rPr>
          <w:rFonts w:cs="Arial"/>
          <w:szCs w:val="24"/>
        </w:rPr>
        <w:t xml:space="preserve">structural </w:t>
      </w:r>
      <w:r w:rsidR="00D93DF5">
        <w:rPr>
          <w:rFonts w:cs="Arial"/>
          <w:szCs w:val="24"/>
        </w:rPr>
        <w:t>seismic performance criteria</w:t>
      </w:r>
      <w:r w:rsidR="007750E8">
        <w:rPr>
          <w:rFonts w:cs="Arial"/>
          <w:szCs w:val="24"/>
        </w:rPr>
        <w:t xml:space="preserve"> </w:t>
      </w:r>
      <w:r w:rsidR="003333E7">
        <w:rPr>
          <w:rFonts w:cs="Arial"/>
          <w:szCs w:val="24"/>
        </w:rPr>
        <w:t>given in Table 317.5</w:t>
      </w:r>
      <w:r w:rsidR="006B6637">
        <w:rPr>
          <w:rFonts w:cs="Arial"/>
          <w:szCs w:val="24"/>
        </w:rPr>
        <w:t xml:space="preserve"> for Risk Category IV buildings is the same as that for</w:t>
      </w:r>
      <w:r w:rsidR="003B5E30">
        <w:rPr>
          <w:rFonts w:cs="Arial"/>
          <w:szCs w:val="24"/>
        </w:rPr>
        <w:t xml:space="preserve"> Risk Category </w:t>
      </w:r>
      <w:r w:rsidR="00D04D61">
        <w:rPr>
          <w:rFonts w:cs="Arial"/>
          <w:szCs w:val="24"/>
        </w:rPr>
        <w:t>II buildings</w:t>
      </w:r>
      <w:r w:rsidR="00F67EA5">
        <w:rPr>
          <w:rFonts w:cs="Arial"/>
          <w:szCs w:val="24"/>
        </w:rPr>
        <w:t xml:space="preserve"> and less than that required by the model code (IEBC) </w:t>
      </w:r>
      <w:r w:rsidR="007C1656">
        <w:rPr>
          <w:rFonts w:cs="Arial"/>
          <w:szCs w:val="24"/>
        </w:rPr>
        <w:t xml:space="preserve">in Table 304.3.2 for </w:t>
      </w:r>
      <w:r w:rsidR="003F61C8">
        <w:rPr>
          <w:rFonts w:cs="Arial"/>
          <w:szCs w:val="24"/>
        </w:rPr>
        <w:t>Risk Category IV buildings</w:t>
      </w:r>
      <w:r w:rsidR="007B385A">
        <w:rPr>
          <w:rFonts w:cs="Arial"/>
          <w:szCs w:val="24"/>
        </w:rPr>
        <w:t xml:space="preserve"> and </w:t>
      </w:r>
      <w:r w:rsidR="006578EE">
        <w:rPr>
          <w:rFonts w:cs="Arial"/>
          <w:szCs w:val="24"/>
        </w:rPr>
        <w:t>the Basic Performance Objecti</w:t>
      </w:r>
      <w:r w:rsidR="004C444A">
        <w:rPr>
          <w:rFonts w:cs="Arial"/>
          <w:szCs w:val="24"/>
        </w:rPr>
        <w:t>ve of ASCE 41</w:t>
      </w:r>
      <w:r w:rsidR="003F61C8">
        <w:rPr>
          <w:rFonts w:cs="Arial"/>
          <w:szCs w:val="24"/>
        </w:rPr>
        <w:t xml:space="preserve">. </w:t>
      </w:r>
      <w:r w:rsidR="002573DC">
        <w:rPr>
          <w:rFonts w:cs="Arial"/>
          <w:szCs w:val="24"/>
        </w:rPr>
        <w:t xml:space="preserve">This appears to be an error </w:t>
      </w:r>
      <w:r w:rsidR="00326DB1">
        <w:rPr>
          <w:rFonts w:cs="Arial"/>
          <w:szCs w:val="24"/>
        </w:rPr>
        <w:t>as it is not the intent of the amendment</w:t>
      </w:r>
      <w:r w:rsidR="00C6750C">
        <w:rPr>
          <w:rFonts w:cs="Arial"/>
          <w:szCs w:val="24"/>
        </w:rPr>
        <w:t xml:space="preserve"> to reduce the criteria of the model code</w:t>
      </w:r>
      <w:r w:rsidR="004C444A">
        <w:rPr>
          <w:rFonts w:cs="Arial"/>
          <w:szCs w:val="24"/>
        </w:rPr>
        <w:t xml:space="preserve"> and adopted consensus standard</w:t>
      </w:r>
      <w:r w:rsidR="00C6750C">
        <w:rPr>
          <w:rFonts w:cs="Arial"/>
          <w:szCs w:val="24"/>
        </w:rPr>
        <w:t>, and it is widely</w:t>
      </w:r>
      <w:r w:rsidR="00B6334C">
        <w:rPr>
          <w:rFonts w:cs="Arial"/>
          <w:szCs w:val="24"/>
        </w:rPr>
        <w:t xml:space="preserve"> accepted that the </w:t>
      </w:r>
      <w:r w:rsidR="004C444A">
        <w:rPr>
          <w:rFonts w:cs="Arial"/>
          <w:szCs w:val="24"/>
        </w:rPr>
        <w:t xml:space="preserve">expected </w:t>
      </w:r>
      <w:r w:rsidR="00B6334C">
        <w:rPr>
          <w:rFonts w:cs="Arial"/>
          <w:szCs w:val="24"/>
        </w:rPr>
        <w:t xml:space="preserve">structural performance of an essential services building in the design basis seismic event </w:t>
      </w:r>
      <w:r w:rsidR="004C444A">
        <w:rPr>
          <w:rFonts w:cs="Arial"/>
          <w:szCs w:val="24"/>
        </w:rPr>
        <w:t>is Immediate Occupancy</w:t>
      </w:r>
      <w:r w:rsidR="00B6334C">
        <w:rPr>
          <w:rFonts w:cs="Arial"/>
          <w:szCs w:val="24"/>
        </w:rPr>
        <w:t xml:space="preserve"> (S-1).</w:t>
      </w:r>
    </w:p>
    <w:p w14:paraId="5A7C67B7" w14:textId="7643FBBD" w:rsidR="00AD5BAF" w:rsidRDefault="00A93288" w:rsidP="009D3104">
      <w:pPr>
        <w:widowControl/>
        <w:spacing w:before="120"/>
        <w:rPr>
          <w:rFonts w:cs="Arial"/>
          <w:szCs w:val="24"/>
        </w:rPr>
      </w:pPr>
      <w:r>
        <w:rPr>
          <w:rFonts w:cs="Arial"/>
          <w:szCs w:val="24"/>
        </w:rPr>
        <w:t xml:space="preserve">DSA proposes to </w:t>
      </w:r>
      <w:r w:rsidR="003F61C8">
        <w:rPr>
          <w:rFonts w:cs="Arial"/>
          <w:szCs w:val="24"/>
        </w:rPr>
        <w:t>change</w:t>
      </w:r>
      <w:r w:rsidR="00605594">
        <w:rPr>
          <w:rFonts w:cs="Arial"/>
          <w:szCs w:val="24"/>
        </w:rPr>
        <w:t xml:space="preserve"> the </w:t>
      </w:r>
      <w:r w:rsidR="009723D6">
        <w:rPr>
          <w:rFonts w:cs="Arial"/>
          <w:szCs w:val="24"/>
        </w:rPr>
        <w:t xml:space="preserve">required </w:t>
      </w:r>
      <w:r w:rsidR="00605594">
        <w:rPr>
          <w:rFonts w:cs="Arial"/>
          <w:szCs w:val="24"/>
        </w:rPr>
        <w:t xml:space="preserve">seismic </w:t>
      </w:r>
      <w:r w:rsidR="0040744D">
        <w:rPr>
          <w:rFonts w:cs="Arial"/>
          <w:szCs w:val="24"/>
        </w:rPr>
        <w:t xml:space="preserve">performance criteria of Risk Category IV buildings </w:t>
      </w:r>
      <w:r w:rsidR="00AF12A2">
        <w:rPr>
          <w:rFonts w:cs="Arial"/>
          <w:szCs w:val="24"/>
        </w:rPr>
        <w:t xml:space="preserve">for the purpose of </w:t>
      </w:r>
      <w:r w:rsidR="009723D6">
        <w:rPr>
          <w:rFonts w:cs="Arial"/>
          <w:szCs w:val="24"/>
        </w:rPr>
        <w:t xml:space="preserve">aligning amendment requirements with </w:t>
      </w:r>
      <w:r w:rsidR="002637FD">
        <w:rPr>
          <w:rFonts w:cs="Arial"/>
          <w:szCs w:val="24"/>
        </w:rPr>
        <w:t>the model code</w:t>
      </w:r>
      <w:r w:rsidR="00B626E3">
        <w:rPr>
          <w:rFonts w:cs="Arial"/>
          <w:szCs w:val="24"/>
        </w:rPr>
        <w:t xml:space="preserve"> and adopted consensus standard. This </w:t>
      </w:r>
      <w:r w:rsidR="00CE5715">
        <w:rPr>
          <w:rFonts w:cs="Arial"/>
          <w:szCs w:val="24"/>
        </w:rPr>
        <w:t xml:space="preserve">change </w:t>
      </w:r>
      <w:r w:rsidR="00324884">
        <w:rPr>
          <w:rFonts w:cs="Arial"/>
          <w:szCs w:val="24"/>
        </w:rPr>
        <w:t xml:space="preserve">broadly benefits communities or portions thereof serviced by state-owned and state-leased essential services building by requiring seismic </w:t>
      </w:r>
      <w:r w:rsidR="00741948">
        <w:rPr>
          <w:rFonts w:cs="Arial"/>
          <w:szCs w:val="24"/>
        </w:rPr>
        <w:t xml:space="preserve">performance objectives consistent with their functional needs and </w:t>
      </w:r>
      <w:r w:rsidR="00E95007">
        <w:rPr>
          <w:rFonts w:cs="Arial"/>
          <w:szCs w:val="24"/>
        </w:rPr>
        <w:t>public expectation.</w:t>
      </w:r>
    </w:p>
    <w:p w14:paraId="682939C7" w14:textId="59FA18D2" w:rsidR="00E95007" w:rsidRDefault="00E95007" w:rsidP="009D3104">
      <w:pPr>
        <w:widowControl/>
        <w:spacing w:before="120"/>
        <w:rPr>
          <w:rFonts w:cs="Arial"/>
          <w:szCs w:val="24"/>
        </w:rPr>
      </w:pPr>
      <w:r>
        <w:rPr>
          <w:rFonts w:cs="Arial"/>
          <w:szCs w:val="24"/>
        </w:rPr>
        <w:t>DSA proposes to add Footnote #4</w:t>
      </w:r>
      <w:r w:rsidR="00857D86">
        <w:rPr>
          <w:rFonts w:cs="Arial"/>
          <w:szCs w:val="24"/>
        </w:rPr>
        <w:t xml:space="preserve"> for the purpose of further clarifying the applicability of </w:t>
      </w:r>
      <w:r w:rsidR="00857D86" w:rsidRPr="00D04D61">
        <w:rPr>
          <w:rFonts w:cs="Arial"/>
          <w:b/>
          <w:bCs/>
          <w:i/>
          <w:iCs/>
          <w:szCs w:val="24"/>
        </w:rPr>
        <w:t>[DSA-SS]</w:t>
      </w:r>
      <w:r w:rsidR="00857D86" w:rsidRPr="00857D86">
        <w:rPr>
          <w:rFonts w:cs="Arial"/>
          <w:szCs w:val="24"/>
        </w:rPr>
        <w:t xml:space="preserve"> provisions</w:t>
      </w:r>
      <w:r w:rsidR="00857D86">
        <w:rPr>
          <w:rFonts w:cs="Arial"/>
          <w:szCs w:val="24"/>
        </w:rPr>
        <w:t xml:space="preserve"> to </w:t>
      </w:r>
      <w:r w:rsidR="0073143A">
        <w:rPr>
          <w:rFonts w:cs="Arial"/>
          <w:szCs w:val="24"/>
        </w:rPr>
        <w:t xml:space="preserve">state-owned and state-leased essential services buildings (see above). </w:t>
      </w:r>
      <w:r w:rsidR="00F51D52">
        <w:rPr>
          <w:rFonts w:cs="Arial"/>
          <w:szCs w:val="24"/>
        </w:rPr>
        <w:t xml:space="preserve">This is beneficial to agencies responsible for existing state-owned and state-leased essential services buildings by </w:t>
      </w:r>
      <w:r w:rsidR="003F1D68">
        <w:rPr>
          <w:rFonts w:cs="Arial"/>
          <w:szCs w:val="24"/>
        </w:rPr>
        <w:t>clarifying</w:t>
      </w:r>
      <w:r w:rsidR="00F51D52">
        <w:rPr>
          <w:rFonts w:cs="Arial"/>
          <w:szCs w:val="24"/>
        </w:rPr>
        <w:t xml:space="preserve"> when the provisions of Section 317 through 323 apply to their projects.</w:t>
      </w:r>
    </w:p>
    <w:p w14:paraId="6645C11F" w14:textId="4184E573" w:rsidR="00F51D52" w:rsidRDefault="004E3015" w:rsidP="009D3104">
      <w:pPr>
        <w:widowControl/>
        <w:spacing w:before="120"/>
        <w:rPr>
          <w:rFonts w:cs="Arial"/>
          <w:szCs w:val="24"/>
        </w:rPr>
      </w:pPr>
      <w:r w:rsidRPr="000C4678">
        <w:rPr>
          <w:rFonts w:cs="Arial"/>
          <w:b/>
          <w:bCs/>
          <w:szCs w:val="24"/>
        </w:rPr>
        <w:t>Section 31</w:t>
      </w:r>
      <w:r>
        <w:rPr>
          <w:rFonts w:cs="Arial"/>
          <w:b/>
          <w:bCs/>
          <w:szCs w:val="24"/>
        </w:rPr>
        <w:t>8</w:t>
      </w:r>
      <w:r w:rsidRPr="000C4678">
        <w:rPr>
          <w:rFonts w:cs="Arial"/>
          <w:b/>
          <w:bCs/>
          <w:szCs w:val="24"/>
        </w:rPr>
        <w:t>.1</w:t>
      </w:r>
      <w:r>
        <w:rPr>
          <w:rFonts w:cs="Arial"/>
          <w:szCs w:val="24"/>
        </w:rPr>
        <w:t xml:space="preserve"> – </w:t>
      </w:r>
      <w:r w:rsidR="00135EC9">
        <w:rPr>
          <w:rFonts w:cs="Arial"/>
          <w:szCs w:val="24"/>
        </w:rPr>
        <w:t>DSA proposes to repeal the definition of REPAIR</w:t>
      </w:r>
      <w:r w:rsidR="00382681">
        <w:rPr>
          <w:rFonts w:cs="Arial"/>
          <w:szCs w:val="24"/>
        </w:rPr>
        <w:t xml:space="preserve"> in this section</w:t>
      </w:r>
      <w:r w:rsidR="006D4488">
        <w:rPr>
          <w:rFonts w:cs="Arial"/>
          <w:szCs w:val="24"/>
        </w:rPr>
        <w:t xml:space="preserve"> for the purpose of eliminating </w:t>
      </w:r>
      <w:r w:rsidR="0000701B">
        <w:rPr>
          <w:rFonts w:cs="Arial"/>
          <w:szCs w:val="24"/>
        </w:rPr>
        <w:t>definitions from this section</w:t>
      </w:r>
      <w:r w:rsidR="00382681">
        <w:rPr>
          <w:rFonts w:cs="Arial"/>
          <w:szCs w:val="24"/>
        </w:rPr>
        <w:t>. In the previous code cycle, DSA attempted to eliminate al</w:t>
      </w:r>
      <w:r w:rsidR="00A50729">
        <w:rPr>
          <w:rFonts w:cs="Arial"/>
          <w:szCs w:val="24"/>
        </w:rPr>
        <w:t>l</w:t>
      </w:r>
      <w:r w:rsidR="00382681">
        <w:rPr>
          <w:rFonts w:cs="Arial"/>
          <w:szCs w:val="24"/>
        </w:rPr>
        <w:t xml:space="preserve"> definitions in this section; however</w:t>
      </w:r>
      <w:r w:rsidR="008D7B51">
        <w:rPr>
          <w:rFonts w:cs="Arial"/>
          <w:szCs w:val="24"/>
        </w:rPr>
        <w:t xml:space="preserve">, </w:t>
      </w:r>
      <w:r w:rsidR="00D5467B">
        <w:rPr>
          <w:rFonts w:cs="Arial"/>
          <w:szCs w:val="24"/>
        </w:rPr>
        <w:t xml:space="preserve">in that cycle </w:t>
      </w:r>
      <w:r w:rsidR="00320E34">
        <w:rPr>
          <w:rFonts w:cs="Arial"/>
          <w:szCs w:val="24"/>
        </w:rPr>
        <w:t xml:space="preserve">the Code Advisory Committee </w:t>
      </w:r>
      <w:r w:rsidR="00A92F86">
        <w:rPr>
          <w:rFonts w:cs="Arial"/>
          <w:szCs w:val="24"/>
        </w:rPr>
        <w:t xml:space="preserve">(CAC) </w:t>
      </w:r>
      <w:r w:rsidR="00320E34">
        <w:rPr>
          <w:rFonts w:cs="Arial"/>
          <w:szCs w:val="24"/>
        </w:rPr>
        <w:t>took exception to the proposal to relocate this definition of REPAIR</w:t>
      </w:r>
      <w:r w:rsidR="00960B45">
        <w:rPr>
          <w:rFonts w:cs="Arial"/>
          <w:szCs w:val="24"/>
        </w:rPr>
        <w:t xml:space="preserve"> to Section 202</w:t>
      </w:r>
      <w:r w:rsidR="00B67E6C">
        <w:rPr>
          <w:rFonts w:cs="Arial"/>
          <w:szCs w:val="24"/>
        </w:rPr>
        <w:t xml:space="preserve">, </w:t>
      </w:r>
      <w:r w:rsidR="00960B45">
        <w:rPr>
          <w:rFonts w:cs="Arial"/>
          <w:szCs w:val="24"/>
        </w:rPr>
        <w:t>recommending</w:t>
      </w:r>
      <w:r w:rsidR="00EC405F">
        <w:rPr>
          <w:rFonts w:cs="Arial"/>
          <w:szCs w:val="24"/>
        </w:rPr>
        <w:t xml:space="preserve"> instead adoption of</w:t>
      </w:r>
      <w:r w:rsidR="00B67E6C">
        <w:rPr>
          <w:rFonts w:cs="Arial"/>
          <w:szCs w:val="24"/>
        </w:rPr>
        <w:t xml:space="preserve"> the existing definition of the same term by</w:t>
      </w:r>
      <w:r w:rsidR="00EC405F">
        <w:rPr>
          <w:rFonts w:cs="Arial"/>
          <w:szCs w:val="24"/>
        </w:rPr>
        <w:t xml:space="preserve"> the model code (IEBC).</w:t>
      </w:r>
      <w:r w:rsidR="00A50729">
        <w:rPr>
          <w:rFonts w:cs="Arial"/>
          <w:szCs w:val="24"/>
        </w:rPr>
        <w:t xml:space="preserve"> Th</w:t>
      </w:r>
      <w:r w:rsidR="00A92F86">
        <w:rPr>
          <w:rFonts w:cs="Arial"/>
          <w:szCs w:val="24"/>
        </w:rPr>
        <w:t xml:space="preserve">ough </w:t>
      </w:r>
      <w:r w:rsidR="001D4BAD">
        <w:rPr>
          <w:rFonts w:cs="Arial"/>
          <w:szCs w:val="24"/>
        </w:rPr>
        <w:t xml:space="preserve">schedule </w:t>
      </w:r>
      <w:r w:rsidR="00DE4164">
        <w:rPr>
          <w:rFonts w:cs="Arial"/>
          <w:szCs w:val="24"/>
        </w:rPr>
        <w:t>and deadline limitations</w:t>
      </w:r>
      <w:r w:rsidR="001D4BAD">
        <w:rPr>
          <w:rFonts w:cs="Arial"/>
          <w:szCs w:val="24"/>
        </w:rPr>
        <w:t xml:space="preserve"> prevented</w:t>
      </w:r>
      <w:r w:rsidR="00A92F86">
        <w:rPr>
          <w:rFonts w:cs="Arial"/>
          <w:szCs w:val="24"/>
        </w:rPr>
        <w:t xml:space="preserve"> a comprehensive evaluation of the CAC proposal</w:t>
      </w:r>
      <w:r w:rsidR="002C1AC1">
        <w:rPr>
          <w:rFonts w:cs="Arial"/>
          <w:szCs w:val="24"/>
        </w:rPr>
        <w:t xml:space="preserve"> </w:t>
      </w:r>
      <w:r w:rsidR="00C84907">
        <w:rPr>
          <w:rFonts w:cs="Arial"/>
          <w:szCs w:val="24"/>
        </w:rPr>
        <w:t>at that time</w:t>
      </w:r>
      <w:r w:rsidR="00A92F86">
        <w:rPr>
          <w:rFonts w:cs="Arial"/>
          <w:szCs w:val="24"/>
        </w:rPr>
        <w:t>,</w:t>
      </w:r>
      <w:r w:rsidR="002C1AC1">
        <w:rPr>
          <w:rFonts w:cs="Arial"/>
          <w:szCs w:val="24"/>
        </w:rPr>
        <w:t xml:space="preserve"> this proposal is consistent with the recommendation of the</w:t>
      </w:r>
      <w:r w:rsidR="001D4BAD">
        <w:rPr>
          <w:rFonts w:cs="Arial"/>
          <w:szCs w:val="24"/>
        </w:rPr>
        <w:t xml:space="preserve"> previous code cycle</w:t>
      </w:r>
      <w:r w:rsidR="00C84907">
        <w:rPr>
          <w:rFonts w:cs="Arial"/>
          <w:szCs w:val="24"/>
        </w:rPr>
        <w:t>’s CAC</w:t>
      </w:r>
      <w:r w:rsidR="001D4BAD">
        <w:rPr>
          <w:rFonts w:cs="Arial"/>
          <w:szCs w:val="24"/>
        </w:rPr>
        <w:t>.</w:t>
      </w:r>
    </w:p>
    <w:p w14:paraId="1485ECB9" w14:textId="2CA2DA06" w:rsidR="004E3015" w:rsidRDefault="00F36A55" w:rsidP="009D3104">
      <w:pPr>
        <w:widowControl/>
        <w:spacing w:before="120"/>
        <w:rPr>
          <w:rFonts w:cs="Arial"/>
          <w:szCs w:val="24"/>
        </w:rPr>
      </w:pPr>
      <w:r w:rsidRPr="000C4678">
        <w:rPr>
          <w:rFonts w:cs="Arial"/>
          <w:b/>
          <w:bCs/>
          <w:szCs w:val="24"/>
        </w:rPr>
        <w:t>Section 31</w:t>
      </w:r>
      <w:r>
        <w:rPr>
          <w:rFonts w:cs="Arial"/>
          <w:b/>
          <w:bCs/>
          <w:szCs w:val="24"/>
        </w:rPr>
        <w:t>9</w:t>
      </w:r>
      <w:r w:rsidRPr="000C4678">
        <w:rPr>
          <w:rFonts w:cs="Arial"/>
          <w:b/>
          <w:bCs/>
          <w:szCs w:val="24"/>
        </w:rPr>
        <w:t>.</w:t>
      </w:r>
      <w:r>
        <w:rPr>
          <w:rFonts w:cs="Arial"/>
          <w:b/>
          <w:bCs/>
          <w:szCs w:val="24"/>
        </w:rPr>
        <w:t>1</w:t>
      </w:r>
      <w:r>
        <w:rPr>
          <w:rFonts w:cs="Arial"/>
          <w:szCs w:val="24"/>
        </w:rPr>
        <w:t xml:space="preserve"> – </w:t>
      </w:r>
      <w:r w:rsidR="003F56F4">
        <w:rPr>
          <w:rFonts w:cs="Arial"/>
          <w:szCs w:val="24"/>
        </w:rPr>
        <w:t>DSA pr</w:t>
      </w:r>
      <w:r w:rsidR="004A3A8C">
        <w:rPr>
          <w:rFonts w:cs="Arial"/>
          <w:szCs w:val="24"/>
        </w:rPr>
        <w:t xml:space="preserve">oposes to change the benchmark </w:t>
      </w:r>
      <w:r w:rsidR="00912EF8">
        <w:rPr>
          <w:rFonts w:cs="Arial"/>
          <w:szCs w:val="24"/>
        </w:rPr>
        <w:t xml:space="preserve">code cited in the </w:t>
      </w:r>
      <w:r w:rsidR="000F679E">
        <w:rPr>
          <w:rFonts w:cs="Arial"/>
          <w:szCs w:val="24"/>
        </w:rPr>
        <w:t xml:space="preserve">Exception for the purpose of referencing the code two cycles in arrears. This </w:t>
      </w:r>
      <w:r w:rsidR="00257985">
        <w:rPr>
          <w:rFonts w:cs="Arial"/>
          <w:szCs w:val="24"/>
        </w:rPr>
        <w:t xml:space="preserve">change is made with each code, consistent with the original intent of permitting the use of the two most recent </w:t>
      </w:r>
      <w:r w:rsidR="00AB012A">
        <w:rPr>
          <w:rFonts w:cs="Arial"/>
          <w:szCs w:val="24"/>
        </w:rPr>
        <w:t>code editions when the stated context conditions are met.</w:t>
      </w:r>
    </w:p>
    <w:sectPr w:rsidR="004E3015" w:rsidSect="009933D7">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152" w:right="1152" w:bottom="576"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FEA9" w14:textId="77777777" w:rsidR="009933D7" w:rsidRDefault="009933D7">
      <w:r>
        <w:separator/>
      </w:r>
    </w:p>
  </w:endnote>
  <w:endnote w:type="continuationSeparator" w:id="0">
    <w:p w14:paraId="48C1239C" w14:textId="77777777" w:rsidR="009933D7" w:rsidRDefault="009933D7">
      <w:r>
        <w:continuationSeparator/>
      </w:r>
    </w:p>
  </w:endnote>
  <w:endnote w:type="continuationNotice" w:id="1">
    <w:p w14:paraId="28DA3D5D" w14:textId="77777777" w:rsidR="009933D7" w:rsidRDefault="009933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FA39" w14:textId="77777777" w:rsidR="00B56AF3" w:rsidRDefault="00B56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7226" w14:textId="5AFFF28D" w:rsidR="00497978" w:rsidRPr="00B1767F" w:rsidRDefault="00835CE1" w:rsidP="00BF7AF2">
    <w:pPr>
      <w:pStyle w:val="Footer"/>
      <w:tabs>
        <w:tab w:val="clear" w:pos="4320"/>
        <w:tab w:val="clear" w:pos="8640"/>
        <w:tab w:val="right" w:pos="9540"/>
      </w:tabs>
      <w:spacing w:before="120"/>
      <w:rPr>
        <w:rFonts w:cs="Arial"/>
      </w:rPr>
    </w:pPr>
    <w:r>
      <w:rPr>
        <w:rFonts w:cs="Arial"/>
      </w:rPr>
      <w:t xml:space="preserve">BSC TP-106 </w:t>
    </w:r>
    <w:r w:rsidR="00822D36">
      <w:rPr>
        <w:rFonts w:cs="Arial"/>
      </w:rPr>
      <w:t xml:space="preserve">(Rev. </w:t>
    </w:r>
    <w:r w:rsidR="002C0762">
      <w:rPr>
        <w:rFonts w:cs="Arial"/>
      </w:rPr>
      <w:t>10</w:t>
    </w:r>
    <w:r>
      <w:rPr>
        <w:rFonts w:cs="Arial"/>
      </w:rPr>
      <w:t>/</w:t>
    </w:r>
    <w:r w:rsidR="00822D36">
      <w:rPr>
        <w:rFonts w:cs="Arial"/>
      </w:rPr>
      <w:t>2</w:t>
    </w:r>
    <w:r w:rsidR="002C0762">
      <w:rPr>
        <w:rFonts w:cs="Arial"/>
      </w:rPr>
      <w:t>3</w:t>
    </w:r>
    <w:r w:rsidR="00497978" w:rsidRPr="00B1767F">
      <w:rPr>
        <w:rFonts w:cs="Arial"/>
      </w:rPr>
      <w:t>) ISOR</w:t>
    </w:r>
    <w:r w:rsidR="009E7C9B">
      <w:rPr>
        <w:rFonts w:cs="Arial"/>
      </w:rPr>
      <w:tab/>
    </w:r>
    <w:r w:rsidR="00FA6C1F">
      <w:rPr>
        <w:rFonts w:cs="Arial"/>
      </w:rPr>
      <w:t>March 2</w:t>
    </w:r>
    <w:r w:rsidR="00BF7AF2">
      <w:rPr>
        <w:rFonts w:cs="Arial"/>
      </w:rPr>
      <w:t>8</w:t>
    </w:r>
    <w:r w:rsidR="00FA6C1F">
      <w:rPr>
        <w:rFonts w:cs="Arial"/>
      </w:rPr>
      <w:t>, 2024</w:t>
    </w:r>
  </w:p>
  <w:p w14:paraId="2E951DA8" w14:textId="48D63CA5" w:rsidR="00497978" w:rsidRDefault="00497978" w:rsidP="00BC60F9">
    <w:pPr>
      <w:pStyle w:val="Footer"/>
      <w:tabs>
        <w:tab w:val="clear" w:pos="4320"/>
        <w:tab w:val="clear" w:pos="8640"/>
        <w:tab w:val="center" w:pos="5040"/>
        <w:tab w:val="right" w:pos="9540"/>
      </w:tabs>
      <w:rPr>
        <w:rFonts w:cs="Arial"/>
      </w:rPr>
    </w:pPr>
    <w:r w:rsidRPr="00B1767F">
      <w:rPr>
        <w:rFonts w:cs="Arial"/>
      </w:rPr>
      <w:t xml:space="preserve">Rulemaking </w:t>
    </w:r>
    <w:r w:rsidR="00013F84" w:rsidRPr="00B1767F">
      <w:rPr>
        <w:rFonts w:cs="Arial"/>
      </w:rPr>
      <w:t>File</w:t>
    </w:r>
    <w:r w:rsidR="009E7C9B">
      <w:rPr>
        <w:rFonts w:cs="Arial"/>
      </w:rPr>
      <w:t xml:space="preserve"> #</w:t>
    </w:r>
    <w:r w:rsidRPr="00B1767F">
      <w:rPr>
        <w:rFonts w:cs="Arial"/>
      </w:rPr>
      <w:t xml:space="preserve"> - Part</w:t>
    </w:r>
    <w:r w:rsidR="009E7C9B">
      <w:rPr>
        <w:rFonts w:cs="Arial"/>
      </w:rPr>
      <w:t xml:space="preserve"> </w:t>
    </w:r>
    <w:r w:rsidR="00CB0887">
      <w:rPr>
        <w:rFonts w:cs="Arial"/>
      </w:rPr>
      <w:t>10</w:t>
    </w:r>
    <w:r w:rsidRPr="00B1767F">
      <w:rPr>
        <w:rFonts w:cs="Arial"/>
      </w:rPr>
      <w:t xml:space="preserve"> -</w:t>
    </w:r>
    <w:r w:rsidR="009E7C9B">
      <w:rPr>
        <w:rFonts w:cs="Arial"/>
      </w:rPr>
      <w:t xml:space="preserve"> </w:t>
    </w:r>
    <w:r w:rsidR="00CB0887">
      <w:rPr>
        <w:rFonts w:cs="Arial"/>
      </w:rPr>
      <w:t xml:space="preserve">2024 </w:t>
    </w:r>
    <w:r w:rsidR="009E7C9B">
      <w:rPr>
        <w:rFonts w:cs="Arial"/>
      </w:rPr>
      <w:t>Triennial</w:t>
    </w:r>
    <w:r w:rsidR="00F8410C">
      <w:rPr>
        <w:rFonts w:cs="Arial"/>
      </w:rPr>
      <w:t xml:space="preserve"> </w:t>
    </w:r>
    <w:r w:rsidRPr="00B1767F">
      <w:rPr>
        <w:rFonts w:cs="Arial"/>
      </w:rPr>
      <w:t>Code Cycle</w:t>
    </w:r>
    <w:r w:rsidRPr="00B1767F">
      <w:rPr>
        <w:rFonts w:cs="Arial"/>
      </w:rPr>
      <w:tab/>
    </w:r>
    <w:r w:rsidR="009E7C9B">
      <w:rPr>
        <w:rFonts w:cs="Arial"/>
      </w:rPr>
      <w:tab/>
    </w:r>
    <w:r w:rsidR="0010625C">
      <w:rPr>
        <w:rFonts w:cs="Arial"/>
      </w:rPr>
      <w:t>ISOR</w:t>
    </w:r>
  </w:p>
  <w:p w14:paraId="299F87A1" w14:textId="535E41C9" w:rsidR="00231316" w:rsidRPr="00B1767F" w:rsidRDefault="00FA6C1F" w:rsidP="009E7C9B">
    <w:pPr>
      <w:pStyle w:val="Footer"/>
      <w:tabs>
        <w:tab w:val="clear" w:pos="4320"/>
        <w:tab w:val="clear" w:pos="8640"/>
        <w:tab w:val="center" w:pos="5040"/>
        <w:tab w:val="right" w:pos="9540"/>
      </w:tabs>
      <w:rPr>
        <w:rFonts w:cs="Arial"/>
      </w:rPr>
    </w:pPr>
    <w:r>
      <w:rPr>
        <w:rFonts w:cs="Arial"/>
      </w:rPr>
      <w:t xml:space="preserve">The </w:t>
    </w:r>
    <w:r w:rsidR="00942EB8">
      <w:rPr>
        <w:rFonts w:cs="Arial"/>
      </w:rPr>
      <w:t>Division of the State Architect</w:t>
    </w:r>
    <w:r w:rsidR="00013F84">
      <w:rPr>
        <w:rFonts w:cs="Arial"/>
      </w:rPr>
      <w:tab/>
    </w:r>
    <w:r w:rsidR="00013F84">
      <w:rPr>
        <w:rStyle w:val="PageNumber"/>
        <w:rFonts w:cs="Arial"/>
      </w:rPr>
      <w:t xml:space="preserve">Page </w:t>
    </w:r>
    <w:r w:rsidR="00013F84" w:rsidRPr="00B1767F">
      <w:rPr>
        <w:rStyle w:val="PageNumber"/>
        <w:rFonts w:cs="Arial"/>
      </w:rPr>
      <w:fldChar w:fldCharType="begin"/>
    </w:r>
    <w:r w:rsidR="00013F84" w:rsidRPr="00B1767F">
      <w:rPr>
        <w:rStyle w:val="PageNumber"/>
        <w:rFonts w:cs="Arial"/>
      </w:rPr>
      <w:instrText xml:space="preserve"> PAGE </w:instrText>
    </w:r>
    <w:r w:rsidR="00013F84" w:rsidRPr="00B1767F">
      <w:rPr>
        <w:rStyle w:val="PageNumber"/>
        <w:rFonts w:cs="Arial"/>
      </w:rPr>
      <w:fldChar w:fldCharType="separate"/>
    </w:r>
    <w:r w:rsidR="00013F84">
      <w:rPr>
        <w:rStyle w:val="PageNumber"/>
        <w:rFonts w:cs="Arial"/>
      </w:rPr>
      <w:t>1</w:t>
    </w:r>
    <w:r w:rsidR="00013F84" w:rsidRPr="00B1767F">
      <w:rPr>
        <w:rStyle w:val="PageNumber"/>
        <w:rFonts w:cs="Arial"/>
      </w:rPr>
      <w:fldChar w:fldCharType="end"/>
    </w:r>
    <w:r w:rsidR="00013F84" w:rsidRPr="00B1767F">
      <w:rPr>
        <w:rStyle w:val="PageNumber"/>
        <w:rFonts w:cs="Arial"/>
      </w:rPr>
      <w:t xml:space="preserve"> of </w:t>
    </w:r>
    <w:r w:rsidR="00013F84" w:rsidRPr="00B1767F">
      <w:rPr>
        <w:rStyle w:val="PageNumber"/>
        <w:rFonts w:cs="Arial"/>
      </w:rPr>
      <w:fldChar w:fldCharType="begin"/>
    </w:r>
    <w:r w:rsidR="00013F84" w:rsidRPr="00B1767F">
      <w:rPr>
        <w:rStyle w:val="PageNumber"/>
        <w:rFonts w:cs="Arial"/>
      </w:rPr>
      <w:instrText xml:space="preserve"> NUMPAGES </w:instrText>
    </w:r>
    <w:r w:rsidR="00013F84" w:rsidRPr="00B1767F">
      <w:rPr>
        <w:rStyle w:val="PageNumber"/>
        <w:rFonts w:cs="Arial"/>
      </w:rPr>
      <w:fldChar w:fldCharType="separate"/>
    </w:r>
    <w:r w:rsidR="00013F84">
      <w:rPr>
        <w:rStyle w:val="PageNumber"/>
        <w:rFonts w:cs="Arial"/>
      </w:rPr>
      <w:t>3</w:t>
    </w:r>
    <w:r w:rsidR="00013F84" w:rsidRPr="00B1767F">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9337" w14:textId="77777777" w:rsidR="00B56AF3" w:rsidRDefault="00B56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3EA8" w14:textId="77777777" w:rsidR="009933D7" w:rsidRDefault="009933D7">
      <w:r>
        <w:separator/>
      </w:r>
    </w:p>
  </w:footnote>
  <w:footnote w:type="continuationSeparator" w:id="0">
    <w:p w14:paraId="1127AABC" w14:textId="77777777" w:rsidR="009933D7" w:rsidRDefault="009933D7">
      <w:r>
        <w:continuationSeparator/>
      </w:r>
    </w:p>
  </w:footnote>
  <w:footnote w:type="continuationNotice" w:id="1">
    <w:p w14:paraId="23FCF57D" w14:textId="77777777" w:rsidR="009933D7" w:rsidRDefault="009933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A200" w14:textId="2709B2B0" w:rsidR="00B56AF3" w:rsidRDefault="00A30451">
    <w:pPr>
      <w:pStyle w:val="Header"/>
    </w:pPr>
    <w:r>
      <w:rPr>
        <w:noProof/>
      </w:rPr>
      <w:pict w14:anchorId="5AC3D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155454" o:spid="_x0000_s1026" type="#_x0000_t136" style="position:absolute;margin-left:0;margin-top:0;width:485.8pt;height:194.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0DEE" w14:textId="6A8DD692" w:rsidR="00082D91" w:rsidRDefault="00A30451" w:rsidP="00BC60F9">
    <w:pPr>
      <w:pStyle w:val="Header"/>
      <w:tabs>
        <w:tab w:val="clear" w:pos="8640"/>
        <w:tab w:val="right" w:pos="9360"/>
      </w:tabs>
      <w:jc w:val="both"/>
      <w:rPr>
        <w:b w:val="0"/>
        <w:szCs w:val="16"/>
      </w:rPr>
    </w:pPr>
    <w:r>
      <w:rPr>
        <w:noProof/>
      </w:rPr>
      <w:pict w14:anchorId="28EEC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155455" o:spid="_x0000_s1027" type="#_x0000_t136" style="position:absolute;left:0;text-align:left;margin-left:0;margin-top:0;width:485.8pt;height:194.3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82D91">
      <w:rPr>
        <w:szCs w:val="16"/>
      </w:rPr>
      <w:t>STATE OF CALIFORNIA</w:t>
    </w:r>
  </w:p>
  <w:p w14:paraId="7AE79CA0" w14:textId="6994DA29" w:rsidR="00082D91" w:rsidRPr="00BC60F9" w:rsidRDefault="00082D91" w:rsidP="00BC60F9">
    <w:pPr>
      <w:pStyle w:val="Header"/>
      <w:tabs>
        <w:tab w:val="clear" w:pos="8640"/>
        <w:tab w:val="right" w:pos="9360"/>
      </w:tabs>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105A" w14:textId="2C546645" w:rsidR="00B56AF3" w:rsidRDefault="00A30451">
    <w:pPr>
      <w:pStyle w:val="Header"/>
    </w:pPr>
    <w:r>
      <w:rPr>
        <w:noProof/>
      </w:rPr>
      <w:pict w14:anchorId="6D107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155453" o:spid="_x0000_s1025" type="#_x0000_t136" style="position:absolute;margin-left:0;margin-top:0;width:485.8pt;height:194.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476A6"/>
    <w:multiLevelType w:val="hybridMultilevel"/>
    <w:tmpl w:val="D004D4B6"/>
    <w:lvl w:ilvl="0" w:tplc="F8081224">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00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26"/>
    <w:rsid w:val="00001750"/>
    <w:rsid w:val="0000701B"/>
    <w:rsid w:val="00013F84"/>
    <w:rsid w:val="00020408"/>
    <w:rsid w:val="00020B11"/>
    <w:rsid w:val="00022D31"/>
    <w:rsid w:val="00030A27"/>
    <w:rsid w:val="00036A96"/>
    <w:rsid w:val="00041D6E"/>
    <w:rsid w:val="000507BA"/>
    <w:rsid w:val="000560B2"/>
    <w:rsid w:val="000604E9"/>
    <w:rsid w:val="00064B4B"/>
    <w:rsid w:val="00065AE4"/>
    <w:rsid w:val="000677F0"/>
    <w:rsid w:val="00072A18"/>
    <w:rsid w:val="0007443F"/>
    <w:rsid w:val="00082D91"/>
    <w:rsid w:val="00084066"/>
    <w:rsid w:val="00087479"/>
    <w:rsid w:val="000B2B55"/>
    <w:rsid w:val="000C10D1"/>
    <w:rsid w:val="000C4678"/>
    <w:rsid w:val="000C70E8"/>
    <w:rsid w:val="000D0B42"/>
    <w:rsid w:val="000E1AEB"/>
    <w:rsid w:val="000F123E"/>
    <w:rsid w:val="000F1253"/>
    <w:rsid w:val="000F2FE6"/>
    <w:rsid w:val="000F679E"/>
    <w:rsid w:val="001041FA"/>
    <w:rsid w:val="00105766"/>
    <w:rsid w:val="0010625C"/>
    <w:rsid w:val="00113866"/>
    <w:rsid w:val="00113B14"/>
    <w:rsid w:val="00124B48"/>
    <w:rsid w:val="00130778"/>
    <w:rsid w:val="00135EC9"/>
    <w:rsid w:val="00135F2F"/>
    <w:rsid w:val="001401CC"/>
    <w:rsid w:val="00151926"/>
    <w:rsid w:val="00153283"/>
    <w:rsid w:val="00154D19"/>
    <w:rsid w:val="00161DE1"/>
    <w:rsid w:val="00164A40"/>
    <w:rsid w:val="00165612"/>
    <w:rsid w:val="00167807"/>
    <w:rsid w:val="001700E1"/>
    <w:rsid w:val="00171F49"/>
    <w:rsid w:val="00183901"/>
    <w:rsid w:val="00193D04"/>
    <w:rsid w:val="00194C5C"/>
    <w:rsid w:val="001A37EE"/>
    <w:rsid w:val="001B0887"/>
    <w:rsid w:val="001B0D8D"/>
    <w:rsid w:val="001B1E94"/>
    <w:rsid w:val="001B658D"/>
    <w:rsid w:val="001B7435"/>
    <w:rsid w:val="001C4469"/>
    <w:rsid w:val="001D4BAD"/>
    <w:rsid w:val="001E3F02"/>
    <w:rsid w:val="001F6DA1"/>
    <w:rsid w:val="00200AB9"/>
    <w:rsid w:val="0022095A"/>
    <w:rsid w:val="002264E9"/>
    <w:rsid w:val="00231316"/>
    <w:rsid w:val="00233429"/>
    <w:rsid w:val="00251907"/>
    <w:rsid w:val="00254D60"/>
    <w:rsid w:val="00255F31"/>
    <w:rsid w:val="002573DC"/>
    <w:rsid w:val="00257985"/>
    <w:rsid w:val="00262015"/>
    <w:rsid w:val="00262613"/>
    <w:rsid w:val="002637FD"/>
    <w:rsid w:val="00273AC0"/>
    <w:rsid w:val="00274F3F"/>
    <w:rsid w:val="002858DF"/>
    <w:rsid w:val="002942D4"/>
    <w:rsid w:val="002A13AF"/>
    <w:rsid w:val="002A3AFD"/>
    <w:rsid w:val="002B3AF0"/>
    <w:rsid w:val="002B7EEE"/>
    <w:rsid w:val="002C0762"/>
    <w:rsid w:val="002C1AC1"/>
    <w:rsid w:val="002C62AE"/>
    <w:rsid w:val="002D2FD5"/>
    <w:rsid w:val="002D3BAF"/>
    <w:rsid w:val="002D5EB9"/>
    <w:rsid w:val="002E4B0A"/>
    <w:rsid w:val="002F0CA3"/>
    <w:rsid w:val="002F3544"/>
    <w:rsid w:val="0030549F"/>
    <w:rsid w:val="003102CA"/>
    <w:rsid w:val="003103E6"/>
    <w:rsid w:val="00320E34"/>
    <w:rsid w:val="00324884"/>
    <w:rsid w:val="00326DB1"/>
    <w:rsid w:val="00331C6A"/>
    <w:rsid w:val="003333E7"/>
    <w:rsid w:val="00333622"/>
    <w:rsid w:val="00334EA2"/>
    <w:rsid w:val="00346B61"/>
    <w:rsid w:val="00352011"/>
    <w:rsid w:val="0035313D"/>
    <w:rsid w:val="00354375"/>
    <w:rsid w:val="003543B4"/>
    <w:rsid w:val="003649DD"/>
    <w:rsid w:val="00365768"/>
    <w:rsid w:val="00382681"/>
    <w:rsid w:val="00383163"/>
    <w:rsid w:val="00387742"/>
    <w:rsid w:val="00390259"/>
    <w:rsid w:val="00391483"/>
    <w:rsid w:val="00397587"/>
    <w:rsid w:val="003B191B"/>
    <w:rsid w:val="003B5B3A"/>
    <w:rsid w:val="003B5E30"/>
    <w:rsid w:val="003C0D80"/>
    <w:rsid w:val="003C1C1D"/>
    <w:rsid w:val="003D24AB"/>
    <w:rsid w:val="003E0009"/>
    <w:rsid w:val="003F1D68"/>
    <w:rsid w:val="003F56F4"/>
    <w:rsid w:val="003F61C8"/>
    <w:rsid w:val="004069CE"/>
    <w:rsid w:val="0040744D"/>
    <w:rsid w:val="004155ED"/>
    <w:rsid w:val="00417E59"/>
    <w:rsid w:val="00427418"/>
    <w:rsid w:val="00427670"/>
    <w:rsid w:val="00434EE2"/>
    <w:rsid w:val="00452D33"/>
    <w:rsid w:val="004534FD"/>
    <w:rsid w:val="00454727"/>
    <w:rsid w:val="00457339"/>
    <w:rsid w:val="0046522E"/>
    <w:rsid w:val="004829F2"/>
    <w:rsid w:val="00497978"/>
    <w:rsid w:val="004A00CA"/>
    <w:rsid w:val="004A0868"/>
    <w:rsid w:val="004A3A8C"/>
    <w:rsid w:val="004A7901"/>
    <w:rsid w:val="004B2450"/>
    <w:rsid w:val="004C2F19"/>
    <w:rsid w:val="004C444A"/>
    <w:rsid w:val="004D1ACF"/>
    <w:rsid w:val="004D4139"/>
    <w:rsid w:val="004E3015"/>
    <w:rsid w:val="005049DD"/>
    <w:rsid w:val="00506B51"/>
    <w:rsid w:val="00510ECB"/>
    <w:rsid w:val="00526761"/>
    <w:rsid w:val="005334DB"/>
    <w:rsid w:val="00533EC9"/>
    <w:rsid w:val="00534E76"/>
    <w:rsid w:val="0054032A"/>
    <w:rsid w:val="00541E31"/>
    <w:rsid w:val="005460D6"/>
    <w:rsid w:val="00562286"/>
    <w:rsid w:val="00565942"/>
    <w:rsid w:val="00574CE7"/>
    <w:rsid w:val="005770A0"/>
    <w:rsid w:val="00582163"/>
    <w:rsid w:val="005833B1"/>
    <w:rsid w:val="00591BC3"/>
    <w:rsid w:val="005A1D22"/>
    <w:rsid w:val="005B72AB"/>
    <w:rsid w:val="005C7A09"/>
    <w:rsid w:val="005E214E"/>
    <w:rsid w:val="005E60B6"/>
    <w:rsid w:val="00605594"/>
    <w:rsid w:val="006105F7"/>
    <w:rsid w:val="0061720E"/>
    <w:rsid w:val="0064087A"/>
    <w:rsid w:val="006465D2"/>
    <w:rsid w:val="006470E4"/>
    <w:rsid w:val="0065004B"/>
    <w:rsid w:val="0065058B"/>
    <w:rsid w:val="006553D8"/>
    <w:rsid w:val="00656600"/>
    <w:rsid w:val="006578EE"/>
    <w:rsid w:val="0066203C"/>
    <w:rsid w:val="00685FA3"/>
    <w:rsid w:val="006917E5"/>
    <w:rsid w:val="00695A52"/>
    <w:rsid w:val="006B3837"/>
    <w:rsid w:val="006B4454"/>
    <w:rsid w:val="006B6585"/>
    <w:rsid w:val="006B6637"/>
    <w:rsid w:val="006D4488"/>
    <w:rsid w:val="006D56D4"/>
    <w:rsid w:val="006E0B85"/>
    <w:rsid w:val="006F6F01"/>
    <w:rsid w:val="00716FFE"/>
    <w:rsid w:val="0072393A"/>
    <w:rsid w:val="00724D39"/>
    <w:rsid w:val="0073143A"/>
    <w:rsid w:val="00732C21"/>
    <w:rsid w:val="00733B93"/>
    <w:rsid w:val="0073618B"/>
    <w:rsid w:val="00741948"/>
    <w:rsid w:val="00742E49"/>
    <w:rsid w:val="00744F38"/>
    <w:rsid w:val="00760CB3"/>
    <w:rsid w:val="007630EA"/>
    <w:rsid w:val="007750E8"/>
    <w:rsid w:val="00775886"/>
    <w:rsid w:val="00784475"/>
    <w:rsid w:val="00787198"/>
    <w:rsid w:val="00796EC6"/>
    <w:rsid w:val="007A2778"/>
    <w:rsid w:val="007A6D47"/>
    <w:rsid w:val="007B385A"/>
    <w:rsid w:val="007C1656"/>
    <w:rsid w:val="007C6E58"/>
    <w:rsid w:val="007D17B5"/>
    <w:rsid w:val="007D2515"/>
    <w:rsid w:val="007D6645"/>
    <w:rsid w:val="007D7B43"/>
    <w:rsid w:val="007E43A2"/>
    <w:rsid w:val="007E5DD3"/>
    <w:rsid w:val="007E63F5"/>
    <w:rsid w:val="007E66E3"/>
    <w:rsid w:val="007E7473"/>
    <w:rsid w:val="007F6553"/>
    <w:rsid w:val="007F7CD6"/>
    <w:rsid w:val="00813B91"/>
    <w:rsid w:val="00822D36"/>
    <w:rsid w:val="0082315A"/>
    <w:rsid w:val="00823227"/>
    <w:rsid w:val="00823C88"/>
    <w:rsid w:val="00835CE1"/>
    <w:rsid w:val="00841A55"/>
    <w:rsid w:val="00842AE9"/>
    <w:rsid w:val="0085265B"/>
    <w:rsid w:val="00855D80"/>
    <w:rsid w:val="00857D86"/>
    <w:rsid w:val="0086343C"/>
    <w:rsid w:val="00870047"/>
    <w:rsid w:val="008714C7"/>
    <w:rsid w:val="00871E2A"/>
    <w:rsid w:val="00874A25"/>
    <w:rsid w:val="00880F85"/>
    <w:rsid w:val="00895707"/>
    <w:rsid w:val="00897AC5"/>
    <w:rsid w:val="008A2BB0"/>
    <w:rsid w:val="008B64AB"/>
    <w:rsid w:val="008B6E8E"/>
    <w:rsid w:val="008C0727"/>
    <w:rsid w:val="008C69B7"/>
    <w:rsid w:val="008D263C"/>
    <w:rsid w:val="008D3488"/>
    <w:rsid w:val="008D7B51"/>
    <w:rsid w:val="008E0F88"/>
    <w:rsid w:val="008E24F9"/>
    <w:rsid w:val="008E5749"/>
    <w:rsid w:val="008E6DD9"/>
    <w:rsid w:val="008F08E2"/>
    <w:rsid w:val="008F2485"/>
    <w:rsid w:val="008F37D8"/>
    <w:rsid w:val="008F41DD"/>
    <w:rsid w:val="00901CDE"/>
    <w:rsid w:val="00907981"/>
    <w:rsid w:val="00912EF8"/>
    <w:rsid w:val="00914515"/>
    <w:rsid w:val="00925134"/>
    <w:rsid w:val="00925BD5"/>
    <w:rsid w:val="00931954"/>
    <w:rsid w:val="0093291D"/>
    <w:rsid w:val="00941709"/>
    <w:rsid w:val="00942EB8"/>
    <w:rsid w:val="0095089C"/>
    <w:rsid w:val="009529F7"/>
    <w:rsid w:val="00953053"/>
    <w:rsid w:val="00960B45"/>
    <w:rsid w:val="00962290"/>
    <w:rsid w:val="009723D6"/>
    <w:rsid w:val="0098606F"/>
    <w:rsid w:val="0099316F"/>
    <w:rsid w:val="009933D7"/>
    <w:rsid w:val="009938E8"/>
    <w:rsid w:val="00996967"/>
    <w:rsid w:val="009969D6"/>
    <w:rsid w:val="009B2939"/>
    <w:rsid w:val="009B40E8"/>
    <w:rsid w:val="009C1F3C"/>
    <w:rsid w:val="009C2C3A"/>
    <w:rsid w:val="009C6F67"/>
    <w:rsid w:val="009D3104"/>
    <w:rsid w:val="009D7499"/>
    <w:rsid w:val="009D7868"/>
    <w:rsid w:val="009E48DF"/>
    <w:rsid w:val="009E7C9B"/>
    <w:rsid w:val="009F09FB"/>
    <w:rsid w:val="009F4C5C"/>
    <w:rsid w:val="00A13C3F"/>
    <w:rsid w:val="00A202B2"/>
    <w:rsid w:val="00A23DA3"/>
    <w:rsid w:val="00A30451"/>
    <w:rsid w:val="00A367D2"/>
    <w:rsid w:val="00A50729"/>
    <w:rsid w:val="00A60064"/>
    <w:rsid w:val="00A622AA"/>
    <w:rsid w:val="00A70B67"/>
    <w:rsid w:val="00A70FCC"/>
    <w:rsid w:val="00A72BFF"/>
    <w:rsid w:val="00A73061"/>
    <w:rsid w:val="00A754D7"/>
    <w:rsid w:val="00A84A2F"/>
    <w:rsid w:val="00A87F83"/>
    <w:rsid w:val="00A92F86"/>
    <w:rsid w:val="00A93288"/>
    <w:rsid w:val="00AA13E2"/>
    <w:rsid w:val="00AA3C7E"/>
    <w:rsid w:val="00AA7BC9"/>
    <w:rsid w:val="00AB012A"/>
    <w:rsid w:val="00AB66C7"/>
    <w:rsid w:val="00AD1EAA"/>
    <w:rsid w:val="00AD5BAF"/>
    <w:rsid w:val="00AD644D"/>
    <w:rsid w:val="00AE2F87"/>
    <w:rsid w:val="00AF12A2"/>
    <w:rsid w:val="00AF1B85"/>
    <w:rsid w:val="00B00EAD"/>
    <w:rsid w:val="00B03176"/>
    <w:rsid w:val="00B03B45"/>
    <w:rsid w:val="00B04697"/>
    <w:rsid w:val="00B17364"/>
    <w:rsid w:val="00B1767F"/>
    <w:rsid w:val="00B201F5"/>
    <w:rsid w:val="00B20933"/>
    <w:rsid w:val="00B25FCF"/>
    <w:rsid w:val="00B432B6"/>
    <w:rsid w:val="00B44627"/>
    <w:rsid w:val="00B46C0C"/>
    <w:rsid w:val="00B5029E"/>
    <w:rsid w:val="00B53E85"/>
    <w:rsid w:val="00B56846"/>
    <w:rsid w:val="00B56AF3"/>
    <w:rsid w:val="00B624BB"/>
    <w:rsid w:val="00B626E3"/>
    <w:rsid w:val="00B6334C"/>
    <w:rsid w:val="00B63D98"/>
    <w:rsid w:val="00B67E6C"/>
    <w:rsid w:val="00B700CC"/>
    <w:rsid w:val="00B91C93"/>
    <w:rsid w:val="00B93094"/>
    <w:rsid w:val="00BA66E9"/>
    <w:rsid w:val="00BC2B76"/>
    <w:rsid w:val="00BC60F9"/>
    <w:rsid w:val="00BD27E3"/>
    <w:rsid w:val="00BD35B4"/>
    <w:rsid w:val="00BD4FBD"/>
    <w:rsid w:val="00BD7E10"/>
    <w:rsid w:val="00BE66F9"/>
    <w:rsid w:val="00BF3295"/>
    <w:rsid w:val="00BF7AF2"/>
    <w:rsid w:val="00C039D6"/>
    <w:rsid w:val="00C04DFB"/>
    <w:rsid w:val="00C07B69"/>
    <w:rsid w:val="00C122EF"/>
    <w:rsid w:val="00C12A96"/>
    <w:rsid w:val="00C15768"/>
    <w:rsid w:val="00C30087"/>
    <w:rsid w:val="00C32281"/>
    <w:rsid w:val="00C43C0B"/>
    <w:rsid w:val="00C47EC4"/>
    <w:rsid w:val="00C50026"/>
    <w:rsid w:val="00C573EA"/>
    <w:rsid w:val="00C610C8"/>
    <w:rsid w:val="00C6750C"/>
    <w:rsid w:val="00C77EE2"/>
    <w:rsid w:val="00C8435D"/>
    <w:rsid w:val="00C84907"/>
    <w:rsid w:val="00C927B6"/>
    <w:rsid w:val="00C97E27"/>
    <w:rsid w:val="00CA1DDA"/>
    <w:rsid w:val="00CA5AEE"/>
    <w:rsid w:val="00CB0887"/>
    <w:rsid w:val="00CB6FCC"/>
    <w:rsid w:val="00CC6602"/>
    <w:rsid w:val="00CD0338"/>
    <w:rsid w:val="00CD5C93"/>
    <w:rsid w:val="00CD6866"/>
    <w:rsid w:val="00CE3756"/>
    <w:rsid w:val="00CE5715"/>
    <w:rsid w:val="00CF4738"/>
    <w:rsid w:val="00CF548B"/>
    <w:rsid w:val="00CF54C4"/>
    <w:rsid w:val="00CF6F40"/>
    <w:rsid w:val="00CF71A6"/>
    <w:rsid w:val="00CF7B13"/>
    <w:rsid w:val="00D0381E"/>
    <w:rsid w:val="00D04D61"/>
    <w:rsid w:val="00D07480"/>
    <w:rsid w:val="00D102F8"/>
    <w:rsid w:val="00D1097D"/>
    <w:rsid w:val="00D13120"/>
    <w:rsid w:val="00D277E1"/>
    <w:rsid w:val="00D422D6"/>
    <w:rsid w:val="00D5467B"/>
    <w:rsid w:val="00D55D02"/>
    <w:rsid w:val="00D5798C"/>
    <w:rsid w:val="00D62908"/>
    <w:rsid w:val="00D73F8D"/>
    <w:rsid w:val="00D872E2"/>
    <w:rsid w:val="00D87BD0"/>
    <w:rsid w:val="00D909A1"/>
    <w:rsid w:val="00D91A6F"/>
    <w:rsid w:val="00D93694"/>
    <w:rsid w:val="00D93DF5"/>
    <w:rsid w:val="00D9456B"/>
    <w:rsid w:val="00D976B0"/>
    <w:rsid w:val="00DA7D04"/>
    <w:rsid w:val="00DC787A"/>
    <w:rsid w:val="00DD0494"/>
    <w:rsid w:val="00DD1108"/>
    <w:rsid w:val="00DE4164"/>
    <w:rsid w:val="00DF05D3"/>
    <w:rsid w:val="00DF3727"/>
    <w:rsid w:val="00E0268C"/>
    <w:rsid w:val="00E05A74"/>
    <w:rsid w:val="00E31F8E"/>
    <w:rsid w:val="00E360AD"/>
    <w:rsid w:val="00E43F6A"/>
    <w:rsid w:val="00E4660E"/>
    <w:rsid w:val="00E4796E"/>
    <w:rsid w:val="00E66075"/>
    <w:rsid w:val="00E67223"/>
    <w:rsid w:val="00E7437B"/>
    <w:rsid w:val="00E80AB0"/>
    <w:rsid w:val="00E87E55"/>
    <w:rsid w:val="00E95007"/>
    <w:rsid w:val="00E97607"/>
    <w:rsid w:val="00EC405F"/>
    <w:rsid w:val="00EC59F2"/>
    <w:rsid w:val="00ED1B14"/>
    <w:rsid w:val="00ED2287"/>
    <w:rsid w:val="00EE44F4"/>
    <w:rsid w:val="00EE45FC"/>
    <w:rsid w:val="00EE794D"/>
    <w:rsid w:val="00F01FC0"/>
    <w:rsid w:val="00F04E71"/>
    <w:rsid w:val="00F057C2"/>
    <w:rsid w:val="00F16545"/>
    <w:rsid w:val="00F21C7A"/>
    <w:rsid w:val="00F239B9"/>
    <w:rsid w:val="00F23E29"/>
    <w:rsid w:val="00F273C2"/>
    <w:rsid w:val="00F36A55"/>
    <w:rsid w:val="00F51D52"/>
    <w:rsid w:val="00F61AF5"/>
    <w:rsid w:val="00F629D4"/>
    <w:rsid w:val="00F6315E"/>
    <w:rsid w:val="00F6463A"/>
    <w:rsid w:val="00F67EA5"/>
    <w:rsid w:val="00F719BC"/>
    <w:rsid w:val="00F8410C"/>
    <w:rsid w:val="00F86014"/>
    <w:rsid w:val="00F86CA3"/>
    <w:rsid w:val="00FA4A53"/>
    <w:rsid w:val="00FA6C1F"/>
    <w:rsid w:val="00FB3ED4"/>
    <w:rsid w:val="00FB6E64"/>
    <w:rsid w:val="00FC58D1"/>
    <w:rsid w:val="00FD7454"/>
    <w:rsid w:val="00FD7AB9"/>
    <w:rsid w:val="00FE0116"/>
    <w:rsid w:val="00FE09EA"/>
    <w:rsid w:val="00FE5C96"/>
    <w:rsid w:val="00FE76EE"/>
    <w:rsid w:val="00FF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D2AD2"/>
  <w15:docId w15:val="{990E1034-5C8E-422C-BE89-1093E498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F9"/>
    <w:pPr>
      <w:widowControl w:val="0"/>
      <w:spacing w:after="120"/>
    </w:pPr>
    <w:rPr>
      <w:rFonts w:ascii="Arial" w:hAnsi="Arial"/>
      <w:snapToGrid w:val="0"/>
      <w:sz w:val="24"/>
    </w:rPr>
  </w:style>
  <w:style w:type="paragraph" w:styleId="Heading1">
    <w:name w:val="heading 1"/>
    <w:basedOn w:val="Normal"/>
    <w:next w:val="Normal"/>
    <w:qFormat/>
    <w:rsid w:val="00161DE1"/>
    <w:pPr>
      <w:keepNext/>
      <w:widowControl/>
      <w:spacing w:before="200" w:after="60"/>
      <w:outlineLvl w:val="0"/>
    </w:pPr>
    <w:rPr>
      <w:b/>
    </w:rPr>
  </w:style>
  <w:style w:type="paragraph" w:styleId="Heading2">
    <w:name w:val="heading 2"/>
    <w:basedOn w:val="Normal"/>
    <w:next w:val="Normal"/>
    <w:qFormat/>
    <w:rsid w:val="002858DF"/>
    <w:pPr>
      <w:keepNext/>
      <w:widowControl/>
      <w:spacing w:before="240"/>
      <w:outlineLvl w:val="1"/>
    </w:pPr>
    <w:rPr>
      <w:b/>
    </w:rPr>
  </w:style>
  <w:style w:type="paragraph" w:styleId="Heading3">
    <w:name w:val="heading 3"/>
    <w:basedOn w:val="Normal"/>
    <w:next w:val="Normal"/>
    <w:qFormat/>
    <w:rsid w:val="002858DF"/>
    <w:pPr>
      <w:keepNext/>
      <w:widowControl/>
      <w:tabs>
        <w:tab w:val="center" w:pos="4680"/>
      </w:tabs>
      <w:spacing w:before="120"/>
      <w:outlineLvl w:val="2"/>
    </w:pPr>
    <w:rPr>
      <w:b/>
    </w:rPr>
  </w:style>
  <w:style w:type="paragraph" w:styleId="Heading4">
    <w:name w:val="heading 4"/>
    <w:basedOn w:val="Normal"/>
    <w:next w:val="Normal"/>
    <w:link w:val="Heading4Char"/>
    <w:uiPriority w:val="9"/>
    <w:unhideWhenUsed/>
    <w:qFormat/>
    <w:rsid w:val="002858DF"/>
    <w:pPr>
      <w:keepNext/>
      <w:keepLines/>
      <w:spacing w:before="120"/>
      <w:ind w:left="36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C60F9"/>
    <w:pPr>
      <w:keepNext/>
      <w:keepLines/>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widowControl/>
    </w:pPr>
    <w:rPr>
      <w:b/>
      <w:sz w:val="20"/>
      <w:u w:val="single"/>
    </w:rPr>
  </w:style>
  <w:style w:type="paragraph" w:styleId="BodyText2">
    <w:name w:val="Body Text 2"/>
    <w:basedOn w:val="Normal"/>
    <w:semiHidden/>
    <w:pPr>
      <w:widowControl/>
    </w:pPr>
    <w:rPr>
      <w:b/>
      <w:sz w:val="20"/>
    </w:rPr>
  </w:style>
  <w:style w:type="paragraph" w:styleId="Header">
    <w:name w:val="header"/>
    <w:basedOn w:val="Normal"/>
    <w:link w:val="HeaderChar"/>
    <w:qFormat/>
    <w:rsid w:val="007E63F5"/>
    <w:pPr>
      <w:tabs>
        <w:tab w:val="center" w:pos="4320"/>
        <w:tab w:val="right" w:pos="8640"/>
      </w:tabs>
      <w:spacing w:after="0"/>
    </w:pPr>
    <w:rPr>
      <w:rFonts w:ascii="Arial Narrow" w:hAnsi="Arial Narrow"/>
      <w:b/>
      <w:caps/>
      <w:sz w:val="16"/>
    </w:rPr>
  </w:style>
  <w:style w:type="paragraph" w:styleId="Footer">
    <w:name w:val="footer"/>
    <w:basedOn w:val="Normal"/>
    <w:link w:val="FooterChar"/>
    <w:qFormat/>
    <w:rsid w:val="007E63F5"/>
    <w:pPr>
      <w:tabs>
        <w:tab w:val="center" w:pos="4320"/>
        <w:tab w:val="right" w:pos="8640"/>
      </w:tabs>
      <w:spacing w:after="0"/>
    </w:pPr>
    <w:rPr>
      <w:sz w:val="16"/>
    </w:rPr>
  </w:style>
  <w:style w:type="character" w:styleId="PageNumber">
    <w:name w:val="page number"/>
    <w:basedOn w:val="DefaultParagraphFont"/>
    <w:semiHidden/>
  </w:style>
  <w:style w:type="paragraph" w:styleId="BodyText3">
    <w:name w:val="Body Text 3"/>
    <w:basedOn w:val="Normal"/>
    <w:semiHidden/>
    <w:pPr>
      <w:widowControl/>
      <w:jc w:val="both"/>
    </w:pPr>
    <w:rPr>
      <w:sz w:val="20"/>
    </w:rPr>
  </w:style>
  <w:style w:type="paragraph" w:styleId="Title">
    <w:name w:val="Title"/>
    <w:basedOn w:val="Normal"/>
    <w:rsid w:val="00387742"/>
    <w:pPr>
      <w:widowControl/>
      <w:tabs>
        <w:tab w:val="center" w:pos="4680"/>
      </w:tabs>
      <w:jc w:val="center"/>
    </w:pPr>
    <w:rPr>
      <w:b/>
      <w:bCs/>
    </w:rPr>
  </w:style>
  <w:style w:type="paragraph" w:styleId="BalloonText">
    <w:name w:val="Balloon Text"/>
    <w:basedOn w:val="Normal"/>
    <w:link w:val="BalloonTextChar"/>
    <w:uiPriority w:val="99"/>
    <w:semiHidden/>
    <w:unhideWhenUsed/>
    <w:rsid w:val="002B7EEE"/>
    <w:rPr>
      <w:rFonts w:ascii="Tahoma" w:hAnsi="Tahoma" w:cs="Tahoma"/>
      <w:sz w:val="16"/>
      <w:szCs w:val="16"/>
    </w:rPr>
  </w:style>
  <w:style w:type="character" w:customStyle="1" w:styleId="BalloonTextChar">
    <w:name w:val="Balloon Text Char"/>
    <w:link w:val="BalloonText"/>
    <w:uiPriority w:val="99"/>
    <w:semiHidden/>
    <w:rsid w:val="002B7EEE"/>
    <w:rPr>
      <w:rFonts w:ascii="Tahoma" w:hAnsi="Tahoma" w:cs="Tahoma"/>
      <w:snapToGrid w:val="0"/>
      <w:sz w:val="16"/>
      <w:szCs w:val="16"/>
    </w:rPr>
  </w:style>
  <w:style w:type="character" w:customStyle="1" w:styleId="HeaderChar">
    <w:name w:val="Header Char"/>
    <w:link w:val="Header"/>
    <w:rsid w:val="007E63F5"/>
    <w:rPr>
      <w:rFonts w:ascii="Arial Narrow" w:hAnsi="Arial Narrow"/>
      <w:b/>
      <w:caps/>
      <w:snapToGrid w:val="0"/>
      <w:sz w:val="16"/>
    </w:rPr>
  </w:style>
  <w:style w:type="paragraph" w:styleId="ListParagraph">
    <w:name w:val="List Paragraph"/>
    <w:basedOn w:val="Normal"/>
    <w:uiPriority w:val="34"/>
    <w:qFormat/>
    <w:rsid w:val="00194C5C"/>
    <w:pPr>
      <w:ind w:left="720"/>
      <w:contextualSpacing/>
    </w:pPr>
  </w:style>
  <w:style w:type="character" w:customStyle="1" w:styleId="Heading4Char">
    <w:name w:val="Heading 4 Char"/>
    <w:basedOn w:val="DefaultParagraphFont"/>
    <w:link w:val="Heading4"/>
    <w:uiPriority w:val="9"/>
    <w:rsid w:val="002858DF"/>
    <w:rPr>
      <w:rFonts w:ascii="Arial" w:eastAsiaTheme="majorEastAsia" w:hAnsi="Arial" w:cstheme="majorBidi"/>
      <w:b/>
      <w:iCs/>
      <w:snapToGrid w:val="0"/>
      <w:sz w:val="24"/>
    </w:rPr>
  </w:style>
  <w:style w:type="character" w:styleId="CommentReference">
    <w:name w:val="annotation reference"/>
    <w:basedOn w:val="DefaultParagraphFont"/>
    <w:uiPriority w:val="99"/>
    <w:semiHidden/>
    <w:unhideWhenUsed/>
    <w:rsid w:val="008D3488"/>
    <w:rPr>
      <w:sz w:val="16"/>
      <w:szCs w:val="16"/>
    </w:rPr>
  </w:style>
  <w:style w:type="paragraph" w:styleId="CommentText">
    <w:name w:val="annotation text"/>
    <w:basedOn w:val="Normal"/>
    <w:link w:val="CommentTextChar"/>
    <w:uiPriority w:val="99"/>
    <w:unhideWhenUsed/>
    <w:rsid w:val="008D3488"/>
    <w:rPr>
      <w:sz w:val="20"/>
    </w:rPr>
  </w:style>
  <w:style w:type="character" w:customStyle="1" w:styleId="CommentTextChar">
    <w:name w:val="Comment Text Char"/>
    <w:basedOn w:val="DefaultParagraphFont"/>
    <w:link w:val="CommentText"/>
    <w:uiPriority w:val="99"/>
    <w:rsid w:val="008D3488"/>
    <w:rPr>
      <w:rFonts w:ascii="Arial" w:hAnsi="Arial"/>
      <w:snapToGrid w:val="0"/>
    </w:rPr>
  </w:style>
  <w:style w:type="paragraph" w:styleId="CommentSubject">
    <w:name w:val="annotation subject"/>
    <w:basedOn w:val="CommentText"/>
    <w:next w:val="CommentText"/>
    <w:link w:val="CommentSubjectChar"/>
    <w:uiPriority w:val="99"/>
    <w:semiHidden/>
    <w:unhideWhenUsed/>
    <w:rsid w:val="008D3488"/>
    <w:rPr>
      <w:b/>
      <w:bCs/>
    </w:rPr>
  </w:style>
  <w:style w:type="character" w:customStyle="1" w:styleId="CommentSubjectChar">
    <w:name w:val="Comment Subject Char"/>
    <w:basedOn w:val="CommentTextChar"/>
    <w:link w:val="CommentSubject"/>
    <w:uiPriority w:val="99"/>
    <w:semiHidden/>
    <w:rsid w:val="008D3488"/>
    <w:rPr>
      <w:rFonts w:ascii="Arial" w:hAnsi="Arial"/>
      <w:b/>
      <w:bCs/>
      <w:snapToGrid w:val="0"/>
    </w:rPr>
  </w:style>
  <w:style w:type="paragraph" w:styleId="NoSpacing">
    <w:name w:val="No Spacing"/>
    <w:uiPriority w:val="1"/>
    <w:rsid w:val="00BC60F9"/>
    <w:pPr>
      <w:widowControl w:val="0"/>
    </w:pPr>
    <w:rPr>
      <w:rFonts w:ascii="Arial" w:hAnsi="Arial"/>
      <w:snapToGrid w:val="0"/>
      <w:sz w:val="16"/>
    </w:rPr>
  </w:style>
  <w:style w:type="character" w:customStyle="1" w:styleId="Heading5Char">
    <w:name w:val="Heading 5 Char"/>
    <w:basedOn w:val="DefaultParagraphFont"/>
    <w:link w:val="Heading5"/>
    <w:uiPriority w:val="9"/>
    <w:semiHidden/>
    <w:rsid w:val="00BC60F9"/>
    <w:rPr>
      <w:rFonts w:ascii="Arial" w:eastAsiaTheme="majorEastAsia" w:hAnsi="Arial" w:cstheme="majorBidi"/>
      <w:b/>
      <w:snapToGrid w:val="0"/>
      <w:sz w:val="24"/>
    </w:rPr>
  </w:style>
  <w:style w:type="character" w:customStyle="1" w:styleId="FooterChar">
    <w:name w:val="Footer Char"/>
    <w:link w:val="Footer"/>
    <w:rsid w:val="007E63F5"/>
    <w:rPr>
      <w:rFonts w:ascii="Arial" w:hAnsi="Arial"/>
      <w:snapToGrid w:val="0"/>
      <w:sz w:val="16"/>
    </w:rPr>
  </w:style>
  <w:style w:type="paragraph" w:styleId="Revision">
    <w:name w:val="Revision"/>
    <w:hidden/>
    <w:uiPriority w:val="99"/>
    <w:semiHidden/>
    <w:rsid w:val="0010625C"/>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5738">
      <w:bodyDiv w:val="1"/>
      <w:marLeft w:val="0"/>
      <w:marRight w:val="0"/>
      <w:marTop w:val="0"/>
      <w:marBottom w:val="0"/>
      <w:divBdr>
        <w:top w:val="none" w:sz="0" w:space="0" w:color="auto"/>
        <w:left w:val="none" w:sz="0" w:space="0" w:color="auto"/>
        <w:bottom w:val="none" w:sz="0" w:space="0" w:color="auto"/>
        <w:right w:val="none" w:sz="0" w:space="0" w:color="auto"/>
      </w:divBdr>
    </w:div>
    <w:div w:id="1116365652">
      <w:bodyDiv w:val="1"/>
      <w:marLeft w:val="0"/>
      <w:marRight w:val="0"/>
      <w:marTop w:val="390"/>
      <w:marBottom w:val="0"/>
      <w:divBdr>
        <w:top w:val="none" w:sz="0" w:space="0" w:color="auto"/>
        <w:left w:val="none" w:sz="0" w:space="0" w:color="auto"/>
        <w:bottom w:val="none" w:sz="0" w:space="0" w:color="auto"/>
        <w:right w:val="none" w:sz="0" w:space="0" w:color="auto"/>
      </w:divBdr>
      <w:divsChild>
        <w:div w:id="2087140346">
          <w:marLeft w:val="0"/>
          <w:marRight w:val="0"/>
          <w:marTop w:val="0"/>
          <w:marBottom w:val="0"/>
          <w:divBdr>
            <w:top w:val="none" w:sz="0" w:space="0" w:color="auto"/>
            <w:left w:val="none" w:sz="0" w:space="0" w:color="auto"/>
            <w:bottom w:val="none" w:sz="0" w:space="0" w:color="auto"/>
            <w:right w:val="none" w:sz="0" w:space="0" w:color="auto"/>
          </w:divBdr>
          <w:divsChild>
            <w:div w:id="1062677380">
              <w:marLeft w:val="0"/>
              <w:marRight w:val="0"/>
              <w:marTop w:val="0"/>
              <w:marBottom w:val="0"/>
              <w:divBdr>
                <w:top w:val="none" w:sz="0" w:space="0" w:color="auto"/>
                <w:left w:val="none" w:sz="0" w:space="0" w:color="auto"/>
                <w:bottom w:val="none" w:sz="0" w:space="0" w:color="auto"/>
                <w:right w:val="none" w:sz="0" w:space="0" w:color="auto"/>
              </w:divBdr>
              <w:divsChild>
                <w:div w:id="1306276208">
                  <w:marLeft w:val="0"/>
                  <w:marRight w:val="0"/>
                  <w:marTop w:val="0"/>
                  <w:marBottom w:val="0"/>
                  <w:divBdr>
                    <w:top w:val="none" w:sz="0" w:space="0" w:color="auto"/>
                    <w:left w:val="none" w:sz="0" w:space="0" w:color="auto"/>
                    <w:bottom w:val="none" w:sz="0" w:space="0" w:color="auto"/>
                    <w:right w:val="none" w:sz="0" w:space="0" w:color="auto"/>
                  </w:divBdr>
                  <w:divsChild>
                    <w:div w:id="683559416">
                      <w:marLeft w:val="0"/>
                      <w:marRight w:val="0"/>
                      <w:marTop w:val="0"/>
                      <w:marBottom w:val="0"/>
                      <w:divBdr>
                        <w:top w:val="none" w:sz="0" w:space="0" w:color="auto"/>
                        <w:left w:val="none" w:sz="0" w:space="0" w:color="auto"/>
                        <w:bottom w:val="none" w:sz="0" w:space="0" w:color="auto"/>
                        <w:right w:val="none" w:sz="0" w:space="0" w:color="auto"/>
                      </w:divBdr>
                      <w:divsChild>
                        <w:div w:id="233588495">
                          <w:marLeft w:val="0"/>
                          <w:marRight w:val="0"/>
                          <w:marTop w:val="0"/>
                          <w:marBottom w:val="0"/>
                          <w:divBdr>
                            <w:top w:val="none" w:sz="0" w:space="0" w:color="auto"/>
                            <w:left w:val="none" w:sz="0" w:space="0" w:color="auto"/>
                            <w:bottom w:val="none" w:sz="0" w:space="0" w:color="auto"/>
                            <w:right w:val="none" w:sz="0" w:space="0" w:color="auto"/>
                          </w:divBdr>
                          <w:divsChild>
                            <w:div w:id="32073295">
                              <w:marLeft w:val="0"/>
                              <w:marRight w:val="0"/>
                              <w:marTop w:val="0"/>
                              <w:marBottom w:val="0"/>
                              <w:divBdr>
                                <w:top w:val="none" w:sz="0" w:space="0" w:color="auto"/>
                                <w:left w:val="none" w:sz="0" w:space="0" w:color="auto"/>
                                <w:bottom w:val="none" w:sz="0" w:space="0" w:color="auto"/>
                                <w:right w:val="none" w:sz="0" w:space="0" w:color="auto"/>
                              </w:divBdr>
                              <w:divsChild>
                                <w:div w:id="1555039239">
                                  <w:marLeft w:val="0"/>
                                  <w:marRight w:val="0"/>
                                  <w:marTop w:val="0"/>
                                  <w:marBottom w:val="0"/>
                                  <w:divBdr>
                                    <w:top w:val="none" w:sz="0" w:space="0" w:color="auto"/>
                                    <w:left w:val="none" w:sz="0" w:space="0" w:color="auto"/>
                                    <w:bottom w:val="none" w:sz="0" w:space="0" w:color="auto"/>
                                    <w:right w:val="none" w:sz="0" w:space="0" w:color="auto"/>
                                  </w:divBdr>
                                  <w:divsChild>
                                    <w:div w:id="1323392032">
                                      <w:marLeft w:val="0"/>
                                      <w:marRight w:val="0"/>
                                      <w:marTop w:val="0"/>
                                      <w:marBottom w:val="0"/>
                                      <w:divBdr>
                                        <w:top w:val="none" w:sz="0" w:space="0" w:color="auto"/>
                                        <w:left w:val="none" w:sz="0" w:space="0" w:color="auto"/>
                                        <w:bottom w:val="none" w:sz="0" w:space="0" w:color="auto"/>
                                        <w:right w:val="none" w:sz="0" w:space="0" w:color="auto"/>
                                      </w:divBdr>
                                      <w:divsChild>
                                        <w:div w:id="246231610">
                                          <w:marLeft w:val="0"/>
                                          <w:marRight w:val="0"/>
                                          <w:marTop w:val="0"/>
                                          <w:marBottom w:val="240"/>
                                          <w:divBdr>
                                            <w:top w:val="none" w:sz="0" w:space="0" w:color="auto"/>
                                            <w:left w:val="none" w:sz="0" w:space="0" w:color="auto"/>
                                            <w:bottom w:val="none" w:sz="0" w:space="0" w:color="auto"/>
                                            <w:right w:val="none" w:sz="0" w:space="0" w:color="auto"/>
                                          </w:divBdr>
                                        </w:div>
                                        <w:div w:id="1886794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54362">
      <w:bodyDiv w:val="1"/>
      <w:marLeft w:val="0"/>
      <w:marRight w:val="0"/>
      <w:marTop w:val="0"/>
      <w:marBottom w:val="0"/>
      <w:divBdr>
        <w:top w:val="none" w:sz="0" w:space="0" w:color="auto"/>
        <w:left w:val="none" w:sz="0" w:space="0" w:color="auto"/>
        <w:bottom w:val="none" w:sz="0" w:space="0" w:color="auto"/>
        <w:right w:val="none" w:sz="0" w:space="0" w:color="auto"/>
      </w:divBdr>
    </w:div>
    <w:div w:id="16438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eb8cd1-2464-41be-8523-c59bdd2beeac" xsi:nil="true"/>
    <lcf76f155ced4ddcb4097134ff3c332f xmlns="2004248c-f1d6-47dc-9f2b-9b1d92808c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F1162D4A9F8C44AACF4EC9263F16AB" ma:contentTypeVersion="14" ma:contentTypeDescription="Create a new document." ma:contentTypeScope="" ma:versionID="7fe65cac72fe18a8d80ae8ffd5412423">
  <xsd:schema xmlns:xsd="http://www.w3.org/2001/XMLSchema" xmlns:xs="http://www.w3.org/2001/XMLSchema" xmlns:p="http://schemas.microsoft.com/office/2006/metadata/properties" xmlns:ns2="2004248c-f1d6-47dc-9f2b-9b1d92808cd3" xmlns:ns3="deeb8cd1-2464-41be-8523-c59bdd2beeac" targetNamespace="http://schemas.microsoft.com/office/2006/metadata/properties" ma:root="true" ma:fieldsID="a2589f263c42b4b9e0a80fdc3c094214" ns2:_="" ns3:_="">
    <xsd:import namespace="2004248c-f1d6-47dc-9f2b-9b1d92808cd3"/>
    <xsd:import namespace="deeb8cd1-2464-41be-8523-c59bdd2bee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4248c-f1d6-47dc-9f2b-9b1d92808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b8cd1-2464-41be-8523-c59bdd2bee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374314-1ff6-49ba-ae4d-1bc842bbde8d}" ma:internalName="TaxCatchAll" ma:showField="CatchAllData" ma:web="deeb8cd1-2464-41be-8523-c59bdd2bee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3159D-A587-49DA-ABE9-2331EDBDDDE0}">
  <ds:schemaRefs>
    <ds:schemaRef ds:uri="http://schemas.microsoft.com/office/2006/metadata/properties"/>
    <ds:schemaRef ds:uri="http://schemas.microsoft.com/office/infopath/2007/PartnerControls"/>
    <ds:schemaRef ds:uri="deeb8cd1-2464-41be-8523-c59bdd2beeac"/>
    <ds:schemaRef ds:uri="2004248c-f1d6-47dc-9f2b-9b1d92808cd3"/>
  </ds:schemaRefs>
</ds:datastoreItem>
</file>

<file path=customXml/itemProps2.xml><?xml version="1.0" encoding="utf-8"?>
<ds:datastoreItem xmlns:ds="http://schemas.openxmlformats.org/officeDocument/2006/customXml" ds:itemID="{143973E7-B174-46CA-968B-6FA2087D9C7A}">
  <ds:schemaRefs>
    <ds:schemaRef ds:uri="http://schemas.microsoft.com/sharepoint/v3/contenttype/forms"/>
  </ds:schemaRefs>
</ds:datastoreItem>
</file>

<file path=customXml/itemProps3.xml><?xml version="1.0" encoding="utf-8"?>
<ds:datastoreItem xmlns:ds="http://schemas.openxmlformats.org/officeDocument/2006/customXml" ds:itemID="{98775954-EA1F-4407-9A63-335071E9E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4248c-f1d6-47dc-9f2b-9b1d92808cd3"/>
    <ds:schemaRef ds:uri="deeb8cd1-2464-41be-8523-c59bdd2b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943</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BSC Template 106</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106</dc:title>
  <dc:subject/>
  <dc:creator>CBSC</dc:creator>
  <cp:keywords/>
  <cp:lastModifiedBy>Gould, Diane@DGS</cp:lastModifiedBy>
  <cp:revision>223</cp:revision>
  <cp:lastPrinted>2020-02-19T18:04:00Z</cp:lastPrinted>
  <dcterms:created xsi:type="dcterms:W3CDTF">2023-10-09T20:30:00Z</dcterms:created>
  <dcterms:modified xsi:type="dcterms:W3CDTF">2024-03-28T23:32:00Z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0x010100F7F1162D4A9F8C44AACF4EC9263F16AB</vt:lpwstr>
  </property>
  <property fmtid="{D5CDD505-2E9C-101B-9397-08002B2CF9AE}" pid="3" name="MediaServiceImageTags">
    <vt:lpwstr/>
  </property>
</Properties>
</file>