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6E4A9677" w:rsidR="00767766" w:rsidRPr="0046521A" w:rsidRDefault="002A48C2" w:rsidP="001F2A94">
      <w:pPr>
        <w:pStyle w:val="Heading1"/>
        <w:spacing w:before="0" w:after="0"/>
        <w:jc w:val="center"/>
        <w:rPr>
          <w:rFonts w:cs="Arial"/>
        </w:rPr>
      </w:pPr>
      <w:r w:rsidRPr="003046BC">
        <w:rPr>
          <w:rFonts w:cs="Arial"/>
        </w:rPr>
        <w:fldChar w:fldCharType="begin">
          <w:ffData>
            <w:name w:val=""/>
            <w:enabled/>
            <w:calcOnExit w:val="0"/>
            <w:textInput>
              <w:default w:val="INITIAL"/>
            </w:textInput>
          </w:ffData>
        </w:fldChar>
      </w:r>
      <w:r w:rsidRPr="003046BC">
        <w:rPr>
          <w:rFonts w:cs="Arial"/>
        </w:rPr>
        <w:instrText xml:space="preserve"> FORMTEXT </w:instrText>
      </w:r>
      <w:r w:rsidRPr="003046BC">
        <w:rPr>
          <w:rFonts w:cs="Arial"/>
        </w:rPr>
      </w:r>
      <w:r w:rsidRPr="003046BC">
        <w:rPr>
          <w:rFonts w:cs="Arial"/>
        </w:rPr>
        <w:fldChar w:fldCharType="separate"/>
      </w:r>
      <w:r w:rsidRPr="003046BC">
        <w:rPr>
          <w:rFonts w:cs="Arial"/>
          <w:noProof/>
        </w:rPr>
        <w:t>INITIAL</w:t>
      </w:r>
      <w:r w:rsidRPr="003046BC">
        <w:rPr>
          <w:rFonts w:cs="Arial"/>
        </w:rPr>
        <w:fldChar w:fldCharType="end"/>
      </w:r>
      <w:r w:rsidR="00767766" w:rsidRPr="003046BC">
        <w:rPr>
          <w:rFonts w:cs="Arial"/>
        </w:rPr>
        <w:t xml:space="preserve"> EXPRESS TERMS</w:t>
      </w:r>
      <w:r w:rsidR="00767766" w:rsidRPr="003046BC">
        <w:rPr>
          <w:rFonts w:cs="Arial"/>
        </w:rPr>
        <w:br/>
        <w:t>FOR PROPOSED BUILDING STANDARDS</w:t>
      </w:r>
      <w:r w:rsidR="00767766" w:rsidRPr="003046BC">
        <w:rPr>
          <w:rFonts w:cs="Arial"/>
        </w:rPr>
        <w:br/>
        <w:t xml:space="preserve">OF THE </w:t>
      </w:r>
      <w:r w:rsidR="004F6977" w:rsidRPr="004F6977">
        <w:rPr>
          <w:rFonts w:cs="Arial"/>
        </w:rPr>
        <w:t>DIVISION OF THE STATE ARCHITECT (DSA-SS, DSA-SS/CC)</w:t>
      </w:r>
      <w:r w:rsidR="00767766" w:rsidRPr="003046BC">
        <w:rPr>
          <w:rFonts w:cs="Arial"/>
        </w:rPr>
        <w:br/>
        <w:t>REGARDING THE</w:t>
      </w:r>
      <w:r w:rsidR="004F6977">
        <w:rPr>
          <w:rFonts w:cs="Arial"/>
        </w:rPr>
        <w:t xml:space="preserve"> </w:t>
      </w:r>
      <w:r w:rsidR="004F6977" w:rsidRPr="004F6977">
        <w:rPr>
          <w:rFonts w:cs="Arial"/>
        </w:rPr>
        <w:t>2025 CALIFORNIA EXISTING BUILDING CODE</w:t>
      </w:r>
      <w:r w:rsidR="00767766" w:rsidRPr="003046BC">
        <w:rPr>
          <w:rFonts w:cs="Arial"/>
        </w:rPr>
        <w:t>,</w:t>
      </w:r>
      <w:r w:rsidR="001F2A94" w:rsidRPr="002A48C2">
        <w:rPr>
          <w:rFonts w:cs="Arial"/>
        </w:rPr>
        <w:br/>
      </w:r>
      <w:r w:rsidR="00767766" w:rsidRPr="002A48C2">
        <w:rPr>
          <w:rFonts w:cs="Arial"/>
        </w:rPr>
        <w:t xml:space="preserve">CALIFORNIA CODE OF REGULATIONS, TITLE 24, PART </w:t>
      </w:r>
      <w:r w:rsidRPr="002A48C2">
        <w:rPr>
          <w:rFonts w:cs="Arial"/>
        </w:rPr>
        <w:fldChar w:fldCharType="begin">
          <w:ffData>
            <w:name w:val="Text3"/>
            <w:enabled/>
            <w:calcOnExit w:val="0"/>
            <w:textInput>
              <w:default w:val="10"/>
            </w:textInput>
          </w:ffData>
        </w:fldChar>
      </w:r>
      <w:bookmarkStart w:id="0" w:name="Text3"/>
      <w:r w:rsidRPr="002A48C2">
        <w:rPr>
          <w:rFonts w:cs="Arial"/>
        </w:rPr>
        <w:instrText xml:space="preserve"> FORMTEXT </w:instrText>
      </w:r>
      <w:r w:rsidRPr="002A48C2">
        <w:rPr>
          <w:rFonts w:cs="Arial"/>
        </w:rPr>
      </w:r>
      <w:r w:rsidRPr="002A48C2">
        <w:rPr>
          <w:rFonts w:cs="Arial"/>
        </w:rPr>
        <w:fldChar w:fldCharType="separate"/>
      </w:r>
      <w:r w:rsidRPr="002A48C2">
        <w:rPr>
          <w:rFonts w:cs="Arial"/>
          <w:noProof/>
        </w:rPr>
        <w:t>10</w:t>
      </w:r>
      <w:r w:rsidRPr="002A48C2">
        <w:rPr>
          <w:rFonts w:cs="Arial"/>
        </w:rPr>
        <w:fldChar w:fldCharType="end"/>
      </w:r>
      <w:bookmarkEnd w:id="0"/>
      <w:r w:rsidR="001F2A94">
        <w:rPr>
          <w:rFonts w:cs="Arial"/>
        </w:rPr>
        <w:br/>
      </w:r>
      <w:r w:rsidR="00767766" w:rsidRPr="0046521A">
        <w:rPr>
          <w:rFonts w:cs="Arial"/>
        </w:rPr>
        <w:t>(</w:t>
      </w:r>
      <w:r w:rsidR="00767766" w:rsidRPr="0046521A">
        <w:rPr>
          <w:rFonts w:cs="Arial"/>
          <w:highlight w:val="lightGray"/>
        </w:rPr>
        <w:fldChar w:fldCharType="begin">
          <w:ffData>
            <w:name w:val="Text78"/>
            <w:enabled/>
            <w:calcOnExit w:val="0"/>
            <w:textInput>
              <w:default w:val="[SUBJECT MATTER]"/>
              <w:format w:val="UPPERCASE"/>
            </w:textInput>
          </w:ffData>
        </w:fldChar>
      </w:r>
      <w:r w:rsidR="00767766" w:rsidRPr="0046521A">
        <w:rPr>
          <w:rFonts w:cs="Arial"/>
          <w:highlight w:val="lightGray"/>
        </w:rPr>
        <w:instrText xml:space="preserve"> FORMTEXT </w:instrText>
      </w:r>
      <w:r w:rsidR="00767766" w:rsidRPr="0046521A">
        <w:rPr>
          <w:rFonts w:cs="Arial"/>
          <w:highlight w:val="lightGray"/>
        </w:rPr>
      </w:r>
      <w:r w:rsidR="00767766" w:rsidRPr="0046521A">
        <w:rPr>
          <w:rFonts w:cs="Arial"/>
          <w:highlight w:val="lightGray"/>
        </w:rPr>
        <w:fldChar w:fldCharType="separate"/>
      </w:r>
      <w:r w:rsidR="00767766" w:rsidRPr="0046521A">
        <w:rPr>
          <w:rFonts w:cs="Arial"/>
          <w:noProof/>
          <w:highlight w:val="lightGray"/>
        </w:rPr>
        <w:t>[RULEMAKING FILE #]</w:t>
      </w:r>
      <w:r w:rsidR="00767766" w:rsidRPr="0046521A">
        <w:rPr>
          <w:rFonts w:cs="Arial"/>
          <w:highlight w:val="lightGray"/>
        </w:rPr>
        <w:fldChar w:fldCharType="end"/>
      </w:r>
      <w:r w:rsidR="00767766" w:rsidRPr="0046521A">
        <w:rPr>
          <w:rFonts w:cs="Arial"/>
        </w:rPr>
        <w:t>)</w:t>
      </w:r>
    </w:p>
    <w:p w14:paraId="2178BCDB" w14:textId="3268B497" w:rsidR="00767766" w:rsidRPr="0046521A" w:rsidRDefault="00BE48F6" w:rsidP="00005708">
      <w:pPr>
        <w:spacing w:before="120"/>
        <w:rPr>
          <w:rFonts w:cs="Arial"/>
        </w:rPr>
      </w:pPr>
      <w:r w:rsidRPr="5ED1E2F2">
        <w:rPr>
          <w:rFonts w:cs="Arial"/>
        </w:rPr>
        <w:t>The s</w:t>
      </w:r>
      <w:r w:rsidR="00767766" w:rsidRPr="5ED1E2F2">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2194DD4A" w14:textId="7C2B48D3" w:rsidR="00B12076" w:rsidRPr="0046521A" w:rsidRDefault="00033152" w:rsidP="00033152">
      <w:pPr>
        <w:pStyle w:val="ListParagraph"/>
        <w:numPr>
          <w:ilvl w:val="0"/>
          <w:numId w:val="7"/>
        </w:numPr>
        <w:spacing w:after="240"/>
        <w:rPr>
          <w:rFonts w:cs="Arial"/>
        </w:rPr>
      </w:pPr>
      <w:r>
        <w:rPr>
          <w:rFonts w:cs="Arial"/>
          <w:noProof/>
          <w:snapToGrid/>
        </w:rPr>
        <mc:AlternateContent>
          <mc:Choice Requires="wps">
            <w:drawing>
              <wp:anchor distT="0" distB="0" distL="114300" distR="114300" simplePos="0" relativeHeight="251658240" behindDoc="0" locked="0" layoutInCell="1" allowOverlap="1" wp14:anchorId="2395C4E9" wp14:editId="08A6F33C">
                <wp:simplePos x="0" y="0"/>
                <wp:positionH relativeFrom="margin">
                  <wp:align>left</wp:align>
                </wp:positionH>
                <wp:positionV relativeFrom="paragraph">
                  <wp:posOffset>246380</wp:posOffset>
                </wp:positionV>
                <wp:extent cx="6057900" cy="0"/>
                <wp:effectExtent l="0" t="0" r="0" b="0"/>
                <wp:wrapNone/>
                <wp:docPr id="1609487719" name="Straight Connector 1"/>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78E69F"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4pt" to="477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" strokecolor="black [3040]">
                <w10:wrap anchorx="margin"/>
              </v:line>
            </w:pict>
          </mc:Fallback>
        </mc:AlternateContent>
      </w:r>
      <w:r w:rsidR="000B5D13" w:rsidRPr="0046521A">
        <w:rPr>
          <w:rFonts w:cs="Arial"/>
        </w:rPr>
        <w:t>Ellips</w:t>
      </w:r>
      <w:r w:rsidR="000B5D13">
        <w:rPr>
          <w:rFonts w:cs="Arial"/>
        </w:rPr>
        <w:t>e</w:t>
      </w:r>
      <w:r w:rsidR="000B5D13" w:rsidRPr="0046521A">
        <w:rPr>
          <w:rFonts w:cs="Arial"/>
        </w:rPr>
        <w:t xml:space="preserve">s </w:t>
      </w:r>
      <w:proofErr w:type="gramStart"/>
      <w:r w:rsidR="00EC27FE" w:rsidRPr="0046521A">
        <w:rPr>
          <w:rFonts w:cs="Arial"/>
          <w:szCs w:val="24"/>
        </w:rPr>
        <w:t>(</w:t>
      </w:r>
      <w:r w:rsidR="00EC27FE" w:rsidRPr="0046521A">
        <w:rPr>
          <w:rFonts w:cs="Arial"/>
          <w:sz w:val="2"/>
          <w:szCs w:val="2"/>
        </w:rPr>
        <w:t xml:space="preserve"> </w:t>
      </w:r>
      <w:r w:rsidR="00EC27FE" w:rsidRPr="0046521A">
        <w:rPr>
          <w:rFonts w:cs="Arial"/>
          <w:szCs w:val="24"/>
        </w:rPr>
        <w:t>…</w:t>
      </w:r>
      <w:proofErr w:type="gramEnd"/>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3700352B" w14:textId="1EAB0B8B" w:rsidR="002537B1" w:rsidRPr="0046521A" w:rsidRDefault="002A48C2" w:rsidP="00AA0C1D">
      <w:pPr>
        <w:pStyle w:val="Heading2"/>
        <w:spacing w:before="0"/>
      </w:pPr>
      <w:r w:rsidRPr="002A48C2">
        <w:rPr>
          <w:rFonts w:cs="Arial"/>
        </w:rPr>
        <w:fldChar w:fldCharType="begin">
          <w:ffData>
            <w:name w:val=""/>
            <w:enabled/>
            <w:calcOnExit w:val="0"/>
            <w:textInput>
              <w:default w:val="INITIAL"/>
            </w:textInput>
          </w:ffData>
        </w:fldChar>
      </w:r>
      <w:r w:rsidRPr="002A48C2">
        <w:rPr>
          <w:rFonts w:cs="Arial"/>
        </w:rPr>
        <w:instrText xml:space="preserve"> FORMTEXT </w:instrText>
      </w:r>
      <w:r w:rsidRPr="002A48C2">
        <w:rPr>
          <w:rFonts w:cs="Arial"/>
        </w:rPr>
      </w:r>
      <w:r w:rsidRPr="002A48C2">
        <w:rPr>
          <w:rFonts w:cs="Arial"/>
        </w:rPr>
        <w:fldChar w:fldCharType="separate"/>
      </w:r>
      <w:r w:rsidRPr="002A48C2">
        <w:rPr>
          <w:rFonts w:cs="Arial"/>
          <w:noProof/>
        </w:rPr>
        <w:t>INITIAL</w:t>
      </w:r>
      <w:r w:rsidRPr="002A48C2">
        <w:rPr>
          <w:rFonts w:cs="Arial"/>
        </w:rPr>
        <w:fldChar w:fldCharType="end"/>
      </w:r>
      <w:r w:rsidR="00767766" w:rsidRPr="0046521A">
        <w:t xml:space="preserve"> EXPRESS TERMS</w:t>
      </w:r>
    </w:p>
    <w:p w14:paraId="3C2373DE" w14:textId="02EDD70F" w:rsidR="00CD71EA" w:rsidRPr="0046521A" w:rsidRDefault="00AA0C1D" w:rsidP="00AA0C1D">
      <w:pPr>
        <w:pStyle w:val="Heading3"/>
        <w:spacing w:before="0"/>
        <w:rPr>
          <w:noProof/>
        </w:rPr>
      </w:pPr>
      <w:r w:rsidRPr="0046521A">
        <w:t>ITEM</w:t>
      </w:r>
      <w:r w:rsidR="640AAAA6" w:rsidRPr="0046521A">
        <w:t xml:space="preserve"> 1</w:t>
      </w:r>
      <w:r>
        <w:br/>
      </w:r>
      <w:r w:rsidR="00CD71EA" w:rsidRPr="0046521A">
        <w:t>Chapter</w:t>
      </w:r>
      <w:r w:rsidR="720F9569" w:rsidRPr="0046521A">
        <w:t xml:space="preserve"> </w:t>
      </w:r>
      <w:r w:rsidR="720F9569">
        <w:t>3 PROVISIONS FOR ALL COMPLIANCE METHODS</w:t>
      </w:r>
    </w:p>
    <w:p w14:paraId="28064F94" w14:textId="6C2F7249" w:rsidR="00005708" w:rsidRDefault="004553D3" w:rsidP="00AA0C1D">
      <w:pPr>
        <w:rPr>
          <w:rFonts w:cs="Arial"/>
          <w:noProof/>
        </w:rPr>
      </w:pPr>
      <w:r>
        <w:rPr>
          <w:rFonts w:cs="Arial"/>
          <w:noProof/>
        </w:rPr>
        <w:t>…</w:t>
      </w:r>
    </w:p>
    <w:p w14:paraId="4D07B75F" w14:textId="15DA8E34" w:rsidR="00450726" w:rsidRDefault="00450726" w:rsidP="00450726">
      <w:pPr>
        <w:rPr>
          <w:rFonts w:cs="Arial"/>
          <w:noProof/>
        </w:rPr>
      </w:pPr>
      <w:r w:rsidRPr="006C74ED">
        <w:rPr>
          <w:rFonts w:cs="Arial"/>
          <w:b/>
          <w:bCs/>
          <w:noProof/>
        </w:rPr>
        <w:t>301.1.1 Bleachers, grandstands and folding and telescopic seating.</w:t>
      </w:r>
      <w:r w:rsidRPr="00450726">
        <w:rPr>
          <w:rFonts w:cs="Arial"/>
          <w:noProof/>
        </w:rPr>
        <w:t xml:space="preserve"> Existing bleachers, grandstands and</w:t>
      </w:r>
      <w:r>
        <w:rPr>
          <w:rFonts w:cs="Arial"/>
          <w:noProof/>
        </w:rPr>
        <w:t xml:space="preserve"> </w:t>
      </w:r>
      <w:r w:rsidRPr="00450726">
        <w:rPr>
          <w:rFonts w:cs="Arial"/>
          <w:noProof/>
        </w:rPr>
        <w:t>folding and telescopic seating shall comply with ICC</w:t>
      </w:r>
      <w:r>
        <w:rPr>
          <w:rFonts w:cs="Arial"/>
          <w:noProof/>
        </w:rPr>
        <w:t xml:space="preserve"> </w:t>
      </w:r>
      <w:r w:rsidRPr="00450726">
        <w:rPr>
          <w:rFonts w:cs="Arial"/>
          <w:noProof/>
        </w:rPr>
        <w:t>300.</w:t>
      </w:r>
    </w:p>
    <w:p w14:paraId="13DD8A8C" w14:textId="6948230A" w:rsidR="00450726" w:rsidRDefault="00450726" w:rsidP="00450726">
      <w:pPr>
        <w:rPr>
          <w:rFonts w:cs="Arial"/>
          <w:noProof/>
        </w:rPr>
      </w:pPr>
      <w:r>
        <w:rPr>
          <w:rFonts w:cs="Arial"/>
          <w:noProof/>
        </w:rPr>
        <w:t>…</w:t>
      </w:r>
    </w:p>
    <w:p w14:paraId="2F646485" w14:textId="07CDFCFF" w:rsidR="004553D3" w:rsidRPr="004553D3" w:rsidRDefault="004553D3" w:rsidP="004553D3">
      <w:pPr>
        <w:rPr>
          <w:rFonts w:cs="Arial"/>
          <w:b/>
          <w:bCs/>
          <w:i/>
          <w:iCs/>
          <w:noProof/>
        </w:rPr>
      </w:pPr>
      <w:r w:rsidRPr="004553D3">
        <w:rPr>
          <w:rFonts w:cs="Arial"/>
          <w:b/>
          <w:bCs/>
          <w:i/>
          <w:iCs/>
          <w:noProof/>
        </w:rPr>
        <w:t>317.3 Applicability.</w:t>
      </w:r>
    </w:p>
    <w:p w14:paraId="075DF787" w14:textId="5F1F7594" w:rsidR="004553D3" w:rsidRDefault="004553D3" w:rsidP="6A92B433">
      <w:pPr>
        <w:rPr>
          <w:rFonts w:cs="Arial"/>
          <w:i/>
          <w:iCs/>
          <w:noProof/>
        </w:rPr>
      </w:pPr>
      <w:r w:rsidRPr="6A92B433">
        <w:rPr>
          <w:rFonts w:cs="Arial"/>
          <w:b/>
          <w:bCs/>
          <w:i/>
          <w:iCs/>
          <w:noProof/>
        </w:rPr>
        <w:t xml:space="preserve">317.3.1 Existing state-owned buildings. [BSC] </w:t>
      </w:r>
      <w:r w:rsidRPr="6A92B433">
        <w:rPr>
          <w:rFonts w:cs="Arial"/>
          <w:b/>
          <w:bCs/>
          <w:i/>
          <w:iCs/>
          <w:noProof/>
          <w:u w:val="single"/>
        </w:rPr>
        <w:t>[DSA-SS]</w:t>
      </w:r>
      <w:r w:rsidRPr="6A92B433">
        <w:rPr>
          <w:rFonts w:cs="Arial"/>
          <w:i/>
          <w:iCs/>
          <w:noProof/>
        </w:rPr>
        <w:t xml:space="preserve"> For existing state-owned structures</w:t>
      </w:r>
      <w:r w:rsidR="002E79DE" w:rsidRPr="6A92B433">
        <w:rPr>
          <w:rFonts w:cs="Arial"/>
          <w:b/>
          <w:bCs/>
          <w:i/>
          <w:iCs/>
          <w:noProof/>
        </w:rPr>
        <w:t>…</w:t>
      </w:r>
    </w:p>
    <w:p w14:paraId="007EC5BF" w14:textId="64FD54CB" w:rsidR="008C7726" w:rsidRDefault="008C7726" w:rsidP="004553D3">
      <w:pPr>
        <w:ind w:left="360" w:hanging="360"/>
        <w:rPr>
          <w:rFonts w:cs="Arial"/>
          <w:noProof/>
        </w:rPr>
      </w:pPr>
      <w:r>
        <w:rPr>
          <w:rFonts w:cs="Arial"/>
          <w:noProof/>
        </w:rPr>
        <w:t>…</w:t>
      </w:r>
    </w:p>
    <w:p w14:paraId="26D29EE1" w14:textId="77777777" w:rsidR="0093439A" w:rsidRPr="0093439A" w:rsidRDefault="0093439A" w:rsidP="00104EFA">
      <w:pPr>
        <w:pStyle w:val="tabletitle"/>
        <w:spacing w:before="0" w:after="120" w:line="240" w:lineRule="auto"/>
        <w:rPr>
          <w:rFonts w:ascii="Arial" w:hAnsi="Arial" w:cs="Arial"/>
          <w:i/>
          <w:iCs/>
          <w:w w:val="100"/>
          <w:sz w:val="24"/>
          <w:szCs w:val="24"/>
        </w:rPr>
      </w:pPr>
      <w:r w:rsidRPr="0093439A">
        <w:rPr>
          <w:rFonts w:ascii="Arial" w:hAnsi="Arial" w:cs="Arial"/>
          <w:i/>
          <w:iCs/>
          <w:w w:val="100"/>
          <w:sz w:val="24"/>
          <w:szCs w:val="24"/>
        </w:rPr>
        <w:t>TABLE 317.5</w:t>
      </w:r>
      <w:r w:rsidRPr="0093439A">
        <w:rPr>
          <w:rFonts w:ascii="Arial" w:hAnsi="Arial" w:cs="Arial"/>
          <w:i/>
          <w:iCs/>
          <w:w w:val="100"/>
          <w:sz w:val="24"/>
          <w:szCs w:val="24"/>
        </w:rPr>
        <w:br/>
        <w:t>SEISMIC PERFORMANCE REQUIREMENTS</w:t>
      </w:r>
      <w:r w:rsidRPr="0093439A">
        <w:rPr>
          <w:rStyle w:val="Superscript"/>
          <w:rFonts w:ascii="Arial" w:hAnsi="Arial" w:cs="Arial"/>
          <w:i/>
          <w:iCs/>
          <w:w w:val="100"/>
          <w:sz w:val="24"/>
          <w:szCs w:val="24"/>
        </w:rPr>
        <w:t>2, 3</w:t>
      </w:r>
      <w:r w:rsidRPr="0093439A">
        <w:rPr>
          <w:rFonts w:ascii="Arial" w:hAnsi="Arial" w:cs="Arial"/>
          <w:i/>
          <w:iCs/>
          <w:w w:val="100"/>
          <w:sz w:val="24"/>
          <w:szCs w:val="24"/>
        </w:rPr>
        <w:t xml:space="preserve"> BY BUILDING REGULATORY AUTHORITY AND RISK CATEGORY </w:t>
      </w:r>
    </w:p>
    <w:tbl>
      <w:tblPr>
        <w:tblW w:w="10080" w:type="dxa"/>
        <w:tblInd w:w="40" w:type="dxa"/>
        <w:tblLayout w:type="fixed"/>
        <w:tblCellMar>
          <w:top w:w="80" w:type="dxa"/>
          <w:left w:w="40" w:type="dxa"/>
          <w:bottom w:w="60" w:type="dxa"/>
          <w:right w:w="40" w:type="dxa"/>
        </w:tblCellMar>
        <w:tblLook w:val="0020" w:firstRow="1" w:lastRow="0" w:firstColumn="0" w:lastColumn="0" w:noHBand="0" w:noVBand="0"/>
      </w:tblPr>
      <w:tblGrid>
        <w:gridCol w:w="3555"/>
        <w:gridCol w:w="1485"/>
        <w:gridCol w:w="2520"/>
        <w:gridCol w:w="2520"/>
      </w:tblGrid>
      <w:tr w:rsidR="0093439A" w:rsidRPr="0093439A" w14:paraId="6341C339" w14:textId="77777777" w:rsidTr="00033152">
        <w:trPr>
          <w:trHeight w:val="216"/>
          <w:tblHeader/>
        </w:trPr>
        <w:tc>
          <w:tcPr>
            <w:tcW w:w="3555" w:type="dxa"/>
            <w:vMerge w:val="restart"/>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7925DAA7" w14:textId="77777777" w:rsidR="0093439A" w:rsidRPr="0093439A" w:rsidRDefault="0093439A" w:rsidP="00C16208">
            <w:pPr>
              <w:pStyle w:val="tablecolumnhdr"/>
              <w:rPr>
                <w:rFonts w:ascii="Arial" w:hAnsi="Arial" w:cs="Arial"/>
                <w:sz w:val="24"/>
                <w:szCs w:val="24"/>
              </w:rPr>
            </w:pPr>
            <w:r w:rsidRPr="0093439A">
              <w:rPr>
                <w:rFonts w:ascii="Arial" w:hAnsi="Arial" w:cs="Arial"/>
                <w:i/>
                <w:iCs/>
                <w:w w:val="100"/>
                <w:sz w:val="24"/>
                <w:szCs w:val="24"/>
              </w:rPr>
              <w:t>BUILDING REGULATORY AUTHORITY</w:t>
            </w:r>
          </w:p>
        </w:tc>
        <w:tc>
          <w:tcPr>
            <w:tcW w:w="1485" w:type="dxa"/>
            <w:vMerge w:val="restart"/>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3C422C5C" w14:textId="77777777" w:rsidR="0093439A" w:rsidRPr="0093439A" w:rsidRDefault="0093439A" w:rsidP="00C16208">
            <w:pPr>
              <w:pStyle w:val="tablecolumnhdr"/>
              <w:rPr>
                <w:rFonts w:ascii="Arial" w:hAnsi="Arial" w:cs="Arial"/>
                <w:sz w:val="24"/>
                <w:szCs w:val="24"/>
              </w:rPr>
            </w:pPr>
            <w:r w:rsidRPr="0093439A">
              <w:rPr>
                <w:rFonts w:ascii="Arial" w:hAnsi="Arial" w:cs="Arial"/>
                <w:i/>
                <w:iCs/>
                <w:w w:val="100"/>
                <w:sz w:val="24"/>
                <w:szCs w:val="24"/>
              </w:rPr>
              <w:t>RISK CATEGORY</w:t>
            </w:r>
          </w:p>
        </w:tc>
        <w:tc>
          <w:tcPr>
            <w:tcW w:w="5040" w:type="dxa"/>
            <w:gridSpan w:val="2"/>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51AC8A48" w14:textId="77777777" w:rsidR="0093439A" w:rsidRPr="0093439A" w:rsidRDefault="0093439A" w:rsidP="00C16208">
            <w:pPr>
              <w:pStyle w:val="tablecolumnhdr"/>
              <w:spacing w:before="20" w:after="20"/>
              <w:rPr>
                <w:rFonts w:ascii="Arial" w:hAnsi="Arial" w:cs="Arial"/>
                <w:sz w:val="24"/>
                <w:szCs w:val="24"/>
              </w:rPr>
            </w:pPr>
            <w:r w:rsidRPr="0093439A">
              <w:rPr>
                <w:rFonts w:ascii="Arial" w:hAnsi="Arial" w:cs="Arial"/>
                <w:i/>
                <w:iCs/>
                <w:w w:val="100"/>
                <w:sz w:val="24"/>
                <w:szCs w:val="24"/>
              </w:rPr>
              <w:t>PERFORMANCE CRITERIA</w:t>
            </w:r>
            <w:r w:rsidRPr="0093439A">
              <w:rPr>
                <w:rStyle w:val="Superscript"/>
                <w:rFonts w:ascii="Arial" w:hAnsi="Arial" w:cs="Arial"/>
                <w:i/>
                <w:iCs/>
                <w:w w:val="100"/>
                <w:sz w:val="24"/>
                <w:szCs w:val="24"/>
              </w:rPr>
              <w:t>1</w:t>
            </w:r>
          </w:p>
        </w:tc>
      </w:tr>
      <w:tr w:rsidR="0093439A" w:rsidRPr="0093439A" w14:paraId="6A31DA8A" w14:textId="77777777" w:rsidTr="00DE2A9C">
        <w:trPr>
          <w:trHeight w:val="216"/>
        </w:trPr>
        <w:tc>
          <w:tcPr>
            <w:tcW w:w="3555" w:type="dxa"/>
            <w:vMerge/>
            <w:tcBorders>
              <w:top w:val="single" w:sz="4" w:space="0" w:color="000000"/>
              <w:left w:val="single" w:sz="4" w:space="0" w:color="000000"/>
              <w:bottom w:val="single" w:sz="4" w:space="0" w:color="000000"/>
              <w:right w:val="single" w:sz="4" w:space="0" w:color="000000"/>
            </w:tcBorders>
          </w:tcPr>
          <w:p w14:paraId="6CEB3E17" w14:textId="77777777" w:rsidR="0093439A" w:rsidRPr="0093439A" w:rsidRDefault="0093439A" w:rsidP="00C16208">
            <w:pPr>
              <w:pStyle w:val="p1"/>
              <w:widowControl w:val="0"/>
              <w:tabs>
                <w:tab w:val="clear" w:pos="820"/>
              </w:tabs>
              <w:spacing w:before="0" w:after="0" w:line="240" w:lineRule="auto"/>
              <w:ind w:left="0" w:firstLine="0"/>
              <w:jc w:val="left"/>
              <w:rPr>
                <w:rFonts w:ascii="Arial" w:hAnsi="Arial" w:cs="Arial"/>
                <w:color w:val="auto"/>
                <w:w w:val="100"/>
                <w:sz w:val="24"/>
                <w:szCs w:val="24"/>
              </w:rPr>
            </w:pPr>
          </w:p>
        </w:tc>
        <w:tc>
          <w:tcPr>
            <w:tcW w:w="1485" w:type="dxa"/>
            <w:vMerge/>
            <w:tcBorders>
              <w:top w:val="single" w:sz="4" w:space="0" w:color="000000"/>
              <w:left w:val="single" w:sz="4" w:space="0" w:color="000000"/>
              <w:bottom w:val="single" w:sz="4" w:space="0" w:color="000000"/>
              <w:right w:val="single" w:sz="4" w:space="0" w:color="000000"/>
            </w:tcBorders>
          </w:tcPr>
          <w:p w14:paraId="17B9F723" w14:textId="77777777" w:rsidR="0093439A" w:rsidRPr="0093439A" w:rsidRDefault="0093439A" w:rsidP="00C16208">
            <w:pPr>
              <w:pStyle w:val="p1"/>
              <w:widowControl w:val="0"/>
              <w:tabs>
                <w:tab w:val="clear" w:pos="820"/>
              </w:tabs>
              <w:spacing w:before="0" w:after="0" w:line="240" w:lineRule="auto"/>
              <w:ind w:left="0" w:firstLine="0"/>
              <w:jc w:val="left"/>
              <w:rPr>
                <w:rFonts w:ascii="Arial" w:hAnsi="Arial" w:cs="Arial"/>
                <w:color w:val="auto"/>
                <w:w w:val="100"/>
                <w:sz w:val="24"/>
                <w:szCs w:val="24"/>
              </w:rPr>
            </w:pPr>
          </w:p>
        </w:tc>
        <w:tc>
          <w:tcPr>
            <w:tcW w:w="2520"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544ABA14" w14:textId="77777777" w:rsidR="0093439A" w:rsidRPr="0093439A" w:rsidRDefault="0093439A" w:rsidP="00C16208">
            <w:pPr>
              <w:pStyle w:val="tablecolumnhdr"/>
              <w:rPr>
                <w:rFonts w:ascii="Arial" w:hAnsi="Arial" w:cs="Arial"/>
                <w:sz w:val="24"/>
                <w:szCs w:val="24"/>
              </w:rPr>
            </w:pPr>
            <w:r w:rsidRPr="0093439A">
              <w:rPr>
                <w:rFonts w:ascii="Arial" w:hAnsi="Arial" w:cs="Arial"/>
                <w:i/>
                <w:iCs/>
                <w:w w:val="100"/>
                <w:sz w:val="24"/>
                <w:szCs w:val="24"/>
              </w:rPr>
              <w:t>Level 1</w:t>
            </w:r>
          </w:p>
        </w:tc>
        <w:tc>
          <w:tcPr>
            <w:tcW w:w="2520"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51D16C3A" w14:textId="77777777" w:rsidR="0093439A" w:rsidRPr="0093439A" w:rsidRDefault="0093439A" w:rsidP="00C16208">
            <w:pPr>
              <w:pStyle w:val="tablecolumnhdr"/>
              <w:rPr>
                <w:rFonts w:ascii="Arial" w:hAnsi="Arial" w:cs="Arial"/>
                <w:sz w:val="24"/>
                <w:szCs w:val="24"/>
              </w:rPr>
            </w:pPr>
            <w:r w:rsidRPr="0093439A">
              <w:rPr>
                <w:rFonts w:ascii="Arial" w:hAnsi="Arial" w:cs="Arial"/>
                <w:i/>
                <w:iCs/>
                <w:w w:val="100"/>
                <w:sz w:val="24"/>
                <w:szCs w:val="24"/>
              </w:rPr>
              <w:t>Level 2</w:t>
            </w:r>
          </w:p>
        </w:tc>
      </w:tr>
      <w:tr w:rsidR="0093439A" w:rsidRPr="0093439A" w14:paraId="2F8AB033" w14:textId="77777777" w:rsidTr="00DE2A9C">
        <w:trPr>
          <w:trHeight w:val="288"/>
        </w:trPr>
        <w:tc>
          <w:tcPr>
            <w:tcW w:w="3555"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1599C870" w14:textId="77777777" w:rsidR="0093439A" w:rsidRPr="0093439A" w:rsidRDefault="0093439A" w:rsidP="00C16208">
            <w:pPr>
              <w:pStyle w:val="tabletextleft"/>
              <w:spacing w:line="220" w:lineRule="atLeast"/>
              <w:rPr>
                <w:rFonts w:ascii="Arial" w:hAnsi="Arial" w:cs="Arial"/>
                <w:i/>
                <w:iCs/>
                <w:color w:val="000000"/>
                <w:sz w:val="24"/>
                <w:szCs w:val="24"/>
              </w:rPr>
            </w:pPr>
            <w:r w:rsidRPr="0093439A">
              <w:rPr>
                <w:rFonts w:ascii="Arial" w:hAnsi="Arial" w:cs="Arial"/>
                <w:i/>
                <w:iCs/>
                <w:color w:val="000000"/>
                <w:w w:val="100"/>
                <w:sz w:val="24"/>
                <w:szCs w:val="24"/>
              </w:rPr>
              <w:t>State-Owned [BSC]</w:t>
            </w:r>
          </w:p>
        </w:tc>
        <w:tc>
          <w:tcPr>
            <w:tcW w:w="1485"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47AB1E2B" w14:textId="77777777" w:rsidR="0093439A" w:rsidRPr="0093439A" w:rsidRDefault="0093439A" w:rsidP="00C16208">
            <w:pPr>
              <w:pStyle w:val="tabletextcenter"/>
              <w:rPr>
                <w:rFonts w:ascii="Arial" w:hAnsi="Arial" w:cs="Arial"/>
                <w:i/>
                <w:iCs/>
                <w:sz w:val="24"/>
                <w:szCs w:val="24"/>
              </w:rPr>
            </w:pPr>
            <w:r w:rsidRPr="0093439A">
              <w:rPr>
                <w:rFonts w:ascii="Arial" w:hAnsi="Arial" w:cs="Arial"/>
                <w:i/>
                <w:iCs/>
                <w:w w:val="100"/>
                <w:sz w:val="24"/>
                <w:szCs w:val="24"/>
              </w:rPr>
              <w:t>I, II, III</w:t>
            </w:r>
          </w:p>
        </w:tc>
        <w:tc>
          <w:tcPr>
            <w:tcW w:w="2520"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0AB13B48" w14:textId="77777777" w:rsidR="0093439A" w:rsidRPr="0093439A" w:rsidRDefault="0093439A" w:rsidP="00C16208">
            <w:pPr>
              <w:pStyle w:val="tabletextcenter"/>
              <w:rPr>
                <w:rFonts w:ascii="Arial" w:hAnsi="Arial" w:cs="Arial"/>
                <w:i/>
                <w:iCs/>
                <w:sz w:val="24"/>
                <w:szCs w:val="24"/>
              </w:rPr>
            </w:pPr>
            <w:r w:rsidRPr="0093439A">
              <w:rPr>
                <w:rFonts w:ascii="Arial" w:hAnsi="Arial" w:cs="Arial"/>
                <w:i/>
                <w:iCs/>
                <w:w w:val="100"/>
                <w:sz w:val="24"/>
                <w:szCs w:val="24"/>
              </w:rPr>
              <w:t>BSE-R, S-3, N-C</w:t>
            </w:r>
          </w:p>
        </w:tc>
        <w:tc>
          <w:tcPr>
            <w:tcW w:w="2520"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4C3BDC99" w14:textId="77777777" w:rsidR="0093439A" w:rsidRPr="0093439A" w:rsidRDefault="0093439A" w:rsidP="00C16208">
            <w:pPr>
              <w:pStyle w:val="tabletextcenter"/>
              <w:rPr>
                <w:rFonts w:ascii="Arial" w:hAnsi="Arial" w:cs="Arial"/>
                <w:i/>
                <w:iCs/>
                <w:sz w:val="24"/>
                <w:szCs w:val="24"/>
              </w:rPr>
            </w:pPr>
            <w:r w:rsidRPr="0093439A">
              <w:rPr>
                <w:rFonts w:ascii="Arial" w:hAnsi="Arial" w:cs="Arial"/>
                <w:i/>
                <w:iCs/>
                <w:w w:val="100"/>
                <w:sz w:val="24"/>
                <w:szCs w:val="24"/>
              </w:rPr>
              <w:t>BSE-C, S-5, N-D</w:t>
            </w:r>
          </w:p>
        </w:tc>
      </w:tr>
      <w:tr w:rsidR="0093439A" w:rsidRPr="0093439A" w14:paraId="4F4EF6CB" w14:textId="77777777" w:rsidTr="00DE2A9C">
        <w:trPr>
          <w:trHeight w:val="288"/>
        </w:trPr>
        <w:tc>
          <w:tcPr>
            <w:tcW w:w="3555"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76966D77" w14:textId="77777777" w:rsidR="0093439A" w:rsidRPr="0093439A" w:rsidRDefault="0093439A" w:rsidP="00C16208">
            <w:pPr>
              <w:pStyle w:val="tabletextleft"/>
              <w:spacing w:line="220" w:lineRule="atLeast"/>
              <w:rPr>
                <w:rFonts w:ascii="Arial" w:hAnsi="Arial" w:cs="Arial"/>
                <w:i/>
                <w:iCs/>
                <w:color w:val="000000"/>
                <w:sz w:val="24"/>
                <w:szCs w:val="24"/>
              </w:rPr>
            </w:pPr>
            <w:r w:rsidRPr="0093439A">
              <w:rPr>
                <w:rFonts w:ascii="Arial" w:hAnsi="Arial" w:cs="Arial"/>
                <w:i/>
                <w:iCs/>
                <w:color w:val="000000"/>
                <w:w w:val="100"/>
                <w:sz w:val="24"/>
                <w:szCs w:val="24"/>
              </w:rPr>
              <w:t>State-Owned [BSC]</w:t>
            </w:r>
          </w:p>
        </w:tc>
        <w:tc>
          <w:tcPr>
            <w:tcW w:w="1485"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03F25F60" w14:textId="77777777" w:rsidR="0093439A" w:rsidRPr="0093439A" w:rsidRDefault="0093439A" w:rsidP="00C16208">
            <w:pPr>
              <w:pStyle w:val="tabletextcenter"/>
              <w:rPr>
                <w:rFonts w:ascii="Arial" w:hAnsi="Arial" w:cs="Arial"/>
                <w:i/>
                <w:iCs/>
                <w:sz w:val="24"/>
                <w:szCs w:val="24"/>
              </w:rPr>
            </w:pPr>
            <w:r w:rsidRPr="0093439A">
              <w:rPr>
                <w:rFonts w:ascii="Arial" w:hAnsi="Arial" w:cs="Arial"/>
                <w:i/>
                <w:iCs/>
                <w:w w:val="100"/>
                <w:sz w:val="24"/>
                <w:szCs w:val="24"/>
              </w:rPr>
              <w:t>IV</w:t>
            </w:r>
          </w:p>
        </w:tc>
        <w:tc>
          <w:tcPr>
            <w:tcW w:w="2520"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0441A425" w14:textId="77777777" w:rsidR="0093439A" w:rsidRPr="0093439A" w:rsidRDefault="0093439A" w:rsidP="00C16208">
            <w:pPr>
              <w:pStyle w:val="tabletextcenter"/>
              <w:rPr>
                <w:rFonts w:ascii="Arial" w:hAnsi="Arial" w:cs="Arial"/>
                <w:i/>
                <w:iCs/>
                <w:sz w:val="24"/>
                <w:szCs w:val="24"/>
              </w:rPr>
            </w:pPr>
            <w:r w:rsidRPr="0093439A">
              <w:rPr>
                <w:rFonts w:ascii="Arial" w:hAnsi="Arial" w:cs="Arial"/>
                <w:i/>
                <w:iCs/>
                <w:w w:val="100"/>
                <w:sz w:val="24"/>
                <w:szCs w:val="24"/>
              </w:rPr>
              <w:t>BSE-R, S-2, N-B</w:t>
            </w:r>
          </w:p>
        </w:tc>
        <w:tc>
          <w:tcPr>
            <w:tcW w:w="2520"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494CD88C" w14:textId="77777777" w:rsidR="0093439A" w:rsidRDefault="0093439A" w:rsidP="00C16208">
            <w:pPr>
              <w:pStyle w:val="tabletextcenter"/>
              <w:rPr>
                <w:rFonts w:ascii="Arial" w:hAnsi="Arial" w:cs="Arial"/>
                <w:i/>
                <w:iCs/>
                <w:w w:val="100"/>
                <w:sz w:val="24"/>
                <w:szCs w:val="24"/>
              </w:rPr>
            </w:pPr>
            <w:r w:rsidRPr="0093439A">
              <w:rPr>
                <w:rFonts w:ascii="Arial" w:hAnsi="Arial" w:cs="Arial"/>
                <w:i/>
                <w:iCs/>
                <w:w w:val="100"/>
                <w:sz w:val="24"/>
                <w:szCs w:val="24"/>
              </w:rPr>
              <w:t>BSE-C, S-4, N-D</w:t>
            </w:r>
          </w:p>
          <w:p w14:paraId="6542D0BE" w14:textId="77777777" w:rsidR="000A690E" w:rsidRPr="000A690E" w:rsidRDefault="000A690E" w:rsidP="000A690E"/>
        </w:tc>
      </w:tr>
      <w:tr w:rsidR="0093439A" w:rsidRPr="0093439A" w14:paraId="4175D82E" w14:textId="77777777" w:rsidTr="00DE2A9C">
        <w:trPr>
          <w:trHeight w:val="288"/>
        </w:trPr>
        <w:tc>
          <w:tcPr>
            <w:tcW w:w="3555"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235EA78F" w14:textId="77777777" w:rsidR="0093439A" w:rsidRPr="0093439A" w:rsidRDefault="0093439A" w:rsidP="00C16208">
            <w:pPr>
              <w:pStyle w:val="tabletextleft"/>
              <w:spacing w:line="220" w:lineRule="atLeast"/>
              <w:rPr>
                <w:rFonts w:ascii="Arial" w:hAnsi="Arial" w:cs="Arial"/>
                <w:i/>
                <w:iCs/>
                <w:color w:val="000000"/>
                <w:sz w:val="24"/>
                <w:szCs w:val="24"/>
              </w:rPr>
            </w:pPr>
            <w:r w:rsidRPr="0093439A">
              <w:rPr>
                <w:rFonts w:ascii="Arial" w:hAnsi="Arial" w:cs="Arial"/>
                <w:i/>
                <w:iCs/>
                <w:color w:val="000000"/>
                <w:w w:val="100"/>
                <w:sz w:val="24"/>
                <w:szCs w:val="24"/>
              </w:rPr>
              <w:lastRenderedPageBreak/>
              <w:t>Division of the State Architect - [DSA-SS]</w:t>
            </w:r>
          </w:p>
        </w:tc>
        <w:tc>
          <w:tcPr>
            <w:tcW w:w="1485"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014EDC50" w14:textId="77777777" w:rsidR="0093439A" w:rsidRPr="0093439A" w:rsidRDefault="0093439A" w:rsidP="00C16208">
            <w:pPr>
              <w:pStyle w:val="tabletextcenter"/>
              <w:rPr>
                <w:rFonts w:ascii="Arial" w:hAnsi="Arial" w:cs="Arial"/>
                <w:i/>
                <w:iCs/>
                <w:sz w:val="24"/>
                <w:szCs w:val="24"/>
              </w:rPr>
            </w:pPr>
            <w:r w:rsidRPr="0093439A">
              <w:rPr>
                <w:rFonts w:ascii="Arial" w:hAnsi="Arial" w:cs="Arial"/>
                <w:i/>
                <w:iCs/>
                <w:w w:val="100"/>
                <w:sz w:val="24"/>
                <w:szCs w:val="24"/>
              </w:rPr>
              <w:t>I</w:t>
            </w:r>
          </w:p>
        </w:tc>
        <w:tc>
          <w:tcPr>
            <w:tcW w:w="2520"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4966A7DA" w14:textId="77777777" w:rsidR="0093439A" w:rsidRPr="0093439A" w:rsidRDefault="0093439A" w:rsidP="00C16208">
            <w:pPr>
              <w:pStyle w:val="tabletextcenter"/>
              <w:rPr>
                <w:rFonts w:ascii="Arial" w:hAnsi="Arial" w:cs="Arial"/>
                <w:i/>
                <w:iCs/>
                <w:sz w:val="24"/>
                <w:szCs w:val="24"/>
              </w:rPr>
            </w:pPr>
            <w:r w:rsidRPr="0093439A">
              <w:rPr>
                <w:rFonts w:ascii="Arial" w:hAnsi="Arial" w:cs="Arial"/>
                <w:i/>
                <w:iCs/>
                <w:w w:val="100"/>
                <w:sz w:val="24"/>
                <w:szCs w:val="24"/>
              </w:rPr>
              <w:t>BSE-1N, S-3, N-B</w:t>
            </w:r>
          </w:p>
        </w:tc>
        <w:tc>
          <w:tcPr>
            <w:tcW w:w="2520"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02423848" w14:textId="77777777" w:rsidR="0093439A" w:rsidRPr="0093439A" w:rsidRDefault="0093439A" w:rsidP="00C16208">
            <w:pPr>
              <w:pStyle w:val="tabletextcenter"/>
              <w:rPr>
                <w:rFonts w:ascii="Arial" w:hAnsi="Arial" w:cs="Arial"/>
                <w:i/>
                <w:iCs/>
                <w:sz w:val="24"/>
                <w:szCs w:val="24"/>
              </w:rPr>
            </w:pPr>
            <w:r w:rsidRPr="0093439A">
              <w:rPr>
                <w:rFonts w:ascii="Arial" w:hAnsi="Arial" w:cs="Arial"/>
                <w:i/>
                <w:iCs/>
                <w:w w:val="100"/>
                <w:sz w:val="24"/>
                <w:szCs w:val="24"/>
              </w:rPr>
              <w:t>BSE-2N, S-5, N-D</w:t>
            </w:r>
          </w:p>
        </w:tc>
      </w:tr>
      <w:tr w:rsidR="0093439A" w:rsidRPr="0093439A" w14:paraId="688DA4EB" w14:textId="77777777" w:rsidTr="00DE2A9C">
        <w:trPr>
          <w:trHeight w:val="288"/>
        </w:trPr>
        <w:tc>
          <w:tcPr>
            <w:tcW w:w="3555"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60F33521" w14:textId="77777777" w:rsidR="0093439A" w:rsidRPr="0093439A" w:rsidRDefault="0093439A" w:rsidP="00C16208">
            <w:pPr>
              <w:pStyle w:val="tabletextleft"/>
              <w:spacing w:line="220" w:lineRule="atLeast"/>
              <w:rPr>
                <w:rFonts w:ascii="Arial" w:hAnsi="Arial" w:cs="Arial"/>
                <w:i/>
                <w:iCs/>
                <w:color w:val="000000"/>
                <w:sz w:val="24"/>
                <w:szCs w:val="24"/>
              </w:rPr>
            </w:pPr>
            <w:r w:rsidRPr="0093439A">
              <w:rPr>
                <w:rFonts w:ascii="Arial" w:hAnsi="Arial" w:cs="Arial"/>
                <w:i/>
                <w:iCs/>
                <w:color w:val="000000"/>
                <w:w w:val="100"/>
                <w:sz w:val="24"/>
                <w:szCs w:val="24"/>
              </w:rPr>
              <w:t>Division of the State Architect - [DSA-SS]</w:t>
            </w:r>
          </w:p>
        </w:tc>
        <w:tc>
          <w:tcPr>
            <w:tcW w:w="1485"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6D4A0A5A" w14:textId="77777777" w:rsidR="0093439A" w:rsidRPr="0093439A" w:rsidRDefault="0093439A" w:rsidP="00C16208">
            <w:pPr>
              <w:pStyle w:val="tabletextcenter"/>
              <w:rPr>
                <w:rFonts w:ascii="Arial" w:hAnsi="Arial" w:cs="Arial"/>
                <w:i/>
                <w:iCs/>
                <w:sz w:val="24"/>
                <w:szCs w:val="24"/>
              </w:rPr>
            </w:pPr>
            <w:r w:rsidRPr="0093439A">
              <w:rPr>
                <w:rFonts w:ascii="Arial" w:hAnsi="Arial" w:cs="Arial"/>
                <w:i/>
                <w:iCs/>
                <w:w w:val="100"/>
                <w:sz w:val="24"/>
                <w:szCs w:val="24"/>
              </w:rPr>
              <w:t>II, III</w:t>
            </w:r>
          </w:p>
        </w:tc>
        <w:tc>
          <w:tcPr>
            <w:tcW w:w="2520"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4C7C16F4" w14:textId="77777777" w:rsidR="0093439A" w:rsidRPr="0093439A" w:rsidRDefault="0093439A" w:rsidP="00C16208">
            <w:pPr>
              <w:pStyle w:val="tabletextcenter"/>
              <w:rPr>
                <w:rFonts w:ascii="Arial" w:hAnsi="Arial" w:cs="Arial"/>
                <w:i/>
                <w:iCs/>
                <w:sz w:val="24"/>
                <w:szCs w:val="24"/>
              </w:rPr>
            </w:pPr>
            <w:r w:rsidRPr="0093439A">
              <w:rPr>
                <w:rFonts w:ascii="Arial" w:hAnsi="Arial" w:cs="Arial"/>
                <w:i/>
                <w:iCs/>
                <w:w w:val="100"/>
                <w:sz w:val="24"/>
                <w:szCs w:val="24"/>
              </w:rPr>
              <w:t>BSE-1N, S-2, N-B</w:t>
            </w:r>
          </w:p>
        </w:tc>
        <w:tc>
          <w:tcPr>
            <w:tcW w:w="2520"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4F897D02" w14:textId="77777777" w:rsidR="0093439A" w:rsidRPr="0093439A" w:rsidRDefault="0093439A" w:rsidP="00C16208">
            <w:pPr>
              <w:pStyle w:val="tabletextcenter"/>
              <w:rPr>
                <w:rFonts w:ascii="Arial" w:hAnsi="Arial" w:cs="Arial"/>
                <w:i/>
                <w:iCs/>
                <w:sz w:val="24"/>
                <w:szCs w:val="24"/>
              </w:rPr>
            </w:pPr>
            <w:r w:rsidRPr="0093439A">
              <w:rPr>
                <w:rFonts w:ascii="Arial" w:hAnsi="Arial" w:cs="Arial"/>
                <w:i/>
                <w:iCs/>
                <w:w w:val="100"/>
                <w:sz w:val="24"/>
                <w:szCs w:val="24"/>
              </w:rPr>
              <w:t>BSE-2N, S-4, N-D</w:t>
            </w:r>
          </w:p>
        </w:tc>
      </w:tr>
      <w:tr w:rsidR="0093439A" w:rsidRPr="0093439A" w14:paraId="1D3ED695" w14:textId="77777777" w:rsidTr="00DE2A9C">
        <w:trPr>
          <w:trHeight w:val="288"/>
        </w:trPr>
        <w:tc>
          <w:tcPr>
            <w:tcW w:w="3555"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1CFCBA7E" w14:textId="77777777" w:rsidR="0093439A" w:rsidRPr="0093439A" w:rsidRDefault="0093439A" w:rsidP="00C16208">
            <w:pPr>
              <w:pStyle w:val="tabletextleft"/>
              <w:spacing w:line="220" w:lineRule="atLeast"/>
              <w:rPr>
                <w:rFonts w:ascii="Arial" w:hAnsi="Arial" w:cs="Arial"/>
                <w:i/>
                <w:iCs/>
                <w:color w:val="000000"/>
                <w:sz w:val="24"/>
                <w:szCs w:val="24"/>
              </w:rPr>
            </w:pPr>
            <w:r w:rsidRPr="0093439A">
              <w:rPr>
                <w:rFonts w:ascii="Arial" w:hAnsi="Arial" w:cs="Arial"/>
                <w:i/>
                <w:iCs/>
                <w:color w:val="000000"/>
                <w:w w:val="100"/>
                <w:sz w:val="24"/>
                <w:szCs w:val="24"/>
              </w:rPr>
              <w:t>Division of the State Architect - [DSA-SS]</w:t>
            </w:r>
            <w:r w:rsidRPr="0093439A">
              <w:rPr>
                <w:rFonts w:ascii="Arial" w:hAnsi="Arial" w:cs="Arial"/>
                <w:i/>
                <w:iCs/>
                <w:color w:val="auto"/>
                <w:w w:val="100"/>
                <w:sz w:val="24"/>
                <w:szCs w:val="24"/>
                <w:u w:val="single"/>
                <w:vertAlign w:val="superscript"/>
              </w:rPr>
              <w:t>4</w:t>
            </w:r>
          </w:p>
        </w:tc>
        <w:tc>
          <w:tcPr>
            <w:tcW w:w="1485"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268B3590" w14:textId="77777777" w:rsidR="0093439A" w:rsidRPr="0093439A" w:rsidRDefault="0093439A" w:rsidP="00C16208">
            <w:pPr>
              <w:pStyle w:val="tabletextcenter"/>
              <w:rPr>
                <w:rFonts w:ascii="Arial" w:hAnsi="Arial" w:cs="Arial"/>
                <w:i/>
                <w:iCs/>
                <w:sz w:val="24"/>
                <w:szCs w:val="24"/>
              </w:rPr>
            </w:pPr>
            <w:r w:rsidRPr="0093439A">
              <w:rPr>
                <w:rFonts w:ascii="Arial" w:hAnsi="Arial" w:cs="Arial"/>
                <w:i/>
                <w:iCs/>
                <w:w w:val="100"/>
                <w:sz w:val="24"/>
                <w:szCs w:val="24"/>
              </w:rPr>
              <w:t>IV</w:t>
            </w:r>
          </w:p>
        </w:tc>
        <w:tc>
          <w:tcPr>
            <w:tcW w:w="2520"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45929B38" w14:textId="77777777" w:rsidR="0093439A" w:rsidRPr="0061614E" w:rsidRDefault="0093439A" w:rsidP="00C16208">
            <w:pPr>
              <w:pStyle w:val="tabletextcenter"/>
              <w:rPr>
                <w:rFonts w:ascii="Arial" w:hAnsi="Arial" w:cs="Arial"/>
                <w:i/>
                <w:iCs/>
                <w:color w:val="auto"/>
                <w:sz w:val="24"/>
                <w:szCs w:val="24"/>
              </w:rPr>
            </w:pPr>
            <w:r w:rsidRPr="0061614E">
              <w:rPr>
                <w:rFonts w:ascii="Arial" w:hAnsi="Arial" w:cs="Arial"/>
                <w:i/>
                <w:iCs/>
                <w:color w:val="auto"/>
                <w:w w:val="100"/>
                <w:sz w:val="24"/>
                <w:szCs w:val="24"/>
              </w:rPr>
              <w:t>BSE-1N, S-</w:t>
            </w:r>
            <w:r w:rsidRPr="0061614E">
              <w:rPr>
                <w:rFonts w:ascii="Arial" w:hAnsi="Arial" w:cs="Arial"/>
                <w:i/>
                <w:iCs/>
                <w:strike/>
                <w:color w:val="auto"/>
                <w:w w:val="100"/>
                <w:sz w:val="24"/>
                <w:szCs w:val="24"/>
              </w:rPr>
              <w:t>2</w:t>
            </w:r>
            <w:r w:rsidRPr="0061614E">
              <w:rPr>
                <w:rFonts w:ascii="Arial" w:hAnsi="Arial" w:cs="Arial"/>
                <w:i/>
                <w:iCs/>
                <w:color w:val="auto"/>
                <w:w w:val="100"/>
                <w:sz w:val="24"/>
                <w:szCs w:val="24"/>
                <w:u w:val="single"/>
              </w:rPr>
              <w:t>1</w:t>
            </w:r>
            <w:r w:rsidRPr="0061614E">
              <w:rPr>
                <w:rFonts w:ascii="Arial" w:hAnsi="Arial" w:cs="Arial"/>
                <w:i/>
                <w:iCs/>
                <w:color w:val="auto"/>
                <w:w w:val="100"/>
                <w:sz w:val="24"/>
                <w:szCs w:val="24"/>
              </w:rPr>
              <w:t>, N-A</w:t>
            </w:r>
          </w:p>
        </w:tc>
        <w:tc>
          <w:tcPr>
            <w:tcW w:w="2520"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24599F3E" w14:textId="77777777" w:rsidR="0093439A" w:rsidRPr="0061614E" w:rsidRDefault="0093439A" w:rsidP="00C16208">
            <w:pPr>
              <w:pStyle w:val="tabletextcenter"/>
              <w:rPr>
                <w:rFonts w:ascii="Arial" w:hAnsi="Arial" w:cs="Arial"/>
                <w:i/>
                <w:iCs/>
                <w:color w:val="auto"/>
                <w:sz w:val="24"/>
                <w:szCs w:val="24"/>
              </w:rPr>
            </w:pPr>
            <w:r w:rsidRPr="0061614E">
              <w:rPr>
                <w:rFonts w:ascii="Arial" w:hAnsi="Arial" w:cs="Arial"/>
                <w:i/>
                <w:iCs/>
                <w:color w:val="auto"/>
                <w:w w:val="100"/>
                <w:sz w:val="24"/>
                <w:szCs w:val="24"/>
              </w:rPr>
              <w:t>BSE-2N, S-</w:t>
            </w:r>
            <w:r w:rsidRPr="0061614E">
              <w:rPr>
                <w:rFonts w:ascii="Arial" w:hAnsi="Arial" w:cs="Arial"/>
                <w:i/>
                <w:iCs/>
                <w:strike/>
                <w:color w:val="auto"/>
                <w:w w:val="100"/>
                <w:sz w:val="24"/>
                <w:szCs w:val="24"/>
              </w:rPr>
              <w:t>4</w:t>
            </w:r>
            <w:r w:rsidRPr="0061614E">
              <w:rPr>
                <w:rFonts w:ascii="Arial" w:hAnsi="Arial" w:cs="Arial"/>
                <w:i/>
                <w:iCs/>
                <w:color w:val="auto"/>
                <w:w w:val="100"/>
                <w:sz w:val="24"/>
                <w:szCs w:val="24"/>
                <w:u w:val="single"/>
              </w:rPr>
              <w:t>3</w:t>
            </w:r>
            <w:r w:rsidRPr="0061614E">
              <w:rPr>
                <w:rFonts w:ascii="Arial" w:hAnsi="Arial" w:cs="Arial"/>
                <w:i/>
                <w:iCs/>
                <w:color w:val="auto"/>
                <w:w w:val="100"/>
                <w:sz w:val="24"/>
                <w:szCs w:val="24"/>
              </w:rPr>
              <w:t>, N-D</w:t>
            </w:r>
          </w:p>
        </w:tc>
      </w:tr>
      <w:tr w:rsidR="0093439A" w:rsidRPr="0093439A" w14:paraId="273BE710" w14:textId="77777777" w:rsidTr="00DE2A9C">
        <w:trPr>
          <w:trHeight w:val="288"/>
        </w:trPr>
        <w:tc>
          <w:tcPr>
            <w:tcW w:w="3555"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0EBAC96E" w14:textId="77777777" w:rsidR="0093439A" w:rsidRPr="0093439A" w:rsidRDefault="0093439A" w:rsidP="00C16208">
            <w:pPr>
              <w:pStyle w:val="tabletextleft"/>
              <w:spacing w:line="220" w:lineRule="atLeast"/>
              <w:rPr>
                <w:rFonts w:ascii="Arial" w:hAnsi="Arial" w:cs="Arial"/>
                <w:i/>
                <w:iCs/>
                <w:color w:val="000000"/>
                <w:sz w:val="24"/>
                <w:szCs w:val="24"/>
              </w:rPr>
            </w:pPr>
            <w:r w:rsidRPr="0093439A">
              <w:rPr>
                <w:rFonts w:ascii="Arial" w:hAnsi="Arial" w:cs="Arial"/>
                <w:i/>
                <w:iCs/>
                <w:color w:val="000000"/>
                <w:w w:val="100"/>
                <w:sz w:val="24"/>
                <w:szCs w:val="24"/>
              </w:rPr>
              <w:t>Division of the State Architect - [DSA-SS/CC]</w:t>
            </w:r>
          </w:p>
        </w:tc>
        <w:tc>
          <w:tcPr>
            <w:tcW w:w="1485"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2ECE3663" w14:textId="77777777" w:rsidR="0093439A" w:rsidRPr="0093439A" w:rsidRDefault="0093439A" w:rsidP="00C16208">
            <w:pPr>
              <w:pStyle w:val="tabletextcenter"/>
              <w:rPr>
                <w:rFonts w:ascii="Arial" w:hAnsi="Arial" w:cs="Arial"/>
                <w:i/>
                <w:iCs/>
                <w:sz w:val="24"/>
                <w:szCs w:val="24"/>
              </w:rPr>
            </w:pPr>
            <w:r w:rsidRPr="0093439A">
              <w:rPr>
                <w:rFonts w:ascii="Arial" w:hAnsi="Arial" w:cs="Arial"/>
                <w:i/>
                <w:iCs/>
                <w:w w:val="100"/>
                <w:sz w:val="24"/>
                <w:szCs w:val="24"/>
              </w:rPr>
              <w:t>I, II</w:t>
            </w:r>
          </w:p>
        </w:tc>
        <w:tc>
          <w:tcPr>
            <w:tcW w:w="2520"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38093AFF" w14:textId="77777777" w:rsidR="0093439A" w:rsidRPr="0093439A" w:rsidRDefault="0093439A" w:rsidP="00C16208">
            <w:pPr>
              <w:pStyle w:val="tabletextcenter"/>
              <w:rPr>
                <w:rFonts w:ascii="Arial" w:hAnsi="Arial" w:cs="Arial"/>
                <w:i/>
                <w:iCs/>
                <w:sz w:val="24"/>
                <w:szCs w:val="24"/>
              </w:rPr>
            </w:pPr>
            <w:r w:rsidRPr="0093439A">
              <w:rPr>
                <w:rFonts w:ascii="Arial" w:hAnsi="Arial" w:cs="Arial"/>
                <w:i/>
                <w:iCs/>
                <w:w w:val="100"/>
                <w:sz w:val="24"/>
                <w:szCs w:val="24"/>
              </w:rPr>
              <w:t>BSE-1E, S-3, N-C</w:t>
            </w:r>
          </w:p>
        </w:tc>
        <w:tc>
          <w:tcPr>
            <w:tcW w:w="2520"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552929F8" w14:textId="77777777" w:rsidR="0093439A" w:rsidRPr="0093439A" w:rsidRDefault="0093439A" w:rsidP="00C16208">
            <w:pPr>
              <w:pStyle w:val="tabletextcenter"/>
              <w:rPr>
                <w:rFonts w:ascii="Arial" w:hAnsi="Arial" w:cs="Arial"/>
                <w:i/>
                <w:iCs/>
                <w:sz w:val="24"/>
                <w:szCs w:val="24"/>
              </w:rPr>
            </w:pPr>
            <w:r w:rsidRPr="0093439A">
              <w:rPr>
                <w:rFonts w:ascii="Arial" w:hAnsi="Arial" w:cs="Arial"/>
                <w:i/>
                <w:iCs/>
                <w:w w:val="100"/>
                <w:sz w:val="24"/>
                <w:szCs w:val="24"/>
              </w:rPr>
              <w:t>BSE-2N, S-5, N-D</w:t>
            </w:r>
          </w:p>
        </w:tc>
      </w:tr>
      <w:tr w:rsidR="0093439A" w:rsidRPr="0093439A" w14:paraId="1E57959C" w14:textId="77777777" w:rsidTr="00DE2A9C">
        <w:trPr>
          <w:trHeight w:val="288"/>
        </w:trPr>
        <w:tc>
          <w:tcPr>
            <w:tcW w:w="3555"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401C0DBB" w14:textId="77777777" w:rsidR="0093439A" w:rsidRPr="0093439A" w:rsidRDefault="0093439A" w:rsidP="00C16208">
            <w:pPr>
              <w:pStyle w:val="tabletextleft"/>
              <w:spacing w:line="220" w:lineRule="atLeast"/>
              <w:rPr>
                <w:rFonts w:ascii="Arial" w:hAnsi="Arial" w:cs="Arial"/>
                <w:i/>
                <w:iCs/>
                <w:color w:val="000000"/>
                <w:sz w:val="24"/>
                <w:szCs w:val="24"/>
              </w:rPr>
            </w:pPr>
            <w:r w:rsidRPr="0093439A">
              <w:rPr>
                <w:rFonts w:ascii="Arial" w:hAnsi="Arial" w:cs="Arial"/>
                <w:i/>
                <w:iCs/>
                <w:color w:val="000000"/>
                <w:w w:val="100"/>
                <w:sz w:val="24"/>
                <w:szCs w:val="24"/>
              </w:rPr>
              <w:t>Division of the State Architect - [DSA-SS/CC]</w:t>
            </w:r>
          </w:p>
        </w:tc>
        <w:tc>
          <w:tcPr>
            <w:tcW w:w="1485"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0F478C43" w14:textId="77777777" w:rsidR="0093439A" w:rsidRPr="0093439A" w:rsidRDefault="0093439A" w:rsidP="00C16208">
            <w:pPr>
              <w:pStyle w:val="tabletextcenter"/>
              <w:rPr>
                <w:rFonts w:ascii="Arial" w:hAnsi="Arial" w:cs="Arial"/>
                <w:i/>
                <w:iCs/>
                <w:sz w:val="24"/>
                <w:szCs w:val="24"/>
              </w:rPr>
            </w:pPr>
            <w:r w:rsidRPr="0093439A">
              <w:rPr>
                <w:rFonts w:ascii="Arial" w:hAnsi="Arial" w:cs="Arial"/>
                <w:i/>
                <w:iCs/>
                <w:w w:val="100"/>
                <w:sz w:val="24"/>
                <w:szCs w:val="24"/>
              </w:rPr>
              <w:t>III</w:t>
            </w:r>
          </w:p>
        </w:tc>
        <w:tc>
          <w:tcPr>
            <w:tcW w:w="2520"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46DCAB33" w14:textId="77777777" w:rsidR="0093439A" w:rsidRPr="0093439A" w:rsidRDefault="0093439A" w:rsidP="00C16208">
            <w:pPr>
              <w:pStyle w:val="tabletextcenter"/>
              <w:rPr>
                <w:rFonts w:ascii="Arial" w:hAnsi="Arial" w:cs="Arial"/>
                <w:i/>
                <w:iCs/>
                <w:sz w:val="24"/>
                <w:szCs w:val="24"/>
              </w:rPr>
            </w:pPr>
            <w:r w:rsidRPr="0093439A">
              <w:rPr>
                <w:rFonts w:ascii="Arial" w:hAnsi="Arial" w:cs="Arial"/>
                <w:i/>
                <w:iCs/>
                <w:w w:val="100"/>
                <w:sz w:val="24"/>
                <w:szCs w:val="24"/>
              </w:rPr>
              <w:t>BSE-1E, S-3, N-B</w:t>
            </w:r>
          </w:p>
        </w:tc>
        <w:tc>
          <w:tcPr>
            <w:tcW w:w="2520"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1AA09A99" w14:textId="77777777" w:rsidR="0093439A" w:rsidRPr="0093439A" w:rsidRDefault="0093439A" w:rsidP="00C16208">
            <w:pPr>
              <w:pStyle w:val="tabletextcenter"/>
              <w:rPr>
                <w:rFonts w:ascii="Arial" w:hAnsi="Arial" w:cs="Arial"/>
                <w:i/>
                <w:iCs/>
                <w:sz w:val="24"/>
                <w:szCs w:val="24"/>
              </w:rPr>
            </w:pPr>
            <w:r w:rsidRPr="0093439A">
              <w:rPr>
                <w:rFonts w:ascii="Arial" w:hAnsi="Arial" w:cs="Arial"/>
                <w:i/>
                <w:iCs/>
                <w:w w:val="100"/>
                <w:sz w:val="24"/>
                <w:szCs w:val="24"/>
              </w:rPr>
              <w:t>BSE-2N, S-5, N-D</w:t>
            </w:r>
          </w:p>
        </w:tc>
      </w:tr>
      <w:tr w:rsidR="0093439A" w:rsidRPr="0093439A" w14:paraId="253AC074" w14:textId="77777777" w:rsidTr="00DE2A9C">
        <w:trPr>
          <w:trHeight w:val="288"/>
        </w:trPr>
        <w:tc>
          <w:tcPr>
            <w:tcW w:w="3555"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211333BA" w14:textId="77777777" w:rsidR="0093439A" w:rsidRPr="0093439A" w:rsidRDefault="0093439A" w:rsidP="00C16208">
            <w:pPr>
              <w:pStyle w:val="tabletextleft"/>
              <w:spacing w:line="220" w:lineRule="atLeast"/>
              <w:rPr>
                <w:rFonts w:ascii="Arial" w:hAnsi="Arial" w:cs="Arial"/>
                <w:i/>
                <w:iCs/>
                <w:color w:val="000000"/>
                <w:sz w:val="24"/>
                <w:szCs w:val="24"/>
              </w:rPr>
            </w:pPr>
            <w:r w:rsidRPr="0093439A">
              <w:rPr>
                <w:rFonts w:ascii="Arial" w:hAnsi="Arial" w:cs="Arial"/>
                <w:i/>
                <w:iCs/>
                <w:color w:val="000000"/>
                <w:w w:val="100"/>
                <w:sz w:val="24"/>
                <w:szCs w:val="24"/>
              </w:rPr>
              <w:t>Division of the State Architect - [DSA-SS/CC]</w:t>
            </w:r>
          </w:p>
        </w:tc>
        <w:tc>
          <w:tcPr>
            <w:tcW w:w="1485"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78B426EE" w14:textId="77777777" w:rsidR="0093439A" w:rsidRPr="0093439A" w:rsidRDefault="0093439A" w:rsidP="00C16208">
            <w:pPr>
              <w:pStyle w:val="tabletextcenter"/>
              <w:rPr>
                <w:rFonts w:ascii="Arial" w:hAnsi="Arial" w:cs="Arial"/>
                <w:i/>
                <w:iCs/>
                <w:sz w:val="24"/>
                <w:szCs w:val="24"/>
              </w:rPr>
            </w:pPr>
            <w:r w:rsidRPr="0093439A">
              <w:rPr>
                <w:rFonts w:ascii="Arial" w:hAnsi="Arial" w:cs="Arial"/>
                <w:i/>
                <w:iCs/>
                <w:w w:val="100"/>
                <w:sz w:val="24"/>
                <w:szCs w:val="24"/>
              </w:rPr>
              <w:t>IV</w:t>
            </w:r>
          </w:p>
        </w:tc>
        <w:tc>
          <w:tcPr>
            <w:tcW w:w="2520"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324679CA" w14:textId="5CFAA390" w:rsidR="0093439A" w:rsidRPr="0093439A" w:rsidRDefault="0093439A" w:rsidP="00C16208">
            <w:pPr>
              <w:pStyle w:val="tabletextcenter"/>
              <w:rPr>
                <w:rFonts w:ascii="Arial" w:hAnsi="Arial" w:cs="Arial"/>
                <w:i/>
                <w:iCs/>
                <w:sz w:val="24"/>
                <w:szCs w:val="24"/>
              </w:rPr>
            </w:pPr>
            <w:r w:rsidRPr="0093439A">
              <w:rPr>
                <w:rFonts w:ascii="Arial" w:hAnsi="Arial" w:cs="Arial"/>
                <w:i/>
                <w:iCs/>
                <w:w w:val="100"/>
                <w:sz w:val="24"/>
                <w:szCs w:val="24"/>
              </w:rPr>
              <w:t>BSE-1E, S-</w:t>
            </w:r>
            <w:r w:rsidRPr="00730444">
              <w:rPr>
                <w:rFonts w:ascii="Arial" w:hAnsi="Arial" w:cs="Arial"/>
                <w:i/>
                <w:iCs/>
                <w:strike/>
                <w:w w:val="100"/>
                <w:sz w:val="24"/>
                <w:szCs w:val="24"/>
              </w:rPr>
              <w:t>2</w:t>
            </w:r>
            <w:r w:rsidR="006C2131" w:rsidRPr="00730444">
              <w:rPr>
                <w:rFonts w:ascii="Arial" w:hAnsi="Arial" w:cs="Arial"/>
                <w:i/>
                <w:iCs/>
                <w:w w:val="100"/>
                <w:sz w:val="24"/>
                <w:szCs w:val="24"/>
                <w:u w:val="single"/>
              </w:rPr>
              <w:t>1</w:t>
            </w:r>
            <w:r w:rsidRPr="0093439A">
              <w:rPr>
                <w:rFonts w:ascii="Arial" w:hAnsi="Arial" w:cs="Arial"/>
                <w:i/>
                <w:iCs/>
                <w:w w:val="100"/>
                <w:sz w:val="24"/>
                <w:szCs w:val="24"/>
              </w:rPr>
              <w:t>, N-B</w:t>
            </w:r>
          </w:p>
        </w:tc>
        <w:tc>
          <w:tcPr>
            <w:tcW w:w="2520" w:type="dxa"/>
            <w:tcBorders>
              <w:top w:val="single" w:sz="4" w:space="0" w:color="000000"/>
              <w:left w:val="single" w:sz="4" w:space="0" w:color="000000"/>
              <w:bottom w:val="single" w:sz="4" w:space="0" w:color="000000"/>
              <w:right w:val="single" w:sz="4" w:space="0" w:color="000000"/>
            </w:tcBorders>
            <w:tcMar>
              <w:top w:w="80" w:type="dxa"/>
              <w:left w:w="40" w:type="dxa"/>
              <w:bottom w:w="60" w:type="dxa"/>
              <w:right w:w="40" w:type="dxa"/>
            </w:tcMar>
            <w:vAlign w:val="center"/>
          </w:tcPr>
          <w:p w14:paraId="54BB01A4" w14:textId="512A74F2" w:rsidR="0093439A" w:rsidRPr="0093439A" w:rsidRDefault="0093439A" w:rsidP="00C16208">
            <w:pPr>
              <w:pStyle w:val="tabletextcenter"/>
              <w:rPr>
                <w:rFonts w:ascii="Arial" w:hAnsi="Arial" w:cs="Arial"/>
                <w:i/>
                <w:iCs/>
                <w:sz w:val="24"/>
                <w:szCs w:val="24"/>
              </w:rPr>
            </w:pPr>
            <w:r w:rsidRPr="0093439A">
              <w:rPr>
                <w:rFonts w:ascii="Arial" w:hAnsi="Arial" w:cs="Arial"/>
                <w:i/>
                <w:iCs/>
                <w:w w:val="100"/>
                <w:sz w:val="24"/>
                <w:szCs w:val="24"/>
              </w:rPr>
              <w:t>BSE-2N, S-</w:t>
            </w:r>
            <w:r w:rsidRPr="00730444">
              <w:rPr>
                <w:rFonts w:ascii="Arial" w:hAnsi="Arial" w:cs="Arial"/>
                <w:i/>
                <w:iCs/>
                <w:strike/>
                <w:w w:val="100"/>
                <w:sz w:val="24"/>
                <w:szCs w:val="24"/>
              </w:rPr>
              <w:t>4</w:t>
            </w:r>
            <w:r w:rsidR="00730444" w:rsidRPr="0043587E">
              <w:rPr>
                <w:rFonts w:ascii="Arial" w:hAnsi="Arial" w:cs="Arial"/>
                <w:i/>
                <w:iCs/>
                <w:w w:val="100"/>
                <w:sz w:val="24"/>
                <w:szCs w:val="24"/>
                <w:u w:val="single"/>
              </w:rPr>
              <w:t>3</w:t>
            </w:r>
            <w:r w:rsidRPr="0093439A">
              <w:rPr>
                <w:rFonts w:ascii="Arial" w:hAnsi="Arial" w:cs="Arial"/>
                <w:i/>
                <w:iCs/>
                <w:w w:val="100"/>
                <w:sz w:val="24"/>
                <w:szCs w:val="24"/>
              </w:rPr>
              <w:t>, N-D</w:t>
            </w:r>
          </w:p>
        </w:tc>
      </w:tr>
    </w:tbl>
    <w:p w14:paraId="59F5EDBE" w14:textId="5A8ADDA7" w:rsidR="0093439A" w:rsidRPr="0093439A" w:rsidRDefault="0093439A" w:rsidP="00CE1DCF">
      <w:pPr>
        <w:pStyle w:val="tablenotes"/>
        <w:numPr>
          <w:ilvl w:val="0"/>
          <w:numId w:val="31"/>
        </w:numPr>
        <w:ind w:left="540" w:right="159"/>
        <w:rPr>
          <w:rFonts w:ascii="Arial" w:hAnsi="Arial" w:cs="Arial"/>
          <w:i/>
          <w:iCs/>
          <w:color w:val="auto"/>
          <w:w w:val="100"/>
          <w:sz w:val="24"/>
          <w:szCs w:val="24"/>
        </w:rPr>
      </w:pPr>
      <w:r w:rsidRPr="0093439A">
        <w:rPr>
          <w:rFonts w:ascii="Arial" w:hAnsi="Arial" w:cs="Arial"/>
          <w:i/>
          <w:iCs/>
          <w:color w:val="auto"/>
          <w:w w:val="100"/>
          <w:sz w:val="24"/>
          <w:szCs w:val="24"/>
        </w:rPr>
        <w:t>ASCE 41 provides acceptance criteria</w:t>
      </w:r>
      <w:r w:rsidR="0061614E">
        <w:rPr>
          <w:rFonts w:ascii="Arial" w:hAnsi="Arial" w:cs="Arial"/>
          <w:i/>
          <w:iCs/>
          <w:color w:val="auto"/>
          <w:w w:val="100"/>
          <w:sz w:val="24"/>
          <w:szCs w:val="24"/>
        </w:rPr>
        <w:t>…</w:t>
      </w:r>
    </w:p>
    <w:p w14:paraId="4AAE766D" w14:textId="0225741B" w:rsidR="0093439A" w:rsidRPr="0093439A" w:rsidRDefault="0093439A" w:rsidP="00CE1DCF">
      <w:pPr>
        <w:pStyle w:val="tablenotes"/>
        <w:numPr>
          <w:ilvl w:val="0"/>
          <w:numId w:val="31"/>
        </w:numPr>
        <w:ind w:left="540" w:right="159"/>
        <w:rPr>
          <w:rFonts w:ascii="Arial" w:hAnsi="Arial" w:cs="Arial"/>
          <w:i/>
          <w:iCs/>
          <w:color w:val="auto"/>
          <w:w w:val="100"/>
          <w:sz w:val="24"/>
          <w:szCs w:val="24"/>
        </w:rPr>
      </w:pPr>
      <w:r w:rsidRPr="0093439A">
        <w:rPr>
          <w:rFonts w:ascii="Arial" w:hAnsi="Arial" w:cs="Arial"/>
          <w:i/>
          <w:iCs/>
          <w:color w:val="auto"/>
          <w:w w:val="100"/>
          <w:sz w:val="24"/>
          <w:szCs w:val="24"/>
        </w:rPr>
        <w:t>Buildings evaluated and retrofitted to meet</w:t>
      </w:r>
      <w:r w:rsidR="0061614E">
        <w:rPr>
          <w:rFonts w:ascii="Arial" w:hAnsi="Arial" w:cs="Arial"/>
          <w:i/>
          <w:iCs/>
          <w:color w:val="auto"/>
          <w:w w:val="100"/>
          <w:sz w:val="24"/>
          <w:szCs w:val="24"/>
        </w:rPr>
        <w:t>…</w:t>
      </w:r>
    </w:p>
    <w:p w14:paraId="22021CB9" w14:textId="71E3D066" w:rsidR="0093439A" w:rsidRPr="0093439A" w:rsidRDefault="0093439A" w:rsidP="00CE1DCF">
      <w:pPr>
        <w:pStyle w:val="tablenotes"/>
        <w:numPr>
          <w:ilvl w:val="0"/>
          <w:numId w:val="31"/>
        </w:numPr>
        <w:ind w:left="540" w:right="159"/>
        <w:rPr>
          <w:rFonts w:ascii="Arial" w:hAnsi="Arial" w:cs="Arial"/>
          <w:i/>
          <w:iCs/>
          <w:color w:val="auto"/>
          <w:w w:val="100"/>
          <w:sz w:val="24"/>
          <w:szCs w:val="24"/>
        </w:rPr>
      </w:pPr>
      <w:r w:rsidRPr="0093439A">
        <w:rPr>
          <w:rFonts w:ascii="Arial" w:hAnsi="Arial" w:cs="Arial"/>
          <w:i/>
          <w:iCs/>
          <w:color w:val="auto"/>
          <w:w w:val="100"/>
          <w:sz w:val="24"/>
          <w:szCs w:val="24"/>
        </w:rPr>
        <w:t>Buildings complying with the requirements of</w:t>
      </w:r>
      <w:r w:rsidR="0061614E">
        <w:rPr>
          <w:rFonts w:ascii="Arial" w:hAnsi="Arial" w:cs="Arial"/>
          <w:i/>
          <w:iCs/>
          <w:color w:val="auto"/>
          <w:w w:val="100"/>
          <w:sz w:val="24"/>
          <w:szCs w:val="24"/>
        </w:rPr>
        <w:t>…</w:t>
      </w:r>
    </w:p>
    <w:p w14:paraId="4614B8FA" w14:textId="4BBED9C9" w:rsidR="0093439A" w:rsidRPr="0061614E" w:rsidRDefault="0093439A" w:rsidP="00CE1DCF">
      <w:pPr>
        <w:pStyle w:val="tablenotes"/>
        <w:numPr>
          <w:ilvl w:val="0"/>
          <w:numId w:val="31"/>
        </w:numPr>
        <w:ind w:left="540" w:right="159"/>
        <w:rPr>
          <w:rFonts w:ascii="Arial" w:hAnsi="Arial" w:cs="Arial"/>
          <w:i/>
          <w:iCs/>
          <w:color w:val="auto"/>
          <w:w w:val="100"/>
          <w:sz w:val="24"/>
          <w:szCs w:val="24"/>
          <w:u w:val="single"/>
        </w:rPr>
      </w:pPr>
      <w:r w:rsidRPr="0061614E">
        <w:rPr>
          <w:rFonts w:ascii="Arial" w:hAnsi="Arial" w:cs="Arial"/>
          <w:i/>
          <w:iCs/>
          <w:color w:val="auto"/>
          <w:w w:val="100"/>
          <w:sz w:val="24"/>
          <w:szCs w:val="24"/>
          <w:u w:val="single"/>
        </w:rPr>
        <w:t>State-owned and state-leased essential services buildings are subject to the regulatory authority of DSA-SS per Section 1.9.2.1.</w:t>
      </w:r>
    </w:p>
    <w:p w14:paraId="64BC48E3" w14:textId="62F2969F" w:rsidR="008C7726" w:rsidRDefault="00596A97" w:rsidP="00596A97">
      <w:pPr>
        <w:ind w:left="360" w:hanging="360"/>
        <w:rPr>
          <w:rFonts w:cs="Arial"/>
          <w:noProof/>
        </w:rPr>
      </w:pPr>
      <w:r w:rsidRPr="00596A97">
        <w:rPr>
          <w:rFonts w:cs="Arial"/>
          <w:noProof/>
        </w:rPr>
        <w:t>…</w:t>
      </w:r>
    </w:p>
    <w:p w14:paraId="43B3EF1D" w14:textId="77777777" w:rsidR="002B110A" w:rsidRPr="002B110A" w:rsidRDefault="002B110A" w:rsidP="002B110A">
      <w:pPr>
        <w:rPr>
          <w:rFonts w:cs="Arial"/>
          <w:i/>
          <w:iCs/>
          <w:noProof/>
        </w:rPr>
      </w:pPr>
      <w:r w:rsidRPr="002B110A">
        <w:rPr>
          <w:rFonts w:cs="Arial"/>
          <w:b/>
          <w:bCs/>
          <w:i/>
          <w:iCs/>
          <w:noProof/>
        </w:rPr>
        <w:t>318.1</w:t>
      </w:r>
      <w:r w:rsidRPr="002B110A">
        <w:rPr>
          <w:rFonts w:cs="Arial"/>
          <w:i/>
          <w:iCs/>
          <w:noProof/>
        </w:rPr>
        <w:t xml:space="preserve"> In addition to the definitions given in Section 202, for the purposes of Sections 317 through 323, certain terms are defined as follows:</w:t>
      </w:r>
    </w:p>
    <w:p w14:paraId="68E912A2" w14:textId="77777777" w:rsidR="002B110A" w:rsidRPr="002B110A" w:rsidRDefault="002B110A" w:rsidP="002B110A">
      <w:pPr>
        <w:rPr>
          <w:rFonts w:cs="Arial"/>
          <w:i/>
          <w:iCs/>
          <w:noProof/>
        </w:rPr>
      </w:pPr>
      <w:r w:rsidRPr="00A14FA8">
        <w:rPr>
          <w:rFonts w:cs="Arial"/>
          <w:b/>
          <w:bCs/>
          <w:i/>
          <w:iCs/>
          <w:noProof/>
        </w:rPr>
        <w:t>[DSA-SS &amp; DSA-SS/CC]</w:t>
      </w:r>
      <w:r w:rsidRPr="002B110A">
        <w:rPr>
          <w:rFonts w:cs="Arial"/>
          <w:i/>
          <w:iCs/>
          <w:noProof/>
        </w:rPr>
        <w:t xml:space="preserve"> For the purposes of Section 317 through 323, definitions of terms given in Section 4-207 or 4-314 of the California Administrative Code govern over those in Section 202.</w:t>
      </w:r>
    </w:p>
    <w:p w14:paraId="567BC571" w14:textId="32FCB152" w:rsidR="00596A97" w:rsidRDefault="002B110A" w:rsidP="002B110A">
      <w:pPr>
        <w:rPr>
          <w:rFonts w:cs="Arial"/>
          <w:i/>
          <w:iCs/>
          <w:strike/>
          <w:noProof/>
        </w:rPr>
      </w:pPr>
      <w:r w:rsidRPr="00A14FA8">
        <w:rPr>
          <w:rFonts w:cs="Arial"/>
          <w:b/>
          <w:bCs/>
          <w:i/>
          <w:iCs/>
          <w:strike/>
          <w:noProof/>
        </w:rPr>
        <w:t>REPAIR</w:t>
      </w:r>
      <w:r w:rsidRPr="00A14FA8">
        <w:rPr>
          <w:rFonts w:cs="Arial"/>
          <w:i/>
          <w:iCs/>
          <w:strike/>
          <w:noProof/>
        </w:rPr>
        <w:t xml:space="preserve"> as used in this chapter means the design and construction work undertaken to restore or enhance the structural and nonstructural load-resisting system participating in the lateral response and stability of a structure that has experienced damage from earthquakes or other destructive events.</w:t>
      </w:r>
    </w:p>
    <w:p w14:paraId="0018653F" w14:textId="7850EAC8" w:rsidR="00797ADB" w:rsidRDefault="00797ADB" w:rsidP="002B110A">
      <w:pPr>
        <w:rPr>
          <w:rFonts w:cs="Arial"/>
          <w:noProof/>
        </w:rPr>
      </w:pPr>
      <w:r w:rsidRPr="00797ADB">
        <w:rPr>
          <w:rFonts w:cs="Arial"/>
          <w:noProof/>
        </w:rPr>
        <w:t>…</w:t>
      </w:r>
    </w:p>
    <w:p w14:paraId="723493D7" w14:textId="63A7C45E" w:rsidR="0020258E" w:rsidRPr="00464BBC" w:rsidRDefault="0020258E" w:rsidP="0020258E">
      <w:pPr>
        <w:rPr>
          <w:rFonts w:cs="Arial"/>
          <w:i/>
          <w:iCs/>
          <w:noProof/>
        </w:rPr>
      </w:pPr>
      <w:r w:rsidRPr="00464BBC">
        <w:rPr>
          <w:rFonts w:cs="Arial"/>
          <w:b/>
          <w:bCs/>
          <w:i/>
          <w:iCs/>
          <w:noProof/>
        </w:rPr>
        <w:t>319.1 Basis for evaluation and design.</w:t>
      </w:r>
      <w:r w:rsidRPr="00464BBC">
        <w:rPr>
          <w:rFonts w:cs="Arial"/>
          <w:i/>
          <w:iCs/>
          <w:noProof/>
        </w:rPr>
        <w:t xml:space="preserve"> This section determines</w:t>
      </w:r>
      <w:r w:rsidR="007B3536" w:rsidRPr="007B3536">
        <w:t xml:space="preserve"> </w:t>
      </w:r>
      <w:r w:rsidR="007B3536" w:rsidRPr="007B3536">
        <w:rPr>
          <w:rFonts w:cs="Arial"/>
          <w:i/>
          <w:iCs/>
          <w:noProof/>
        </w:rPr>
        <w:t>what technical approach is to be used for the seismic evaluation and design for existing buildings. For those buildings</w:t>
      </w:r>
      <w:r w:rsidR="00B10087">
        <w:rPr>
          <w:rFonts w:cs="Arial"/>
          <w:i/>
          <w:iCs/>
          <w:noProof/>
        </w:rPr>
        <w:t>…</w:t>
      </w:r>
      <w:r w:rsidRPr="00464BBC">
        <w:rPr>
          <w:rFonts w:cs="Arial"/>
          <w:i/>
          <w:iCs/>
          <w:noProof/>
        </w:rPr>
        <w:t xml:space="preserve"> </w:t>
      </w:r>
    </w:p>
    <w:p w14:paraId="66189005" w14:textId="77777777" w:rsidR="0020258E" w:rsidRPr="00050FED" w:rsidRDefault="0020258E" w:rsidP="00B10087">
      <w:pPr>
        <w:ind w:left="360"/>
        <w:rPr>
          <w:rFonts w:cs="Arial"/>
          <w:b/>
          <w:bCs/>
          <w:i/>
          <w:iCs/>
          <w:noProof/>
        </w:rPr>
      </w:pPr>
      <w:r w:rsidRPr="00050FED">
        <w:rPr>
          <w:rFonts w:cs="Arial"/>
          <w:b/>
          <w:bCs/>
          <w:i/>
          <w:iCs/>
          <w:noProof/>
        </w:rPr>
        <w:t xml:space="preserve">Exceptions: </w:t>
      </w:r>
    </w:p>
    <w:p w14:paraId="575A05D4" w14:textId="1B84C123" w:rsidR="0020258E" w:rsidRPr="00CE1DCF" w:rsidRDefault="007B3536" w:rsidP="00CE1DCF">
      <w:pPr>
        <w:pStyle w:val="ListParagraph"/>
        <w:numPr>
          <w:ilvl w:val="0"/>
          <w:numId w:val="33"/>
        </w:numPr>
        <w:rPr>
          <w:rFonts w:cs="Arial"/>
          <w:noProof/>
        </w:rPr>
      </w:pPr>
      <w:r w:rsidRPr="00CE1DCF">
        <w:rPr>
          <w:rFonts w:cs="Arial"/>
          <w:noProof/>
          <w:highlight w:val="lightGray"/>
        </w:rPr>
        <w:t>(Reserved for BSC)</w:t>
      </w:r>
    </w:p>
    <w:p w14:paraId="460CB5FF" w14:textId="4907BA31" w:rsidR="00797ADB" w:rsidRPr="00CE1DCF" w:rsidRDefault="0020258E" w:rsidP="00CE1DCF">
      <w:pPr>
        <w:pStyle w:val="ListParagraph"/>
        <w:numPr>
          <w:ilvl w:val="0"/>
          <w:numId w:val="33"/>
        </w:numPr>
        <w:rPr>
          <w:rFonts w:cs="Arial"/>
          <w:i/>
          <w:iCs/>
          <w:noProof/>
        </w:rPr>
      </w:pPr>
      <w:r w:rsidRPr="00CE1DCF">
        <w:rPr>
          <w:rFonts w:cs="Arial"/>
          <w:b/>
          <w:bCs/>
          <w:i/>
          <w:iCs/>
          <w:noProof/>
        </w:rPr>
        <w:t>[DSA-SS &amp; DSA-SS/CC]</w:t>
      </w:r>
      <w:r w:rsidRPr="00CE1DCF">
        <w:rPr>
          <w:rFonts w:cs="Arial"/>
          <w:i/>
          <w:iCs/>
          <w:noProof/>
        </w:rPr>
        <w:t xml:space="preserve"> For the conversion of nonconforming buildings to conforming school buildings in ac-cordance with Section 4-307 of the California Administrative Code, nonconforming buildings constructed to the requirements of California Building Code, </w:t>
      </w:r>
      <w:r w:rsidRPr="00CE1DCF">
        <w:rPr>
          <w:rFonts w:cs="Arial"/>
          <w:i/>
          <w:iCs/>
          <w:strike/>
          <w:noProof/>
        </w:rPr>
        <w:t>2016</w:t>
      </w:r>
      <w:r w:rsidRPr="00CE1DCF">
        <w:rPr>
          <w:rFonts w:cs="Arial"/>
          <w:i/>
          <w:iCs/>
          <w:noProof/>
          <w:u w:val="single"/>
        </w:rPr>
        <w:t>2019</w:t>
      </w:r>
      <w:r w:rsidRPr="00CE1DCF">
        <w:rPr>
          <w:rFonts w:cs="Arial"/>
          <w:i/>
          <w:iCs/>
          <w:noProof/>
        </w:rPr>
        <w:t xml:space="preserve"> or later edition, that code as it was adopted by the governing jurisdiction is permitted to be used in place of those specified in Section 319.1 provided the building complies with Seismic Design Category D or </w:t>
      </w:r>
      <w:r w:rsidRPr="00CE1DCF">
        <w:rPr>
          <w:rFonts w:cs="Arial"/>
          <w:i/>
          <w:iCs/>
          <w:noProof/>
        </w:rPr>
        <w:lastRenderedPageBreak/>
        <w:t>higher.</w:t>
      </w:r>
    </w:p>
    <w:p w14:paraId="51246568" w14:textId="7C53269C" w:rsidR="00596A97" w:rsidRPr="00596A97" w:rsidRDefault="00596A97" w:rsidP="00596A97">
      <w:pPr>
        <w:ind w:left="360" w:hanging="360"/>
        <w:rPr>
          <w:rFonts w:cs="Arial"/>
          <w:noProof/>
        </w:rPr>
      </w:pPr>
      <w:r>
        <w:rPr>
          <w:rFonts w:cs="Arial"/>
          <w:noProof/>
        </w:rPr>
        <w:t>…</w:t>
      </w:r>
    </w:p>
    <w:p w14:paraId="2C1B2CED" w14:textId="77777777" w:rsidR="00005708" w:rsidRPr="00932189" w:rsidRDefault="00005708" w:rsidP="00932189">
      <w:pPr>
        <w:rPr>
          <w:b/>
          <w:bCs/>
        </w:rPr>
      </w:pPr>
      <w:r w:rsidRPr="00932189">
        <w:rPr>
          <w:b/>
          <w:bCs/>
        </w:rPr>
        <w:t xml:space="preserve">Notation: </w:t>
      </w:r>
    </w:p>
    <w:p w14:paraId="29975944" w14:textId="6AA245A9" w:rsidR="00005708" w:rsidRPr="0046521A" w:rsidRDefault="00005708" w:rsidP="00AA0C1D">
      <w:pPr>
        <w:rPr>
          <w:rFonts w:cs="Arial"/>
        </w:rPr>
      </w:pPr>
      <w:r w:rsidRPr="0046521A">
        <w:rPr>
          <w:rFonts w:cs="Arial"/>
        </w:rPr>
        <w:t xml:space="preserve">Authority: </w:t>
      </w:r>
      <w:r w:rsidR="00421C03" w:rsidRPr="0046521A">
        <w:rPr>
          <w:rFonts w:cs="Arial"/>
          <w:noProof/>
          <w:highlight w:val="lightGray"/>
        </w:rPr>
        <w:fldChar w:fldCharType="begin">
          <w:ffData>
            <w:name w:val=""/>
            <w:enabled/>
            <w:calcOnExit w:val="0"/>
            <w:textInput>
              <w:default w:val="[Insert statutory authority]"/>
            </w:textInput>
          </w:ffData>
        </w:fldChar>
      </w:r>
      <w:r w:rsidR="00421C03" w:rsidRPr="0046521A">
        <w:rPr>
          <w:rFonts w:cs="Arial"/>
          <w:noProof/>
          <w:highlight w:val="lightGray"/>
        </w:rPr>
        <w:instrText xml:space="preserve"> FORMTEXT </w:instrText>
      </w:r>
      <w:r w:rsidR="00421C03" w:rsidRPr="0046521A">
        <w:rPr>
          <w:rFonts w:cs="Arial"/>
          <w:noProof/>
          <w:highlight w:val="lightGray"/>
        </w:rPr>
      </w:r>
      <w:r w:rsidR="00421C03" w:rsidRPr="0046521A">
        <w:rPr>
          <w:rFonts w:cs="Arial"/>
          <w:noProof/>
          <w:highlight w:val="lightGray"/>
        </w:rPr>
        <w:fldChar w:fldCharType="separate"/>
      </w:r>
      <w:r w:rsidR="00421C03" w:rsidRPr="0046521A">
        <w:rPr>
          <w:rFonts w:cs="Arial"/>
          <w:noProof/>
          <w:highlight w:val="lightGray"/>
        </w:rPr>
        <w:t>[Insert statutory authority]</w:t>
      </w:r>
      <w:r w:rsidR="00421C03" w:rsidRPr="0046521A">
        <w:rPr>
          <w:rFonts w:cs="Arial"/>
          <w:noProof/>
          <w:highlight w:val="lightGray"/>
        </w:rPr>
        <w:fldChar w:fldCharType="end"/>
      </w:r>
    </w:p>
    <w:p w14:paraId="0D1B49AF" w14:textId="3166299E" w:rsidR="00767766" w:rsidRPr="0046521A" w:rsidRDefault="00005708" w:rsidP="00AA0C1D">
      <w:pPr>
        <w:rPr>
          <w:rFonts w:cs="Arial"/>
        </w:rPr>
      </w:pPr>
      <w:r w:rsidRPr="0046521A">
        <w:rPr>
          <w:rFonts w:cs="Arial"/>
        </w:rPr>
        <w:t xml:space="preserve">Reference(s): </w:t>
      </w:r>
      <w:r w:rsidR="00421C03" w:rsidRPr="0046521A">
        <w:rPr>
          <w:rFonts w:cs="Arial"/>
          <w:noProof/>
          <w:highlight w:val="lightGray"/>
        </w:rPr>
        <w:fldChar w:fldCharType="begin">
          <w:ffData>
            <w:name w:val=""/>
            <w:enabled/>
            <w:calcOnExit w:val="0"/>
            <w:textInput>
              <w:default w:val="[Insert statutory reference(s)]"/>
            </w:textInput>
          </w:ffData>
        </w:fldChar>
      </w:r>
      <w:r w:rsidR="00421C03" w:rsidRPr="0046521A">
        <w:rPr>
          <w:rFonts w:cs="Arial"/>
          <w:noProof/>
          <w:highlight w:val="lightGray"/>
        </w:rPr>
        <w:instrText xml:space="preserve"> FORMTEXT </w:instrText>
      </w:r>
      <w:r w:rsidR="00421C03" w:rsidRPr="0046521A">
        <w:rPr>
          <w:rFonts w:cs="Arial"/>
          <w:noProof/>
          <w:highlight w:val="lightGray"/>
        </w:rPr>
      </w:r>
      <w:r w:rsidR="00421C03" w:rsidRPr="0046521A">
        <w:rPr>
          <w:rFonts w:cs="Arial"/>
          <w:noProof/>
          <w:highlight w:val="lightGray"/>
        </w:rPr>
        <w:fldChar w:fldCharType="separate"/>
      </w:r>
      <w:r w:rsidR="00421C03" w:rsidRPr="0046521A">
        <w:rPr>
          <w:rFonts w:cs="Arial"/>
          <w:noProof/>
          <w:highlight w:val="lightGray"/>
        </w:rPr>
        <w:t>[Insert statutory reference(s)]</w:t>
      </w:r>
      <w:r w:rsidR="00421C03" w:rsidRPr="0046521A">
        <w:rPr>
          <w:rFonts w:cs="Arial"/>
          <w:noProof/>
          <w:highlight w:val="lightGray"/>
        </w:rPr>
        <w:fldChar w:fldCharType="end"/>
      </w:r>
    </w:p>
    <w:sectPr w:rsidR="00767766" w:rsidRPr="0046521A" w:rsidSect="00005708">
      <w:headerReference w:type="even" r:id="rId11"/>
      <w:headerReference w:type="default" r:id="rId12"/>
      <w:footerReference w:type="default" r:id="rId13"/>
      <w:headerReference w:type="first" r:id="rId14"/>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C9302" w14:textId="77777777" w:rsidR="00124EA3" w:rsidRDefault="00124EA3">
      <w:r>
        <w:separator/>
      </w:r>
    </w:p>
  </w:endnote>
  <w:endnote w:type="continuationSeparator" w:id="0">
    <w:p w14:paraId="5547F0BE" w14:textId="77777777" w:rsidR="00124EA3" w:rsidRDefault="00124EA3">
      <w:r>
        <w:continuationSeparator/>
      </w:r>
    </w:p>
  </w:endnote>
  <w:endnote w:type="continuationNotice" w:id="1">
    <w:p w14:paraId="4091ACAF" w14:textId="77777777" w:rsidR="00124EA3" w:rsidRDefault="00124E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6D53" w14:textId="7BDE78D1" w:rsidR="008908A5" w:rsidRDefault="008908A5" w:rsidP="00200E07">
    <w:pPr>
      <w:pStyle w:val="Footer"/>
      <w:tabs>
        <w:tab w:val="clear" w:pos="4320"/>
        <w:tab w:val="clear" w:pos="8640"/>
        <w:tab w:val="right" w:pos="9180"/>
      </w:tabs>
      <w:spacing w:before="120"/>
    </w:pPr>
    <w:r>
      <w:t xml:space="preserve">BSC TP-103 (Rev. </w:t>
    </w:r>
    <w:r w:rsidR="003641DE">
      <w:t>10</w:t>
    </w:r>
    <w:r>
      <w:t>/</w:t>
    </w:r>
    <w:r w:rsidR="0073368F">
      <w:t>2</w:t>
    </w:r>
    <w:r w:rsidR="007518DF">
      <w:t>3</w:t>
    </w:r>
    <w:r w:rsidRPr="004C48A0">
      <w:t>)</w:t>
    </w:r>
    <w:r>
      <w:t xml:space="preserve"> </w:t>
    </w:r>
    <w:r w:rsidR="007518DF">
      <w:t>Initial</w:t>
    </w:r>
    <w:r>
      <w:t xml:space="preserve"> Express Terms</w:t>
    </w:r>
    <w:r w:rsidR="00A8502F">
      <w:tab/>
    </w:r>
    <w:r w:rsidR="00932189">
      <w:t>March 2</w:t>
    </w:r>
    <w:r w:rsidR="000A690E">
      <w:t>8</w:t>
    </w:r>
    <w:r w:rsidR="00932189">
      <w:t>, 2024</w:t>
    </w:r>
  </w:p>
  <w:p w14:paraId="0CAFC6F9" w14:textId="77FC1BC3" w:rsidR="008908A5" w:rsidRDefault="008908A5" w:rsidP="00AA0C1D">
    <w:pPr>
      <w:pStyle w:val="Footer"/>
      <w:tabs>
        <w:tab w:val="clear" w:pos="4320"/>
        <w:tab w:val="clear" w:pos="8640"/>
        <w:tab w:val="center" w:pos="4860"/>
        <w:tab w:val="right" w:pos="9180"/>
      </w:tabs>
      <w:rPr>
        <w:szCs w:val="16"/>
      </w:rPr>
    </w:pPr>
    <w:r>
      <w:rPr>
        <w:szCs w:val="16"/>
      </w:rPr>
      <w:t xml:space="preserve">Rulemaking </w:t>
    </w:r>
    <w:r w:rsidR="0070689B">
      <w:rPr>
        <w:szCs w:val="16"/>
      </w:rPr>
      <w:t>File</w:t>
    </w:r>
    <w:r w:rsidR="00A8502F">
      <w:rPr>
        <w:szCs w:val="16"/>
      </w:rPr>
      <w:t xml:space="preserve"> #</w:t>
    </w:r>
    <w:r>
      <w:rPr>
        <w:szCs w:val="16"/>
      </w:rPr>
      <w:t xml:space="preserve"> - Part</w:t>
    </w:r>
    <w:r w:rsidR="00A8502F">
      <w:rPr>
        <w:szCs w:val="16"/>
      </w:rPr>
      <w:t xml:space="preserve"> </w:t>
    </w:r>
    <w:r w:rsidR="000E6FA1">
      <w:rPr>
        <w:szCs w:val="16"/>
      </w:rPr>
      <w:t>10</w:t>
    </w:r>
    <w:r>
      <w:rPr>
        <w:szCs w:val="16"/>
      </w:rPr>
      <w:t xml:space="preserve"> -</w:t>
    </w:r>
    <w:r w:rsidR="00A8502F">
      <w:rPr>
        <w:szCs w:val="16"/>
      </w:rPr>
      <w:t xml:space="preserve"> </w:t>
    </w:r>
    <w:r w:rsidR="000E6FA1">
      <w:rPr>
        <w:szCs w:val="16"/>
      </w:rPr>
      <w:t>2024</w:t>
    </w:r>
    <w:r w:rsidR="00A8502F">
      <w:rPr>
        <w:szCs w:val="16"/>
      </w:rPr>
      <w:t xml:space="preserve"> Triennial </w:t>
    </w:r>
    <w:r w:rsidRPr="006D1470">
      <w:rPr>
        <w:szCs w:val="16"/>
      </w:rPr>
      <w:t>Code Cycle</w:t>
    </w:r>
    <w:r w:rsidR="0070689B">
      <w:rPr>
        <w:szCs w:val="16"/>
      </w:rPr>
      <w:tab/>
    </w:r>
    <w:r w:rsidR="00A8502F">
      <w:rPr>
        <w:szCs w:val="16"/>
      </w:rPr>
      <w:tab/>
    </w:r>
    <w:r w:rsidR="00AF245C">
      <w:rPr>
        <w:szCs w:val="16"/>
      </w:rPr>
      <w:t>IET</w:t>
    </w:r>
  </w:p>
  <w:p w14:paraId="4E70EC50" w14:textId="049D1473" w:rsidR="009C2981" w:rsidRDefault="00932189" w:rsidP="00A8502F">
    <w:pPr>
      <w:pStyle w:val="Footer"/>
      <w:tabs>
        <w:tab w:val="clear" w:pos="4320"/>
        <w:tab w:val="clear" w:pos="8640"/>
        <w:tab w:val="center" w:pos="4860"/>
        <w:tab w:val="right" w:pos="9180"/>
      </w:tabs>
    </w:pPr>
    <w:r>
      <w:rPr>
        <w:szCs w:val="16"/>
      </w:rPr>
      <w:t xml:space="preserve">The </w:t>
    </w:r>
    <w:r w:rsidR="00E621B0">
      <w:rPr>
        <w:szCs w:val="16"/>
      </w:rPr>
      <w:t>Division of the State Architect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E7CC4" w14:textId="77777777" w:rsidR="00124EA3" w:rsidRDefault="00124EA3">
      <w:r>
        <w:separator/>
      </w:r>
    </w:p>
  </w:footnote>
  <w:footnote w:type="continuationSeparator" w:id="0">
    <w:p w14:paraId="3382A9E4" w14:textId="77777777" w:rsidR="00124EA3" w:rsidRDefault="00124EA3">
      <w:r>
        <w:continuationSeparator/>
      </w:r>
    </w:p>
  </w:footnote>
  <w:footnote w:type="continuationNotice" w:id="1">
    <w:p w14:paraId="71DBCB75" w14:textId="77777777" w:rsidR="00124EA3" w:rsidRDefault="00124E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FB19" w14:textId="0187E375" w:rsidR="000A690E" w:rsidRDefault="000A690E">
    <w:pPr>
      <w:pStyle w:val="Header"/>
    </w:pPr>
    <w:r>
      <w:rPr>
        <w:noProof/>
      </w:rPr>
      <w:pict w14:anchorId="07A935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072954"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0A7B9680" w:rsidR="00ED27E1" w:rsidRDefault="000A690E" w:rsidP="00AA0C1D">
    <w:pPr>
      <w:pStyle w:val="Header"/>
      <w:tabs>
        <w:tab w:val="clear" w:pos="8640"/>
        <w:tab w:val="right" w:pos="9360"/>
      </w:tabs>
      <w:jc w:val="both"/>
      <w:rPr>
        <w:b w:val="0"/>
        <w:szCs w:val="16"/>
      </w:rPr>
    </w:pPr>
    <w:r>
      <w:rPr>
        <w:noProof/>
      </w:rPr>
      <w:pict w14:anchorId="3C00E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072955" o:spid="_x0000_s1027"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r w:rsidR="00ED27E1">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24C3" w14:textId="5E9E3E2B" w:rsidR="000A690E" w:rsidRDefault="000A690E">
    <w:pPr>
      <w:pStyle w:val="Header"/>
    </w:pPr>
    <w:r>
      <w:rPr>
        <w:noProof/>
      </w:rPr>
      <w:pict w14:anchorId="5B04B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072953"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063C563F"/>
    <w:multiLevelType w:val="hybridMultilevel"/>
    <w:tmpl w:val="02FE12C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A0B117D"/>
    <w:multiLevelType w:val="hybridMultilevel"/>
    <w:tmpl w:val="1D8498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339F2"/>
    <w:multiLevelType w:val="hybridMultilevel"/>
    <w:tmpl w:val="68C01F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26D0C2F"/>
    <w:multiLevelType w:val="hybridMultilevel"/>
    <w:tmpl w:val="D6D07C42"/>
    <w:lvl w:ilvl="0" w:tplc="4F4A339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D967D1"/>
    <w:multiLevelType w:val="hybridMultilevel"/>
    <w:tmpl w:val="A366088E"/>
    <w:lvl w:ilvl="0" w:tplc="0B762B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4"/>
  </w:num>
  <w:num w:numId="2" w16cid:durableId="79449155">
    <w:abstractNumId w:val="18"/>
  </w:num>
  <w:num w:numId="3" w16cid:durableId="1549343205">
    <w:abstractNumId w:val="10"/>
  </w:num>
  <w:num w:numId="4" w16cid:durableId="1290357534">
    <w:abstractNumId w:val="19"/>
  </w:num>
  <w:num w:numId="5" w16cid:durableId="366837411">
    <w:abstractNumId w:val="22"/>
  </w:num>
  <w:num w:numId="6" w16cid:durableId="707072491">
    <w:abstractNumId w:val="21"/>
  </w:num>
  <w:num w:numId="7" w16cid:durableId="182212069">
    <w:abstractNumId w:val="13"/>
  </w:num>
  <w:num w:numId="8" w16cid:durableId="1689793772">
    <w:abstractNumId w:val="15"/>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650013302">
    <w:abstractNumId w:val="16"/>
  </w:num>
  <w:num w:numId="30" w16cid:durableId="374546631">
    <w:abstractNumId w:val="17"/>
  </w:num>
  <w:num w:numId="31" w16cid:durableId="1390689447">
    <w:abstractNumId w:val="11"/>
  </w:num>
  <w:num w:numId="32" w16cid:durableId="1919830288">
    <w:abstractNumId w:val="12"/>
  </w:num>
  <w:num w:numId="33" w16cid:durableId="4252685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33152"/>
    <w:rsid w:val="0004511F"/>
    <w:rsid w:val="00050FED"/>
    <w:rsid w:val="0006560C"/>
    <w:rsid w:val="00072BA7"/>
    <w:rsid w:val="00077B06"/>
    <w:rsid w:val="00085000"/>
    <w:rsid w:val="000A690E"/>
    <w:rsid w:val="000B136A"/>
    <w:rsid w:val="000B4609"/>
    <w:rsid w:val="000B5D13"/>
    <w:rsid w:val="000E24B4"/>
    <w:rsid w:val="000E668B"/>
    <w:rsid w:val="000E6FA1"/>
    <w:rsid w:val="00104EFA"/>
    <w:rsid w:val="00110B4A"/>
    <w:rsid w:val="00123F82"/>
    <w:rsid w:val="00124EA3"/>
    <w:rsid w:val="0014236D"/>
    <w:rsid w:val="0014264E"/>
    <w:rsid w:val="00160B8C"/>
    <w:rsid w:val="00164809"/>
    <w:rsid w:val="00175449"/>
    <w:rsid w:val="0017608D"/>
    <w:rsid w:val="001810FA"/>
    <w:rsid w:val="001826F4"/>
    <w:rsid w:val="00190E7A"/>
    <w:rsid w:val="001C4F88"/>
    <w:rsid w:val="001D15D1"/>
    <w:rsid w:val="001D6449"/>
    <w:rsid w:val="001E0E55"/>
    <w:rsid w:val="001E2EAA"/>
    <w:rsid w:val="001E635B"/>
    <w:rsid w:val="001E71DE"/>
    <w:rsid w:val="001F184A"/>
    <w:rsid w:val="001F2A94"/>
    <w:rsid w:val="001F36D8"/>
    <w:rsid w:val="001F6735"/>
    <w:rsid w:val="00200E07"/>
    <w:rsid w:val="0020258E"/>
    <w:rsid w:val="00234A84"/>
    <w:rsid w:val="002537B1"/>
    <w:rsid w:val="002678E5"/>
    <w:rsid w:val="002915CB"/>
    <w:rsid w:val="00295E27"/>
    <w:rsid w:val="002965E0"/>
    <w:rsid w:val="002A48C2"/>
    <w:rsid w:val="002B110A"/>
    <w:rsid w:val="002D3F86"/>
    <w:rsid w:val="002E79DE"/>
    <w:rsid w:val="00301808"/>
    <w:rsid w:val="003046BC"/>
    <w:rsid w:val="0030639B"/>
    <w:rsid w:val="00332C1D"/>
    <w:rsid w:val="00351E2B"/>
    <w:rsid w:val="00353B32"/>
    <w:rsid w:val="003641DE"/>
    <w:rsid w:val="00364971"/>
    <w:rsid w:val="003847BE"/>
    <w:rsid w:val="003942B6"/>
    <w:rsid w:val="003A2189"/>
    <w:rsid w:val="003C56D4"/>
    <w:rsid w:val="003E0D9B"/>
    <w:rsid w:val="00421C03"/>
    <w:rsid w:val="004306D9"/>
    <w:rsid w:val="0043587E"/>
    <w:rsid w:val="00444C64"/>
    <w:rsid w:val="00446845"/>
    <w:rsid w:val="00450726"/>
    <w:rsid w:val="004553D3"/>
    <w:rsid w:val="00462492"/>
    <w:rsid w:val="00464BBC"/>
    <w:rsid w:val="0046521A"/>
    <w:rsid w:val="004957C8"/>
    <w:rsid w:val="004A22D6"/>
    <w:rsid w:val="004B2AB9"/>
    <w:rsid w:val="004B3569"/>
    <w:rsid w:val="004C48A0"/>
    <w:rsid w:val="004D2988"/>
    <w:rsid w:val="004F6977"/>
    <w:rsid w:val="00507ECB"/>
    <w:rsid w:val="00541492"/>
    <w:rsid w:val="005417DB"/>
    <w:rsid w:val="00553A7F"/>
    <w:rsid w:val="00563190"/>
    <w:rsid w:val="00593DDD"/>
    <w:rsid w:val="00596A97"/>
    <w:rsid w:val="005C20AF"/>
    <w:rsid w:val="005C71A3"/>
    <w:rsid w:val="005E162F"/>
    <w:rsid w:val="005F1F14"/>
    <w:rsid w:val="00600471"/>
    <w:rsid w:val="0061175B"/>
    <w:rsid w:val="0061614E"/>
    <w:rsid w:val="006169B9"/>
    <w:rsid w:val="00621EDB"/>
    <w:rsid w:val="00640B96"/>
    <w:rsid w:val="00642758"/>
    <w:rsid w:val="00664F8A"/>
    <w:rsid w:val="0066622F"/>
    <w:rsid w:val="0069558C"/>
    <w:rsid w:val="006A21F1"/>
    <w:rsid w:val="006B747C"/>
    <w:rsid w:val="006C2131"/>
    <w:rsid w:val="006C74ED"/>
    <w:rsid w:val="006D1470"/>
    <w:rsid w:val="006E4C6E"/>
    <w:rsid w:val="0070689B"/>
    <w:rsid w:val="00730444"/>
    <w:rsid w:val="0073368F"/>
    <w:rsid w:val="0073479C"/>
    <w:rsid w:val="00750097"/>
    <w:rsid w:val="007518DF"/>
    <w:rsid w:val="00767398"/>
    <w:rsid w:val="00767766"/>
    <w:rsid w:val="00797ADB"/>
    <w:rsid w:val="007B0231"/>
    <w:rsid w:val="007B3536"/>
    <w:rsid w:val="007B4553"/>
    <w:rsid w:val="007C35D8"/>
    <w:rsid w:val="007D4133"/>
    <w:rsid w:val="007D6038"/>
    <w:rsid w:val="007E33CB"/>
    <w:rsid w:val="007E77D7"/>
    <w:rsid w:val="0081299A"/>
    <w:rsid w:val="008236F5"/>
    <w:rsid w:val="0083127A"/>
    <w:rsid w:val="00860D91"/>
    <w:rsid w:val="00870B22"/>
    <w:rsid w:val="008908A5"/>
    <w:rsid w:val="008A2AC5"/>
    <w:rsid w:val="008A63B1"/>
    <w:rsid w:val="008B6F4E"/>
    <w:rsid w:val="008C7726"/>
    <w:rsid w:val="008E36A8"/>
    <w:rsid w:val="008F1AE2"/>
    <w:rsid w:val="008F2193"/>
    <w:rsid w:val="00904F97"/>
    <w:rsid w:val="0090753D"/>
    <w:rsid w:val="00932189"/>
    <w:rsid w:val="0093439A"/>
    <w:rsid w:val="00941E2D"/>
    <w:rsid w:val="00963DDB"/>
    <w:rsid w:val="00965AAB"/>
    <w:rsid w:val="00975FF7"/>
    <w:rsid w:val="009A693A"/>
    <w:rsid w:val="009B2DDB"/>
    <w:rsid w:val="009B4F9E"/>
    <w:rsid w:val="009B75E7"/>
    <w:rsid w:val="009C2981"/>
    <w:rsid w:val="009C529A"/>
    <w:rsid w:val="009D60C1"/>
    <w:rsid w:val="009E0E79"/>
    <w:rsid w:val="009E6B12"/>
    <w:rsid w:val="009F23ED"/>
    <w:rsid w:val="00A00AF5"/>
    <w:rsid w:val="00A138AA"/>
    <w:rsid w:val="00A14FA8"/>
    <w:rsid w:val="00A60CA1"/>
    <w:rsid w:val="00A76E67"/>
    <w:rsid w:val="00A81002"/>
    <w:rsid w:val="00A8502F"/>
    <w:rsid w:val="00A943FC"/>
    <w:rsid w:val="00A945EE"/>
    <w:rsid w:val="00AA0C1D"/>
    <w:rsid w:val="00AC1F10"/>
    <w:rsid w:val="00AC3145"/>
    <w:rsid w:val="00AD280C"/>
    <w:rsid w:val="00AE43A7"/>
    <w:rsid w:val="00AF245C"/>
    <w:rsid w:val="00AF4E96"/>
    <w:rsid w:val="00B10087"/>
    <w:rsid w:val="00B11AD5"/>
    <w:rsid w:val="00B12076"/>
    <w:rsid w:val="00B25E18"/>
    <w:rsid w:val="00BC1102"/>
    <w:rsid w:val="00BC3F6E"/>
    <w:rsid w:val="00BE48F6"/>
    <w:rsid w:val="00BF251B"/>
    <w:rsid w:val="00BF4682"/>
    <w:rsid w:val="00BF47E0"/>
    <w:rsid w:val="00C039F7"/>
    <w:rsid w:val="00C16208"/>
    <w:rsid w:val="00C31497"/>
    <w:rsid w:val="00C36475"/>
    <w:rsid w:val="00C44C36"/>
    <w:rsid w:val="00C50B55"/>
    <w:rsid w:val="00C6139C"/>
    <w:rsid w:val="00C67B72"/>
    <w:rsid w:val="00C74CC9"/>
    <w:rsid w:val="00C80CD9"/>
    <w:rsid w:val="00CA1A8A"/>
    <w:rsid w:val="00CA4C08"/>
    <w:rsid w:val="00CB4F72"/>
    <w:rsid w:val="00CC650A"/>
    <w:rsid w:val="00CD0746"/>
    <w:rsid w:val="00CD71EA"/>
    <w:rsid w:val="00CE1DCF"/>
    <w:rsid w:val="00CE406D"/>
    <w:rsid w:val="00CE56AD"/>
    <w:rsid w:val="00CE6536"/>
    <w:rsid w:val="00CF3372"/>
    <w:rsid w:val="00D205E3"/>
    <w:rsid w:val="00D275E7"/>
    <w:rsid w:val="00D4204A"/>
    <w:rsid w:val="00D75ED1"/>
    <w:rsid w:val="00D91AE2"/>
    <w:rsid w:val="00DA5CDA"/>
    <w:rsid w:val="00DD4449"/>
    <w:rsid w:val="00DE2A9C"/>
    <w:rsid w:val="00DE6DD1"/>
    <w:rsid w:val="00DF03A6"/>
    <w:rsid w:val="00DF7EE4"/>
    <w:rsid w:val="00E100C3"/>
    <w:rsid w:val="00E119F2"/>
    <w:rsid w:val="00E13DE1"/>
    <w:rsid w:val="00E16084"/>
    <w:rsid w:val="00E3790F"/>
    <w:rsid w:val="00E46E3A"/>
    <w:rsid w:val="00E53D35"/>
    <w:rsid w:val="00E621B0"/>
    <w:rsid w:val="00E709D1"/>
    <w:rsid w:val="00E929AD"/>
    <w:rsid w:val="00E935C2"/>
    <w:rsid w:val="00EB257F"/>
    <w:rsid w:val="00EC27FE"/>
    <w:rsid w:val="00EC55B6"/>
    <w:rsid w:val="00ED27E1"/>
    <w:rsid w:val="00ED470C"/>
    <w:rsid w:val="00EE18CC"/>
    <w:rsid w:val="00EF26E2"/>
    <w:rsid w:val="00EF7957"/>
    <w:rsid w:val="00F057BF"/>
    <w:rsid w:val="00F152F2"/>
    <w:rsid w:val="00F17139"/>
    <w:rsid w:val="00F4291A"/>
    <w:rsid w:val="00F61E87"/>
    <w:rsid w:val="00F768B4"/>
    <w:rsid w:val="00F87372"/>
    <w:rsid w:val="00F97C83"/>
    <w:rsid w:val="00FD45EA"/>
    <w:rsid w:val="00FE1FB5"/>
    <w:rsid w:val="00FE4917"/>
    <w:rsid w:val="00FF11EA"/>
    <w:rsid w:val="0C749148"/>
    <w:rsid w:val="3C0A7A75"/>
    <w:rsid w:val="5ED1E2F2"/>
    <w:rsid w:val="640AAAA6"/>
    <w:rsid w:val="6A92B433"/>
    <w:rsid w:val="6EABD3B0"/>
    <w:rsid w:val="720F95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AE0EC64B-2E8C-4B2B-AD3B-7B2CF204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paragraph" w:customStyle="1" w:styleId="p1">
    <w:name w:val="p1"/>
    <w:rsid w:val="0093439A"/>
    <w:pPr>
      <w:tabs>
        <w:tab w:val="left" w:pos="820"/>
      </w:tabs>
      <w:autoSpaceDE w:val="0"/>
      <w:autoSpaceDN w:val="0"/>
      <w:adjustRightInd w:val="0"/>
      <w:spacing w:before="60" w:after="60" w:line="220" w:lineRule="atLeast"/>
      <w:ind w:left="820" w:hanging="360"/>
      <w:jc w:val="both"/>
    </w:pPr>
    <w:rPr>
      <w:rFonts w:eastAsiaTheme="minorEastAsia"/>
      <w:color w:val="128AFF"/>
      <w:w w:val="0"/>
    </w:rPr>
  </w:style>
  <w:style w:type="paragraph" w:customStyle="1" w:styleId="tablecolumnhdr">
    <w:name w:val="table_column hdr"/>
    <w:uiPriority w:val="99"/>
    <w:rsid w:val="0093439A"/>
    <w:pPr>
      <w:suppressAutoHyphens/>
      <w:autoSpaceDE w:val="0"/>
      <w:autoSpaceDN w:val="0"/>
      <w:adjustRightInd w:val="0"/>
      <w:spacing w:line="160" w:lineRule="atLeast"/>
      <w:jc w:val="center"/>
    </w:pPr>
    <w:rPr>
      <w:rFonts w:ascii="Helvetica" w:eastAsiaTheme="minorEastAsia" w:hAnsi="Helvetica" w:cs="Helvetica"/>
      <w:b/>
      <w:bCs/>
      <w:color w:val="000000"/>
      <w:w w:val="0"/>
      <w:sz w:val="14"/>
      <w:szCs w:val="14"/>
    </w:rPr>
  </w:style>
  <w:style w:type="paragraph" w:customStyle="1" w:styleId="tablenotes">
    <w:name w:val="table_notes"/>
    <w:uiPriority w:val="99"/>
    <w:rsid w:val="0093439A"/>
    <w:pPr>
      <w:tabs>
        <w:tab w:val="left" w:pos="180"/>
      </w:tabs>
      <w:suppressAutoHyphens/>
      <w:autoSpaceDE w:val="0"/>
      <w:autoSpaceDN w:val="0"/>
      <w:adjustRightInd w:val="0"/>
      <w:spacing w:before="20" w:line="180" w:lineRule="atLeast"/>
      <w:ind w:left="180" w:hanging="180"/>
      <w:jc w:val="both"/>
    </w:pPr>
    <w:rPr>
      <w:rFonts w:ascii="Times" w:eastAsiaTheme="minorEastAsia" w:hAnsi="Times" w:cs="Times"/>
      <w:color w:val="000000"/>
      <w:w w:val="0"/>
      <w:sz w:val="16"/>
      <w:szCs w:val="16"/>
    </w:rPr>
  </w:style>
  <w:style w:type="paragraph" w:customStyle="1" w:styleId="tabletitle">
    <w:name w:val="tabletitle"/>
    <w:uiPriority w:val="99"/>
    <w:rsid w:val="0093439A"/>
    <w:pPr>
      <w:suppressAutoHyphens/>
      <w:autoSpaceDE w:val="0"/>
      <w:autoSpaceDN w:val="0"/>
      <w:adjustRightInd w:val="0"/>
      <w:spacing w:before="80" w:after="20" w:line="180" w:lineRule="atLeast"/>
      <w:jc w:val="center"/>
    </w:pPr>
    <w:rPr>
      <w:rFonts w:ascii="Helvetica" w:eastAsiaTheme="minorEastAsia" w:hAnsi="Helvetica" w:cs="Helvetica"/>
      <w:b/>
      <w:bCs/>
      <w:color w:val="000000"/>
      <w:w w:val="0"/>
      <w:sz w:val="16"/>
      <w:szCs w:val="16"/>
    </w:rPr>
  </w:style>
  <w:style w:type="paragraph" w:customStyle="1" w:styleId="tabletextleft">
    <w:name w:val="table_text_left"/>
    <w:uiPriority w:val="99"/>
    <w:rsid w:val="0093439A"/>
    <w:pPr>
      <w:autoSpaceDE w:val="0"/>
      <w:autoSpaceDN w:val="0"/>
      <w:adjustRightInd w:val="0"/>
      <w:spacing w:before="20" w:after="20" w:line="200" w:lineRule="atLeast"/>
    </w:pPr>
    <w:rPr>
      <w:rFonts w:ascii="Times" w:eastAsiaTheme="minorEastAsia" w:hAnsi="Times" w:cs="Times"/>
      <w:color w:val="FF0000"/>
      <w:w w:val="0"/>
      <w:sz w:val="18"/>
      <w:szCs w:val="18"/>
    </w:rPr>
  </w:style>
  <w:style w:type="paragraph" w:customStyle="1" w:styleId="tabletextcenter">
    <w:name w:val="table_text_center"/>
    <w:uiPriority w:val="99"/>
    <w:rsid w:val="0093439A"/>
    <w:pPr>
      <w:autoSpaceDE w:val="0"/>
      <w:autoSpaceDN w:val="0"/>
      <w:adjustRightInd w:val="0"/>
      <w:spacing w:before="20" w:after="20" w:line="200" w:lineRule="atLeast"/>
      <w:jc w:val="center"/>
    </w:pPr>
    <w:rPr>
      <w:rFonts w:ascii="Times" w:eastAsiaTheme="minorEastAsia" w:hAnsi="Times" w:cs="Times"/>
      <w:color w:val="000000"/>
      <w:w w:val="0"/>
      <w:sz w:val="18"/>
      <w:szCs w:val="18"/>
    </w:rPr>
  </w:style>
  <w:style w:type="character" w:customStyle="1" w:styleId="Superscript">
    <w:name w:val="Superscript"/>
    <w:uiPriority w:val="99"/>
    <w:rsid w:val="0093439A"/>
    <w:rPr>
      <w:vertAlign w:val="superscript"/>
    </w:rPr>
  </w:style>
  <w:style w:type="character" w:styleId="CommentReference">
    <w:name w:val="annotation reference"/>
    <w:basedOn w:val="DefaultParagraphFont"/>
    <w:semiHidden/>
    <w:unhideWhenUsed/>
    <w:rsid w:val="004A22D6"/>
    <w:rPr>
      <w:sz w:val="16"/>
      <w:szCs w:val="16"/>
    </w:rPr>
  </w:style>
  <w:style w:type="paragraph" w:styleId="CommentText">
    <w:name w:val="annotation text"/>
    <w:basedOn w:val="Normal"/>
    <w:link w:val="CommentTextChar"/>
    <w:unhideWhenUsed/>
    <w:rsid w:val="004A22D6"/>
    <w:rPr>
      <w:sz w:val="20"/>
    </w:rPr>
  </w:style>
  <w:style w:type="character" w:customStyle="1" w:styleId="CommentTextChar">
    <w:name w:val="Comment Text Char"/>
    <w:basedOn w:val="DefaultParagraphFont"/>
    <w:link w:val="CommentText"/>
    <w:rsid w:val="004A22D6"/>
    <w:rPr>
      <w:rFonts w:ascii="Arial" w:hAnsi="Arial"/>
      <w:snapToGrid w:val="0"/>
    </w:rPr>
  </w:style>
  <w:style w:type="paragraph" w:styleId="CommentSubject">
    <w:name w:val="annotation subject"/>
    <w:basedOn w:val="CommentText"/>
    <w:next w:val="CommentText"/>
    <w:link w:val="CommentSubjectChar"/>
    <w:semiHidden/>
    <w:unhideWhenUsed/>
    <w:rsid w:val="004A22D6"/>
    <w:rPr>
      <w:b/>
      <w:bCs/>
    </w:rPr>
  </w:style>
  <w:style w:type="character" w:customStyle="1" w:styleId="CommentSubjectChar">
    <w:name w:val="Comment Subject Char"/>
    <w:basedOn w:val="CommentTextChar"/>
    <w:link w:val="CommentSubject"/>
    <w:semiHidden/>
    <w:rsid w:val="004A22D6"/>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eb8cd1-2464-41be-8523-c59bdd2beeac" xsi:nil="true"/>
    <lcf76f155ced4ddcb4097134ff3c332f xmlns="2004248c-f1d6-47dc-9f2b-9b1d92808cd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7F1162D4A9F8C44AACF4EC9263F16AB" ma:contentTypeVersion="14" ma:contentTypeDescription="Create a new document." ma:contentTypeScope="" ma:versionID="7fe65cac72fe18a8d80ae8ffd5412423">
  <xsd:schema xmlns:xsd="http://www.w3.org/2001/XMLSchema" xmlns:xs="http://www.w3.org/2001/XMLSchema" xmlns:p="http://schemas.microsoft.com/office/2006/metadata/properties" xmlns:ns2="2004248c-f1d6-47dc-9f2b-9b1d92808cd3" xmlns:ns3="deeb8cd1-2464-41be-8523-c59bdd2beeac" targetNamespace="http://schemas.microsoft.com/office/2006/metadata/properties" ma:root="true" ma:fieldsID="a2589f263c42b4b9e0a80fdc3c094214" ns2:_="" ns3:_="">
    <xsd:import namespace="2004248c-f1d6-47dc-9f2b-9b1d92808cd3"/>
    <xsd:import namespace="deeb8cd1-2464-41be-8523-c59bdd2bee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4248c-f1d6-47dc-9f2b-9b1d92808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b8cd1-2464-41be-8523-c59bdd2bee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374314-1ff6-49ba-ae4d-1bc842bbde8d}" ma:internalName="TaxCatchAll" ma:showField="CatchAllData" ma:web="deeb8cd1-2464-41be-8523-c59bdd2beea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F12B240B-F26F-473B-B75D-68D4F44D7461}">
  <ds:schemaRefs>
    <ds:schemaRef ds:uri="http://www.w3.org/XML/1998/namespace"/>
    <ds:schemaRef ds:uri="deeb8cd1-2464-41be-8523-c59bdd2beeac"/>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004248c-f1d6-47dc-9f2b-9b1d92808cd3"/>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87E6AE63-4B8D-46C8-9A95-CEF200895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4248c-f1d6-47dc-9f2b-9b1d92808cd3"/>
    <ds:schemaRef ds:uri="deeb8cd1-2464-41be-8523-c59bdd2be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610</Words>
  <Characters>3575</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103</dc:title>
  <dc:subject/>
  <dc:creator>CBSC</dc:creator>
  <cp:keywords/>
  <cp:lastModifiedBy>Turner, Ryan@DGS</cp:lastModifiedBy>
  <cp:revision>69</cp:revision>
  <cp:lastPrinted>2020-02-18T23:46:00Z</cp:lastPrinted>
  <dcterms:created xsi:type="dcterms:W3CDTF">2023-10-09T17:20:00Z</dcterms:created>
  <dcterms:modified xsi:type="dcterms:W3CDTF">2024-03-28T15:50:00Z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0x010100F7F1162D4A9F8C44AACF4EC9263F16AB</vt:lpwstr>
  </property>
  <property fmtid="{D5CDD505-2E9C-101B-9397-08002B2CF9AE}" pid="3" name="MediaServiceImageTags">
    <vt:lpwstr/>
  </property>
</Properties>
</file>