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69395" w14:textId="77777777" w:rsidR="008714C7" w:rsidRDefault="00A23DA3" w:rsidP="00AE2F87">
      <w:pPr>
        <w:pStyle w:val="Heading1"/>
        <w:jc w:val="center"/>
        <w:rPr>
          <w:rFonts w:cs="Arial"/>
          <w:noProof/>
        </w:rPr>
      </w:pPr>
      <w:r w:rsidRPr="009B40E8">
        <w:t>INITIAL STATEMENT OF REASONS</w:t>
      </w:r>
      <w:r w:rsidR="009B40E8" w:rsidRPr="009B40E8">
        <w:br/>
      </w:r>
      <w:r w:rsidRPr="009B40E8">
        <w:t>FOR</w:t>
      </w:r>
      <w:r w:rsidR="00154D19" w:rsidRPr="009B40E8">
        <w:t xml:space="preserve"> </w:t>
      </w:r>
      <w:r w:rsidRPr="009B40E8">
        <w:t>PROPOSED BUILDING STANDARDS</w:t>
      </w:r>
      <w:r w:rsidR="00194C5C">
        <w:br/>
      </w:r>
      <w:r w:rsidRPr="009B40E8">
        <w:t>OF THE</w:t>
      </w:r>
      <w:r w:rsidR="00154D19" w:rsidRPr="009B40E8">
        <w:t xml:space="preserve"> </w:t>
      </w:r>
      <w:r w:rsidR="00A766C0" w:rsidRPr="00A766C0">
        <w:t>DIVISION OF THE STATE ARCHITECT – STRUCTURAL SAFETY (DSA-SS)</w:t>
      </w:r>
      <w:r w:rsidR="00953053">
        <w:br/>
      </w:r>
      <w:r w:rsidRPr="009B40E8">
        <w:rPr>
          <w:rFonts w:cs="Arial"/>
        </w:rPr>
        <w:t xml:space="preserve">REGARDING THE </w:t>
      </w:r>
      <w:r w:rsidR="00E570BD">
        <w:rPr>
          <w:rFonts w:cs="Arial"/>
        </w:rPr>
        <w:t xml:space="preserve">2019 CALIFORNIA </w:t>
      </w:r>
      <w:r w:rsidR="00345D85">
        <w:rPr>
          <w:rFonts w:cs="Arial"/>
        </w:rPr>
        <w:t xml:space="preserve">GREEN BUILDING STANDARDS </w:t>
      </w:r>
      <w:r w:rsidR="00E570BD">
        <w:rPr>
          <w:rFonts w:cs="Arial"/>
        </w:rPr>
        <w:t>CODE</w:t>
      </w:r>
      <w:r w:rsidR="00345D85">
        <w:rPr>
          <w:rFonts w:cs="Arial"/>
        </w:rPr>
        <w:t xml:space="preserve"> (CALGREEN)</w:t>
      </w:r>
      <w:r w:rsidR="00194C5C">
        <w:rPr>
          <w:rFonts w:cs="Arial"/>
        </w:rPr>
        <w:br/>
      </w:r>
      <w:r w:rsidRPr="009B40E8">
        <w:rPr>
          <w:rFonts w:cs="Arial"/>
        </w:rPr>
        <w:t>CALIFORNIA CODE OF REGULATIONS,</w:t>
      </w:r>
      <w:r w:rsidR="00796EC6">
        <w:rPr>
          <w:rFonts w:cs="Arial"/>
        </w:rPr>
        <w:t xml:space="preserve"> </w:t>
      </w:r>
      <w:r w:rsidRPr="009B40E8">
        <w:rPr>
          <w:rFonts w:cs="Arial"/>
        </w:rPr>
        <w:t xml:space="preserve">TITLE 24, PART </w:t>
      </w:r>
      <w:r w:rsidR="00E570BD">
        <w:rPr>
          <w:rFonts w:cs="Arial"/>
        </w:rPr>
        <w:t>1</w:t>
      </w:r>
      <w:r w:rsidR="000E4B01">
        <w:rPr>
          <w:rFonts w:cs="Arial"/>
        </w:rPr>
        <w:t>1</w:t>
      </w:r>
      <w:bookmarkStart w:id="0" w:name="_GoBack"/>
      <w:bookmarkEnd w:id="0"/>
    </w:p>
    <w:p w14:paraId="40B8A3BB" w14:textId="265DD04E" w:rsidR="00A23DA3" w:rsidRPr="009B40E8" w:rsidRDefault="008714C7" w:rsidP="008714C7">
      <w:pPr>
        <w:pStyle w:val="Heading1"/>
        <w:spacing w:before="120" w:after="120"/>
        <w:jc w:val="center"/>
      </w:pPr>
      <w:r w:rsidRPr="006646DE">
        <w:t>(</w:t>
      </w:r>
      <w:r w:rsidR="00E570BD">
        <w:t>BSC</w:t>
      </w:r>
      <w:r w:rsidR="00DD6746">
        <w:t>-SS</w:t>
      </w:r>
      <w:r w:rsidR="00E570BD">
        <w:t xml:space="preserve"> </w:t>
      </w:r>
      <w:r w:rsidR="00DD6746">
        <w:t>XX</w:t>
      </w:r>
      <w:r w:rsidR="00E570BD">
        <w:t>/19</w:t>
      </w:r>
      <w:r>
        <w:t>)</w:t>
      </w:r>
    </w:p>
    <w:p w14:paraId="066E064B" w14:textId="77777777" w:rsidR="00A23DA3" w:rsidRPr="00EC1966" w:rsidRDefault="00A23DA3" w:rsidP="00194C5C">
      <w:pPr>
        <w:spacing w:before="120"/>
        <w:rPr>
          <w:rFonts w:ascii="Arial" w:hAnsi="Arial" w:cs="Arial"/>
        </w:rPr>
      </w:pPr>
      <w:r w:rsidRPr="00EC1966">
        <w:rPr>
          <w:rFonts w:ascii="Arial" w:hAnsi="Arial" w:cs="Arial"/>
        </w:rPr>
        <w:t>The Administrative Procedure Act (APA) requires that an Initial Statement of Reasons be available to the public upon request when rulemaking action is being undertaken.  The following information required by the APA pertains to this particular rulemaking action:</w:t>
      </w:r>
    </w:p>
    <w:p w14:paraId="45F4180E" w14:textId="77777777" w:rsidR="00A23DA3" w:rsidRPr="00B25FCF" w:rsidRDefault="00A23DA3" w:rsidP="00AE2F87">
      <w:pPr>
        <w:pStyle w:val="Heading2"/>
        <w:rPr>
          <w:szCs w:val="24"/>
        </w:rPr>
      </w:pPr>
      <w:r w:rsidRPr="00B25FCF">
        <w:rPr>
          <w:szCs w:val="24"/>
        </w:rPr>
        <w:t>STATEMENT OF SPECIFIC</w:t>
      </w:r>
      <w:r w:rsidR="00383163" w:rsidRPr="00B25FCF">
        <w:rPr>
          <w:szCs w:val="24"/>
        </w:rPr>
        <w:t xml:space="preserve"> </w:t>
      </w:r>
      <w:r w:rsidR="009F4C5C" w:rsidRPr="00B25FCF">
        <w:rPr>
          <w:szCs w:val="24"/>
        </w:rPr>
        <w:t>PURPOSE,</w:t>
      </w:r>
      <w:r w:rsidRPr="00B25FCF">
        <w:rPr>
          <w:szCs w:val="24"/>
        </w:rPr>
        <w:t xml:space="preserve"> </w:t>
      </w:r>
      <w:r w:rsidR="009F4C5C" w:rsidRPr="00B25FCF">
        <w:rPr>
          <w:szCs w:val="24"/>
        </w:rPr>
        <w:t xml:space="preserve">PROBLEM, </w:t>
      </w:r>
      <w:r w:rsidRPr="00B25FCF">
        <w:rPr>
          <w:szCs w:val="24"/>
        </w:rPr>
        <w:t>RATIONALE</w:t>
      </w:r>
      <w:r w:rsidR="009F4C5C" w:rsidRPr="00B25FCF">
        <w:rPr>
          <w:szCs w:val="24"/>
        </w:rPr>
        <w:t xml:space="preserve"> and BENEFITS</w:t>
      </w:r>
    </w:p>
    <w:p w14:paraId="404B9C64" w14:textId="6A891FF7" w:rsidR="00A23DA3" w:rsidRDefault="00A23DA3" w:rsidP="00194C5C">
      <w:pPr>
        <w:widowControl/>
        <w:rPr>
          <w:rFonts w:ascii="Arial" w:hAnsi="Arial"/>
          <w:szCs w:val="24"/>
        </w:rPr>
      </w:pPr>
      <w:r w:rsidRPr="00685FA3">
        <w:rPr>
          <w:rFonts w:ascii="Arial" w:hAnsi="Arial"/>
          <w:szCs w:val="24"/>
        </w:rPr>
        <w:t>Government Code Section 11346.2</w:t>
      </w:r>
      <w:r w:rsidR="00135F2F" w:rsidRPr="00685FA3">
        <w:rPr>
          <w:rFonts w:ascii="Arial" w:hAnsi="Arial"/>
          <w:szCs w:val="24"/>
        </w:rPr>
        <w:t>(b)(1)</w:t>
      </w:r>
      <w:r w:rsidRPr="00685FA3">
        <w:rPr>
          <w:rFonts w:ascii="Arial" w:hAnsi="Arial"/>
          <w:szCs w:val="24"/>
        </w:rPr>
        <w:t xml:space="preserve"> requires a statement of specific purpose of </w:t>
      </w:r>
      <w:r w:rsidR="00E7437B" w:rsidRPr="00685FA3">
        <w:rPr>
          <w:rFonts w:ascii="Arial" w:hAnsi="Arial"/>
          <w:bCs/>
          <w:szCs w:val="24"/>
        </w:rPr>
        <w:t>each</w:t>
      </w:r>
      <w:r w:rsidRPr="00685FA3">
        <w:rPr>
          <w:rFonts w:ascii="Arial" w:hAnsi="Arial"/>
          <w:szCs w:val="24"/>
        </w:rPr>
        <w:t xml:space="preserve"> adoption, amendment, or repeal</w:t>
      </w:r>
      <w:r w:rsidR="00383163" w:rsidRPr="00685FA3">
        <w:rPr>
          <w:rFonts w:ascii="Arial" w:hAnsi="Arial"/>
          <w:szCs w:val="24"/>
        </w:rPr>
        <w:t xml:space="preserve"> and the problem the agency intends to address</w:t>
      </w:r>
      <w:r w:rsidRPr="00685FA3">
        <w:rPr>
          <w:rFonts w:ascii="Arial" w:hAnsi="Arial"/>
          <w:szCs w:val="24"/>
        </w:rPr>
        <w:t xml:space="preserve"> and the rational</w:t>
      </w:r>
      <w:r w:rsidR="00383163" w:rsidRPr="00685FA3">
        <w:rPr>
          <w:rFonts w:ascii="Arial" w:hAnsi="Arial"/>
          <w:szCs w:val="24"/>
        </w:rPr>
        <w:t>e</w:t>
      </w:r>
      <w:r w:rsidRPr="00685FA3">
        <w:rPr>
          <w:rFonts w:ascii="Arial" w:hAnsi="Arial"/>
          <w:szCs w:val="24"/>
        </w:rPr>
        <w:t xml:space="preserve"> </w:t>
      </w:r>
      <w:r w:rsidR="00383163" w:rsidRPr="00685FA3">
        <w:rPr>
          <w:rFonts w:ascii="Arial" w:hAnsi="Arial"/>
          <w:szCs w:val="24"/>
        </w:rPr>
        <w:t xml:space="preserve">for </w:t>
      </w:r>
      <w:r w:rsidRPr="00685FA3">
        <w:rPr>
          <w:rFonts w:ascii="Arial" w:hAnsi="Arial"/>
          <w:szCs w:val="24"/>
        </w:rPr>
        <w:t xml:space="preserve">the determination by the agency that </w:t>
      </w:r>
      <w:r w:rsidR="00E7437B" w:rsidRPr="00685FA3">
        <w:rPr>
          <w:rFonts w:ascii="Arial" w:hAnsi="Arial"/>
          <w:szCs w:val="24"/>
        </w:rPr>
        <w:t>each</w:t>
      </w:r>
      <w:r w:rsidRPr="00685FA3">
        <w:rPr>
          <w:rFonts w:ascii="Arial" w:hAnsi="Arial"/>
          <w:szCs w:val="24"/>
        </w:rPr>
        <w:t xml:space="preserve"> adoption, amendment, or repeal is reasonably necessary to carry out the purpose </w:t>
      </w:r>
      <w:r w:rsidR="00383163" w:rsidRPr="00685FA3">
        <w:rPr>
          <w:rFonts w:ascii="Arial" w:hAnsi="Arial"/>
          <w:szCs w:val="24"/>
        </w:rPr>
        <w:t xml:space="preserve">and address the problem </w:t>
      </w:r>
      <w:r w:rsidRPr="00685FA3">
        <w:rPr>
          <w:rFonts w:ascii="Arial" w:hAnsi="Arial"/>
          <w:szCs w:val="24"/>
        </w:rPr>
        <w:t>for which it is proposed.</w:t>
      </w:r>
      <w:r w:rsidR="00383163" w:rsidRPr="00685FA3">
        <w:rPr>
          <w:rFonts w:ascii="Arial" w:hAnsi="Arial"/>
          <w:szCs w:val="24"/>
        </w:rPr>
        <w:t xml:space="preserve">  The statement shall enumerate the benefits </w:t>
      </w:r>
      <w:r w:rsidR="009F4C5C" w:rsidRPr="00685FA3">
        <w:rPr>
          <w:rFonts w:ascii="Arial" w:hAnsi="Arial"/>
          <w:szCs w:val="24"/>
        </w:rPr>
        <w:t>anticipated from the regulatory action, including the benefits or goals provided in the authorizing statute.</w:t>
      </w:r>
    </w:p>
    <w:p w14:paraId="299C39F9" w14:textId="7137C797" w:rsidR="00CE5694" w:rsidRDefault="00CE5694" w:rsidP="00194C5C">
      <w:pPr>
        <w:widowControl/>
        <w:rPr>
          <w:rFonts w:ascii="Arial" w:hAnsi="Arial"/>
          <w:szCs w:val="24"/>
        </w:rPr>
      </w:pPr>
    </w:p>
    <w:p w14:paraId="745A1D43" w14:textId="79A6891F" w:rsidR="00CE5694" w:rsidRDefault="00CE5694" w:rsidP="00CE5694">
      <w:pPr>
        <w:widowControl/>
        <w:rPr>
          <w:rFonts w:ascii="Arial" w:hAnsi="Arial"/>
          <w:sz w:val="20"/>
        </w:rPr>
      </w:pPr>
      <w:r w:rsidRPr="00D1427F">
        <w:rPr>
          <w:rFonts w:ascii="Arial" w:hAnsi="Arial"/>
          <w:b/>
          <w:szCs w:val="24"/>
        </w:rPr>
        <w:t>General purpose, problem, rationale and benefits:</w:t>
      </w:r>
      <w:r w:rsidRPr="00D1427F">
        <w:rPr>
          <w:rFonts w:ascii="Arial" w:hAnsi="Arial"/>
          <w:szCs w:val="24"/>
        </w:rPr>
        <w:t xml:space="preserve"> </w:t>
      </w:r>
      <w:r>
        <w:rPr>
          <w:rFonts w:ascii="Arial" w:hAnsi="Arial"/>
          <w:szCs w:val="24"/>
        </w:rPr>
        <w:t>DSA-SS</w:t>
      </w:r>
      <w:r w:rsidRPr="00D1427F">
        <w:rPr>
          <w:rFonts w:ascii="Arial" w:hAnsi="Arial"/>
          <w:szCs w:val="24"/>
        </w:rPr>
        <w:t xml:space="preserve"> proposes to </w:t>
      </w:r>
      <w:r>
        <w:rPr>
          <w:rFonts w:ascii="Arial" w:hAnsi="Arial"/>
          <w:szCs w:val="24"/>
        </w:rPr>
        <w:t>amend</w:t>
      </w:r>
      <w:r w:rsidRPr="00D1427F">
        <w:rPr>
          <w:rFonts w:ascii="Arial" w:hAnsi="Arial"/>
          <w:szCs w:val="24"/>
        </w:rPr>
        <w:t xml:space="preserve"> existing amendments from the 201</w:t>
      </w:r>
      <w:r>
        <w:rPr>
          <w:rFonts w:ascii="Arial" w:hAnsi="Arial"/>
          <w:szCs w:val="24"/>
        </w:rPr>
        <w:t>9</w:t>
      </w:r>
      <w:r w:rsidRPr="00D1427F">
        <w:rPr>
          <w:rFonts w:ascii="Arial" w:hAnsi="Arial"/>
          <w:szCs w:val="24"/>
        </w:rPr>
        <w:t xml:space="preserve"> California </w:t>
      </w:r>
      <w:r>
        <w:rPr>
          <w:rFonts w:ascii="Arial" w:hAnsi="Arial"/>
          <w:szCs w:val="24"/>
        </w:rPr>
        <w:t xml:space="preserve">Green Building Standards </w:t>
      </w:r>
      <w:r w:rsidRPr="00D1427F">
        <w:rPr>
          <w:rFonts w:ascii="Arial" w:hAnsi="Arial"/>
          <w:szCs w:val="24"/>
        </w:rPr>
        <w:t xml:space="preserve">Code for inclusion in the 2019 California </w:t>
      </w:r>
      <w:r>
        <w:rPr>
          <w:rFonts w:ascii="Arial" w:hAnsi="Arial"/>
          <w:szCs w:val="24"/>
        </w:rPr>
        <w:t xml:space="preserve">Green Building Standards </w:t>
      </w:r>
      <w:r w:rsidRPr="00D1427F">
        <w:rPr>
          <w:rFonts w:ascii="Arial" w:hAnsi="Arial"/>
          <w:szCs w:val="24"/>
        </w:rPr>
        <w:t>Code, unless specifically modified below.</w:t>
      </w:r>
      <w:r w:rsidRPr="005C722D">
        <w:rPr>
          <w:rFonts w:ascii="Arial" w:hAnsi="Arial"/>
          <w:sz w:val="20"/>
        </w:rPr>
        <w:t xml:space="preserve"> </w:t>
      </w:r>
    </w:p>
    <w:p w14:paraId="40218754" w14:textId="77777777" w:rsidR="00CE5694" w:rsidRDefault="00CE5694" w:rsidP="00CE5694">
      <w:pPr>
        <w:widowControl/>
        <w:rPr>
          <w:rFonts w:ascii="Arial" w:hAnsi="Arial"/>
          <w:sz w:val="20"/>
        </w:rPr>
      </w:pPr>
    </w:p>
    <w:p w14:paraId="6151823F" w14:textId="77777777" w:rsidR="00CE5694" w:rsidRDefault="00CE5694" w:rsidP="00CE5694">
      <w:pPr>
        <w:widowControl/>
        <w:rPr>
          <w:rFonts w:ascii="Arial" w:hAnsi="Arial"/>
          <w:szCs w:val="24"/>
        </w:rPr>
      </w:pPr>
      <w:r>
        <w:rPr>
          <w:rFonts w:ascii="Arial" w:hAnsi="Arial"/>
          <w:szCs w:val="24"/>
        </w:rPr>
        <w:t>Key amendments proposed during this code cycle include:</w:t>
      </w:r>
    </w:p>
    <w:p w14:paraId="5813A443" w14:textId="2486759C" w:rsidR="00CE5694" w:rsidRPr="00A35C8D" w:rsidRDefault="00CE5694" w:rsidP="00CE5694">
      <w:pPr>
        <w:widowControl/>
        <w:numPr>
          <w:ilvl w:val="0"/>
          <w:numId w:val="9"/>
        </w:numPr>
        <w:rPr>
          <w:rFonts w:ascii="Arial" w:hAnsi="Arial"/>
          <w:szCs w:val="24"/>
        </w:rPr>
      </w:pPr>
      <w:r>
        <w:rPr>
          <w:rFonts w:ascii="Arial" w:hAnsi="Arial"/>
          <w:szCs w:val="24"/>
        </w:rPr>
        <w:t>Amend the Electric Vehicle infrastructure tables to increase the percentages</w:t>
      </w:r>
      <w:r w:rsidRPr="00A35C8D">
        <w:rPr>
          <w:rFonts w:ascii="Arial" w:hAnsi="Arial"/>
          <w:szCs w:val="24"/>
        </w:rPr>
        <w:t xml:space="preserve"> </w:t>
      </w:r>
      <w:r>
        <w:rPr>
          <w:rFonts w:ascii="Arial" w:hAnsi="Arial"/>
          <w:szCs w:val="24"/>
        </w:rPr>
        <w:t>for mandatory</w:t>
      </w:r>
      <w:r w:rsidR="009149E6">
        <w:rPr>
          <w:rFonts w:ascii="Arial" w:hAnsi="Arial"/>
          <w:szCs w:val="24"/>
        </w:rPr>
        <w:t xml:space="preserve"> electric vehicle capable spaces.</w:t>
      </w:r>
    </w:p>
    <w:p w14:paraId="04918F09" w14:textId="77777777" w:rsidR="00CE5694" w:rsidRDefault="00CE5694" w:rsidP="00CE5694">
      <w:pPr>
        <w:widowControl/>
        <w:numPr>
          <w:ilvl w:val="0"/>
          <w:numId w:val="9"/>
        </w:numPr>
        <w:rPr>
          <w:rFonts w:ascii="Arial" w:hAnsi="Arial"/>
          <w:szCs w:val="24"/>
        </w:rPr>
      </w:pPr>
      <w:r>
        <w:rPr>
          <w:rFonts w:ascii="Arial" w:hAnsi="Arial"/>
          <w:szCs w:val="24"/>
        </w:rPr>
        <w:t>Amend the Light Pollution reduction to add clarity.</w:t>
      </w:r>
    </w:p>
    <w:p w14:paraId="5F2906F0" w14:textId="77777777" w:rsidR="00CE5694" w:rsidRDefault="00CE5694" w:rsidP="00CE5694">
      <w:pPr>
        <w:widowControl/>
        <w:numPr>
          <w:ilvl w:val="0"/>
          <w:numId w:val="9"/>
        </w:numPr>
        <w:rPr>
          <w:rFonts w:ascii="Arial" w:hAnsi="Arial"/>
          <w:szCs w:val="24"/>
        </w:rPr>
      </w:pPr>
      <w:r>
        <w:rPr>
          <w:rFonts w:ascii="Arial" w:hAnsi="Arial"/>
          <w:szCs w:val="24"/>
        </w:rPr>
        <w:t>Relocate pre-rinse spray valves from voluntary into mandatory with additional amendments to reference Title 20.</w:t>
      </w:r>
    </w:p>
    <w:p w14:paraId="43FC07A5" w14:textId="77777777" w:rsidR="00CE5694" w:rsidRDefault="00CE5694" w:rsidP="00CE5694">
      <w:pPr>
        <w:widowControl/>
        <w:numPr>
          <w:ilvl w:val="0"/>
          <w:numId w:val="9"/>
        </w:numPr>
        <w:rPr>
          <w:rFonts w:ascii="Arial" w:hAnsi="Arial"/>
          <w:szCs w:val="24"/>
        </w:rPr>
      </w:pPr>
      <w:r>
        <w:rPr>
          <w:rFonts w:ascii="Arial" w:hAnsi="Arial"/>
          <w:szCs w:val="24"/>
        </w:rPr>
        <w:t>Update the VOC limits reference standard for Carpet systems, Carpet cushion and Resilient flooring systems in the mandatory and voluntary code provisions.</w:t>
      </w:r>
    </w:p>
    <w:p w14:paraId="0B63B60F" w14:textId="77777777" w:rsidR="00CE5694" w:rsidRPr="00F010ED" w:rsidRDefault="00CE5694" w:rsidP="00CE5694">
      <w:pPr>
        <w:widowControl/>
        <w:ind w:left="360"/>
        <w:rPr>
          <w:rFonts w:ascii="Arial" w:hAnsi="Arial"/>
          <w:szCs w:val="24"/>
        </w:rPr>
      </w:pPr>
    </w:p>
    <w:p w14:paraId="0B4C13DA" w14:textId="638BA609" w:rsidR="00CE5694" w:rsidRDefault="00CE5694" w:rsidP="00CE5694">
      <w:pPr>
        <w:widowControl/>
        <w:rPr>
          <w:rFonts w:ascii="Arial" w:hAnsi="Arial"/>
          <w:szCs w:val="24"/>
        </w:rPr>
      </w:pPr>
      <w:r w:rsidRPr="002472F3">
        <w:rPr>
          <w:rFonts w:ascii="Arial" w:hAnsi="Arial"/>
          <w:szCs w:val="24"/>
        </w:rPr>
        <w:t xml:space="preserve">The intent of the code continues to (1) reduce greenhouse gas (GHG) emissions from buildings, (2) promote environmentally responsible, cost-effective, healthier places to live and work and </w:t>
      </w:r>
      <w:r>
        <w:rPr>
          <w:rFonts w:ascii="Arial" w:hAnsi="Arial"/>
          <w:szCs w:val="24"/>
        </w:rPr>
        <w:t xml:space="preserve">(3) </w:t>
      </w:r>
      <w:r w:rsidRPr="002472F3">
        <w:rPr>
          <w:rFonts w:ascii="Arial" w:hAnsi="Arial"/>
          <w:szCs w:val="24"/>
        </w:rPr>
        <w:t>reduce potable water consumption in buildings.</w:t>
      </w:r>
      <w:r w:rsidR="0002579D">
        <w:rPr>
          <w:rFonts w:ascii="Arial" w:hAnsi="Arial"/>
          <w:szCs w:val="24"/>
        </w:rPr>
        <w:t xml:space="preserve"> </w:t>
      </w:r>
    </w:p>
    <w:p w14:paraId="7F6D872D" w14:textId="77777777" w:rsidR="0002579D" w:rsidRPr="002472F3" w:rsidRDefault="0002579D" w:rsidP="00CE5694">
      <w:pPr>
        <w:widowControl/>
        <w:rPr>
          <w:rFonts w:ascii="Arial" w:hAnsi="Arial"/>
          <w:szCs w:val="24"/>
        </w:rPr>
      </w:pPr>
    </w:p>
    <w:p w14:paraId="00A240BB" w14:textId="14CF93F8" w:rsidR="00CE5694" w:rsidRPr="004B24E0" w:rsidRDefault="00CE5694" w:rsidP="00CE5694">
      <w:pPr>
        <w:widowControl/>
        <w:rPr>
          <w:rFonts w:ascii="Arial" w:hAnsi="Arial"/>
          <w:szCs w:val="24"/>
        </w:rPr>
      </w:pPr>
      <w:r w:rsidRPr="0002579D">
        <w:rPr>
          <w:rFonts w:ascii="Arial" w:hAnsi="Arial"/>
          <w:szCs w:val="24"/>
        </w:rPr>
        <w:t xml:space="preserve">The proposed changes to the building standards with statewide application will lead to substantial environmental benefits through reduction in GHG emissions, criteria pollutants, and fossil fuel dependency leading to improved public health, and potentially result in significant cost savings (avoided costs) associated with future installation of EV charging stations at </w:t>
      </w:r>
      <w:r w:rsidR="0002579D">
        <w:rPr>
          <w:rFonts w:ascii="Arial" w:hAnsi="Arial"/>
          <w:szCs w:val="24"/>
        </w:rPr>
        <w:t>public K-12 schools and community colleges.</w:t>
      </w:r>
    </w:p>
    <w:p w14:paraId="6B99F1B0" w14:textId="77777777" w:rsidR="00CE5694" w:rsidRDefault="00CE5694" w:rsidP="00CE5694">
      <w:pPr>
        <w:widowControl/>
        <w:rPr>
          <w:rFonts w:ascii="Arial" w:hAnsi="Arial"/>
          <w:szCs w:val="24"/>
        </w:rPr>
      </w:pPr>
    </w:p>
    <w:p w14:paraId="0BD9F024" w14:textId="77777777" w:rsidR="00CE5694" w:rsidRPr="00ED5DE1" w:rsidRDefault="00CE5694" w:rsidP="00CE5694">
      <w:pPr>
        <w:widowControl/>
        <w:spacing w:after="480"/>
        <w:rPr>
          <w:rFonts w:ascii="Arial" w:hAnsi="Arial" w:cs="Arial"/>
          <w:szCs w:val="24"/>
        </w:rPr>
      </w:pPr>
      <w:r w:rsidRPr="00ED5DE1">
        <w:rPr>
          <w:rFonts w:ascii="Arial" w:hAnsi="Arial" w:cs="Arial"/>
          <w:szCs w:val="24"/>
        </w:rPr>
        <w:t xml:space="preserve">The proposed additions, amendments and deletions to Chapter </w:t>
      </w:r>
      <w:r>
        <w:rPr>
          <w:rFonts w:ascii="Arial" w:hAnsi="Arial" w:cs="Arial"/>
          <w:szCs w:val="24"/>
        </w:rPr>
        <w:t>5</w:t>
      </w:r>
      <w:r w:rsidRPr="00ED5DE1">
        <w:rPr>
          <w:rFonts w:ascii="Arial" w:hAnsi="Arial" w:cs="Arial"/>
          <w:szCs w:val="24"/>
        </w:rPr>
        <w:t xml:space="preserve">, of Part </w:t>
      </w:r>
      <w:r>
        <w:rPr>
          <w:rFonts w:ascii="Arial" w:hAnsi="Arial" w:cs="Arial"/>
          <w:szCs w:val="24"/>
        </w:rPr>
        <w:t>11</w:t>
      </w:r>
      <w:r w:rsidRPr="00ED5DE1">
        <w:rPr>
          <w:rFonts w:ascii="Arial" w:hAnsi="Arial" w:cs="Arial"/>
          <w:szCs w:val="24"/>
        </w:rPr>
        <w:t xml:space="preserve">, Title 24, California Code of Regulations, are being made </w:t>
      </w:r>
      <w:r>
        <w:rPr>
          <w:rFonts w:ascii="Arial" w:hAnsi="Arial" w:cs="Arial"/>
          <w:szCs w:val="24"/>
        </w:rPr>
        <w:t>to clarify, implement and make specific requirements relative to the following items:</w:t>
      </w:r>
    </w:p>
    <w:p w14:paraId="4C4DFFD2" w14:textId="77777777" w:rsidR="00CE5694" w:rsidRDefault="002724F1" w:rsidP="00CE5694">
      <w:pPr>
        <w:widowControl/>
        <w:spacing w:after="120"/>
        <w:rPr>
          <w:rFonts w:cs="Arial"/>
          <w:b/>
          <w:color w:val="000000"/>
        </w:rPr>
      </w:pPr>
      <w:r w:rsidRPr="002724F1">
        <w:rPr>
          <w:rFonts w:ascii="Arial" w:hAnsi="Arial"/>
          <w:b/>
          <w:szCs w:val="24"/>
          <w:u w:val="single"/>
        </w:rPr>
        <w:lastRenderedPageBreak/>
        <w:t>ITEM 1.</w:t>
      </w:r>
      <w:r>
        <w:rPr>
          <w:rFonts w:ascii="Arial" w:hAnsi="Arial"/>
          <w:b/>
          <w:szCs w:val="24"/>
        </w:rPr>
        <w:t xml:space="preserve"> </w:t>
      </w:r>
      <w:r w:rsidR="00CE5694" w:rsidRPr="00AF2CF7">
        <w:rPr>
          <w:rFonts w:cs="Arial"/>
          <w:b/>
          <w:color w:val="000000"/>
        </w:rPr>
        <w:t>ELECTRIC VEHICLE</w:t>
      </w:r>
      <w:r w:rsidR="00CE5694" w:rsidRPr="00CA2B3E">
        <w:rPr>
          <w:rFonts w:cs="Arial"/>
          <w:b/>
          <w:color w:val="000000"/>
        </w:rPr>
        <w:t xml:space="preserve"> INFRASTRUCTURE</w:t>
      </w:r>
    </w:p>
    <w:p w14:paraId="675C0B9B" w14:textId="77777777" w:rsidR="00CE5694" w:rsidRDefault="00CE5694" w:rsidP="00CE5694">
      <w:pPr>
        <w:widowControl/>
        <w:spacing w:after="120"/>
        <w:rPr>
          <w:rFonts w:cs="Arial"/>
          <w:b/>
          <w:color w:val="000000"/>
        </w:rPr>
      </w:pPr>
      <w:r w:rsidRPr="0019491E">
        <w:rPr>
          <w:rFonts w:cs="Arial"/>
          <w:b/>
          <w:color w:val="000000"/>
        </w:rPr>
        <w:t>Table 5.106.5.3.3</w:t>
      </w:r>
      <w:r w:rsidRPr="0019491E">
        <w:t xml:space="preserve"> </w:t>
      </w:r>
      <w:r w:rsidRPr="0019491E">
        <w:rPr>
          <w:rFonts w:cs="Arial"/>
          <w:b/>
          <w:color w:val="000000"/>
        </w:rPr>
        <w:t>EV charging space calculation.</w:t>
      </w:r>
    </w:p>
    <w:p w14:paraId="51361DDD" w14:textId="77777777" w:rsidR="00CE5694" w:rsidRPr="00CA2B3E" w:rsidRDefault="00CE5694" w:rsidP="00CE5694">
      <w:pPr>
        <w:widowControl/>
        <w:spacing w:after="120"/>
        <w:rPr>
          <w:rFonts w:cs="Arial"/>
          <w:b/>
          <w:color w:val="000000"/>
        </w:rPr>
      </w:pPr>
      <w:r>
        <w:rPr>
          <w:rFonts w:cs="Arial"/>
          <w:b/>
          <w:color w:val="000000"/>
        </w:rPr>
        <w:t xml:space="preserve">Section </w:t>
      </w:r>
      <w:r w:rsidRPr="0019491E">
        <w:rPr>
          <w:rFonts w:cs="Arial"/>
          <w:b/>
          <w:color w:val="000000"/>
        </w:rPr>
        <w:t>5.106.5.3.5</w:t>
      </w:r>
      <w:r>
        <w:rPr>
          <w:rFonts w:cs="Arial"/>
          <w:b/>
          <w:color w:val="000000"/>
        </w:rPr>
        <w:t xml:space="preserve"> </w:t>
      </w:r>
      <w:r w:rsidRPr="001A642C">
        <w:rPr>
          <w:rFonts w:cs="Arial"/>
          <w:b/>
          <w:color w:val="000000"/>
          <w:u w:val="single"/>
        </w:rPr>
        <w:t>[N]</w:t>
      </w:r>
      <w:r w:rsidRPr="0019491E">
        <w:rPr>
          <w:rFonts w:cs="Arial"/>
          <w:b/>
          <w:color w:val="000000"/>
        </w:rPr>
        <w:t xml:space="preserve"> Future charging spaces.</w:t>
      </w:r>
    </w:p>
    <w:p w14:paraId="250E9FFC" w14:textId="51BFF605" w:rsidR="002C4AAA" w:rsidRDefault="002C4AAA" w:rsidP="002C4AAA">
      <w:pPr>
        <w:widowControl/>
        <w:rPr>
          <w:rFonts w:ascii="Arial" w:hAnsi="Arial" w:cs="Arial"/>
          <w:b/>
          <w:snapToGrid/>
          <w:color w:val="000000"/>
          <w:szCs w:val="24"/>
        </w:rPr>
      </w:pPr>
    </w:p>
    <w:p w14:paraId="161CFF9B" w14:textId="0ADDDD98" w:rsidR="00C64AC8" w:rsidRDefault="00087D5D" w:rsidP="002C4AAA">
      <w:pPr>
        <w:widowControl/>
        <w:rPr>
          <w:rFonts w:cs="Arial"/>
          <w:color w:val="000000"/>
        </w:rPr>
      </w:pPr>
      <w:r>
        <w:rPr>
          <w:rFonts w:cs="Arial"/>
        </w:rPr>
        <w:t>DSA</w:t>
      </w:r>
      <w:r w:rsidR="00830E7F">
        <w:rPr>
          <w:rFonts w:cs="Arial"/>
        </w:rPr>
        <w:t>-SS</w:t>
      </w:r>
      <w:r w:rsidR="00F04711" w:rsidRPr="003F6B5F">
        <w:rPr>
          <w:rFonts w:cs="Arial"/>
          <w:b/>
        </w:rPr>
        <w:t xml:space="preserve"> </w:t>
      </w:r>
      <w:r w:rsidR="00F04711" w:rsidRPr="003F6B5F">
        <w:rPr>
          <w:rFonts w:cs="Arial"/>
        </w:rPr>
        <w:t>is proposing to increase the</w:t>
      </w:r>
      <w:r w:rsidR="00F04711" w:rsidRPr="003F6B5F">
        <w:rPr>
          <w:rFonts w:cs="Arial"/>
          <w:color w:val="000000"/>
        </w:rPr>
        <w:t xml:space="preserve"> percentage </w:t>
      </w:r>
      <w:r w:rsidR="00F04711">
        <w:rPr>
          <w:rFonts w:cs="Arial"/>
          <w:color w:val="000000"/>
        </w:rPr>
        <w:t>of electric vehicle infrastructure</w:t>
      </w:r>
      <w:r w:rsidR="00F04711" w:rsidRPr="003F6B5F">
        <w:rPr>
          <w:rFonts w:cs="Arial"/>
          <w:color w:val="000000"/>
        </w:rPr>
        <w:t xml:space="preserve"> stalls for inclusion in </w:t>
      </w:r>
      <w:r w:rsidR="00F04711">
        <w:rPr>
          <w:rFonts w:cs="Arial"/>
          <w:color w:val="000000"/>
        </w:rPr>
        <w:t xml:space="preserve">the 2019 CALGreen Code, </w:t>
      </w:r>
      <w:r w:rsidR="009935D5">
        <w:rPr>
          <w:rFonts w:cs="Arial"/>
          <w:color w:val="000000"/>
        </w:rPr>
        <w:t>Table 5.1</w:t>
      </w:r>
      <w:r w:rsidR="0034030E">
        <w:rPr>
          <w:rFonts w:cs="Arial"/>
          <w:color w:val="000000"/>
        </w:rPr>
        <w:t>06.5.3.3</w:t>
      </w:r>
      <w:r w:rsidR="00F04711" w:rsidRPr="003F6B5F">
        <w:rPr>
          <w:rFonts w:cs="Arial"/>
          <w:color w:val="000000"/>
        </w:rPr>
        <w:t xml:space="preserve"> for </w:t>
      </w:r>
      <w:r w:rsidR="00F04711">
        <w:rPr>
          <w:rFonts w:cs="Arial"/>
          <w:color w:val="000000"/>
        </w:rPr>
        <w:t xml:space="preserve">mandatory </w:t>
      </w:r>
      <w:r w:rsidR="00F04711" w:rsidRPr="003F6B5F">
        <w:rPr>
          <w:rFonts w:cs="Arial"/>
          <w:color w:val="000000"/>
        </w:rPr>
        <w:t>measures</w:t>
      </w:r>
      <w:r w:rsidR="0002579D">
        <w:rPr>
          <w:rFonts w:cs="Arial"/>
          <w:color w:val="000000"/>
        </w:rPr>
        <w:t xml:space="preserve"> for new public K-12 schools and community college campuses, and new parking structures and additions to existing parking areas on existing </w:t>
      </w:r>
      <w:r w:rsidR="009F1B7A">
        <w:rPr>
          <w:rFonts w:cs="Arial"/>
          <w:color w:val="000000"/>
        </w:rPr>
        <w:t>public K-12 schools and community college campuses</w:t>
      </w:r>
      <w:r w:rsidR="00F04711" w:rsidRPr="003F6B5F">
        <w:rPr>
          <w:rFonts w:cs="Arial"/>
          <w:color w:val="000000"/>
        </w:rPr>
        <w:t>.</w:t>
      </w:r>
      <w:r w:rsidR="006A71D1" w:rsidRPr="00082479">
        <w:rPr>
          <w:rFonts w:cs="Arial"/>
          <w:color w:val="000000"/>
        </w:rPr>
        <w:t xml:space="preserve">  </w:t>
      </w:r>
      <w:r w:rsidR="009C1F1B">
        <w:rPr>
          <w:rFonts w:cs="Arial"/>
          <w:color w:val="000000"/>
        </w:rPr>
        <w:t>DSA</w:t>
      </w:r>
      <w:r w:rsidR="006A71D1">
        <w:rPr>
          <w:rFonts w:cs="Arial"/>
          <w:color w:val="000000"/>
        </w:rPr>
        <w:t xml:space="preserve"> is also proposing an amendment to the EV</w:t>
      </w:r>
      <w:r w:rsidR="00C16CC7">
        <w:rPr>
          <w:rFonts w:cs="Arial"/>
          <w:color w:val="000000"/>
        </w:rPr>
        <w:t xml:space="preserve"> code Section</w:t>
      </w:r>
      <w:r w:rsidR="006A71D1">
        <w:rPr>
          <w:rFonts w:cs="Arial"/>
          <w:color w:val="000000"/>
        </w:rPr>
        <w:t xml:space="preserve"> 5.106.5.3.5 by adding a </w:t>
      </w:r>
      <w:r w:rsidR="00C16CC7">
        <w:rPr>
          <w:rFonts w:cs="Arial"/>
          <w:color w:val="000000"/>
        </w:rPr>
        <w:t>“N</w:t>
      </w:r>
      <w:r w:rsidR="006A71D1">
        <w:rPr>
          <w:rFonts w:cs="Arial"/>
          <w:color w:val="000000"/>
        </w:rPr>
        <w:t>ote</w:t>
      </w:r>
      <w:r w:rsidR="00C16CC7">
        <w:rPr>
          <w:rFonts w:cs="Arial"/>
          <w:color w:val="000000"/>
        </w:rPr>
        <w:t>”</w:t>
      </w:r>
      <w:r w:rsidR="006A71D1">
        <w:rPr>
          <w:rFonts w:cs="Arial"/>
          <w:color w:val="000000"/>
        </w:rPr>
        <w:t xml:space="preserve"> that states, “Future e</w:t>
      </w:r>
      <w:r w:rsidR="006A71D1" w:rsidRPr="005B63CE">
        <w:rPr>
          <w:rFonts w:cs="Arial"/>
          <w:color w:val="000000"/>
        </w:rPr>
        <w:t>lectric vehicle charging spaces shall be considered parking spaces and shall count for the total parking spaces required by the local enforcing agencies</w:t>
      </w:r>
      <w:r w:rsidR="006A71D1">
        <w:rPr>
          <w:rFonts w:cs="Arial"/>
          <w:color w:val="000000"/>
        </w:rPr>
        <w:t>.”</w:t>
      </w:r>
      <w:r w:rsidR="00C64AC8" w:rsidRPr="00C64AC8">
        <w:rPr>
          <w:rFonts w:cs="Arial"/>
          <w:color w:val="000000"/>
        </w:rPr>
        <w:t xml:space="preserve"> </w:t>
      </w:r>
      <w:r w:rsidR="00C64AC8">
        <w:rPr>
          <w:rFonts w:cs="Arial"/>
          <w:color w:val="000000"/>
        </w:rPr>
        <w:t xml:space="preserve">This amendment is needed because there is confusion from designers and local enforcing agencies that misinterpret the intent of the </w:t>
      </w:r>
      <w:r w:rsidR="009B2A2A">
        <w:rPr>
          <w:rFonts w:cs="Arial"/>
          <w:color w:val="000000"/>
        </w:rPr>
        <w:t>future EV</w:t>
      </w:r>
      <w:r w:rsidR="00C64AC8">
        <w:rPr>
          <w:rFonts w:cs="Arial"/>
          <w:color w:val="000000"/>
        </w:rPr>
        <w:t xml:space="preserve"> </w:t>
      </w:r>
      <w:r w:rsidR="00832F21">
        <w:rPr>
          <w:rFonts w:cs="Arial"/>
          <w:color w:val="000000"/>
        </w:rPr>
        <w:t>charging</w:t>
      </w:r>
      <w:r w:rsidR="00C64AC8">
        <w:rPr>
          <w:rFonts w:cs="Arial"/>
          <w:color w:val="000000"/>
        </w:rPr>
        <w:t xml:space="preserve"> stalls as not counting toward the total parking spaces requirements.</w:t>
      </w:r>
      <w:r w:rsidR="0002579D">
        <w:rPr>
          <w:rFonts w:cs="Arial"/>
          <w:color w:val="000000"/>
        </w:rPr>
        <w:t xml:space="preserve"> While this note does not apply to public K-12 schools and community colleges, DSA does co-adopt this provision with the California Building Standards Commission for clarity of code application, and the adoption of this note will not result in any regulatory effect for public K-12 schools and community colleges.</w:t>
      </w:r>
    </w:p>
    <w:p w14:paraId="2ED80E8E" w14:textId="77777777" w:rsidR="002C4AAA" w:rsidRDefault="002C4AAA" w:rsidP="002C4AAA">
      <w:pPr>
        <w:widowControl/>
        <w:rPr>
          <w:rFonts w:cs="Arial"/>
          <w:color w:val="000000"/>
        </w:rPr>
      </w:pPr>
    </w:p>
    <w:p w14:paraId="517EAB6D" w14:textId="77777777" w:rsidR="004E0FAD" w:rsidRPr="00082479" w:rsidRDefault="004E0FAD" w:rsidP="004C7FE7">
      <w:pPr>
        <w:rPr>
          <w:rFonts w:cs="Arial"/>
          <w:b/>
          <w:color w:val="000000"/>
        </w:rPr>
      </w:pPr>
      <w:r w:rsidRPr="00082479">
        <w:rPr>
          <w:rFonts w:cs="Arial"/>
          <w:b/>
          <w:color w:val="000000"/>
        </w:rPr>
        <w:t>History:</w:t>
      </w:r>
    </w:p>
    <w:p w14:paraId="03834AD8" w14:textId="570ED686" w:rsidR="004E0FAD" w:rsidRPr="00082479" w:rsidRDefault="009C1F1B" w:rsidP="004C7FE7">
      <w:pPr>
        <w:rPr>
          <w:rFonts w:cs="Arial"/>
          <w:b/>
          <w:color w:val="000000"/>
        </w:rPr>
      </w:pPr>
      <w:r>
        <w:rPr>
          <w:rFonts w:cs="Arial"/>
          <w:color w:val="000000"/>
        </w:rPr>
        <w:t>DSA</w:t>
      </w:r>
      <w:r w:rsidR="004E0FAD">
        <w:rPr>
          <w:rFonts w:cs="Arial"/>
          <w:color w:val="000000"/>
        </w:rPr>
        <w:t>’s</w:t>
      </w:r>
      <w:r w:rsidR="004E0FAD" w:rsidRPr="00082479">
        <w:rPr>
          <w:rFonts w:cs="Arial"/>
          <w:color w:val="000000"/>
        </w:rPr>
        <w:t xml:space="preserve"> Zero Emission Vehicle (ZEV) regulation is one strategy to improve air quality and reduce greenhouse gas emissions through advanced technology vehicle production </w:t>
      </w:r>
      <w:r w:rsidR="004E0FAD" w:rsidRPr="00B65BCB">
        <w:rPr>
          <w:rFonts w:cs="Arial"/>
          <w:color w:val="000000"/>
        </w:rPr>
        <w:t xml:space="preserve">and </w:t>
      </w:r>
      <w:r w:rsidR="004E0FAD">
        <w:rPr>
          <w:rFonts w:cs="Arial"/>
          <w:color w:val="000000"/>
        </w:rPr>
        <w:t xml:space="preserve">Low-Emission Vehicle Regulations placed </w:t>
      </w:r>
      <w:r w:rsidR="004E0FAD" w:rsidRPr="00B65BCB">
        <w:rPr>
          <w:rFonts w:cs="Arial"/>
          <w:color w:val="000000"/>
        </w:rPr>
        <w:t>on automobile manufacturers. </w:t>
      </w:r>
      <w:r w:rsidR="004E0FAD" w:rsidRPr="00082479">
        <w:rPr>
          <w:rFonts w:cs="Arial"/>
          <w:color w:val="000000"/>
        </w:rPr>
        <w:t xml:space="preserve"> Consumers are embracing </w:t>
      </w:r>
      <w:r w:rsidR="004E0FAD">
        <w:rPr>
          <w:rFonts w:cs="Arial"/>
          <w:color w:val="000000"/>
        </w:rPr>
        <w:t>electric and electric/hybrid</w:t>
      </w:r>
      <w:r w:rsidR="004E0FAD" w:rsidRPr="00082479">
        <w:rPr>
          <w:rFonts w:cs="Arial"/>
          <w:color w:val="000000"/>
        </w:rPr>
        <w:t xml:space="preserve"> vehicles and there is a need for widespread infrastructure to support future ch</w:t>
      </w:r>
      <w:r w:rsidR="0002579D">
        <w:rPr>
          <w:rFonts w:cs="Arial"/>
          <w:color w:val="000000"/>
        </w:rPr>
        <w:t xml:space="preserve">arging needs. Additionally, the </w:t>
      </w:r>
      <w:r w:rsidR="004E0FAD" w:rsidRPr="00082479">
        <w:rPr>
          <w:rFonts w:cs="Arial"/>
          <w:color w:val="000000"/>
        </w:rPr>
        <w:t xml:space="preserve">Governor’s Office Zero Emission Vehicle </w:t>
      </w:r>
      <w:r w:rsidR="004E0FAD">
        <w:rPr>
          <w:rFonts w:cs="Arial"/>
          <w:color w:val="000000"/>
        </w:rPr>
        <w:t>(</w:t>
      </w:r>
      <w:r w:rsidR="004E0FAD" w:rsidRPr="00082479">
        <w:rPr>
          <w:rFonts w:cs="Arial"/>
          <w:color w:val="000000"/>
        </w:rPr>
        <w:t>ZEV</w:t>
      </w:r>
      <w:r w:rsidR="004E0FAD">
        <w:rPr>
          <w:rFonts w:cs="Arial"/>
          <w:color w:val="000000"/>
        </w:rPr>
        <w:t>)</w:t>
      </w:r>
      <w:r w:rsidR="004E0FAD" w:rsidRPr="00082479">
        <w:rPr>
          <w:rFonts w:cs="Arial"/>
          <w:color w:val="000000"/>
        </w:rPr>
        <w:t xml:space="preserve"> Action Plan identifies strategies and actions supporting the milestones identified in </w:t>
      </w:r>
      <w:r w:rsidR="004E0FAD">
        <w:rPr>
          <w:rFonts w:cs="Arial"/>
          <w:color w:val="000000"/>
        </w:rPr>
        <w:t>Executive Order B-16-</w:t>
      </w:r>
      <w:r w:rsidR="004E0FAD" w:rsidRPr="00082479">
        <w:rPr>
          <w:rFonts w:cs="Arial"/>
          <w:color w:val="000000"/>
        </w:rPr>
        <w:t>12</w:t>
      </w:r>
      <w:r w:rsidR="004E0FAD">
        <w:rPr>
          <w:rFonts w:cs="Arial"/>
          <w:color w:val="000000"/>
        </w:rPr>
        <w:t xml:space="preserve">, and a revised </w:t>
      </w:r>
      <w:r w:rsidR="004E0FAD" w:rsidRPr="00082479">
        <w:rPr>
          <w:rFonts w:cs="Arial"/>
          <w:color w:val="000000"/>
        </w:rPr>
        <w:t xml:space="preserve">target of </w:t>
      </w:r>
      <w:r w:rsidR="004E0FAD">
        <w:rPr>
          <w:rFonts w:cs="Arial"/>
          <w:color w:val="000000"/>
        </w:rPr>
        <w:t>5</w:t>
      </w:r>
      <w:r w:rsidR="004E0FAD" w:rsidRPr="00082479">
        <w:rPr>
          <w:rFonts w:cs="Arial"/>
          <w:color w:val="000000"/>
        </w:rPr>
        <w:t xml:space="preserve"> million ZEVs on California’s roadways by 20</w:t>
      </w:r>
      <w:r w:rsidR="004E0FAD">
        <w:rPr>
          <w:rFonts w:cs="Arial"/>
          <w:color w:val="000000"/>
        </w:rPr>
        <w:t xml:space="preserve">30 as directed by </w:t>
      </w:r>
      <w:r w:rsidR="004E0FAD" w:rsidRPr="00082479">
        <w:rPr>
          <w:rFonts w:cs="Arial"/>
          <w:color w:val="000000"/>
        </w:rPr>
        <w:t>Executive Order</w:t>
      </w:r>
      <w:r w:rsidR="004E0FAD">
        <w:rPr>
          <w:rFonts w:cs="Arial"/>
          <w:color w:val="000000"/>
        </w:rPr>
        <w:t xml:space="preserve"> B-48-18</w:t>
      </w:r>
      <w:r w:rsidR="004E0FAD" w:rsidRPr="00082479">
        <w:rPr>
          <w:rFonts w:cs="Arial"/>
          <w:color w:val="000000"/>
        </w:rPr>
        <w:t>.</w:t>
      </w:r>
      <w:r w:rsidR="004E0FAD" w:rsidRPr="00082479">
        <w:rPr>
          <w:rFonts w:cs="Arial"/>
          <w:b/>
          <w:color w:val="000000"/>
        </w:rPr>
        <w:t xml:space="preserve"> </w:t>
      </w:r>
    </w:p>
    <w:p w14:paraId="5EDAF691" w14:textId="77777777" w:rsidR="006A71D1" w:rsidRPr="00082479" w:rsidRDefault="006A71D1" w:rsidP="006A71D1">
      <w:pPr>
        <w:rPr>
          <w:rFonts w:cs="Arial"/>
          <w:color w:val="000000"/>
        </w:rPr>
      </w:pPr>
    </w:p>
    <w:p w14:paraId="45063A0E" w14:textId="38BAF608" w:rsidR="006A71D1" w:rsidRPr="00082479" w:rsidRDefault="006A71D1" w:rsidP="004C7FE7">
      <w:pPr>
        <w:rPr>
          <w:rFonts w:cs="Arial"/>
          <w:b/>
          <w:color w:val="000000"/>
        </w:rPr>
      </w:pPr>
      <w:r w:rsidRPr="00082479">
        <w:rPr>
          <w:rFonts w:cs="Arial"/>
          <w:b/>
          <w:color w:val="000000"/>
        </w:rPr>
        <w:t>Rationale for proposed code change:</w:t>
      </w:r>
    </w:p>
    <w:p w14:paraId="7B56E071" w14:textId="0CD2A45D" w:rsidR="0002579D" w:rsidRDefault="009C1F1B" w:rsidP="0002579D">
      <w:pPr>
        <w:widowControl/>
        <w:rPr>
          <w:rFonts w:cs="Arial"/>
          <w:color w:val="000000"/>
        </w:rPr>
      </w:pPr>
      <w:r>
        <w:rPr>
          <w:rFonts w:cs="Arial"/>
          <w:color w:val="000000"/>
        </w:rPr>
        <w:t>DSA</w:t>
      </w:r>
      <w:r w:rsidR="00830E7F">
        <w:rPr>
          <w:rFonts w:cs="Arial"/>
          <w:color w:val="000000"/>
        </w:rPr>
        <w:t>-SS</w:t>
      </w:r>
      <w:r w:rsidR="0034030E">
        <w:rPr>
          <w:rFonts w:cs="Arial"/>
          <w:color w:val="000000"/>
        </w:rPr>
        <w:t xml:space="preserve"> is proposing to increase the percentages for EV infrastructure in</w:t>
      </w:r>
      <w:r w:rsidR="004E0FAD">
        <w:rPr>
          <w:rFonts w:cs="Arial"/>
          <w:color w:val="000000"/>
        </w:rPr>
        <w:t xml:space="preserve"> </w:t>
      </w:r>
      <w:r w:rsidR="0034030E">
        <w:rPr>
          <w:rFonts w:cs="Arial"/>
          <w:color w:val="000000"/>
        </w:rPr>
        <w:t xml:space="preserve">Table 5.106.5.3.3 </w:t>
      </w:r>
      <w:r w:rsidR="006A71D1" w:rsidRPr="00082479">
        <w:rPr>
          <w:rFonts w:cs="Arial"/>
          <w:color w:val="000000"/>
        </w:rPr>
        <w:t xml:space="preserve">from 6 percent to </w:t>
      </w:r>
      <w:r w:rsidR="00B36066">
        <w:rPr>
          <w:rFonts w:cs="Arial"/>
          <w:color w:val="000000"/>
        </w:rPr>
        <w:t>10</w:t>
      </w:r>
      <w:r w:rsidR="006A71D1" w:rsidRPr="00082479">
        <w:rPr>
          <w:rFonts w:cs="Arial"/>
          <w:color w:val="000000"/>
        </w:rPr>
        <w:t xml:space="preserve"> percent</w:t>
      </w:r>
      <w:r w:rsidR="0034030E">
        <w:rPr>
          <w:rFonts w:cs="Arial"/>
          <w:color w:val="000000"/>
        </w:rPr>
        <w:t>. This increase</w:t>
      </w:r>
      <w:r w:rsidR="006A71D1">
        <w:rPr>
          <w:rFonts w:cs="Arial"/>
          <w:color w:val="000000"/>
        </w:rPr>
        <w:t xml:space="preserve"> </w:t>
      </w:r>
      <w:r w:rsidR="006A71D1" w:rsidRPr="00082479">
        <w:rPr>
          <w:rFonts w:cs="Arial"/>
          <w:color w:val="000000"/>
        </w:rPr>
        <w:t>will accommodate a</w:t>
      </w:r>
      <w:r w:rsidR="006A71D1">
        <w:rPr>
          <w:rFonts w:cs="Arial"/>
          <w:color w:val="000000"/>
        </w:rPr>
        <w:t xml:space="preserve"> foreseeable increase in the demand for </w:t>
      </w:r>
      <w:r w:rsidR="006A71D1" w:rsidRPr="00082479">
        <w:rPr>
          <w:rFonts w:cs="Arial"/>
          <w:color w:val="000000"/>
        </w:rPr>
        <w:t>EV charging. </w:t>
      </w:r>
      <w:r w:rsidR="00830E7F">
        <w:rPr>
          <w:rFonts w:cs="Arial"/>
          <w:color w:val="000000"/>
        </w:rPr>
        <w:t xml:space="preserve"> </w:t>
      </w:r>
      <w:r w:rsidR="00E21CC3">
        <w:rPr>
          <w:rFonts w:cs="Arial"/>
          <w:color w:val="000000"/>
        </w:rPr>
        <w:t xml:space="preserve">The addition of the “Note” in section 5.106.5.3.5 will provide guidance to the design and regulation community for properly using the </w:t>
      </w:r>
      <w:r w:rsidR="00750042">
        <w:rPr>
          <w:rFonts w:cs="Arial"/>
          <w:color w:val="000000"/>
        </w:rPr>
        <w:t>E</w:t>
      </w:r>
      <w:r w:rsidR="00E21CC3">
        <w:rPr>
          <w:rFonts w:cs="Arial"/>
          <w:color w:val="000000"/>
        </w:rPr>
        <w:t xml:space="preserve">V </w:t>
      </w:r>
      <w:r w:rsidR="00750042">
        <w:rPr>
          <w:rFonts w:cs="Arial"/>
          <w:color w:val="000000"/>
        </w:rPr>
        <w:t xml:space="preserve">infrastructure </w:t>
      </w:r>
      <w:r w:rsidR="00E21CC3">
        <w:rPr>
          <w:rFonts w:cs="Arial"/>
          <w:color w:val="000000"/>
        </w:rPr>
        <w:t>table stall count as part of the total required parking spaces.</w:t>
      </w:r>
      <w:r w:rsidR="0002579D">
        <w:rPr>
          <w:rFonts w:cs="Arial"/>
          <w:color w:val="000000"/>
        </w:rPr>
        <w:t xml:space="preserve"> While this note does not apply to public K-12 schools and community colleges, DSA does co-adopt this provision with the California Building Standards Commission for clarity of code application, and the adoption of this note will not result in any regulatory effect for public K-12 schools and community colleges.</w:t>
      </w:r>
    </w:p>
    <w:p w14:paraId="07B88F3A" w14:textId="77777777" w:rsidR="002C4AAA" w:rsidRPr="0019195E" w:rsidRDefault="002C4AAA" w:rsidP="00E21CC3">
      <w:pPr>
        <w:pStyle w:val="ListParagraph"/>
        <w:ind w:left="0"/>
        <w:rPr>
          <w:rFonts w:cs="Arial"/>
          <w:color w:val="000000"/>
        </w:rPr>
      </w:pPr>
    </w:p>
    <w:p w14:paraId="3DFE7CB6" w14:textId="77777777" w:rsidR="00830E7F" w:rsidRPr="00C54B0A" w:rsidRDefault="005773BD" w:rsidP="00830E7F">
      <w:pPr>
        <w:widowControl/>
        <w:spacing w:after="120"/>
        <w:rPr>
          <w:rFonts w:ascii="Arial" w:hAnsi="Arial"/>
          <w:b/>
          <w:szCs w:val="24"/>
        </w:rPr>
      </w:pPr>
      <w:r w:rsidRPr="00271588">
        <w:rPr>
          <w:rFonts w:ascii="Arial" w:hAnsi="Arial"/>
          <w:b/>
          <w:szCs w:val="24"/>
          <w:u w:val="single"/>
        </w:rPr>
        <w:t xml:space="preserve">ITEM </w:t>
      </w:r>
      <w:r w:rsidR="00467F6F">
        <w:rPr>
          <w:rFonts w:ascii="Arial" w:hAnsi="Arial"/>
          <w:b/>
          <w:szCs w:val="24"/>
          <w:u w:val="single"/>
        </w:rPr>
        <w:t>2</w:t>
      </w:r>
      <w:r w:rsidRPr="00271588">
        <w:rPr>
          <w:rFonts w:ascii="Arial" w:hAnsi="Arial"/>
          <w:b/>
          <w:szCs w:val="24"/>
          <w:u w:val="single"/>
        </w:rPr>
        <w:t>.</w:t>
      </w:r>
      <w:r>
        <w:rPr>
          <w:rFonts w:ascii="Arial" w:hAnsi="Arial"/>
          <w:b/>
          <w:szCs w:val="24"/>
        </w:rPr>
        <w:t xml:space="preserve"> </w:t>
      </w:r>
      <w:r w:rsidR="00830E7F">
        <w:rPr>
          <w:rFonts w:ascii="Arial" w:hAnsi="Arial"/>
          <w:b/>
          <w:szCs w:val="24"/>
        </w:rPr>
        <w:t>LIGHT POLLUTANT REDUCTION</w:t>
      </w:r>
      <w:r w:rsidR="00830E7F" w:rsidRPr="00C54B0A">
        <w:rPr>
          <w:rFonts w:ascii="Arial" w:hAnsi="Arial"/>
          <w:b/>
          <w:szCs w:val="24"/>
        </w:rPr>
        <w:t xml:space="preserve"> </w:t>
      </w:r>
    </w:p>
    <w:p w14:paraId="670327D5" w14:textId="77777777" w:rsidR="00830E7F" w:rsidRDefault="00830E7F" w:rsidP="00830E7F">
      <w:pPr>
        <w:widowControl/>
        <w:spacing w:before="120" w:after="120"/>
        <w:rPr>
          <w:rFonts w:ascii="Arial" w:hAnsi="Arial"/>
          <w:b/>
          <w:szCs w:val="24"/>
        </w:rPr>
      </w:pPr>
      <w:r>
        <w:rPr>
          <w:rFonts w:ascii="Arial" w:hAnsi="Arial"/>
          <w:b/>
          <w:szCs w:val="24"/>
        </w:rPr>
        <w:t>Section</w:t>
      </w:r>
      <w:r w:rsidRPr="002B0AD8">
        <w:t xml:space="preserve"> </w:t>
      </w:r>
      <w:r w:rsidRPr="002B0AD8">
        <w:rPr>
          <w:rFonts w:ascii="Arial" w:hAnsi="Arial"/>
          <w:b/>
          <w:szCs w:val="24"/>
        </w:rPr>
        <w:t>5.106.8</w:t>
      </w:r>
      <w:r>
        <w:rPr>
          <w:rFonts w:ascii="Arial" w:hAnsi="Arial"/>
          <w:b/>
          <w:szCs w:val="24"/>
        </w:rPr>
        <w:t xml:space="preserve"> and Table 5.106.8</w:t>
      </w:r>
      <w:r w:rsidRPr="002B0AD8">
        <w:rPr>
          <w:rFonts w:ascii="Arial" w:hAnsi="Arial"/>
          <w:b/>
          <w:szCs w:val="24"/>
        </w:rPr>
        <w:t xml:space="preserve"> Light pollution reduction.</w:t>
      </w:r>
    </w:p>
    <w:p w14:paraId="7F1C0EC9" w14:textId="77777777" w:rsidR="00830E7F" w:rsidRPr="00CC4B31" w:rsidRDefault="00830E7F" w:rsidP="00830E7F">
      <w:pPr>
        <w:widowControl/>
        <w:spacing w:before="120" w:after="120"/>
        <w:rPr>
          <w:rFonts w:ascii="Arial" w:hAnsi="Arial"/>
          <w:b/>
          <w:szCs w:val="24"/>
        </w:rPr>
      </w:pPr>
      <w:r>
        <w:rPr>
          <w:rFonts w:cs="Arial"/>
          <w:b/>
        </w:rPr>
        <w:t>Sections:</w:t>
      </w:r>
      <w:r w:rsidRPr="00CC4B31">
        <w:rPr>
          <w:rFonts w:cs="Arial"/>
          <w:b/>
        </w:rPr>
        <w:t xml:space="preserve"> </w:t>
      </w:r>
      <w:r w:rsidRPr="006C5960">
        <w:rPr>
          <w:rFonts w:cs="Arial"/>
          <w:b/>
          <w:u w:val="single"/>
        </w:rPr>
        <w:t>5.106.8.1</w:t>
      </w:r>
      <w:r w:rsidRPr="006C5960">
        <w:rPr>
          <w:u w:val="single"/>
        </w:rPr>
        <w:t xml:space="preserve"> </w:t>
      </w:r>
      <w:r w:rsidRPr="006C5960">
        <w:rPr>
          <w:rFonts w:cs="Arial"/>
          <w:b/>
          <w:u w:val="single"/>
        </w:rPr>
        <w:t>Facing – Backlight</w:t>
      </w:r>
      <w:r>
        <w:rPr>
          <w:rFonts w:cs="Arial"/>
          <w:b/>
        </w:rPr>
        <w:t xml:space="preserve">; </w:t>
      </w:r>
      <w:r w:rsidRPr="006C5960">
        <w:rPr>
          <w:rFonts w:cs="Arial"/>
          <w:b/>
          <w:u w:val="single"/>
        </w:rPr>
        <w:t>5.106.8.2</w:t>
      </w:r>
      <w:r w:rsidRPr="006C5960">
        <w:rPr>
          <w:u w:val="single"/>
        </w:rPr>
        <w:t xml:space="preserve"> </w:t>
      </w:r>
      <w:r w:rsidRPr="006C5960">
        <w:rPr>
          <w:rFonts w:cs="Arial"/>
          <w:b/>
          <w:u w:val="single"/>
        </w:rPr>
        <w:t>Facing – Glar</w:t>
      </w:r>
      <w:r w:rsidRPr="001A642C">
        <w:rPr>
          <w:rFonts w:cs="Arial"/>
          <w:b/>
          <w:u w:val="single"/>
        </w:rPr>
        <w:t>e.</w:t>
      </w:r>
    </w:p>
    <w:p w14:paraId="3DF9C049" w14:textId="47EFF382" w:rsidR="00D5118E" w:rsidRPr="008C6A72" w:rsidRDefault="00087D5D" w:rsidP="002727C7">
      <w:pPr>
        <w:rPr>
          <w:rFonts w:cs="Arial"/>
        </w:rPr>
      </w:pPr>
      <w:r>
        <w:rPr>
          <w:rFonts w:cs="Arial"/>
        </w:rPr>
        <w:t>DSA</w:t>
      </w:r>
      <w:r w:rsidR="00830E7F">
        <w:rPr>
          <w:rFonts w:cs="Arial"/>
        </w:rPr>
        <w:t>-SS</w:t>
      </w:r>
      <w:r w:rsidR="00D5118E" w:rsidRPr="008C6A72">
        <w:rPr>
          <w:rFonts w:cs="Arial"/>
        </w:rPr>
        <w:t xml:space="preserve"> </w:t>
      </w:r>
      <w:r w:rsidR="00D5118E">
        <w:rPr>
          <w:rFonts w:cs="Arial"/>
        </w:rPr>
        <w:t>proposes</w:t>
      </w:r>
      <w:r w:rsidR="00D5118E" w:rsidRPr="008C6A72">
        <w:rPr>
          <w:rFonts w:cs="Arial"/>
        </w:rPr>
        <w:t xml:space="preserve"> </w:t>
      </w:r>
      <w:r w:rsidR="00D5118E">
        <w:rPr>
          <w:rFonts w:cs="Arial"/>
        </w:rPr>
        <w:t xml:space="preserve">to strike the </w:t>
      </w:r>
      <w:r w:rsidR="00D5118E" w:rsidRPr="00830E7F">
        <w:rPr>
          <w:rFonts w:cs="Arial"/>
          <w:b/>
        </w:rPr>
        <w:t>[N]</w:t>
      </w:r>
      <w:r w:rsidR="00D5118E">
        <w:rPr>
          <w:rFonts w:cs="Arial"/>
        </w:rPr>
        <w:t xml:space="preserve"> b</w:t>
      </w:r>
      <w:r w:rsidR="00D5118E" w:rsidRPr="008C6A72">
        <w:rPr>
          <w:rFonts w:cs="Arial"/>
        </w:rPr>
        <w:t xml:space="preserve">anner </w:t>
      </w:r>
      <w:r w:rsidR="00D5118E">
        <w:rPr>
          <w:rFonts w:cs="Arial"/>
        </w:rPr>
        <w:t>from E</w:t>
      </w:r>
      <w:r w:rsidR="00D5118E" w:rsidRPr="008C6A72">
        <w:rPr>
          <w:rFonts w:cs="Arial"/>
        </w:rPr>
        <w:t xml:space="preserve">xceptions </w:t>
      </w:r>
      <w:r w:rsidR="00704D4B">
        <w:rPr>
          <w:rFonts w:cs="Arial"/>
        </w:rPr>
        <w:t xml:space="preserve">in Section 5.106.8 </w:t>
      </w:r>
      <w:r w:rsidR="000F06D4">
        <w:rPr>
          <w:rFonts w:cs="Arial"/>
        </w:rPr>
        <w:t xml:space="preserve">since </w:t>
      </w:r>
      <w:r w:rsidR="00D5118E" w:rsidRPr="008C6A72">
        <w:rPr>
          <w:rFonts w:cs="Arial"/>
        </w:rPr>
        <w:t>the exceptions are not only for new construction.</w:t>
      </w:r>
    </w:p>
    <w:p w14:paraId="31528291" w14:textId="77777777" w:rsidR="00016A3A" w:rsidRDefault="00016A3A" w:rsidP="00D5118E">
      <w:pPr>
        <w:ind w:left="630"/>
        <w:rPr>
          <w:rFonts w:cs="Arial"/>
        </w:rPr>
      </w:pPr>
    </w:p>
    <w:p w14:paraId="4567CA8B" w14:textId="1B585CAE" w:rsidR="00D5118E" w:rsidRDefault="00087D5D" w:rsidP="002727C7">
      <w:pPr>
        <w:rPr>
          <w:rFonts w:cs="Arial"/>
        </w:rPr>
      </w:pPr>
      <w:r>
        <w:rPr>
          <w:rFonts w:cs="Arial"/>
        </w:rPr>
        <w:t>DSA</w:t>
      </w:r>
      <w:r w:rsidR="00830E7F">
        <w:rPr>
          <w:rFonts w:cs="Arial"/>
        </w:rPr>
        <w:t>-SS</w:t>
      </w:r>
      <w:r w:rsidR="00D5118E">
        <w:rPr>
          <w:rFonts w:cs="Arial"/>
        </w:rPr>
        <w:t xml:space="preserve"> proposes</w:t>
      </w:r>
      <w:r w:rsidR="00D5118E" w:rsidRPr="008C6A72">
        <w:rPr>
          <w:rFonts w:cs="Arial"/>
        </w:rPr>
        <w:t xml:space="preserve"> to amend Exception 1 to add </w:t>
      </w:r>
      <w:r w:rsidR="00D5118E">
        <w:rPr>
          <w:rFonts w:cs="Arial"/>
        </w:rPr>
        <w:t xml:space="preserve">an exception for cutoff luminaires to </w:t>
      </w:r>
      <w:r w:rsidR="00D5118E" w:rsidRPr="008C6A72">
        <w:rPr>
          <w:rFonts w:cs="Arial"/>
        </w:rPr>
        <w:t xml:space="preserve">align </w:t>
      </w:r>
      <w:r w:rsidR="00D5118E">
        <w:rPr>
          <w:rFonts w:cs="Arial"/>
        </w:rPr>
        <w:t xml:space="preserve">CALGreen </w:t>
      </w:r>
      <w:r w:rsidR="00D5118E" w:rsidRPr="008C6A72">
        <w:rPr>
          <w:rFonts w:cs="Arial"/>
        </w:rPr>
        <w:t>with the BUG requirements and exceptions adopted in</w:t>
      </w:r>
      <w:r w:rsidR="00D5118E">
        <w:rPr>
          <w:rFonts w:cs="Arial"/>
        </w:rPr>
        <w:t>to</w:t>
      </w:r>
      <w:r w:rsidR="00D5118E" w:rsidRPr="008C6A72">
        <w:rPr>
          <w:rFonts w:cs="Arial"/>
        </w:rPr>
        <w:t xml:space="preserve"> Section 130.2(b)</w:t>
      </w:r>
      <w:r w:rsidR="00D5118E">
        <w:rPr>
          <w:rFonts w:cs="Arial"/>
        </w:rPr>
        <w:t xml:space="preserve"> of </w:t>
      </w:r>
      <w:r w:rsidR="00D5118E" w:rsidRPr="008C6A72">
        <w:rPr>
          <w:rFonts w:cs="Arial"/>
        </w:rPr>
        <w:t>Title 24, Part 6,</w:t>
      </w:r>
      <w:r w:rsidR="00D5118E" w:rsidRPr="008C6A72">
        <w:rPr>
          <w:rFonts w:cs="Arial"/>
          <w:i/>
        </w:rPr>
        <w:t xml:space="preserve"> 2019 California Energy Code</w:t>
      </w:r>
      <w:r w:rsidR="00D5118E">
        <w:rPr>
          <w:rFonts w:cs="Arial"/>
        </w:rPr>
        <w:t>.</w:t>
      </w:r>
    </w:p>
    <w:p w14:paraId="39D2167B" w14:textId="77777777" w:rsidR="00D5118E" w:rsidRPr="008C6A72" w:rsidRDefault="00D5118E" w:rsidP="00D5118E">
      <w:pPr>
        <w:ind w:left="630"/>
        <w:rPr>
          <w:rFonts w:cs="Arial"/>
        </w:rPr>
      </w:pPr>
    </w:p>
    <w:p w14:paraId="4BB53A4F" w14:textId="51D426CF" w:rsidR="00D5118E" w:rsidRDefault="00087D5D" w:rsidP="002727C7">
      <w:pPr>
        <w:rPr>
          <w:rFonts w:cs="Arial"/>
        </w:rPr>
      </w:pPr>
      <w:r>
        <w:rPr>
          <w:rFonts w:cs="Arial"/>
        </w:rPr>
        <w:t>DSA</w:t>
      </w:r>
      <w:r w:rsidR="00D5118E">
        <w:rPr>
          <w:rFonts w:cs="Arial"/>
        </w:rPr>
        <w:t xml:space="preserve"> proposes</w:t>
      </w:r>
      <w:r w:rsidR="00D5118E" w:rsidRPr="008C6A72">
        <w:rPr>
          <w:rFonts w:cs="Arial"/>
        </w:rPr>
        <w:t xml:space="preserve"> to add Exception 5, for “Luminaries with less than 6,200 initial luminaire lumens” </w:t>
      </w:r>
      <w:r w:rsidR="00D5118E">
        <w:rPr>
          <w:rFonts w:cs="Arial"/>
        </w:rPr>
        <w:t>to</w:t>
      </w:r>
      <w:r w:rsidR="00D5118E" w:rsidRPr="008C6A72">
        <w:rPr>
          <w:rFonts w:cs="Arial"/>
        </w:rPr>
        <w:t xml:space="preserve"> align</w:t>
      </w:r>
      <w:r w:rsidR="00D5118E">
        <w:rPr>
          <w:rFonts w:cs="Arial"/>
        </w:rPr>
        <w:t xml:space="preserve"> CALGreen</w:t>
      </w:r>
      <w:r w:rsidR="00D5118E" w:rsidRPr="008C6A72">
        <w:rPr>
          <w:rFonts w:cs="Arial"/>
        </w:rPr>
        <w:t xml:space="preserve"> with similar language adopted in the</w:t>
      </w:r>
      <w:r w:rsidR="00D5118E" w:rsidRPr="008C6A72">
        <w:rPr>
          <w:rFonts w:cs="Arial"/>
          <w:i/>
        </w:rPr>
        <w:t xml:space="preserve"> 2019 California Energy Code </w:t>
      </w:r>
      <w:r w:rsidR="00D5118E" w:rsidRPr="008C6A72">
        <w:rPr>
          <w:rFonts w:cs="Arial"/>
        </w:rPr>
        <w:t>Section 130.2(b), Luminaire cutoff requirements. The purpose of the new</w:t>
      </w:r>
      <w:r w:rsidR="00D5118E">
        <w:rPr>
          <w:rFonts w:cs="Arial"/>
        </w:rPr>
        <w:t xml:space="preserve"> e</w:t>
      </w:r>
      <w:r w:rsidR="00D5118E" w:rsidRPr="008C6A72">
        <w:rPr>
          <w:rFonts w:cs="Arial"/>
        </w:rPr>
        <w:t xml:space="preserve">xception </w:t>
      </w:r>
      <w:r w:rsidR="00D5118E">
        <w:rPr>
          <w:rFonts w:cs="Arial"/>
        </w:rPr>
        <w:t xml:space="preserve">5 </w:t>
      </w:r>
      <w:r w:rsidR="00D5118E" w:rsidRPr="008C6A72">
        <w:rPr>
          <w:rFonts w:cs="Arial"/>
        </w:rPr>
        <w:t>is to align the scope of Part 11</w:t>
      </w:r>
      <w:r w:rsidR="00D5118E">
        <w:rPr>
          <w:rFonts w:cs="Arial"/>
        </w:rPr>
        <w:t xml:space="preserve">, Section 5.106.8 </w:t>
      </w:r>
      <w:r w:rsidR="00D5118E" w:rsidRPr="008C6A72">
        <w:rPr>
          <w:rFonts w:cs="Arial"/>
        </w:rPr>
        <w:t>to the scope of similar provisi</w:t>
      </w:r>
      <w:r w:rsidR="00D5118E">
        <w:rPr>
          <w:rFonts w:cs="Arial"/>
        </w:rPr>
        <w:t>ons in Part 6, Section 130.2(b).  L</w:t>
      </w:r>
      <w:r w:rsidR="00D5118E" w:rsidRPr="008C6A72">
        <w:rPr>
          <w:rFonts w:cs="Arial"/>
        </w:rPr>
        <w:t>ight pollution provisions were first adopted into Part 6 and later moved into Part 11.  To the extent that the language in Part 11 could have been understood to be more broad in application than that in Part 6, this change has the material effect of narrowing the application of these requirements to luminaires within the scope of the Part 6 provisions. This change is necessary to prev</w:t>
      </w:r>
      <w:r w:rsidR="00D5118E">
        <w:rPr>
          <w:rFonts w:cs="Arial"/>
        </w:rPr>
        <w:t>ent a conflict between the scoping provisions</w:t>
      </w:r>
      <w:r w:rsidR="00D5118E" w:rsidRPr="008C6A72">
        <w:rPr>
          <w:rFonts w:cs="Arial"/>
        </w:rPr>
        <w:t xml:space="preserve"> of light pollution in Parts 6 and 11; the scop</w:t>
      </w:r>
      <w:r w:rsidR="00D5118E">
        <w:rPr>
          <w:rFonts w:cs="Arial"/>
        </w:rPr>
        <w:t xml:space="preserve">ing </w:t>
      </w:r>
      <w:r w:rsidR="00D5118E" w:rsidRPr="008C6A72">
        <w:rPr>
          <w:rFonts w:cs="Arial"/>
        </w:rPr>
        <w:t>provisions in Part 11</w:t>
      </w:r>
      <w:r w:rsidR="00D5118E">
        <w:rPr>
          <w:rFonts w:cs="Arial"/>
        </w:rPr>
        <w:t xml:space="preserve"> are</w:t>
      </w:r>
      <w:r w:rsidR="00D5118E" w:rsidRPr="008C6A72">
        <w:rPr>
          <w:rFonts w:cs="Arial"/>
        </w:rPr>
        <w:t xml:space="preserve"> intended to reflect the scop</w:t>
      </w:r>
      <w:r w:rsidR="00D5118E">
        <w:rPr>
          <w:rFonts w:cs="Arial"/>
        </w:rPr>
        <w:t>ing</w:t>
      </w:r>
      <w:r w:rsidR="00D5118E" w:rsidRPr="008C6A72">
        <w:rPr>
          <w:rFonts w:cs="Arial"/>
        </w:rPr>
        <w:t xml:space="preserve"> provisions in Part 6. </w:t>
      </w:r>
    </w:p>
    <w:p w14:paraId="028AC970" w14:textId="77777777" w:rsidR="00016A3A" w:rsidRDefault="00016A3A" w:rsidP="00016A3A">
      <w:pPr>
        <w:ind w:left="630"/>
        <w:rPr>
          <w:rFonts w:cs="Arial"/>
        </w:rPr>
      </w:pPr>
    </w:p>
    <w:p w14:paraId="215E6DE9" w14:textId="46C63734" w:rsidR="00016A3A" w:rsidRPr="008C6A72" w:rsidRDefault="00087D5D" w:rsidP="002727C7">
      <w:pPr>
        <w:rPr>
          <w:rFonts w:cs="Arial"/>
        </w:rPr>
      </w:pPr>
      <w:r>
        <w:rPr>
          <w:rFonts w:cs="Arial"/>
        </w:rPr>
        <w:t>DSA</w:t>
      </w:r>
      <w:r w:rsidR="00830E7F">
        <w:rPr>
          <w:rFonts w:cs="Arial"/>
        </w:rPr>
        <w:t>-SS</w:t>
      </w:r>
      <w:r w:rsidR="00016A3A" w:rsidRPr="008C6A72">
        <w:rPr>
          <w:rFonts w:cs="Arial"/>
        </w:rPr>
        <w:t xml:space="preserve"> </w:t>
      </w:r>
      <w:r w:rsidR="00016A3A">
        <w:rPr>
          <w:rFonts w:cs="Arial"/>
        </w:rPr>
        <w:t>proposes</w:t>
      </w:r>
      <w:r w:rsidR="00016A3A" w:rsidRPr="008C6A72">
        <w:rPr>
          <w:rFonts w:cs="Arial"/>
        </w:rPr>
        <w:t xml:space="preserve"> </w:t>
      </w:r>
      <w:r w:rsidR="00016A3A">
        <w:rPr>
          <w:rFonts w:cs="Arial"/>
        </w:rPr>
        <w:t xml:space="preserve">to strike the </w:t>
      </w:r>
      <w:r w:rsidR="00016A3A" w:rsidRPr="00830E7F">
        <w:rPr>
          <w:rFonts w:cs="Arial"/>
          <w:b/>
        </w:rPr>
        <w:t>[N]</w:t>
      </w:r>
      <w:r w:rsidR="00016A3A">
        <w:rPr>
          <w:rFonts w:cs="Arial"/>
        </w:rPr>
        <w:t xml:space="preserve"> b</w:t>
      </w:r>
      <w:r w:rsidR="00016A3A" w:rsidRPr="008C6A72">
        <w:rPr>
          <w:rFonts w:cs="Arial"/>
        </w:rPr>
        <w:t xml:space="preserve">anner </w:t>
      </w:r>
      <w:r w:rsidR="00016A3A">
        <w:rPr>
          <w:rFonts w:cs="Arial"/>
        </w:rPr>
        <w:t>from “Notes”</w:t>
      </w:r>
      <w:r w:rsidR="00016A3A" w:rsidRPr="008C6A72">
        <w:rPr>
          <w:rFonts w:cs="Arial"/>
        </w:rPr>
        <w:t xml:space="preserve"> </w:t>
      </w:r>
      <w:r w:rsidR="00016A3A">
        <w:rPr>
          <w:rFonts w:cs="Arial"/>
        </w:rPr>
        <w:t xml:space="preserve">in Section 5.106.8 since </w:t>
      </w:r>
      <w:r w:rsidR="00016A3A" w:rsidRPr="008C6A72">
        <w:rPr>
          <w:rFonts w:cs="Arial"/>
        </w:rPr>
        <w:t xml:space="preserve">the </w:t>
      </w:r>
      <w:r w:rsidR="005F4DC2">
        <w:rPr>
          <w:rFonts w:cs="Arial"/>
        </w:rPr>
        <w:t>note</w:t>
      </w:r>
      <w:r w:rsidR="00016A3A" w:rsidRPr="008C6A72">
        <w:rPr>
          <w:rFonts w:cs="Arial"/>
        </w:rPr>
        <w:t xml:space="preserve"> </w:t>
      </w:r>
      <w:r w:rsidR="005F4DC2">
        <w:rPr>
          <w:rFonts w:cs="Arial"/>
        </w:rPr>
        <w:t xml:space="preserve">#3 mentions a reference to the </w:t>
      </w:r>
      <w:r w:rsidR="005F4DC2" w:rsidRPr="005F4DC2">
        <w:rPr>
          <w:rFonts w:cs="Arial"/>
          <w:i/>
        </w:rPr>
        <w:t xml:space="preserve">California Energy Code </w:t>
      </w:r>
      <w:r w:rsidR="005F4DC2">
        <w:rPr>
          <w:rFonts w:cs="Arial"/>
        </w:rPr>
        <w:t>for additions and alterations.</w:t>
      </w:r>
    </w:p>
    <w:p w14:paraId="3EAB3B2B" w14:textId="77777777" w:rsidR="00D5118E" w:rsidRPr="008C6A72" w:rsidRDefault="00D5118E" w:rsidP="00D5118E">
      <w:pPr>
        <w:rPr>
          <w:rFonts w:cs="Arial"/>
        </w:rPr>
      </w:pPr>
    </w:p>
    <w:p w14:paraId="4A09C1F4" w14:textId="24DA6B7B" w:rsidR="00D5118E" w:rsidRPr="008C6A72" w:rsidRDefault="00087D5D" w:rsidP="002727C7">
      <w:pPr>
        <w:rPr>
          <w:rFonts w:cs="Arial"/>
        </w:rPr>
      </w:pPr>
      <w:r>
        <w:rPr>
          <w:rFonts w:cs="Arial"/>
        </w:rPr>
        <w:t>DSA</w:t>
      </w:r>
      <w:r w:rsidR="00830E7F">
        <w:rPr>
          <w:rFonts w:cs="Arial"/>
        </w:rPr>
        <w:t>-SS</w:t>
      </w:r>
      <w:r w:rsidR="00D5118E">
        <w:rPr>
          <w:rFonts w:cs="Arial"/>
        </w:rPr>
        <w:t xml:space="preserve"> proposes to repeal </w:t>
      </w:r>
      <w:r w:rsidR="00D5118E" w:rsidRPr="008C6A72">
        <w:rPr>
          <w:rFonts w:cs="Arial"/>
        </w:rPr>
        <w:t>footnotes</w:t>
      </w:r>
      <w:r w:rsidR="00D5118E">
        <w:rPr>
          <w:rFonts w:cs="Arial"/>
        </w:rPr>
        <w:t xml:space="preserve"> 3 and 5</w:t>
      </w:r>
      <w:r w:rsidR="00D5118E" w:rsidRPr="008C6A72">
        <w:rPr>
          <w:rFonts w:cs="Arial"/>
        </w:rPr>
        <w:t xml:space="preserve"> from Table 5.106.8</w:t>
      </w:r>
      <w:r w:rsidR="00D5118E">
        <w:rPr>
          <w:rFonts w:cs="Arial"/>
        </w:rPr>
        <w:t xml:space="preserve"> and relocate</w:t>
      </w:r>
      <w:r w:rsidR="00D5118E" w:rsidRPr="008C6A72">
        <w:rPr>
          <w:rFonts w:cs="Arial"/>
        </w:rPr>
        <w:t xml:space="preserve"> </w:t>
      </w:r>
      <w:r w:rsidR="00D5118E">
        <w:rPr>
          <w:rFonts w:cs="Arial"/>
        </w:rPr>
        <w:t xml:space="preserve">them </w:t>
      </w:r>
      <w:r w:rsidR="00D5118E" w:rsidRPr="008C6A72">
        <w:rPr>
          <w:rFonts w:cs="Arial"/>
        </w:rPr>
        <w:t xml:space="preserve">into two new </w:t>
      </w:r>
      <w:r w:rsidR="00D5118E">
        <w:rPr>
          <w:rFonts w:cs="Arial"/>
        </w:rPr>
        <w:t xml:space="preserve">code </w:t>
      </w:r>
      <w:r w:rsidR="00D5118E" w:rsidRPr="008C6A72">
        <w:rPr>
          <w:rFonts w:cs="Arial"/>
        </w:rPr>
        <w:t>Sections</w:t>
      </w:r>
      <w:r w:rsidR="00D5118E">
        <w:rPr>
          <w:rFonts w:cs="Arial"/>
        </w:rPr>
        <w:t xml:space="preserve"> 5.106.8.1 with exception </w:t>
      </w:r>
      <w:r w:rsidR="00D5118E" w:rsidRPr="008C6A72">
        <w:rPr>
          <w:rFonts w:cs="Arial"/>
        </w:rPr>
        <w:t xml:space="preserve">and </w:t>
      </w:r>
      <w:r w:rsidR="00D5118E">
        <w:rPr>
          <w:rFonts w:cs="Arial"/>
        </w:rPr>
        <w:t>Section 5.106.8.2. This amendment</w:t>
      </w:r>
      <w:r w:rsidR="00D5118E" w:rsidRPr="008C6A72">
        <w:rPr>
          <w:rFonts w:cs="Arial"/>
        </w:rPr>
        <w:t xml:space="preserve"> </w:t>
      </w:r>
      <w:r w:rsidR="00D5118E">
        <w:rPr>
          <w:rFonts w:cs="Arial"/>
        </w:rPr>
        <w:t xml:space="preserve">will add </w:t>
      </w:r>
      <w:r w:rsidR="00D5118E" w:rsidRPr="008C6A72">
        <w:rPr>
          <w:rFonts w:cs="Arial"/>
        </w:rPr>
        <w:t xml:space="preserve">clarify </w:t>
      </w:r>
      <w:r w:rsidR="00D5118E">
        <w:rPr>
          <w:rFonts w:cs="Arial"/>
        </w:rPr>
        <w:t xml:space="preserve">for </w:t>
      </w:r>
      <w:r w:rsidR="00D5118E" w:rsidRPr="008C6A72">
        <w:rPr>
          <w:rFonts w:cs="Arial"/>
        </w:rPr>
        <w:t>their application and intent.  </w:t>
      </w:r>
      <w:r w:rsidR="00485773">
        <w:rPr>
          <w:rFonts w:cs="Arial"/>
        </w:rPr>
        <w:t xml:space="preserve">As a result of the proposed change, the footnotes in Table 5.106.8 will need to be updated accordingly. </w:t>
      </w:r>
      <w:r w:rsidR="00D5118E" w:rsidRPr="008C6A72">
        <w:rPr>
          <w:rFonts w:cs="Arial"/>
        </w:rPr>
        <w:t>To the extent that the original language was ambiguous regarding when increases in stringency of backlight and glare would apply</w:t>
      </w:r>
      <w:r w:rsidR="00D5118E">
        <w:rPr>
          <w:rFonts w:cs="Arial"/>
        </w:rPr>
        <w:t>,</w:t>
      </w:r>
      <w:r w:rsidR="00D5118E" w:rsidRPr="008C6A72">
        <w:rPr>
          <w:rFonts w:cs="Arial"/>
        </w:rPr>
        <w:t xml:space="preserve"> and how luminaire facing was to be addressed, this change has the material effect of ensuring that increased requirements do not apply to luminaires located more than two mounting heights away from property lines, and precluding illogical facing of luminaires located close to property boundarie</w:t>
      </w:r>
      <w:r w:rsidR="00D5118E">
        <w:rPr>
          <w:rFonts w:cs="Arial"/>
        </w:rPr>
        <w:t>s.  The changes to this s</w:t>
      </w:r>
      <w:r w:rsidR="00D5118E" w:rsidRPr="008C6A72">
        <w:rPr>
          <w:rFonts w:cs="Arial"/>
        </w:rPr>
        <w:t xml:space="preserve">ection are necessary to align the application of Section 5.106.8 to the intent of </w:t>
      </w:r>
      <w:r w:rsidR="00D5118E">
        <w:rPr>
          <w:rFonts w:cs="Arial"/>
        </w:rPr>
        <w:t>the</w:t>
      </w:r>
      <w:r w:rsidR="00D5118E" w:rsidRPr="008C6A72">
        <w:rPr>
          <w:rFonts w:cs="Arial"/>
        </w:rPr>
        <w:t xml:space="preserve"> original </w:t>
      </w:r>
      <w:r w:rsidR="00D5118E">
        <w:rPr>
          <w:rFonts w:cs="Arial"/>
        </w:rPr>
        <w:t>code language</w:t>
      </w:r>
      <w:r w:rsidR="00D5118E" w:rsidRPr="008C6A72">
        <w:rPr>
          <w:rFonts w:cs="Arial"/>
        </w:rPr>
        <w:t xml:space="preserve"> and </w:t>
      </w:r>
      <w:r w:rsidR="00D5118E">
        <w:rPr>
          <w:rFonts w:cs="Arial"/>
        </w:rPr>
        <w:t xml:space="preserve">to ensure the requirements </w:t>
      </w:r>
      <w:r w:rsidR="00D5118E" w:rsidRPr="008C6A72">
        <w:rPr>
          <w:rFonts w:cs="Arial"/>
        </w:rPr>
        <w:t>comply with backlight and glare ratings</w:t>
      </w:r>
      <w:r w:rsidR="00D5118E">
        <w:rPr>
          <w:rFonts w:cs="Arial"/>
        </w:rPr>
        <w:t>, but</w:t>
      </w:r>
      <w:r w:rsidR="00D5118E" w:rsidRPr="008C6A72">
        <w:rPr>
          <w:rFonts w:cs="Arial"/>
        </w:rPr>
        <w:t xml:space="preserve"> do not apply when they would not be of benefit.</w:t>
      </w:r>
    </w:p>
    <w:p w14:paraId="7362859B" w14:textId="77777777" w:rsidR="00D5118E" w:rsidRPr="008C6A72" w:rsidRDefault="00D5118E" w:rsidP="00D5118E">
      <w:pPr>
        <w:rPr>
          <w:rFonts w:cs="Arial"/>
        </w:rPr>
      </w:pPr>
    </w:p>
    <w:p w14:paraId="25AC6E97" w14:textId="067F9A7B" w:rsidR="00242A4D" w:rsidRPr="008C6A72" w:rsidRDefault="00087D5D" w:rsidP="002C4AAA">
      <w:pPr>
        <w:rPr>
          <w:rFonts w:cs="Arial"/>
        </w:rPr>
      </w:pPr>
      <w:r>
        <w:rPr>
          <w:rFonts w:cs="Arial"/>
        </w:rPr>
        <w:t>DSA</w:t>
      </w:r>
      <w:r w:rsidR="00830E7F">
        <w:rPr>
          <w:rFonts w:cs="Arial"/>
        </w:rPr>
        <w:t>-SS</w:t>
      </w:r>
      <w:r w:rsidR="00D5118E" w:rsidRPr="008C6A72">
        <w:rPr>
          <w:rFonts w:cs="Arial"/>
        </w:rPr>
        <w:t xml:space="preserve"> proposed amendments will benefit the code user by clarifying the exceptions to the requirements of light pollution reduction by avoiding conflict with mandatory provisions of California Energy Code for newly constructed </w:t>
      </w:r>
      <w:r w:rsidR="009F1B7A">
        <w:rPr>
          <w:rFonts w:cs="Arial"/>
        </w:rPr>
        <w:t xml:space="preserve">and </w:t>
      </w:r>
      <w:r w:rsidR="009F1B7A" w:rsidRPr="008C6A72">
        <w:rPr>
          <w:rFonts w:cs="Arial"/>
        </w:rPr>
        <w:t>additions and alterations</w:t>
      </w:r>
      <w:r w:rsidR="009F1B7A">
        <w:rPr>
          <w:rFonts w:cs="Arial"/>
        </w:rPr>
        <w:t xml:space="preserve"> to public K-12 schools and community college buildings</w:t>
      </w:r>
      <w:r w:rsidR="00D5118E" w:rsidRPr="008C6A72">
        <w:rPr>
          <w:rFonts w:cs="Arial"/>
        </w:rPr>
        <w:t xml:space="preserve">. Additionally, the new code sections will help clarify the application and intent of how backlight and glare are to be </w:t>
      </w:r>
      <w:r w:rsidR="00D5118E">
        <w:rPr>
          <w:rFonts w:cs="Arial"/>
        </w:rPr>
        <w:t>addressed</w:t>
      </w:r>
      <w:r w:rsidR="00D5118E" w:rsidRPr="008C6A72">
        <w:rPr>
          <w:rFonts w:cs="Arial"/>
        </w:rPr>
        <w:t xml:space="preserve"> </w:t>
      </w:r>
      <w:r w:rsidR="00D5118E">
        <w:rPr>
          <w:rFonts w:cs="Arial"/>
        </w:rPr>
        <w:t xml:space="preserve">when located </w:t>
      </w:r>
      <w:r w:rsidR="00D5118E" w:rsidRPr="008C6A72">
        <w:rPr>
          <w:rFonts w:cs="Arial"/>
        </w:rPr>
        <w:t>near property lines.</w:t>
      </w:r>
      <w:r w:rsidR="00086774">
        <w:rPr>
          <w:rFonts w:cs="Arial"/>
        </w:rPr>
        <w:t xml:space="preserve"> </w:t>
      </w:r>
    </w:p>
    <w:p w14:paraId="631B6441" w14:textId="77777777" w:rsidR="00484712" w:rsidRPr="007365C7" w:rsidRDefault="00484712" w:rsidP="002C4AAA">
      <w:pPr>
        <w:widowControl/>
        <w:rPr>
          <w:rFonts w:ascii="Arial" w:hAnsi="Arial"/>
          <w:szCs w:val="24"/>
        </w:rPr>
      </w:pPr>
    </w:p>
    <w:p w14:paraId="7980F05C" w14:textId="77777777" w:rsidR="00830E7F" w:rsidRDefault="00484712" w:rsidP="00830E7F">
      <w:pPr>
        <w:widowControl/>
        <w:spacing w:after="120"/>
        <w:rPr>
          <w:rFonts w:ascii="Arial" w:hAnsi="Arial"/>
          <w:b/>
          <w:szCs w:val="24"/>
        </w:rPr>
      </w:pPr>
      <w:r w:rsidRPr="00271588">
        <w:rPr>
          <w:rFonts w:ascii="Arial" w:hAnsi="Arial"/>
          <w:b/>
          <w:szCs w:val="24"/>
          <w:u w:val="single"/>
        </w:rPr>
        <w:t xml:space="preserve">ITEM </w:t>
      </w:r>
      <w:r w:rsidR="00467F6F">
        <w:rPr>
          <w:rFonts w:ascii="Arial" w:hAnsi="Arial"/>
          <w:b/>
          <w:szCs w:val="24"/>
          <w:u w:val="single"/>
        </w:rPr>
        <w:t>3</w:t>
      </w:r>
      <w:r w:rsidRPr="00271588">
        <w:rPr>
          <w:rFonts w:ascii="Arial" w:hAnsi="Arial"/>
          <w:b/>
          <w:szCs w:val="24"/>
          <w:u w:val="single"/>
        </w:rPr>
        <w:t>.</w:t>
      </w:r>
      <w:r>
        <w:rPr>
          <w:rFonts w:ascii="Arial" w:hAnsi="Arial"/>
          <w:b/>
          <w:szCs w:val="24"/>
        </w:rPr>
        <w:t xml:space="preserve"> </w:t>
      </w:r>
      <w:r w:rsidR="00830E7F">
        <w:rPr>
          <w:rFonts w:ascii="Arial" w:hAnsi="Arial"/>
          <w:b/>
          <w:szCs w:val="24"/>
        </w:rPr>
        <w:t>PRE-RINSE SPRAY VALVES</w:t>
      </w:r>
    </w:p>
    <w:p w14:paraId="6291DF53" w14:textId="77777777" w:rsidR="00830E7F" w:rsidRPr="001C272C" w:rsidRDefault="00830E7F" w:rsidP="00830E7F">
      <w:pPr>
        <w:widowControl/>
        <w:spacing w:after="120"/>
        <w:rPr>
          <w:rFonts w:ascii="Arial" w:hAnsi="Arial"/>
          <w:b/>
          <w:szCs w:val="24"/>
        </w:rPr>
      </w:pPr>
      <w:r>
        <w:rPr>
          <w:rFonts w:ascii="Arial" w:hAnsi="Arial"/>
          <w:b/>
          <w:szCs w:val="24"/>
        </w:rPr>
        <w:t>Sec</w:t>
      </w:r>
      <w:r w:rsidRPr="00AB1C1C">
        <w:rPr>
          <w:rFonts w:ascii="Arial" w:hAnsi="Arial"/>
          <w:b/>
          <w:szCs w:val="24"/>
        </w:rPr>
        <w:t>tion</w:t>
      </w:r>
      <w:r>
        <w:rPr>
          <w:rFonts w:ascii="Arial" w:hAnsi="Arial"/>
          <w:b/>
          <w:szCs w:val="24"/>
        </w:rPr>
        <w:t>:</w:t>
      </w:r>
      <w:r w:rsidRPr="00AB1C1C">
        <w:rPr>
          <w:rFonts w:ascii="Arial" w:hAnsi="Arial"/>
          <w:b/>
          <w:szCs w:val="24"/>
        </w:rPr>
        <w:t xml:space="preserve"> </w:t>
      </w:r>
      <w:r w:rsidRPr="006C5960">
        <w:rPr>
          <w:rFonts w:ascii="Arial" w:hAnsi="Arial" w:cs="Arial"/>
          <w:b/>
          <w:bCs/>
          <w:color w:val="000000"/>
          <w:u w:val="single"/>
        </w:rPr>
        <w:t xml:space="preserve">5.303.3.4.6 </w:t>
      </w:r>
      <w:r w:rsidRPr="006C5960">
        <w:rPr>
          <w:rFonts w:ascii="Arial" w:hAnsi="Arial"/>
          <w:b/>
          <w:szCs w:val="24"/>
          <w:u w:val="single"/>
        </w:rPr>
        <w:t>Pre-rinse Spray Valve</w:t>
      </w:r>
    </w:p>
    <w:p w14:paraId="670746EA" w14:textId="0E7ED0DF" w:rsidR="00BB73BB" w:rsidRDefault="00BB73BB" w:rsidP="002C4AAA">
      <w:pPr>
        <w:autoSpaceDE w:val="0"/>
        <w:autoSpaceDN w:val="0"/>
        <w:adjustRightInd w:val="0"/>
        <w:rPr>
          <w:rFonts w:ascii="Arial" w:hAnsi="Arial"/>
          <w:szCs w:val="24"/>
        </w:rPr>
      </w:pPr>
      <w:r>
        <w:rPr>
          <w:rFonts w:ascii="Arial" w:hAnsi="Arial"/>
          <w:szCs w:val="24"/>
        </w:rPr>
        <w:t xml:space="preserve">In coordination with the Department of Housing and Community Development (HCD), the Office of Statewide Health Planning and Development (OSHPD), and the California Energy Commission (CEC), </w:t>
      </w:r>
      <w:r w:rsidR="00087D5D">
        <w:rPr>
          <w:rFonts w:ascii="Arial" w:hAnsi="Arial"/>
          <w:szCs w:val="24"/>
        </w:rPr>
        <w:t>DSA</w:t>
      </w:r>
      <w:r w:rsidR="00830E7F">
        <w:rPr>
          <w:rFonts w:ascii="Arial" w:hAnsi="Arial"/>
          <w:szCs w:val="24"/>
        </w:rPr>
        <w:t>-SS</w:t>
      </w:r>
      <w:r>
        <w:rPr>
          <w:rFonts w:ascii="Arial" w:hAnsi="Arial"/>
          <w:szCs w:val="24"/>
        </w:rPr>
        <w:t xml:space="preserve"> is proposing this new subsection to align with the Appliance Efficiency regulations adopted by the CEC in Title 20 of the </w:t>
      </w:r>
      <w:r>
        <w:rPr>
          <w:rFonts w:ascii="Arial" w:hAnsi="Arial"/>
          <w:i/>
          <w:szCs w:val="24"/>
        </w:rPr>
        <w:t>California Code of Regulations</w:t>
      </w:r>
      <w:r>
        <w:rPr>
          <w:rFonts w:ascii="Arial" w:hAnsi="Arial"/>
          <w:szCs w:val="24"/>
        </w:rPr>
        <w:t xml:space="preserve">. </w:t>
      </w:r>
      <w:r>
        <w:t>On January 28, 2019, the amended federal standards for all commercial pre-rinse spray valves went into effect (Title 10, Code of Federal Regulations, section 431, subpart O). The federal standards for flow rate of commercial pre-rinse spray valves manufactured on or after January 28, 2019, shall be equal to or less than the values shown in Table H-2. Table H-2 can be found in Title 20, California Code of Regulations, section 1605.1(h)(4). And per Title 20 Section 1605.3(h)(4)(A);</w:t>
      </w:r>
      <w:r>
        <w:rPr>
          <w:rFonts w:ascii="Arial" w:hAnsi="Arial" w:cs="Arial"/>
          <w:iCs/>
          <w:szCs w:val="24"/>
        </w:rPr>
        <w:t xml:space="preserve"> Commercial pre-rinse spray valves manufactured on or after January 1, 2006,</w:t>
      </w:r>
      <w:r>
        <w:t xml:space="preserve"> </w:t>
      </w:r>
      <w:r>
        <w:rPr>
          <w:rFonts w:ascii="Arial" w:hAnsi="Arial" w:cs="Arial"/>
          <w:iCs/>
          <w:szCs w:val="24"/>
        </w:rPr>
        <w:t xml:space="preserve">shall have a minimum spray force of not less than 4.0 ounces-force (ozf) [113 grams-force (gf)]. </w:t>
      </w:r>
      <w:r>
        <w:rPr>
          <w:rFonts w:ascii="Arial" w:hAnsi="Arial"/>
          <w:szCs w:val="24"/>
        </w:rPr>
        <w:t xml:space="preserve">Additionally, Title 20 has a requirement that pre-rinse spray valves need to be labeled per Title 20, Section 1607(d)(7) so </w:t>
      </w:r>
      <w:r w:rsidR="00087D5D">
        <w:rPr>
          <w:rFonts w:ascii="Arial" w:hAnsi="Arial"/>
          <w:szCs w:val="24"/>
        </w:rPr>
        <w:t>DSA</w:t>
      </w:r>
      <w:r w:rsidR="00830E7F">
        <w:rPr>
          <w:rFonts w:ascii="Arial" w:hAnsi="Arial"/>
          <w:szCs w:val="24"/>
        </w:rPr>
        <w:t>-SS</w:t>
      </w:r>
      <w:r>
        <w:rPr>
          <w:rFonts w:ascii="Arial" w:hAnsi="Arial"/>
          <w:szCs w:val="24"/>
        </w:rPr>
        <w:t xml:space="preserve"> is also adding a reference to that code section. Lastly, the model code Section 420.3 has a requirement for valves to be equipped with an integral automatic shutoff and </w:t>
      </w:r>
      <w:r w:rsidR="009661F4">
        <w:rPr>
          <w:rFonts w:ascii="Arial" w:hAnsi="Arial"/>
          <w:szCs w:val="24"/>
        </w:rPr>
        <w:t>DSA</w:t>
      </w:r>
      <w:r w:rsidR="00830E7F">
        <w:rPr>
          <w:rFonts w:ascii="Arial" w:hAnsi="Arial"/>
          <w:szCs w:val="24"/>
        </w:rPr>
        <w:t>-SS</w:t>
      </w:r>
      <w:r>
        <w:rPr>
          <w:rFonts w:ascii="Arial" w:hAnsi="Arial"/>
          <w:szCs w:val="24"/>
        </w:rPr>
        <w:t xml:space="preserve"> is proposing to duplicate that requirement in new Section 420.3.1. Finally, this code change reflects the same provisions adopted by </w:t>
      </w:r>
      <w:r w:rsidR="00087D5D">
        <w:rPr>
          <w:rFonts w:ascii="Arial" w:hAnsi="Arial"/>
          <w:szCs w:val="24"/>
        </w:rPr>
        <w:t>DSA</w:t>
      </w:r>
      <w:r w:rsidR="00830E7F">
        <w:rPr>
          <w:rFonts w:ascii="Arial" w:hAnsi="Arial"/>
          <w:szCs w:val="24"/>
        </w:rPr>
        <w:t>-SS</w:t>
      </w:r>
      <w:r>
        <w:rPr>
          <w:rFonts w:ascii="Arial" w:hAnsi="Arial"/>
          <w:szCs w:val="24"/>
        </w:rPr>
        <w:t xml:space="preserve"> in CALGreen Section </w:t>
      </w:r>
      <w:r>
        <w:rPr>
          <w:rFonts w:ascii="Arial" w:hAnsi="Arial" w:cs="Arial"/>
          <w:bCs/>
          <w:color w:val="000000"/>
        </w:rPr>
        <w:t>5.303.3.4.6</w:t>
      </w:r>
      <w:r>
        <w:rPr>
          <w:rFonts w:ascii="Arial" w:hAnsi="Arial"/>
          <w:szCs w:val="24"/>
        </w:rPr>
        <w:t xml:space="preserve">. Consistency among federal law and state regulations will benefit the code user, and there is no intended change in regulatory effect. </w:t>
      </w:r>
    </w:p>
    <w:p w14:paraId="1D385F11" w14:textId="77777777" w:rsidR="00484712" w:rsidRPr="007365C7" w:rsidRDefault="00484712" w:rsidP="002C4AAA">
      <w:pPr>
        <w:widowControl/>
        <w:rPr>
          <w:rFonts w:ascii="Arial" w:hAnsi="Arial"/>
          <w:szCs w:val="24"/>
        </w:rPr>
      </w:pPr>
    </w:p>
    <w:p w14:paraId="06DB7AA8" w14:textId="77777777" w:rsidR="00830E7F" w:rsidRDefault="00271588" w:rsidP="00830E7F">
      <w:pPr>
        <w:widowControl/>
        <w:spacing w:after="120"/>
        <w:rPr>
          <w:rFonts w:ascii="Arial" w:hAnsi="Arial"/>
          <w:b/>
          <w:szCs w:val="24"/>
        </w:rPr>
      </w:pPr>
      <w:r w:rsidRPr="00271588">
        <w:rPr>
          <w:rFonts w:ascii="Arial" w:hAnsi="Arial"/>
          <w:b/>
          <w:szCs w:val="24"/>
          <w:u w:val="single"/>
        </w:rPr>
        <w:t xml:space="preserve">ITEM </w:t>
      </w:r>
      <w:r w:rsidR="0091447E">
        <w:rPr>
          <w:rFonts w:ascii="Arial" w:hAnsi="Arial"/>
          <w:b/>
          <w:szCs w:val="24"/>
          <w:u w:val="single"/>
        </w:rPr>
        <w:t>4</w:t>
      </w:r>
      <w:r w:rsidRPr="00271588">
        <w:rPr>
          <w:rFonts w:ascii="Arial" w:hAnsi="Arial"/>
          <w:b/>
          <w:szCs w:val="24"/>
          <w:u w:val="single"/>
        </w:rPr>
        <w:t>.</w:t>
      </w:r>
      <w:r>
        <w:rPr>
          <w:rFonts w:ascii="Arial" w:hAnsi="Arial"/>
          <w:b/>
          <w:szCs w:val="24"/>
        </w:rPr>
        <w:t xml:space="preserve"> </w:t>
      </w:r>
      <w:r w:rsidR="00830E7F">
        <w:rPr>
          <w:rFonts w:cs="Arial"/>
          <w:b/>
        </w:rPr>
        <w:t xml:space="preserve">POLLUTION CONTROL </w:t>
      </w:r>
    </w:p>
    <w:p w14:paraId="2CFD361B" w14:textId="77777777" w:rsidR="00830E7F" w:rsidRPr="00DF4C15" w:rsidRDefault="00830E7F" w:rsidP="00830E7F">
      <w:pPr>
        <w:spacing w:after="120"/>
        <w:rPr>
          <w:rFonts w:eastAsia="SimSun" w:cs="Arial"/>
          <w:b/>
          <w:bCs/>
        </w:rPr>
      </w:pPr>
      <w:r w:rsidRPr="00DF4C15">
        <w:rPr>
          <w:rFonts w:eastAsia="SimSun" w:cs="Arial"/>
          <w:b/>
          <w:bCs/>
        </w:rPr>
        <w:t>Section</w:t>
      </w:r>
      <w:r>
        <w:rPr>
          <w:rFonts w:eastAsia="SimSun" w:cs="Arial"/>
          <w:b/>
          <w:bCs/>
        </w:rPr>
        <w:t>s:</w:t>
      </w:r>
      <w:r w:rsidRPr="00DF4C15">
        <w:rPr>
          <w:rFonts w:eastAsia="SimSun" w:cs="Arial"/>
          <w:b/>
          <w:bCs/>
        </w:rPr>
        <w:t xml:space="preserve"> 5.504.4.4 </w:t>
      </w:r>
      <w:r>
        <w:rPr>
          <w:rFonts w:eastAsia="SimSun" w:cs="Arial"/>
          <w:b/>
          <w:bCs/>
        </w:rPr>
        <w:t>C</w:t>
      </w:r>
      <w:r w:rsidRPr="00DF4C15">
        <w:rPr>
          <w:rFonts w:eastAsia="SimSun" w:cs="Arial"/>
          <w:b/>
          <w:bCs/>
        </w:rPr>
        <w:t>arpet systems</w:t>
      </w:r>
      <w:r>
        <w:rPr>
          <w:rFonts w:eastAsia="SimSun" w:cs="Arial"/>
          <w:b/>
          <w:bCs/>
        </w:rPr>
        <w:t xml:space="preserve">; </w:t>
      </w:r>
      <w:r w:rsidRPr="00DF4C15">
        <w:rPr>
          <w:rFonts w:eastAsia="SimSun" w:cs="Arial"/>
          <w:b/>
          <w:bCs/>
        </w:rPr>
        <w:t>5.504.4.4.1</w:t>
      </w:r>
      <w:r>
        <w:rPr>
          <w:rFonts w:eastAsia="SimSun" w:cs="Arial"/>
          <w:b/>
          <w:bCs/>
        </w:rPr>
        <w:t xml:space="preserve"> </w:t>
      </w:r>
      <w:r w:rsidRPr="00DF4C15">
        <w:rPr>
          <w:rFonts w:eastAsia="SimSun" w:cs="Arial"/>
          <w:b/>
          <w:bCs/>
        </w:rPr>
        <w:t>Carpet cushion</w:t>
      </w:r>
      <w:r>
        <w:rPr>
          <w:rFonts w:eastAsia="SimSun" w:cs="Arial"/>
          <w:b/>
          <w:bCs/>
        </w:rPr>
        <w:t xml:space="preserve">; </w:t>
      </w:r>
      <w:r w:rsidRPr="00DF4C15">
        <w:rPr>
          <w:rFonts w:eastAsia="SimSun" w:cs="Arial"/>
          <w:b/>
          <w:bCs/>
        </w:rPr>
        <w:t xml:space="preserve">5.504.4.6 </w:t>
      </w:r>
      <w:r>
        <w:rPr>
          <w:rFonts w:eastAsia="SimSun" w:cs="Arial"/>
          <w:b/>
          <w:bCs/>
        </w:rPr>
        <w:t>R</w:t>
      </w:r>
      <w:r w:rsidRPr="00DF4C15">
        <w:rPr>
          <w:rFonts w:eastAsia="SimSun" w:cs="Arial"/>
          <w:b/>
          <w:bCs/>
        </w:rPr>
        <w:t>esilient flooring system</w:t>
      </w:r>
      <w:r>
        <w:rPr>
          <w:rFonts w:eastAsia="SimSun" w:cs="Arial"/>
          <w:b/>
          <w:bCs/>
        </w:rPr>
        <w:t>s.</w:t>
      </w:r>
    </w:p>
    <w:p w14:paraId="3D5D0589" w14:textId="77777777" w:rsidR="00830E7F" w:rsidRPr="002A1292" w:rsidRDefault="00830E7F" w:rsidP="00830E7F">
      <w:pPr>
        <w:spacing w:after="120"/>
        <w:rPr>
          <w:rFonts w:cs="Arial"/>
        </w:rPr>
      </w:pPr>
      <w:r w:rsidRPr="002A1292">
        <w:rPr>
          <w:rFonts w:eastAsia="SimSun" w:cs="Arial"/>
          <w:bCs/>
        </w:rPr>
        <w:t>[Associated Sections:  4.504.3 and Chapter 6, ANSI Standards, NSF/ANSI 140-2014]</w:t>
      </w:r>
    </w:p>
    <w:p w14:paraId="2865D92E" w14:textId="25D0EA11" w:rsidR="00103F12" w:rsidRDefault="00087D5D" w:rsidP="002C4AAA">
      <w:pPr>
        <w:rPr>
          <w:rFonts w:cs="Arial"/>
        </w:rPr>
      </w:pPr>
      <w:r>
        <w:rPr>
          <w:rFonts w:cs="Arial"/>
        </w:rPr>
        <w:t>DSA</w:t>
      </w:r>
      <w:r w:rsidR="00964A56" w:rsidRPr="00682E72">
        <w:rPr>
          <w:rFonts w:cs="Arial"/>
        </w:rPr>
        <w:t xml:space="preserve"> proposes to amend Chapter 5, Section 5.504.4.4 </w:t>
      </w:r>
      <w:r w:rsidR="00964A56">
        <w:rPr>
          <w:rFonts w:cs="Arial"/>
        </w:rPr>
        <w:t>(c</w:t>
      </w:r>
      <w:r w:rsidR="00964A56" w:rsidRPr="00682E72">
        <w:rPr>
          <w:rFonts w:cs="Arial"/>
        </w:rPr>
        <w:t>arpe</w:t>
      </w:r>
      <w:r w:rsidR="00964A56">
        <w:rPr>
          <w:rFonts w:cs="Arial"/>
        </w:rPr>
        <w:t>t s</w:t>
      </w:r>
      <w:r w:rsidR="00A267EB">
        <w:rPr>
          <w:rFonts w:cs="Arial"/>
        </w:rPr>
        <w:t>ystems)</w:t>
      </w:r>
      <w:r w:rsidR="002A45E9">
        <w:rPr>
          <w:rFonts w:cs="Arial"/>
        </w:rPr>
        <w:t>,</w:t>
      </w:r>
      <w:r w:rsidR="00A267EB">
        <w:rPr>
          <w:rFonts w:cs="Arial"/>
        </w:rPr>
        <w:t xml:space="preserve"> </w:t>
      </w:r>
      <w:r w:rsidR="00C23205">
        <w:rPr>
          <w:rFonts w:cs="Arial"/>
        </w:rPr>
        <w:t>S</w:t>
      </w:r>
      <w:r w:rsidR="002A45E9">
        <w:rPr>
          <w:rFonts w:cs="Arial"/>
        </w:rPr>
        <w:t>e</w:t>
      </w:r>
      <w:r w:rsidR="00C23205">
        <w:rPr>
          <w:rFonts w:cs="Arial"/>
        </w:rPr>
        <w:t xml:space="preserve">ction 5.504.4.4.1(Carpet cushion), and </w:t>
      </w:r>
      <w:r w:rsidR="00A267EB">
        <w:rPr>
          <w:rFonts w:cs="Arial"/>
        </w:rPr>
        <w:t xml:space="preserve">Section 5.504.4.6 </w:t>
      </w:r>
      <w:r w:rsidR="00964A56">
        <w:rPr>
          <w:rFonts w:cs="Arial"/>
        </w:rPr>
        <w:t>(r</w:t>
      </w:r>
      <w:r w:rsidR="00964A56" w:rsidRPr="00682E72">
        <w:rPr>
          <w:rFonts w:cs="Arial"/>
        </w:rPr>
        <w:t>esilient flooring systems</w:t>
      </w:r>
      <w:r w:rsidR="00964A56">
        <w:rPr>
          <w:rFonts w:cs="Arial"/>
        </w:rPr>
        <w:t>)</w:t>
      </w:r>
      <w:r w:rsidR="00C23205">
        <w:rPr>
          <w:rFonts w:cs="Arial"/>
        </w:rPr>
        <w:t xml:space="preserve"> to </w:t>
      </w:r>
      <w:r w:rsidR="00964A56">
        <w:rPr>
          <w:rFonts w:cs="Arial"/>
        </w:rPr>
        <w:t xml:space="preserve">update </w:t>
      </w:r>
      <w:r w:rsidR="00964A56" w:rsidRPr="00682E72">
        <w:rPr>
          <w:rFonts w:cs="Arial"/>
        </w:rPr>
        <w:t xml:space="preserve">the referenced </w:t>
      </w:r>
      <w:r w:rsidR="00964A56">
        <w:rPr>
          <w:rFonts w:cs="Arial"/>
        </w:rPr>
        <w:t>standard</w:t>
      </w:r>
      <w:r w:rsidR="00964A56" w:rsidRPr="00682E72">
        <w:rPr>
          <w:rFonts w:cs="Arial"/>
        </w:rPr>
        <w:t xml:space="preserve"> for the new </w:t>
      </w:r>
      <w:r w:rsidR="00964A56">
        <w:rPr>
          <w:rFonts w:cs="Arial"/>
        </w:rPr>
        <w:t>California Department of Public Health (CDPH)</w:t>
      </w:r>
      <w:r w:rsidR="001E317B">
        <w:rPr>
          <w:rFonts w:cs="Arial"/>
        </w:rPr>
        <w:t xml:space="preserve"> for Volatile Organic Compounds (VOC) limits</w:t>
      </w:r>
      <w:r w:rsidR="00C23205">
        <w:rPr>
          <w:rFonts w:cs="Arial"/>
        </w:rPr>
        <w:t xml:space="preserve">. </w:t>
      </w:r>
      <w:r>
        <w:rPr>
          <w:rFonts w:cs="Arial"/>
        </w:rPr>
        <w:t>DSA</w:t>
      </w:r>
      <w:r w:rsidR="00830E7F">
        <w:rPr>
          <w:rFonts w:cs="Arial"/>
        </w:rPr>
        <w:t>-SS</w:t>
      </w:r>
      <w:r w:rsidR="00C23205">
        <w:rPr>
          <w:rFonts w:cs="Arial"/>
        </w:rPr>
        <w:t xml:space="preserve"> is proposing to only reference the new CDPH </w:t>
      </w:r>
      <w:r w:rsidR="001E317B">
        <w:rPr>
          <w:rFonts w:cs="Arial"/>
        </w:rPr>
        <w:t xml:space="preserve">VOC limits </w:t>
      </w:r>
      <w:r w:rsidR="00C23205">
        <w:rPr>
          <w:rFonts w:cs="Arial"/>
        </w:rPr>
        <w:t>standard for t</w:t>
      </w:r>
      <w:r w:rsidR="001E317B">
        <w:rPr>
          <w:rFonts w:cs="Arial"/>
        </w:rPr>
        <w:t>hese materials and proposes to repeal</w:t>
      </w:r>
      <w:r w:rsidR="00964A56">
        <w:rPr>
          <w:rFonts w:cs="Arial"/>
        </w:rPr>
        <w:t xml:space="preserve"> </w:t>
      </w:r>
      <w:r w:rsidR="00C23205">
        <w:rPr>
          <w:rFonts w:cs="Arial"/>
        </w:rPr>
        <w:t xml:space="preserve">all other testing standards </w:t>
      </w:r>
      <w:r w:rsidR="0087005A">
        <w:rPr>
          <w:rFonts w:cs="Arial"/>
        </w:rPr>
        <w:t xml:space="preserve">listed </w:t>
      </w:r>
      <w:r w:rsidR="00C23205">
        <w:rPr>
          <w:rFonts w:cs="Arial"/>
        </w:rPr>
        <w:t>as those third party testing standards all re</w:t>
      </w:r>
      <w:r w:rsidR="0087005A">
        <w:rPr>
          <w:rFonts w:cs="Arial"/>
        </w:rPr>
        <w:t xml:space="preserve">ly on the CDPH </w:t>
      </w:r>
      <w:r w:rsidR="005E1182">
        <w:rPr>
          <w:rFonts w:cs="Arial"/>
        </w:rPr>
        <w:t xml:space="preserve">testing </w:t>
      </w:r>
      <w:r w:rsidR="0087005A">
        <w:rPr>
          <w:rFonts w:cs="Arial"/>
        </w:rPr>
        <w:t>standard</w:t>
      </w:r>
      <w:r w:rsidR="005E1182">
        <w:rPr>
          <w:rFonts w:cs="Arial"/>
        </w:rPr>
        <w:t xml:space="preserve"> criteria</w:t>
      </w:r>
      <w:r w:rsidR="0087005A">
        <w:rPr>
          <w:rFonts w:cs="Arial"/>
        </w:rPr>
        <w:t xml:space="preserve">. </w:t>
      </w:r>
      <w:r>
        <w:rPr>
          <w:rFonts w:cs="Arial"/>
        </w:rPr>
        <w:t>DSA</w:t>
      </w:r>
      <w:r w:rsidR="00830E7F">
        <w:rPr>
          <w:rFonts w:cs="Arial"/>
        </w:rPr>
        <w:t>-SS</w:t>
      </w:r>
      <w:r w:rsidR="00C70D45">
        <w:rPr>
          <w:rFonts w:cs="Arial"/>
        </w:rPr>
        <w:t xml:space="preserve"> is proposing to provid</w:t>
      </w:r>
      <w:r w:rsidR="00162232">
        <w:rPr>
          <w:rFonts w:cs="Arial"/>
        </w:rPr>
        <w:t xml:space="preserve">e a web link to CDPH’s website </w:t>
      </w:r>
      <w:r w:rsidR="008D24E4" w:rsidRPr="008D24E4">
        <w:rPr>
          <w:rFonts w:cs="Arial"/>
        </w:rPr>
        <w:t>for certification programs and testing labs.</w:t>
      </w:r>
    </w:p>
    <w:p w14:paraId="5BD8C26F" w14:textId="77777777" w:rsidR="00830E7F" w:rsidRDefault="00830E7F" w:rsidP="002C4AAA">
      <w:pPr>
        <w:rPr>
          <w:rFonts w:cs="Arial"/>
        </w:rPr>
      </w:pPr>
    </w:p>
    <w:p w14:paraId="664980AB" w14:textId="77777777" w:rsidR="00103F12" w:rsidRPr="00682E72" w:rsidRDefault="00464B82" w:rsidP="00103F12">
      <w:pPr>
        <w:spacing w:after="240"/>
        <w:rPr>
          <w:rFonts w:cs="Arial"/>
        </w:rPr>
      </w:pPr>
      <w:r>
        <w:rPr>
          <w:rFonts w:cs="Arial"/>
        </w:rPr>
        <w:t>U</w:t>
      </w:r>
      <w:r w:rsidR="00BE1B35">
        <w:rPr>
          <w:rFonts w:cs="Arial"/>
        </w:rPr>
        <w:t xml:space="preserve">pdating the reference to the </w:t>
      </w:r>
      <w:r w:rsidR="00964A56" w:rsidRPr="00682E72">
        <w:rPr>
          <w:rFonts w:cs="Arial"/>
        </w:rPr>
        <w:t xml:space="preserve">new </w:t>
      </w:r>
      <w:r w:rsidR="00964A56">
        <w:rPr>
          <w:rFonts w:cs="Arial"/>
        </w:rPr>
        <w:t xml:space="preserve">CDPH </w:t>
      </w:r>
      <w:r w:rsidR="00BE1B35">
        <w:rPr>
          <w:rFonts w:cs="Arial"/>
        </w:rPr>
        <w:t xml:space="preserve">standard and by only using the CDPH standard </w:t>
      </w:r>
      <w:r w:rsidR="00964A56" w:rsidRPr="00682E72">
        <w:rPr>
          <w:rFonts w:cs="Arial"/>
        </w:rPr>
        <w:t xml:space="preserve">for VOC limits will aid the code user in properly applying the </w:t>
      </w:r>
      <w:r w:rsidR="00964A56">
        <w:rPr>
          <w:rFonts w:cs="Arial"/>
        </w:rPr>
        <w:t>most recent</w:t>
      </w:r>
      <w:r w:rsidR="00964A56" w:rsidRPr="00682E72">
        <w:rPr>
          <w:rFonts w:cs="Arial"/>
        </w:rPr>
        <w:t xml:space="preserve"> reference standard</w:t>
      </w:r>
      <w:r w:rsidR="00162232">
        <w:rPr>
          <w:rFonts w:cs="Arial"/>
        </w:rPr>
        <w:t>.  U</w:t>
      </w:r>
      <w:r w:rsidR="00C70D45">
        <w:rPr>
          <w:rFonts w:cs="Arial"/>
        </w:rPr>
        <w:t>sing one single source for the most current information</w:t>
      </w:r>
      <w:r w:rsidR="00162232">
        <w:rPr>
          <w:rFonts w:cs="Arial"/>
        </w:rPr>
        <w:t xml:space="preserve"> will also aid the code user and the regulatory agencies</w:t>
      </w:r>
      <w:r w:rsidR="00964A56" w:rsidRPr="00682E72">
        <w:rPr>
          <w:rFonts w:cs="Arial"/>
        </w:rPr>
        <w:t>.</w:t>
      </w:r>
      <w:r w:rsidR="00103F12" w:rsidRPr="00103F12">
        <w:rPr>
          <w:rFonts w:cs="Arial"/>
        </w:rPr>
        <w:t xml:space="preserve"> </w:t>
      </w:r>
      <w:r w:rsidR="00103F12" w:rsidRPr="00682E72">
        <w:rPr>
          <w:rFonts w:cs="Arial"/>
        </w:rPr>
        <w:t>Th</w:t>
      </w:r>
      <w:r w:rsidR="00103F12">
        <w:rPr>
          <w:rFonts w:cs="Arial"/>
        </w:rPr>
        <w:t xml:space="preserve">ese amendments are </w:t>
      </w:r>
      <w:r w:rsidR="00103F12" w:rsidRPr="00682E72">
        <w:rPr>
          <w:rFonts w:cs="Arial"/>
        </w:rPr>
        <w:t xml:space="preserve">non-substantive with no intended change in regulatory effect.  </w:t>
      </w:r>
    </w:p>
    <w:p w14:paraId="4B46E0BD" w14:textId="65418AFA" w:rsidR="00A23DA3" w:rsidRPr="00B25FCF" w:rsidRDefault="00830E7F" w:rsidP="00AE2F87">
      <w:pPr>
        <w:pStyle w:val="Heading2"/>
        <w:rPr>
          <w:szCs w:val="24"/>
        </w:rPr>
      </w:pPr>
      <w:r>
        <w:rPr>
          <w:szCs w:val="24"/>
        </w:rPr>
        <w:t xml:space="preserve">TECHNICAL, </w:t>
      </w:r>
      <w:r w:rsidR="00A23DA3" w:rsidRPr="00B25FCF">
        <w:rPr>
          <w:szCs w:val="24"/>
        </w:rPr>
        <w:t>THEORETICAL, AND EMPIRICAL STUD</w:t>
      </w:r>
      <w:r w:rsidR="00B46C0C">
        <w:rPr>
          <w:szCs w:val="24"/>
        </w:rPr>
        <w:t>Y, REPORT, OR SIMILAR DOCUMENTS</w:t>
      </w:r>
    </w:p>
    <w:p w14:paraId="79288FF1" w14:textId="77777777" w:rsidR="00A23DA3" w:rsidRDefault="00A23DA3" w:rsidP="00AF1595">
      <w:pPr>
        <w:widowControl/>
        <w:spacing w:after="360"/>
        <w:rPr>
          <w:rFonts w:ascii="Arial" w:hAnsi="Arial"/>
          <w:szCs w:val="24"/>
        </w:rPr>
      </w:pPr>
      <w:r w:rsidRPr="00685FA3">
        <w:rPr>
          <w:rFonts w:ascii="Arial" w:hAnsi="Arial"/>
          <w:szCs w:val="24"/>
        </w:rPr>
        <w:t>Government Code Section 11346.2(b)(</w:t>
      </w:r>
      <w:r w:rsidR="009F4C5C" w:rsidRPr="00685FA3">
        <w:rPr>
          <w:rFonts w:ascii="Arial" w:hAnsi="Arial"/>
          <w:szCs w:val="24"/>
        </w:rPr>
        <w:t>3</w:t>
      </w:r>
      <w:r w:rsidRPr="00685FA3">
        <w:rPr>
          <w:rFonts w:ascii="Arial" w:hAnsi="Arial"/>
          <w:szCs w:val="24"/>
        </w:rPr>
        <w:t>) requires an identification of each technical, theoretical, and empirical study, report, or similar document, if any, upon which the agency relies in proposing the regulation(s</w:t>
      </w:r>
      <w:r w:rsidR="00167807" w:rsidRPr="00685FA3">
        <w:rPr>
          <w:rFonts w:ascii="Arial" w:hAnsi="Arial"/>
          <w:szCs w:val="24"/>
        </w:rPr>
        <w:t>).</w:t>
      </w:r>
    </w:p>
    <w:p w14:paraId="2427163A" w14:textId="77777777" w:rsidR="00ED1B14" w:rsidRPr="008832C4" w:rsidRDefault="00542137" w:rsidP="008832C4">
      <w:pPr>
        <w:pStyle w:val="ListParagraph"/>
        <w:widowControl/>
        <w:numPr>
          <w:ilvl w:val="0"/>
          <w:numId w:val="7"/>
        </w:numPr>
        <w:spacing w:before="120"/>
        <w:rPr>
          <w:rFonts w:ascii="Arial" w:hAnsi="Arial"/>
          <w:szCs w:val="24"/>
        </w:rPr>
      </w:pPr>
      <w:r w:rsidRPr="008832C4">
        <w:rPr>
          <w:rFonts w:ascii="Arial" w:hAnsi="Arial"/>
          <w:szCs w:val="24"/>
        </w:rPr>
        <w:t xml:space="preserve">There was no technical, theoretical or empirical study, report, or similar documents used as the basis for the proposed amendment to the 2019 California </w:t>
      </w:r>
      <w:r w:rsidR="006B1FC3">
        <w:rPr>
          <w:rFonts w:ascii="Arial" w:hAnsi="Arial"/>
          <w:szCs w:val="24"/>
        </w:rPr>
        <w:t>CALGreen</w:t>
      </w:r>
      <w:r w:rsidRPr="008832C4">
        <w:rPr>
          <w:rFonts w:ascii="Arial" w:hAnsi="Arial"/>
          <w:szCs w:val="24"/>
        </w:rPr>
        <w:t xml:space="preserve"> Code.</w:t>
      </w:r>
    </w:p>
    <w:p w14:paraId="0A8C6459" w14:textId="77777777" w:rsidR="009F4C5C" w:rsidRPr="00B25FCF" w:rsidRDefault="009F4C5C" w:rsidP="00AE2F87">
      <w:pPr>
        <w:pStyle w:val="Heading2"/>
        <w:rPr>
          <w:szCs w:val="24"/>
        </w:rPr>
      </w:pPr>
      <w:r w:rsidRPr="00B25FCF">
        <w:rPr>
          <w:szCs w:val="24"/>
        </w:rPr>
        <w:t>STATEMENT OF JUSTIFICA</w:t>
      </w:r>
      <w:r w:rsidR="00B46C0C">
        <w:rPr>
          <w:szCs w:val="24"/>
        </w:rPr>
        <w:t>TION FOR PRESCRIPTIVE STANDARDS</w:t>
      </w:r>
    </w:p>
    <w:p w14:paraId="46F2636D" w14:textId="77777777" w:rsidR="009F4C5C" w:rsidRDefault="009F4C5C" w:rsidP="00AF1595">
      <w:pPr>
        <w:widowControl/>
        <w:spacing w:after="360"/>
        <w:rPr>
          <w:rFonts w:ascii="Arial" w:hAnsi="Arial"/>
          <w:szCs w:val="24"/>
        </w:rPr>
      </w:pPr>
      <w:r w:rsidRPr="00685FA3">
        <w:rPr>
          <w:rFonts w:ascii="Arial" w:hAnsi="Arial"/>
          <w:szCs w:val="24"/>
        </w:rPr>
        <w:t>Government Code Section 11346.2(b)(</w:t>
      </w:r>
      <w:r w:rsidR="00C573EA" w:rsidRPr="00685FA3">
        <w:rPr>
          <w:rFonts w:ascii="Arial" w:hAnsi="Arial"/>
          <w:szCs w:val="24"/>
        </w:rPr>
        <w:t>1</w:t>
      </w:r>
      <w:r w:rsidRPr="00685FA3">
        <w:rPr>
          <w:rFonts w:ascii="Arial" w:hAnsi="Arial"/>
          <w:szCs w:val="24"/>
        </w:rPr>
        <w:t>) requires a statement of the reasons why an agency believes any mandates for specific technologies or equipment or prescriptive standards</w:t>
      </w:r>
      <w:r w:rsidR="00167807" w:rsidRPr="00685FA3">
        <w:rPr>
          <w:rFonts w:ascii="Arial" w:hAnsi="Arial"/>
          <w:szCs w:val="24"/>
        </w:rPr>
        <w:t xml:space="preserve"> are required</w:t>
      </w:r>
      <w:r w:rsidRPr="00685FA3">
        <w:rPr>
          <w:rFonts w:ascii="Arial" w:hAnsi="Arial"/>
          <w:szCs w:val="24"/>
        </w:rPr>
        <w:t>.</w:t>
      </w:r>
    </w:p>
    <w:p w14:paraId="5BDD362C" w14:textId="77777777" w:rsidR="00ED1B14" w:rsidRPr="008832C4" w:rsidRDefault="00542137" w:rsidP="008832C4">
      <w:pPr>
        <w:pStyle w:val="ListParagraph"/>
        <w:widowControl/>
        <w:numPr>
          <w:ilvl w:val="0"/>
          <w:numId w:val="6"/>
        </w:numPr>
        <w:spacing w:before="120"/>
        <w:rPr>
          <w:rFonts w:ascii="Arial" w:hAnsi="Arial"/>
          <w:szCs w:val="24"/>
        </w:rPr>
      </w:pPr>
      <w:r w:rsidRPr="008832C4">
        <w:rPr>
          <w:rFonts w:ascii="Arial" w:hAnsi="Arial"/>
          <w:szCs w:val="24"/>
        </w:rPr>
        <w:t xml:space="preserve">The proposed amendments to </w:t>
      </w:r>
      <w:r w:rsidR="00FD063B">
        <w:rPr>
          <w:rFonts w:ascii="Arial" w:hAnsi="Arial"/>
          <w:szCs w:val="24"/>
        </w:rPr>
        <w:t xml:space="preserve">CALGreen Code </w:t>
      </w:r>
      <w:r w:rsidRPr="008832C4">
        <w:rPr>
          <w:rFonts w:ascii="Arial" w:hAnsi="Arial"/>
          <w:szCs w:val="24"/>
        </w:rPr>
        <w:t>regulations do not mandate any specific technologies or equipment, and do not require any prescriptive standards.</w:t>
      </w:r>
    </w:p>
    <w:p w14:paraId="50740D33" w14:textId="77777777" w:rsidR="00A23DA3" w:rsidRPr="00B25FCF" w:rsidRDefault="00A23DA3" w:rsidP="00AE2F87">
      <w:pPr>
        <w:pStyle w:val="Heading2"/>
        <w:rPr>
          <w:szCs w:val="24"/>
        </w:rPr>
      </w:pPr>
      <w:r w:rsidRPr="00B25FCF">
        <w:rPr>
          <w:szCs w:val="24"/>
        </w:rPr>
        <w:t>CONSIDERATION OF REASONABLE ALTERNATIVES</w:t>
      </w:r>
    </w:p>
    <w:p w14:paraId="0F2B47DB" w14:textId="77777777" w:rsidR="00A23DA3" w:rsidRPr="00685FA3" w:rsidRDefault="00A23DA3" w:rsidP="00AF1595">
      <w:pPr>
        <w:widowControl/>
        <w:spacing w:after="360"/>
        <w:rPr>
          <w:rFonts w:ascii="Arial" w:hAnsi="Arial" w:cs="Arial"/>
          <w:szCs w:val="24"/>
        </w:rPr>
      </w:pPr>
      <w:r w:rsidRPr="00685FA3">
        <w:rPr>
          <w:rFonts w:ascii="Arial" w:hAnsi="Arial" w:cs="Arial"/>
          <w:szCs w:val="24"/>
        </w:rPr>
        <w:t>Government Code Section 11346.2(b)(</w:t>
      </w:r>
      <w:r w:rsidR="00AB66C7" w:rsidRPr="00685FA3">
        <w:rPr>
          <w:rFonts w:ascii="Arial" w:hAnsi="Arial" w:cs="Arial"/>
          <w:szCs w:val="24"/>
        </w:rPr>
        <w:t>4</w:t>
      </w:r>
      <w:r w:rsidR="00F21C7A" w:rsidRPr="00685FA3">
        <w:rPr>
          <w:rFonts w:ascii="Arial" w:hAnsi="Arial" w:cs="Arial"/>
          <w:szCs w:val="24"/>
        </w:rPr>
        <w:t xml:space="preserve">)(A) </w:t>
      </w:r>
      <w:r w:rsidRPr="00685FA3">
        <w:rPr>
          <w:rFonts w:ascii="Arial" w:hAnsi="Arial" w:cs="Arial"/>
          <w:szCs w:val="24"/>
        </w:rPr>
        <w:t>requires a description of reasonable alternatives to the regulation and the agency’s reason</w:t>
      </w:r>
      <w:r w:rsidR="00CF6F40" w:rsidRPr="00685FA3">
        <w:rPr>
          <w:rFonts w:ascii="Arial" w:hAnsi="Arial" w:cs="Arial"/>
          <w:szCs w:val="24"/>
        </w:rPr>
        <w:t>s</w:t>
      </w:r>
      <w:r w:rsidRPr="00685FA3">
        <w:rPr>
          <w:rFonts w:ascii="Arial" w:hAnsi="Arial" w:cs="Arial"/>
          <w:szCs w:val="24"/>
        </w:rPr>
        <w:t xml:space="preserve"> for rejecting those alternatives.  In the case of a regulation that would mandate the use of specific technologies or equipment or prescribe specific action or procedures, the imposition of performance standards shall be considered as an alternate</w:t>
      </w:r>
      <w:r w:rsidR="00135F2F" w:rsidRPr="00685FA3">
        <w:rPr>
          <w:rFonts w:ascii="Arial" w:hAnsi="Arial" w:cs="Arial"/>
          <w:szCs w:val="24"/>
        </w:rPr>
        <w:t>. It is not the intent of this paragraph to require the agency to artificially construct alternatives or desc</w:t>
      </w:r>
      <w:r w:rsidR="00685FA3">
        <w:rPr>
          <w:rFonts w:ascii="Arial" w:hAnsi="Arial" w:cs="Arial"/>
          <w:szCs w:val="24"/>
        </w:rPr>
        <w:t>ribe unreasonable alternatives.</w:t>
      </w:r>
    </w:p>
    <w:p w14:paraId="0A70465F" w14:textId="3109DFB3" w:rsidR="00A23DA3" w:rsidRPr="008832C4" w:rsidRDefault="00087D5D" w:rsidP="0061108A">
      <w:pPr>
        <w:pStyle w:val="ListParagraph"/>
        <w:widowControl/>
        <w:numPr>
          <w:ilvl w:val="0"/>
          <w:numId w:val="5"/>
        </w:numPr>
        <w:spacing w:before="120"/>
        <w:rPr>
          <w:rFonts w:ascii="Arial" w:hAnsi="Arial"/>
          <w:szCs w:val="24"/>
        </w:rPr>
      </w:pPr>
      <w:r>
        <w:rPr>
          <w:rFonts w:ascii="Arial" w:hAnsi="Arial"/>
          <w:szCs w:val="24"/>
        </w:rPr>
        <w:t>DSA</w:t>
      </w:r>
      <w:r w:rsidR="002A63E5">
        <w:rPr>
          <w:rFonts w:ascii="Arial" w:hAnsi="Arial"/>
          <w:szCs w:val="24"/>
        </w:rPr>
        <w:t>-SS</w:t>
      </w:r>
      <w:r w:rsidR="0061108A" w:rsidRPr="0061108A">
        <w:rPr>
          <w:rFonts w:ascii="Arial" w:hAnsi="Arial"/>
          <w:szCs w:val="24"/>
        </w:rPr>
        <w:t xml:space="preserve"> has not identified any reasonable alternatives to these proposed regulations, which do no mandate the use of specific technologies or equipment.</w:t>
      </w:r>
    </w:p>
    <w:p w14:paraId="10486BA1" w14:textId="77777777" w:rsidR="00A23DA3" w:rsidRPr="00B25FCF" w:rsidRDefault="00A23DA3" w:rsidP="00AE2F87">
      <w:pPr>
        <w:pStyle w:val="Heading2"/>
        <w:rPr>
          <w:szCs w:val="24"/>
        </w:rPr>
      </w:pPr>
      <w:r w:rsidRPr="00B25FCF">
        <w:rPr>
          <w:szCs w:val="24"/>
        </w:rPr>
        <w:t>REASONABLE ALTERNATIVES THE AGENCY HAS IDENTIFIED THAT WOULD LESSEN ANY AD</w:t>
      </w:r>
      <w:r w:rsidR="00B46C0C">
        <w:rPr>
          <w:szCs w:val="24"/>
        </w:rPr>
        <w:t>VERSE IMPACT ON SMALL BUSINESS</w:t>
      </w:r>
    </w:p>
    <w:p w14:paraId="4555AD0B" w14:textId="77777777" w:rsidR="00A23DA3" w:rsidRPr="00685FA3" w:rsidRDefault="00A23DA3" w:rsidP="00AF1595">
      <w:pPr>
        <w:spacing w:after="360"/>
      </w:pPr>
      <w:r w:rsidRPr="00685FA3">
        <w:t>Government Code Section 11346.2(b)(</w:t>
      </w:r>
      <w:r w:rsidR="00AB66C7" w:rsidRPr="00685FA3">
        <w:t>4</w:t>
      </w:r>
      <w:r w:rsidRPr="00685FA3">
        <w:t>)(B) requires a description of any reasonable alternatives that have been identified or that have otherwise been identified and brought to the attention of the agency that would lessen any ad</w:t>
      </w:r>
      <w:r w:rsidR="00685FA3">
        <w:t>verse impact on small business.</w:t>
      </w:r>
    </w:p>
    <w:p w14:paraId="02DC69A0" w14:textId="77777777" w:rsidR="00A23DA3" w:rsidRPr="008832C4" w:rsidRDefault="00542137" w:rsidP="008832C4">
      <w:pPr>
        <w:pStyle w:val="ListParagraph"/>
        <w:widowControl/>
        <w:numPr>
          <w:ilvl w:val="0"/>
          <w:numId w:val="4"/>
        </w:numPr>
        <w:spacing w:before="120"/>
        <w:rPr>
          <w:rFonts w:ascii="Arial" w:hAnsi="Arial"/>
          <w:szCs w:val="24"/>
        </w:rPr>
      </w:pPr>
      <w:r w:rsidRPr="008832C4">
        <w:rPr>
          <w:rFonts w:ascii="Arial" w:hAnsi="Arial"/>
          <w:szCs w:val="24"/>
        </w:rPr>
        <w:t>No alternatives were identified that would lessen any adverse impact on small business. Small businesses will not experience an adverse impact due to these amendments.</w:t>
      </w:r>
    </w:p>
    <w:p w14:paraId="5CCCBE72" w14:textId="77777777" w:rsidR="00A23DA3" w:rsidRPr="00B25FCF" w:rsidRDefault="00A23DA3" w:rsidP="00AE2F87">
      <w:pPr>
        <w:pStyle w:val="Heading2"/>
        <w:rPr>
          <w:szCs w:val="24"/>
        </w:rPr>
      </w:pPr>
      <w:r w:rsidRPr="00B25FCF">
        <w:rPr>
          <w:szCs w:val="24"/>
        </w:rPr>
        <w:t>FACTS, EVIDENCE, DOCUMENTS, TESTIMONY, OR OTHER EVIDENCE OF NO SIGNIFI</w:t>
      </w:r>
      <w:r w:rsidR="00B46C0C">
        <w:rPr>
          <w:szCs w:val="24"/>
        </w:rPr>
        <w:t>CANT ADVERSE IMPACT ON BUSINESS</w:t>
      </w:r>
    </w:p>
    <w:p w14:paraId="35B2F269" w14:textId="77777777" w:rsidR="00A23DA3" w:rsidRPr="00685FA3" w:rsidRDefault="00A23DA3" w:rsidP="00AF1595">
      <w:pPr>
        <w:widowControl/>
        <w:spacing w:after="360"/>
        <w:rPr>
          <w:rFonts w:ascii="Arial" w:hAnsi="Arial"/>
          <w:szCs w:val="24"/>
        </w:rPr>
      </w:pPr>
      <w:r w:rsidRPr="00685FA3">
        <w:rPr>
          <w:rFonts w:ascii="Arial" w:hAnsi="Arial"/>
          <w:szCs w:val="24"/>
        </w:rPr>
        <w:t>Government Code Section 11346.2(</w:t>
      </w:r>
      <w:r w:rsidR="006917E5" w:rsidRPr="00685FA3">
        <w:rPr>
          <w:rFonts w:ascii="Arial" w:hAnsi="Arial"/>
          <w:szCs w:val="24"/>
        </w:rPr>
        <w:t>b</w:t>
      </w:r>
      <w:r w:rsidRPr="00685FA3">
        <w:rPr>
          <w:rFonts w:ascii="Arial" w:hAnsi="Arial"/>
          <w:szCs w:val="24"/>
        </w:rPr>
        <w:t>)(</w:t>
      </w:r>
      <w:r w:rsidR="00AB66C7" w:rsidRPr="00685FA3">
        <w:rPr>
          <w:rFonts w:ascii="Arial" w:hAnsi="Arial"/>
          <w:szCs w:val="24"/>
        </w:rPr>
        <w:t>5</w:t>
      </w:r>
      <w:r w:rsidRPr="00685FA3">
        <w:rPr>
          <w:rFonts w:ascii="Arial" w:hAnsi="Arial"/>
          <w:szCs w:val="24"/>
        </w:rPr>
        <w:t>)</w:t>
      </w:r>
      <w:r w:rsidR="000F123E" w:rsidRPr="00685FA3">
        <w:rPr>
          <w:rFonts w:ascii="Arial" w:hAnsi="Arial"/>
          <w:szCs w:val="24"/>
        </w:rPr>
        <w:t>(A)</w:t>
      </w:r>
      <w:r w:rsidRPr="00685FA3">
        <w:rPr>
          <w:rFonts w:ascii="Arial" w:hAnsi="Arial"/>
          <w:szCs w:val="24"/>
        </w:rPr>
        <w:t xml:space="preserve"> requires the facts, evidence, documents, testimony, or other evidence on which the agency relies to support an initial determination that the action will not have a significant adverse economic impact on business</w:t>
      </w:r>
      <w:r w:rsidR="00685FA3">
        <w:rPr>
          <w:rFonts w:ascii="Arial" w:hAnsi="Arial"/>
          <w:szCs w:val="24"/>
        </w:rPr>
        <w:t>.</w:t>
      </w:r>
    </w:p>
    <w:p w14:paraId="2D0A6C34" w14:textId="2BA8BA15" w:rsidR="00A23DA3" w:rsidRPr="00542137" w:rsidRDefault="00087D5D" w:rsidP="008832C4">
      <w:pPr>
        <w:pStyle w:val="ListParagraph"/>
        <w:widowControl/>
        <w:numPr>
          <w:ilvl w:val="0"/>
          <w:numId w:val="3"/>
        </w:numPr>
        <w:spacing w:before="120"/>
        <w:ind w:left="720"/>
        <w:rPr>
          <w:rFonts w:ascii="Arial" w:hAnsi="Arial"/>
          <w:szCs w:val="24"/>
        </w:rPr>
      </w:pPr>
      <w:r>
        <w:rPr>
          <w:rFonts w:ascii="Arial" w:hAnsi="Arial"/>
          <w:szCs w:val="24"/>
        </w:rPr>
        <w:t>DSA</w:t>
      </w:r>
      <w:r w:rsidR="00542137" w:rsidRPr="00542137">
        <w:rPr>
          <w:rFonts w:ascii="Arial" w:hAnsi="Arial"/>
          <w:szCs w:val="24"/>
        </w:rPr>
        <w:t xml:space="preserve"> did not identify any facts, evidence, documents, testimony, or other substantiation to make an initial determination of significant adverse economic impact on businesses. </w:t>
      </w:r>
      <w:r>
        <w:rPr>
          <w:rFonts w:ascii="Arial" w:hAnsi="Arial"/>
          <w:szCs w:val="24"/>
        </w:rPr>
        <w:t>DSA</w:t>
      </w:r>
      <w:r w:rsidR="00542137" w:rsidRPr="00542137">
        <w:rPr>
          <w:rFonts w:ascii="Arial" w:hAnsi="Arial"/>
          <w:szCs w:val="24"/>
        </w:rPr>
        <w:t xml:space="preserve"> has determined that this regulatory action would not have a significant adverse economic impact on California business enterprises and individual, including the ability of California businesses to compete with businesses in other states.</w:t>
      </w:r>
    </w:p>
    <w:p w14:paraId="03E5DA5D" w14:textId="77777777" w:rsidR="00787198" w:rsidRPr="00B25FCF" w:rsidRDefault="00787198" w:rsidP="00194C5C">
      <w:pPr>
        <w:pStyle w:val="Heading2"/>
        <w:rPr>
          <w:snapToGrid/>
          <w:szCs w:val="24"/>
        </w:rPr>
      </w:pPr>
      <w:r w:rsidRPr="00B25FCF">
        <w:rPr>
          <w:snapToGrid/>
          <w:szCs w:val="24"/>
        </w:rPr>
        <w:t>ASSESSMENT OF EFFECT OF REGULATIONS UPON JOBS AND BUSINESS EXPANSION, ELIMINATION OR CREATION</w:t>
      </w:r>
    </w:p>
    <w:p w14:paraId="23F6E29A" w14:textId="77777777" w:rsidR="00787198" w:rsidRPr="00685FA3" w:rsidRDefault="00787198" w:rsidP="00194C5C">
      <w:pPr>
        <w:widowControl/>
        <w:snapToGrid w:val="0"/>
        <w:rPr>
          <w:rFonts w:ascii="Arial" w:hAnsi="Arial" w:cs="Arial"/>
          <w:snapToGrid/>
          <w:szCs w:val="24"/>
        </w:rPr>
      </w:pPr>
      <w:r w:rsidRPr="00685FA3">
        <w:rPr>
          <w:rFonts w:ascii="Arial" w:hAnsi="Arial" w:cs="Arial"/>
          <w:snapToGrid/>
          <w:szCs w:val="24"/>
        </w:rPr>
        <w:t>Government Code Sections 1</w:t>
      </w:r>
      <w:r w:rsidR="00685FA3">
        <w:rPr>
          <w:rFonts w:ascii="Arial" w:hAnsi="Arial" w:cs="Arial"/>
          <w:snapToGrid/>
          <w:szCs w:val="24"/>
        </w:rPr>
        <w:t>1346.3(b)(1) and 11346.5(a)(10)</w:t>
      </w:r>
    </w:p>
    <w:p w14:paraId="515FE5FE" w14:textId="0E54CE6F" w:rsidR="00787198" w:rsidRPr="00685FA3" w:rsidRDefault="00787198" w:rsidP="00AF1595">
      <w:pPr>
        <w:widowControl/>
        <w:snapToGrid w:val="0"/>
        <w:spacing w:after="240"/>
        <w:rPr>
          <w:rFonts w:ascii="Arial" w:hAnsi="Arial"/>
          <w:snapToGrid/>
          <w:szCs w:val="24"/>
        </w:rPr>
      </w:pPr>
      <w:r w:rsidRPr="00685FA3">
        <w:rPr>
          <w:rFonts w:ascii="Arial" w:hAnsi="Arial"/>
          <w:snapToGrid/>
          <w:szCs w:val="24"/>
        </w:rPr>
        <w:t xml:space="preserve">The </w:t>
      </w:r>
      <w:r w:rsidR="00087D5D">
        <w:rPr>
          <w:rFonts w:ascii="Arial" w:hAnsi="Arial"/>
          <w:snapToGrid/>
          <w:szCs w:val="24"/>
        </w:rPr>
        <w:t>DSA</w:t>
      </w:r>
      <w:r w:rsidRPr="00685FA3">
        <w:rPr>
          <w:rFonts w:ascii="Arial" w:hAnsi="Arial"/>
          <w:snapToGrid/>
          <w:szCs w:val="24"/>
        </w:rPr>
        <w:t xml:space="preserve"> has assessed whether or not and to what extent this proposal will affect the following:</w:t>
      </w:r>
    </w:p>
    <w:p w14:paraId="67071604" w14:textId="77777777" w:rsidR="00787198" w:rsidRPr="00194C5C" w:rsidRDefault="00787198" w:rsidP="00F86CA3">
      <w:pPr>
        <w:pStyle w:val="ListParagraph"/>
        <w:widowControl/>
        <w:numPr>
          <w:ilvl w:val="0"/>
          <w:numId w:val="1"/>
        </w:numPr>
        <w:snapToGrid w:val="0"/>
        <w:spacing w:before="120"/>
        <w:ind w:left="1080"/>
        <w:rPr>
          <w:rFonts w:ascii="Arial" w:hAnsi="Arial"/>
          <w:snapToGrid/>
          <w:szCs w:val="24"/>
        </w:rPr>
      </w:pPr>
      <w:r w:rsidRPr="00194C5C">
        <w:rPr>
          <w:rFonts w:ascii="Arial" w:hAnsi="Arial"/>
          <w:snapToGrid/>
          <w:szCs w:val="24"/>
        </w:rPr>
        <w:t>The creation or elimination of jobs within the State of California.</w:t>
      </w:r>
    </w:p>
    <w:p w14:paraId="7EAB0DBD" w14:textId="19364C41" w:rsidR="002A63E5" w:rsidRDefault="002A63E5" w:rsidP="00AF1595">
      <w:pPr>
        <w:widowControl/>
        <w:snapToGrid w:val="0"/>
        <w:spacing w:before="120" w:after="240"/>
        <w:ind w:left="1526"/>
        <w:rPr>
          <w:rFonts w:ascii="Arial" w:hAnsi="Arial"/>
          <w:snapToGrid/>
          <w:szCs w:val="24"/>
        </w:rPr>
      </w:pPr>
      <w:r>
        <w:rPr>
          <w:rFonts w:ascii="Arial" w:hAnsi="Arial"/>
          <w:snapToGrid/>
          <w:szCs w:val="24"/>
        </w:rPr>
        <w:t>These regulations may cause some jobs to be created for the installation, maintaining and manufacturing of Electric Vehicle Supply Equipment (EVSE). No jobs are expected to be eliminated within the State of California</w:t>
      </w:r>
    </w:p>
    <w:p w14:paraId="7A5C1F13" w14:textId="77777777" w:rsidR="00787198" w:rsidRPr="00194C5C" w:rsidRDefault="00787198" w:rsidP="00F86CA3">
      <w:pPr>
        <w:pStyle w:val="ListParagraph"/>
        <w:widowControl/>
        <w:numPr>
          <w:ilvl w:val="0"/>
          <w:numId w:val="1"/>
        </w:numPr>
        <w:tabs>
          <w:tab w:val="left" w:pos="-1440"/>
        </w:tabs>
        <w:snapToGrid w:val="0"/>
        <w:spacing w:before="120"/>
        <w:ind w:left="1080"/>
        <w:rPr>
          <w:rFonts w:ascii="Arial" w:hAnsi="Arial"/>
          <w:snapToGrid/>
          <w:szCs w:val="24"/>
        </w:rPr>
      </w:pPr>
      <w:r w:rsidRPr="00194C5C">
        <w:rPr>
          <w:rFonts w:ascii="Arial" w:hAnsi="Arial"/>
          <w:snapToGrid/>
          <w:szCs w:val="24"/>
        </w:rPr>
        <w:t>The creation of new businesses or the elimination of existing businesses within the State of California.</w:t>
      </w:r>
    </w:p>
    <w:p w14:paraId="3CF046A7" w14:textId="77777777" w:rsidR="002A63E5" w:rsidRPr="00685FA3" w:rsidRDefault="002A63E5" w:rsidP="002A63E5">
      <w:pPr>
        <w:widowControl/>
        <w:snapToGrid w:val="0"/>
        <w:spacing w:before="120" w:after="240"/>
        <w:ind w:left="1526"/>
        <w:rPr>
          <w:rFonts w:ascii="Arial" w:hAnsi="Arial"/>
          <w:snapToGrid/>
          <w:szCs w:val="24"/>
        </w:rPr>
      </w:pPr>
      <w:r>
        <w:rPr>
          <w:rFonts w:ascii="Arial" w:hAnsi="Arial"/>
          <w:snapToGrid/>
          <w:szCs w:val="24"/>
        </w:rPr>
        <w:t xml:space="preserve">These regulations may cause the creation of businesses that expand into the EV market. </w:t>
      </w:r>
      <w:r w:rsidRPr="00A0608E">
        <w:rPr>
          <w:rFonts w:ascii="Arial" w:hAnsi="Arial"/>
          <w:snapToGrid/>
          <w:szCs w:val="24"/>
        </w:rPr>
        <w:t xml:space="preserve">These </w:t>
      </w:r>
      <w:r>
        <w:rPr>
          <w:rFonts w:ascii="Arial" w:hAnsi="Arial"/>
          <w:snapToGrid/>
          <w:szCs w:val="24"/>
        </w:rPr>
        <w:t xml:space="preserve">regulations will not affect </w:t>
      </w:r>
      <w:r w:rsidRPr="00A0608E">
        <w:rPr>
          <w:rFonts w:ascii="Arial" w:hAnsi="Arial"/>
          <w:snapToGrid/>
          <w:szCs w:val="24"/>
        </w:rPr>
        <w:t>the elimination of jobs within the State of California.</w:t>
      </w:r>
    </w:p>
    <w:p w14:paraId="0070E749" w14:textId="77777777" w:rsidR="00787198" w:rsidRPr="00194C5C" w:rsidRDefault="00787198" w:rsidP="00F86CA3">
      <w:pPr>
        <w:pStyle w:val="ListParagraph"/>
        <w:widowControl/>
        <w:numPr>
          <w:ilvl w:val="0"/>
          <w:numId w:val="1"/>
        </w:numPr>
        <w:snapToGrid w:val="0"/>
        <w:spacing w:before="120"/>
        <w:ind w:left="1080"/>
        <w:rPr>
          <w:rFonts w:ascii="Arial" w:hAnsi="Arial"/>
          <w:snapToGrid/>
          <w:szCs w:val="24"/>
        </w:rPr>
      </w:pPr>
      <w:r w:rsidRPr="00194C5C">
        <w:rPr>
          <w:rFonts w:ascii="Arial" w:hAnsi="Arial"/>
          <w:snapToGrid/>
          <w:szCs w:val="24"/>
        </w:rPr>
        <w:t>The expansion of businesses currently doing business with</w:t>
      </w:r>
      <w:r w:rsidR="00B46C0C">
        <w:rPr>
          <w:rFonts w:ascii="Arial" w:hAnsi="Arial"/>
          <w:snapToGrid/>
          <w:szCs w:val="24"/>
        </w:rPr>
        <w:t>in</w:t>
      </w:r>
      <w:r w:rsidRPr="00194C5C">
        <w:rPr>
          <w:rFonts w:ascii="Arial" w:hAnsi="Arial"/>
          <w:snapToGrid/>
          <w:szCs w:val="24"/>
        </w:rPr>
        <w:t xml:space="preserve"> the State of California.</w:t>
      </w:r>
    </w:p>
    <w:p w14:paraId="255CAEF6" w14:textId="77777777" w:rsidR="002A63E5" w:rsidRPr="00685FA3" w:rsidRDefault="002A63E5" w:rsidP="002A63E5">
      <w:pPr>
        <w:widowControl/>
        <w:snapToGrid w:val="0"/>
        <w:spacing w:before="120" w:after="240"/>
        <w:ind w:left="1526"/>
        <w:rPr>
          <w:rFonts w:ascii="Arial" w:hAnsi="Arial"/>
          <w:snapToGrid/>
          <w:szCs w:val="24"/>
        </w:rPr>
      </w:pPr>
      <w:r w:rsidRPr="00A0608E">
        <w:rPr>
          <w:rFonts w:ascii="Arial" w:hAnsi="Arial"/>
          <w:snapToGrid/>
          <w:szCs w:val="24"/>
        </w:rPr>
        <w:t xml:space="preserve">These regulations will </w:t>
      </w:r>
      <w:r>
        <w:rPr>
          <w:rFonts w:ascii="Arial" w:hAnsi="Arial"/>
          <w:snapToGrid/>
          <w:szCs w:val="24"/>
        </w:rPr>
        <w:t xml:space="preserve">likely promote the expansion of businesses currently involved with EV manufacturing, installation, maintenance and technology development </w:t>
      </w:r>
      <w:r w:rsidRPr="00A0608E">
        <w:rPr>
          <w:rFonts w:ascii="Arial" w:hAnsi="Arial"/>
          <w:snapToGrid/>
          <w:szCs w:val="24"/>
        </w:rPr>
        <w:t>within the State of California.</w:t>
      </w:r>
    </w:p>
    <w:p w14:paraId="021A3394" w14:textId="77777777" w:rsidR="00787198" w:rsidRPr="00194C5C" w:rsidRDefault="00787198" w:rsidP="00F86CA3">
      <w:pPr>
        <w:pStyle w:val="ListParagraph"/>
        <w:widowControl/>
        <w:numPr>
          <w:ilvl w:val="0"/>
          <w:numId w:val="1"/>
        </w:numPr>
        <w:snapToGrid w:val="0"/>
        <w:spacing w:before="120"/>
        <w:ind w:left="1080"/>
        <w:rPr>
          <w:rFonts w:ascii="Arial" w:hAnsi="Arial"/>
          <w:snapToGrid/>
          <w:szCs w:val="24"/>
        </w:rPr>
      </w:pPr>
      <w:r w:rsidRPr="00194C5C">
        <w:rPr>
          <w:rFonts w:ascii="Arial" w:hAnsi="Arial"/>
          <w:snapToGrid/>
          <w:szCs w:val="24"/>
        </w:rPr>
        <w:t>The benefits of the regulation to the health and welfare of California residents, worker safety, and the state’s environment.</w:t>
      </w:r>
    </w:p>
    <w:p w14:paraId="79F06E58" w14:textId="77BEA8C9" w:rsidR="002A63E5" w:rsidRPr="00685FA3" w:rsidRDefault="002A63E5" w:rsidP="002A63E5">
      <w:pPr>
        <w:widowControl/>
        <w:snapToGrid w:val="0"/>
        <w:spacing w:before="120"/>
        <w:ind w:left="1530"/>
        <w:rPr>
          <w:rFonts w:ascii="Arial" w:hAnsi="Arial"/>
          <w:snapToGrid/>
          <w:szCs w:val="24"/>
        </w:rPr>
      </w:pPr>
      <w:r>
        <w:rPr>
          <w:rFonts w:ascii="Arial" w:hAnsi="Arial"/>
          <w:snapToGrid/>
          <w:szCs w:val="24"/>
        </w:rPr>
        <w:t>These regulations will increase t</w:t>
      </w:r>
      <w:r w:rsidR="009F1B7A">
        <w:rPr>
          <w:rFonts w:ascii="Arial" w:hAnsi="Arial"/>
          <w:snapToGrid/>
          <w:szCs w:val="24"/>
        </w:rPr>
        <w:t>he sustainability of California</w:t>
      </w:r>
      <w:r>
        <w:rPr>
          <w:rFonts w:ascii="Arial" w:hAnsi="Arial"/>
          <w:snapToGrid/>
          <w:szCs w:val="24"/>
        </w:rPr>
        <w:t>’s natural resources by reducing fuel use, GHG emissions, criteria pollutants, and fossil fuel dependence. Additionally, updating and clarifying the minimum current CALGreen codes will provide increased protection of public health and safety, worker safety and the environment.</w:t>
      </w:r>
    </w:p>
    <w:p w14:paraId="31844D92" w14:textId="77777777" w:rsidR="000F123E" w:rsidRPr="00B25FCF" w:rsidRDefault="000F123E" w:rsidP="00194C5C">
      <w:pPr>
        <w:pStyle w:val="Heading2"/>
        <w:rPr>
          <w:szCs w:val="24"/>
        </w:rPr>
      </w:pPr>
      <w:r w:rsidRPr="00B25FCF">
        <w:rPr>
          <w:szCs w:val="24"/>
        </w:rPr>
        <w:t xml:space="preserve">ESTIMATED COST OF COMPLIANCE, ESTIMATED POTENTIAL BENEFITS, AND RELATED ASSUMPTIONS USED FOR BUILDING STANDARDS </w:t>
      </w:r>
    </w:p>
    <w:p w14:paraId="3BA0A81D" w14:textId="77777777" w:rsidR="000F123E" w:rsidRPr="00685FA3" w:rsidRDefault="000F123E" w:rsidP="00AF1595">
      <w:pPr>
        <w:widowControl/>
        <w:spacing w:after="360"/>
        <w:rPr>
          <w:rFonts w:ascii="Arial" w:hAnsi="Arial"/>
          <w:szCs w:val="24"/>
        </w:rPr>
      </w:pPr>
      <w:r w:rsidRPr="00685FA3">
        <w:rPr>
          <w:rFonts w:ascii="Arial" w:hAnsi="Arial"/>
          <w:szCs w:val="24"/>
        </w:rPr>
        <w:t>Government C</w:t>
      </w:r>
      <w:r w:rsidR="00AB66C7" w:rsidRPr="00685FA3">
        <w:rPr>
          <w:rFonts w:ascii="Arial" w:hAnsi="Arial"/>
          <w:szCs w:val="24"/>
        </w:rPr>
        <w:t>ode Section 11346.2(b)(5</w:t>
      </w:r>
      <w:r w:rsidR="006B3837" w:rsidRPr="00685FA3">
        <w:rPr>
          <w:rFonts w:ascii="Arial" w:hAnsi="Arial"/>
          <w:szCs w:val="24"/>
        </w:rPr>
        <w:t>)(B)</w:t>
      </w:r>
      <w:r w:rsidR="00AB66C7" w:rsidRPr="00685FA3">
        <w:rPr>
          <w:rFonts w:ascii="Arial" w:hAnsi="Arial"/>
          <w:szCs w:val="24"/>
        </w:rPr>
        <w:t>(i)</w:t>
      </w:r>
      <w:r w:rsidR="006B3837" w:rsidRPr="00685FA3">
        <w:rPr>
          <w:rFonts w:ascii="Arial" w:hAnsi="Arial"/>
          <w:szCs w:val="24"/>
        </w:rPr>
        <w:t xml:space="preserve"> states if a proposed regulation is a building standard, the initial statement of reasons shall include the estimated cost of compliance, the estimated potential benefits, and the related assumptions us</w:t>
      </w:r>
      <w:r w:rsidR="00685FA3">
        <w:rPr>
          <w:rFonts w:ascii="Arial" w:hAnsi="Arial"/>
          <w:szCs w:val="24"/>
        </w:rPr>
        <w:t>ed to determine the estimates.</w:t>
      </w:r>
    </w:p>
    <w:p w14:paraId="1D5E44B7" w14:textId="77777777" w:rsidR="00065AE4" w:rsidRPr="00AF1595" w:rsidRDefault="00F87F74" w:rsidP="00AF1595">
      <w:pPr>
        <w:pStyle w:val="ListParagraph"/>
        <w:widowControl/>
        <w:numPr>
          <w:ilvl w:val="0"/>
          <w:numId w:val="3"/>
        </w:numPr>
        <w:spacing w:before="120"/>
        <w:ind w:left="720"/>
        <w:rPr>
          <w:rFonts w:ascii="Arial" w:hAnsi="Arial"/>
          <w:szCs w:val="24"/>
        </w:rPr>
      </w:pPr>
      <w:r w:rsidRPr="00AF1595">
        <w:rPr>
          <w:rFonts w:ascii="Arial" w:hAnsi="Arial"/>
          <w:szCs w:val="24"/>
        </w:rPr>
        <w:t>There are no increased cos</w:t>
      </w:r>
      <w:r w:rsidR="002B2C7A">
        <w:rPr>
          <w:rFonts w:ascii="Arial" w:hAnsi="Arial"/>
          <w:szCs w:val="24"/>
        </w:rPr>
        <w:t>ts to comply</w:t>
      </w:r>
      <w:r w:rsidR="00753ED4">
        <w:rPr>
          <w:rFonts w:ascii="Arial" w:hAnsi="Arial"/>
          <w:szCs w:val="24"/>
        </w:rPr>
        <w:t xml:space="preserve"> with the proposed updated CALGr</w:t>
      </w:r>
      <w:r w:rsidR="002B2C7A">
        <w:rPr>
          <w:rFonts w:ascii="Arial" w:hAnsi="Arial"/>
          <w:szCs w:val="24"/>
        </w:rPr>
        <w:t xml:space="preserve">een Code </w:t>
      </w:r>
      <w:r w:rsidRPr="00AF1595">
        <w:rPr>
          <w:rFonts w:ascii="Arial" w:hAnsi="Arial"/>
          <w:szCs w:val="24"/>
        </w:rPr>
        <w:t>regulations. The amendments provide clarity and regulatory consistency for the code user.</w:t>
      </w:r>
    </w:p>
    <w:p w14:paraId="447EF4B3" w14:textId="77777777" w:rsidR="00A23DA3" w:rsidRPr="00B25FCF" w:rsidRDefault="00A23DA3" w:rsidP="00194C5C">
      <w:pPr>
        <w:pStyle w:val="Heading2"/>
        <w:rPr>
          <w:szCs w:val="24"/>
        </w:rPr>
      </w:pPr>
      <w:r w:rsidRPr="00B25FCF">
        <w:rPr>
          <w:szCs w:val="24"/>
        </w:rPr>
        <w:t xml:space="preserve">DUPLICATION OR CONFLICTS WITH FEDERAL REGULATIONS </w:t>
      </w:r>
    </w:p>
    <w:p w14:paraId="557E5729" w14:textId="77777777" w:rsidR="00A23DA3" w:rsidRPr="00685FA3" w:rsidRDefault="00A23DA3" w:rsidP="00AF1595">
      <w:pPr>
        <w:spacing w:after="360"/>
        <w:rPr>
          <w:b/>
        </w:rPr>
      </w:pPr>
      <w:r w:rsidRPr="00685FA3">
        <w:t>Government Code Section 11346.2(b)(</w:t>
      </w:r>
      <w:r w:rsidR="00AB66C7" w:rsidRPr="00685FA3">
        <w:t>6</w:t>
      </w:r>
      <w:r w:rsidRPr="00685FA3">
        <w:t>)</w:t>
      </w:r>
      <w:r w:rsidR="00105766" w:rsidRPr="00685FA3">
        <w:t xml:space="preserve"> </w:t>
      </w:r>
      <w:r w:rsidRPr="00685FA3">
        <w:t>requires a department, board, or commission within the Environmental Protection Agency, the Resources Agency, or the Offi</w:t>
      </w:r>
      <w:r w:rsidR="00D55D02" w:rsidRPr="00685FA3">
        <w:t>ce of the State Fire Marshal to</w:t>
      </w:r>
      <w:r w:rsidRPr="00685FA3">
        <w:t xml:space="preserve"> describe its efforts, in connection with a proposed rulemaking action, to avoid unnecessary duplication or conflicts with federal regulations contained in the Code of Federal Regulatio</w:t>
      </w:r>
      <w:r w:rsidR="00154D19">
        <w:t xml:space="preserve">ns addressing the same issues. </w:t>
      </w:r>
      <w:r w:rsidRPr="00685FA3">
        <w:t>These agencies may adopt regulations different from these federal regulations upon a finding of one or more of the following justific</w:t>
      </w:r>
      <w:r w:rsidR="00154D19">
        <w:t xml:space="preserve">ations: </w:t>
      </w:r>
      <w:r w:rsidRPr="00685FA3">
        <w:t>(A) The differing state regulations are authorized by law and/or (B) The cost of differing state regulations is justified by the benefit to human health, public safety, public welfa</w:t>
      </w:r>
      <w:r w:rsidR="00135F2F" w:rsidRPr="00685FA3">
        <w:t>re, or the environment.</w:t>
      </w:r>
    </w:p>
    <w:p w14:paraId="6AE29B74" w14:textId="28680CF7" w:rsidR="00A23DA3" w:rsidRPr="002A63E5" w:rsidRDefault="00F87F74" w:rsidP="002A63E5">
      <w:pPr>
        <w:pStyle w:val="ListParagraph"/>
        <w:numPr>
          <w:ilvl w:val="0"/>
          <w:numId w:val="3"/>
        </w:numPr>
        <w:spacing w:before="120"/>
        <w:ind w:left="720"/>
        <w:rPr>
          <w:rFonts w:ascii="Arial" w:hAnsi="Arial"/>
          <w:szCs w:val="24"/>
        </w:rPr>
      </w:pPr>
      <w:r w:rsidRPr="002A63E5">
        <w:rPr>
          <w:rFonts w:ascii="Arial" w:hAnsi="Arial"/>
          <w:szCs w:val="24"/>
        </w:rPr>
        <w:t xml:space="preserve">There are no proposed </w:t>
      </w:r>
      <w:r w:rsidR="00D96A93" w:rsidRPr="002A63E5">
        <w:rPr>
          <w:rFonts w:ascii="Arial" w:hAnsi="Arial"/>
          <w:szCs w:val="24"/>
        </w:rPr>
        <w:t>CALGreen Code</w:t>
      </w:r>
      <w:r w:rsidRPr="002A63E5">
        <w:rPr>
          <w:rFonts w:ascii="Arial" w:hAnsi="Arial"/>
          <w:szCs w:val="24"/>
        </w:rPr>
        <w:t xml:space="preserve"> regulations that duplicate or conflict with federal regulations. </w:t>
      </w:r>
      <w:r w:rsidR="009F1B7A">
        <w:rPr>
          <w:rFonts w:ascii="Arial" w:hAnsi="Arial"/>
          <w:szCs w:val="24"/>
        </w:rPr>
        <w:t>CALGreen is a California-</w:t>
      </w:r>
      <w:r w:rsidR="00BA079E" w:rsidRPr="002A63E5">
        <w:rPr>
          <w:rFonts w:ascii="Arial" w:hAnsi="Arial"/>
          <w:szCs w:val="24"/>
        </w:rPr>
        <w:t xml:space="preserve">only code and </w:t>
      </w:r>
      <w:r w:rsidR="002A63E5">
        <w:rPr>
          <w:rFonts w:ascii="Arial" w:hAnsi="Arial"/>
          <w:szCs w:val="24"/>
        </w:rPr>
        <w:t>th</w:t>
      </w:r>
      <w:r w:rsidRPr="002A63E5">
        <w:rPr>
          <w:rFonts w:ascii="Arial" w:hAnsi="Arial"/>
          <w:szCs w:val="24"/>
        </w:rPr>
        <w:t>ere are no federal regulations addressing this same subject matter.</w:t>
      </w:r>
    </w:p>
    <w:sectPr w:rsidR="00A23DA3" w:rsidRPr="002A63E5" w:rsidSect="00B432B6">
      <w:headerReference w:type="default" r:id="rId8"/>
      <w:footerReference w:type="default" r:id="rId9"/>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81C96" w14:textId="77777777" w:rsidR="0022281E" w:rsidRDefault="0022281E">
      <w:r>
        <w:separator/>
      </w:r>
    </w:p>
  </w:endnote>
  <w:endnote w:type="continuationSeparator" w:id="0">
    <w:p w14:paraId="044A4BA7" w14:textId="77777777" w:rsidR="0022281E" w:rsidRDefault="0022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6" w:type="dxa"/>
      <w:tblLayout w:type="fixed"/>
      <w:tblLook w:val="0000" w:firstRow="0" w:lastRow="0" w:firstColumn="0" w:lastColumn="0" w:noHBand="0" w:noVBand="0"/>
    </w:tblPr>
    <w:tblGrid>
      <w:gridCol w:w="4698"/>
      <w:gridCol w:w="1800"/>
      <w:gridCol w:w="3618"/>
    </w:tblGrid>
    <w:tr w:rsidR="00526761" w:rsidRPr="00B1767F" w14:paraId="0DA8B743" w14:textId="77777777" w:rsidTr="00744F38">
      <w:tc>
        <w:tcPr>
          <w:tcW w:w="4698" w:type="dxa"/>
        </w:tcPr>
        <w:p w14:paraId="7C0681E4" w14:textId="77777777" w:rsidR="00526761" w:rsidRPr="00B1767F" w:rsidRDefault="00526761">
          <w:pPr>
            <w:pStyle w:val="Footer"/>
            <w:rPr>
              <w:rFonts w:ascii="Arial" w:hAnsi="Arial" w:cs="Arial"/>
              <w:sz w:val="16"/>
            </w:rPr>
          </w:pPr>
        </w:p>
      </w:tc>
      <w:tc>
        <w:tcPr>
          <w:tcW w:w="1800" w:type="dxa"/>
        </w:tcPr>
        <w:p w14:paraId="20B20928" w14:textId="77777777" w:rsidR="00526761" w:rsidRPr="00B1767F" w:rsidRDefault="00526761">
          <w:pPr>
            <w:pStyle w:val="Footer"/>
            <w:rPr>
              <w:rFonts w:ascii="Arial" w:hAnsi="Arial" w:cs="Arial"/>
              <w:sz w:val="16"/>
            </w:rPr>
          </w:pPr>
        </w:p>
      </w:tc>
      <w:tc>
        <w:tcPr>
          <w:tcW w:w="3618" w:type="dxa"/>
        </w:tcPr>
        <w:p w14:paraId="69160AC9" w14:textId="77777777" w:rsidR="00526761" w:rsidRPr="00B1767F" w:rsidRDefault="00526761">
          <w:pPr>
            <w:pStyle w:val="Footer"/>
            <w:rPr>
              <w:rFonts w:ascii="Arial" w:hAnsi="Arial" w:cs="Arial"/>
              <w:sz w:val="16"/>
            </w:rPr>
          </w:pPr>
        </w:p>
      </w:tc>
    </w:tr>
    <w:tr w:rsidR="00526761" w:rsidRPr="00B1767F" w14:paraId="56E81928" w14:textId="77777777" w:rsidTr="00744F38">
      <w:tc>
        <w:tcPr>
          <w:tcW w:w="4698" w:type="dxa"/>
          <w:tcBorders>
            <w:top w:val="single" w:sz="12" w:space="0" w:color="auto"/>
          </w:tcBorders>
        </w:tcPr>
        <w:p w14:paraId="1C8B2A95" w14:textId="77777777" w:rsidR="00526761" w:rsidRPr="00B1767F" w:rsidRDefault="00082D91" w:rsidP="008714C7">
          <w:pPr>
            <w:pStyle w:val="Footer"/>
            <w:rPr>
              <w:rFonts w:ascii="Arial" w:hAnsi="Arial" w:cs="Arial"/>
              <w:sz w:val="16"/>
            </w:rPr>
          </w:pPr>
          <w:r>
            <w:rPr>
              <w:rFonts w:ascii="Arial" w:hAnsi="Arial" w:cs="Arial"/>
              <w:sz w:val="16"/>
            </w:rPr>
            <w:t xml:space="preserve">DGS </w:t>
          </w:r>
          <w:r w:rsidR="00BD4FBD">
            <w:rPr>
              <w:rFonts w:ascii="Arial" w:hAnsi="Arial" w:cs="Arial"/>
              <w:sz w:val="16"/>
            </w:rPr>
            <w:t xml:space="preserve">BSC TP-106 (Rev. </w:t>
          </w:r>
          <w:r w:rsidR="008714C7">
            <w:rPr>
              <w:rFonts w:ascii="Arial" w:hAnsi="Arial" w:cs="Arial"/>
              <w:sz w:val="16"/>
            </w:rPr>
            <w:t>06</w:t>
          </w:r>
          <w:r w:rsidR="00591BC3">
            <w:rPr>
              <w:rFonts w:ascii="Arial" w:hAnsi="Arial" w:cs="Arial"/>
              <w:sz w:val="16"/>
            </w:rPr>
            <w:t>/201</w:t>
          </w:r>
          <w:r w:rsidR="00685FA3">
            <w:rPr>
              <w:rFonts w:ascii="Arial" w:hAnsi="Arial" w:cs="Arial"/>
              <w:sz w:val="16"/>
            </w:rPr>
            <w:t>8</w:t>
          </w:r>
          <w:r w:rsidR="00526761" w:rsidRPr="00B1767F">
            <w:rPr>
              <w:rFonts w:ascii="Arial" w:hAnsi="Arial" w:cs="Arial"/>
              <w:sz w:val="16"/>
            </w:rPr>
            <w:t>) ISOR</w:t>
          </w:r>
        </w:p>
      </w:tc>
      <w:tc>
        <w:tcPr>
          <w:tcW w:w="1800" w:type="dxa"/>
          <w:tcBorders>
            <w:top w:val="single" w:sz="12" w:space="0" w:color="auto"/>
          </w:tcBorders>
        </w:tcPr>
        <w:p w14:paraId="21ED542C" w14:textId="77777777" w:rsidR="00526761" w:rsidRPr="00B1767F" w:rsidRDefault="00526761">
          <w:pPr>
            <w:pStyle w:val="Footer"/>
            <w:rPr>
              <w:rFonts w:ascii="Arial" w:hAnsi="Arial" w:cs="Arial"/>
              <w:sz w:val="16"/>
            </w:rPr>
          </w:pPr>
        </w:p>
      </w:tc>
      <w:tc>
        <w:tcPr>
          <w:tcW w:w="3618" w:type="dxa"/>
          <w:tcBorders>
            <w:top w:val="single" w:sz="12" w:space="0" w:color="auto"/>
          </w:tcBorders>
        </w:tcPr>
        <w:p w14:paraId="28C2DEBF" w14:textId="744062FD" w:rsidR="00526761" w:rsidRPr="00B1767F" w:rsidRDefault="0031297D" w:rsidP="0031297D">
          <w:pPr>
            <w:pStyle w:val="Footer"/>
            <w:jc w:val="right"/>
            <w:rPr>
              <w:rFonts w:ascii="Arial" w:hAnsi="Arial" w:cs="Arial"/>
              <w:sz w:val="16"/>
            </w:rPr>
          </w:pPr>
          <w:r>
            <w:rPr>
              <w:rFonts w:ascii="Arial" w:hAnsi="Arial" w:cs="Arial"/>
              <w:sz w:val="16"/>
            </w:rPr>
            <w:t>October</w:t>
          </w:r>
          <w:r w:rsidR="00817024">
            <w:rPr>
              <w:rFonts w:ascii="Arial" w:hAnsi="Arial" w:cs="Arial"/>
              <w:sz w:val="16"/>
            </w:rPr>
            <w:t xml:space="preserve"> 1</w:t>
          </w:r>
          <w:r>
            <w:rPr>
              <w:rFonts w:ascii="Arial" w:hAnsi="Arial" w:cs="Arial"/>
              <w:sz w:val="16"/>
            </w:rPr>
            <w:t>5</w:t>
          </w:r>
          <w:r w:rsidR="00494BAA">
            <w:rPr>
              <w:rFonts w:ascii="Arial" w:hAnsi="Arial" w:cs="Arial"/>
              <w:sz w:val="16"/>
            </w:rPr>
            <w:t xml:space="preserve">, 2019 </w:t>
          </w:r>
        </w:p>
      </w:tc>
    </w:tr>
    <w:tr w:rsidR="00526761" w:rsidRPr="00B1767F" w14:paraId="53C1FE3C" w14:textId="77777777" w:rsidTr="00744F38">
      <w:tc>
        <w:tcPr>
          <w:tcW w:w="4698" w:type="dxa"/>
        </w:tcPr>
        <w:p w14:paraId="2119F038" w14:textId="460E8E73" w:rsidR="00526761" w:rsidRPr="00B1767F" w:rsidRDefault="0090115A" w:rsidP="008F11BB">
          <w:pPr>
            <w:pStyle w:val="Footer"/>
            <w:rPr>
              <w:rFonts w:ascii="Arial" w:hAnsi="Arial" w:cs="Arial"/>
              <w:sz w:val="16"/>
            </w:rPr>
          </w:pPr>
          <w:r>
            <w:rPr>
              <w:rFonts w:ascii="Arial" w:hAnsi="Arial" w:cs="Arial"/>
              <w:sz w:val="16"/>
            </w:rPr>
            <w:t>(</w:t>
          </w:r>
          <w:r w:rsidR="00DE0588">
            <w:rPr>
              <w:rFonts w:ascii="Arial" w:hAnsi="Arial" w:cs="Arial"/>
              <w:sz w:val="16"/>
            </w:rPr>
            <w:t>DSA</w:t>
          </w:r>
          <w:r w:rsidR="008F11BB">
            <w:rPr>
              <w:rFonts w:ascii="Arial" w:hAnsi="Arial" w:cs="Arial"/>
              <w:sz w:val="16"/>
            </w:rPr>
            <w:t>-SS</w:t>
          </w:r>
          <w:r>
            <w:rPr>
              <w:rFonts w:ascii="Arial" w:hAnsi="Arial" w:cs="Arial"/>
              <w:sz w:val="16"/>
            </w:rPr>
            <w:t xml:space="preserve"> </w:t>
          </w:r>
          <w:r w:rsidR="008F11BB">
            <w:rPr>
              <w:rFonts w:ascii="Arial" w:hAnsi="Arial" w:cs="Arial"/>
              <w:sz w:val="16"/>
            </w:rPr>
            <w:t>XX</w:t>
          </w:r>
          <w:r w:rsidR="007E08CB">
            <w:rPr>
              <w:rFonts w:ascii="Arial" w:hAnsi="Arial" w:cs="Arial"/>
              <w:sz w:val="16"/>
            </w:rPr>
            <w:t xml:space="preserve">/19) Part </w:t>
          </w:r>
          <w:r>
            <w:rPr>
              <w:rFonts w:ascii="Arial" w:hAnsi="Arial" w:cs="Arial"/>
              <w:sz w:val="16"/>
            </w:rPr>
            <w:t>11</w:t>
          </w:r>
          <w:r w:rsidR="007E08CB">
            <w:rPr>
              <w:rFonts w:ascii="Arial" w:hAnsi="Arial" w:cs="Arial"/>
              <w:sz w:val="16"/>
            </w:rPr>
            <w:t xml:space="preserve"> – 2019 Intervening Code Adoption Cycle</w:t>
          </w:r>
        </w:p>
      </w:tc>
      <w:tc>
        <w:tcPr>
          <w:tcW w:w="1800" w:type="dxa"/>
        </w:tcPr>
        <w:p w14:paraId="7B216244" w14:textId="513FFCB0" w:rsidR="00526761" w:rsidRPr="00B1767F" w:rsidRDefault="00744F38" w:rsidP="00744F38">
          <w:pPr>
            <w:pStyle w:val="Footer"/>
            <w:jc w:val="center"/>
            <w:rPr>
              <w:rFonts w:ascii="Arial" w:hAnsi="Arial" w:cs="Arial"/>
              <w:sz w:val="16"/>
            </w:rPr>
          </w:pPr>
          <w:r>
            <w:rPr>
              <w:rStyle w:val="PageNumber"/>
              <w:rFonts w:ascii="Arial" w:hAnsi="Arial" w:cs="Arial"/>
              <w:sz w:val="16"/>
            </w:rPr>
            <w:t xml:space="preserve">Page </w:t>
          </w:r>
          <w:r w:rsidR="00526761" w:rsidRPr="00B1767F">
            <w:rPr>
              <w:rStyle w:val="PageNumber"/>
              <w:rFonts w:ascii="Arial" w:hAnsi="Arial" w:cs="Arial"/>
              <w:sz w:val="16"/>
            </w:rPr>
            <w:fldChar w:fldCharType="begin"/>
          </w:r>
          <w:r w:rsidR="00526761" w:rsidRPr="00B1767F">
            <w:rPr>
              <w:rStyle w:val="PageNumber"/>
              <w:rFonts w:ascii="Arial" w:hAnsi="Arial" w:cs="Arial"/>
              <w:sz w:val="16"/>
            </w:rPr>
            <w:instrText xml:space="preserve"> PAGE </w:instrText>
          </w:r>
          <w:r w:rsidR="00526761" w:rsidRPr="00B1767F">
            <w:rPr>
              <w:rStyle w:val="PageNumber"/>
              <w:rFonts w:ascii="Arial" w:hAnsi="Arial" w:cs="Arial"/>
              <w:sz w:val="16"/>
            </w:rPr>
            <w:fldChar w:fldCharType="separate"/>
          </w:r>
          <w:r w:rsidR="00785286">
            <w:rPr>
              <w:rStyle w:val="PageNumber"/>
              <w:rFonts w:ascii="Arial" w:hAnsi="Arial" w:cs="Arial"/>
              <w:noProof/>
              <w:sz w:val="16"/>
            </w:rPr>
            <w:t>2</w:t>
          </w:r>
          <w:r w:rsidR="00526761" w:rsidRPr="00B1767F">
            <w:rPr>
              <w:rStyle w:val="PageNumber"/>
              <w:rFonts w:ascii="Arial" w:hAnsi="Arial" w:cs="Arial"/>
              <w:sz w:val="16"/>
            </w:rPr>
            <w:fldChar w:fldCharType="end"/>
          </w:r>
          <w:r w:rsidR="00526761" w:rsidRPr="00B1767F">
            <w:rPr>
              <w:rStyle w:val="PageNumber"/>
              <w:rFonts w:ascii="Arial" w:hAnsi="Arial" w:cs="Arial"/>
              <w:sz w:val="16"/>
            </w:rPr>
            <w:t xml:space="preserve"> of </w:t>
          </w:r>
          <w:r w:rsidR="00526761" w:rsidRPr="00B1767F">
            <w:rPr>
              <w:rStyle w:val="PageNumber"/>
              <w:rFonts w:ascii="Arial" w:hAnsi="Arial" w:cs="Arial"/>
              <w:sz w:val="16"/>
            </w:rPr>
            <w:fldChar w:fldCharType="begin"/>
          </w:r>
          <w:r w:rsidR="00526761" w:rsidRPr="00B1767F">
            <w:rPr>
              <w:rStyle w:val="PageNumber"/>
              <w:rFonts w:ascii="Arial" w:hAnsi="Arial" w:cs="Arial"/>
              <w:sz w:val="16"/>
            </w:rPr>
            <w:instrText xml:space="preserve"> NUMPAGES </w:instrText>
          </w:r>
          <w:r w:rsidR="00526761" w:rsidRPr="00B1767F">
            <w:rPr>
              <w:rStyle w:val="PageNumber"/>
              <w:rFonts w:ascii="Arial" w:hAnsi="Arial" w:cs="Arial"/>
              <w:sz w:val="16"/>
            </w:rPr>
            <w:fldChar w:fldCharType="separate"/>
          </w:r>
          <w:r w:rsidR="00785286">
            <w:rPr>
              <w:rStyle w:val="PageNumber"/>
              <w:rFonts w:ascii="Arial" w:hAnsi="Arial" w:cs="Arial"/>
              <w:noProof/>
              <w:sz w:val="16"/>
            </w:rPr>
            <w:t>7</w:t>
          </w:r>
          <w:r w:rsidR="00526761" w:rsidRPr="00B1767F">
            <w:rPr>
              <w:rStyle w:val="PageNumber"/>
              <w:rFonts w:ascii="Arial" w:hAnsi="Arial" w:cs="Arial"/>
              <w:sz w:val="16"/>
            </w:rPr>
            <w:fldChar w:fldCharType="end"/>
          </w:r>
        </w:p>
      </w:tc>
      <w:tc>
        <w:tcPr>
          <w:tcW w:w="3618" w:type="dxa"/>
        </w:tcPr>
        <w:p w14:paraId="4AC3C74F" w14:textId="77777777" w:rsidR="00526761" w:rsidRPr="00B1767F" w:rsidRDefault="00526761" w:rsidP="007E08CB">
          <w:pPr>
            <w:pStyle w:val="Footer"/>
            <w:jc w:val="right"/>
            <w:rPr>
              <w:rFonts w:ascii="Arial" w:hAnsi="Arial" w:cs="Arial"/>
              <w:sz w:val="16"/>
            </w:rPr>
          </w:pPr>
        </w:p>
      </w:tc>
    </w:tr>
    <w:tr w:rsidR="00526761" w:rsidRPr="00B1767F" w14:paraId="22C579A6" w14:textId="77777777" w:rsidTr="00744F38">
      <w:tc>
        <w:tcPr>
          <w:tcW w:w="4698" w:type="dxa"/>
        </w:tcPr>
        <w:p w14:paraId="54432A26" w14:textId="6E1D42E9" w:rsidR="00526761" w:rsidRPr="00B1767F" w:rsidRDefault="00E66760" w:rsidP="00DE0588">
          <w:pPr>
            <w:pStyle w:val="Footer"/>
            <w:tabs>
              <w:tab w:val="clear" w:pos="4320"/>
              <w:tab w:val="clear" w:pos="8640"/>
              <w:tab w:val="center" w:pos="4896"/>
              <w:tab w:val="right" w:pos="6606"/>
            </w:tabs>
            <w:rPr>
              <w:rFonts w:ascii="Arial" w:hAnsi="Arial" w:cs="Arial"/>
              <w:sz w:val="16"/>
            </w:rPr>
          </w:pPr>
          <w:r>
            <w:rPr>
              <w:sz w:val="16"/>
            </w:rPr>
            <w:t>Division of the State Architect</w:t>
          </w:r>
        </w:p>
      </w:tc>
      <w:tc>
        <w:tcPr>
          <w:tcW w:w="1800" w:type="dxa"/>
        </w:tcPr>
        <w:p w14:paraId="2FB4D24A" w14:textId="77777777" w:rsidR="00526761" w:rsidRPr="00B1767F" w:rsidRDefault="00526761">
          <w:pPr>
            <w:pStyle w:val="Footer"/>
            <w:jc w:val="right"/>
            <w:rPr>
              <w:rStyle w:val="PageNumber"/>
              <w:rFonts w:ascii="Arial" w:hAnsi="Arial" w:cs="Arial"/>
              <w:sz w:val="16"/>
            </w:rPr>
          </w:pPr>
        </w:p>
      </w:tc>
      <w:tc>
        <w:tcPr>
          <w:tcW w:w="3618" w:type="dxa"/>
        </w:tcPr>
        <w:p w14:paraId="46F43C98" w14:textId="77777777" w:rsidR="00526761" w:rsidRPr="00B1767F" w:rsidRDefault="00526761">
          <w:pPr>
            <w:pStyle w:val="Footer"/>
            <w:jc w:val="right"/>
            <w:rPr>
              <w:rFonts w:ascii="Arial" w:hAnsi="Arial" w:cs="Arial"/>
              <w:sz w:val="16"/>
            </w:rPr>
          </w:pPr>
        </w:p>
      </w:tc>
    </w:tr>
  </w:tbl>
  <w:p w14:paraId="0CD89466" w14:textId="77777777" w:rsidR="00526761" w:rsidRPr="00B1767F" w:rsidRDefault="00526761" w:rsidP="00744F38">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5D839" w14:textId="77777777" w:rsidR="0022281E" w:rsidRDefault="0022281E">
      <w:r>
        <w:separator/>
      </w:r>
    </w:p>
  </w:footnote>
  <w:footnote w:type="continuationSeparator" w:id="0">
    <w:p w14:paraId="7B5415C1" w14:textId="77777777" w:rsidR="0022281E" w:rsidRDefault="00222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B603" w14:textId="60E72F3A"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2F65A41" w14:textId="5B1743C3" w:rsidR="00082D91" w:rsidRDefault="004936F9"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DIVISION OF THE STATE ARCHITECT</w:t>
    </w:r>
  </w:p>
  <w:p w14:paraId="6FF16AF1" w14:textId="77777777" w:rsidR="00082D91" w:rsidRDefault="00082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F94174"/>
    <w:multiLevelType w:val="hybridMultilevel"/>
    <w:tmpl w:val="9C8EA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C0E1D"/>
    <w:multiLevelType w:val="hybridMultilevel"/>
    <w:tmpl w:val="5BC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D6557"/>
    <w:multiLevelType w:val="hybridMultilevel"/>
    <w:tmpl w:val="E9867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D2056"/>
    <w:multiLevelType w:val="hybridMultilevel"/>
    <w:tmpl w:val="90EC33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62602"/>
    <w:multiLevelType w:val="hybridMultilevel"/>
    <w:tmpl w:val="F3E0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F5ACC"/>
    <w:multiLevelType w:val="hybridMultilevel"/>
    <w:tmpl w:val="AE94F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7B09B1"/>
    <w:multiLevelType w:val="hybridMultilevel"/>
    <w:tmpl w:val="F6D86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E413C"/>
    <w:multiLevelType w:val="hybridMultilevel"/>
    <w:tmpl w:val="4B902EA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7"/>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26"/>
    <w:rsid w:val="00001750"/>
    <w:rsid w:val="00015042"/>
    <w:rsid w:val="00016A3A"/>
    <w:rsid w:val="00020408"/>
    <w:rsid w:val="00021790"/>
    <w:rsid w:val="00022AA6"/>
    <w:rsid w:val="0002579D"/>
    <w:rsid w:val="0005424B"/>
    <w:rsid w:val="00065AE4"/>
    <w:rsid w:val="000677F0"/>
    <w:rsid w:val="00072A18"/>
    <w:rsid w:val="00072DEC"/>
    <w:rsid w:val="00072F11"/>
    <w:rsid w:val="00080B60"/>
    <w:rsid w:val="00082D91"/>
    <w:rsid w:val="00084066"/>
    <w:rsid w:val="00085DFD"/>
    <w:rsid w:val="00086774"/>
    <w:rsid w:val="000874E3"/>
    <w:rsid w:val="00087D5D"/>
    <w:rsid w:val="0009397D"/>
    <w:rsid w:val="000A28E6"/>
    <w:rsid w:val="000A6145"/>
    <w:rsid w:val="000C2DA9"/>
    <w:rsid w:val="000E12AD"/>
    <w:rsid w:val="000E4B01"/>
    <w:rsid w:val="000F06D4"/>
    <w:rsid w:val="000F123E"/>
    <w:rsid w:val="00103DA3"/>
    <w:rsid w:val="00103F12"/>
    <w:rsid w:val="0010454C"/>
    <w:rsid w:val="00104698"/>
    <w:rsid w:val="00105766"/>
    <w:rsid w:val="00106588"/>
    <w:rsid w:val="00112450"/>
    <w:rsid w:val="001159C1"/>
    <w:rsid w:val="0012182B"/>
    <w:rsid w:val="001234BC"/>
    <w:rsid w:val="00130778"/>
    <w:rsid w:val="00135F2F"/>
    <w:rsid w:val="0015128E"/>
    <w:rsid w:val="00151926"/>
    <w:rsid w:val="0015367A"/>
    <w:rsid w:val="00153C9E"/>
    <w:rsid w:val="00154D19"/>
    <w:rsid w:val="00162232"/>
    <w:rsid w:val="00163E31"/>
    <w:rsid w:val="00167807"/>
    <w:rsid w:val="001700E1"/>
    <w:rsid w:val="00183901"/>
    <w:rsid w:val="0019178F"/>
    <w:rsid w:val="0019195E"/>
    <w:rsid w:val="00193170"/>
    <w:rsid w:val="00194628"/>
    <w:rsid w:val="00194C5C"/>
    <w:rsid w:val="00195323"/>
    <w:rsid w:val="001A2353"/>
    <w:rsid w:val="001A2BF5"/>
    <w:rsid w:val="001A37EE"/>
    <w:rsid w:val="001B0D8D"/>
    <w:rsid w:val="001B658D"/>
    <w:rsid w:val="001C272C"/>
    <w:rsid w:val="001C4A7D"/>
    <w:rsid w:val="001C4E2B"/>
    <w:rsid w:val="001D2517"/>
    <w:rsid w:val="001D7398"/>
    <w:rsid w:val="001E1824"/>
    <w:rsid w:val="001E2EAF"/>
    <w:rsid w:val="001E317B"/>
    <w:rsid w:val="001E5C09"/>
    <w:rsid w:val="001E62BD"/>
    <w:rsid w:val="001F5847"/>
    <w:rsid w:val="001F589D"/>
    <w:rsid w:val="001F6CC7"/>
    <w:rsid w:val="001F6DA1"/>
    <w:rsid w:val="00200090"/>
    <w:rsid w:val="00200AB9"/>
    <w:rsid w:val="00212B67"/>
    <w:rsid w:val="00213623"/>
    <w:rsid w:val="0021491A"/>
    <w:rsid w:val="00216236"/>
    <w:rsid w:val="00216CC4"/>
    <w:rsid w:val="002173F2"/>
    <w:rsid w:val="0022095A"/>
    <w:rsid w:val="0022281E"/>
    <w:rsid w:val="00242A4D"/>
    <w:rsid w:val="0025429C"/>
    <w:rsid w:val="00254ABB"/>
    <w:rsid w:val="00260F9B"/>
    <w:rsid w:val="00262613"/>
    <w:rsid w:val="002659E7"/>
    <w:rsid w:val="00266E03"/>
    <w:rsid w:val="00271588"/>
    <w:rsid w:val="002716ED"/>
    <w:rsid w:val="002724F1"/>
    <w:rsid w:val="002727C7"/>
    <w:rsid w:val="00274ADA"/>
    <w:rsid w:val="00275058"/>
    <w:rsid w:val="00283529"/>
    <w:rsid w:val="0028767B"/>
    <w:rsid w:val="00292F29"/>
    <w:rsid w:val="002942D4"/>
    <w:rsid w:val="0029513F"/>
    <w:rsid w:val="002A1292"/>
    <w:rsid w:val="002A145F"/>
    <w:rsid w:val="002A3AFD"/>
    <w:rsid w:val="002A45E9"/>
    <w:rsid w:val="002A63E5"/>
    <w:rsid w:val="002A74C9"/>
    <w:rsid w:val="002B2C7A"/>
    <w:rsid w:val="002B7EEE"/>
    <w:rsid w:val="002C45AE"/>
    <w:rsid w:val="002C4AAA"/>
    <w:rsid w:val="002C62AE"/>
    <w:rsid w:val="002D04E7"/>
    <w:rsid w:val="002D1A00"/>
    <w:rsid w:val="002D5DAB"/>
    <w:rsid w:val="002D76E7"/>
    <w:rsid w:val="002E02DF"/>
    <w:rsid w:val="002E16F7"/>
    <w:rsid w:val="002E5F69"/>
    <w:rsid w:val="0030272B"/>
    <w:rsid w:val="003032DC"/>
    <w:rsid w:val="003102CA"/>
    <w:rsid w:val="0031297D"/>
    <w:rsid w:val="00325724"/>
    <w:rsid w:val="00330B0F"/>
    <w:rsid w:val="003314C6"/>
    <w:rsid w:val="00331C6A"/>
    <w:rsid w:val="0033424F"/>
    <w:rsid w:val="00337010"/>
    <w:rsid w:val="0034030E"/>
    <w:rsid w:val="00345D85"/>
    <w:rsid w:val="00347814"/>
    <w:rsid w:val="00354375"/>
    <w:rsid w:val="00355A33"/>
    <w:rsid w:val="00360656"/>
    <w:rsid w:val="0036315C"/>
    <w:rsid w:val="00377789"/>
    <w:rsid w:val="00381A97"/>
    <w:rsid w:val="00383163"/>
    <w:rsid w:val="00387742"/>
    <w:rsid w:val="00390259"/>
    <w:rsid w:val="00391483"/>
    <w:rsid w:val="00392799"/>
    <w:rsid w:val="003B191B"/>
    <w:rsid w:val="003B1F7B"/>
    <w:rsid w:val="003B5647"/>
    <w:rsid w:val="003B5B3A"/>
    <w:rsid w:val="003C7C20"/>
    <w:rsid w:val="003D6B98"/>
    <w:rsid w:val="004027A2"/>
    <w:rsid w:val="004069CE"/>
    <w:rsid w:val="004155ED"/>
    <w:rsid w:val="00427670"/>
    <w:rsid w:val="00440A29"/>
    <w:rsid w:val="00442C13"/>
    <w:rsid w:val="00452D33"/>
    <w:rsid w:val="00454727"/>
    <w:rsid w:val="00454A6C"/>
    <w:rsid w:val="00457339"/>
    <w:rsid w:val="004619A6"/>
    <w:rsid w:val="00464B82"/>
    <w:rsid w:val="0046522E"/>
    <w:rsid w:val="00467E23"/>
    <w:rsid w:val="00467F6F"/>
    <w:rsid w:val="00471BCB"/>
    <w:rsid w:val="004726D5"/>
    <w:rsid w:val="004829F2"/>
    <w:rsid w:val="00484712"/>
    <w:rsid w:val="00484C68"/>
    <w:rsid w:val="00485773"/>
    <w:rsid w:val="00486148"/>
    <w:rsid w:val="0049335F"/>
    <w:rsid w:val="004936F9"/>
    <w:rsid w:val="00494A48"/>
    <w:rsid w:val="00494BAA"/>
    <w:rsid w:val="004A03F2"/>
    <w:rsid w:val="004A0721"/>
    <w:rsid w:val="004A0868"/>
    <w:rsid w:val="004A5695"/>
    <w:rsid w:val="004A7901"/>
    <w:rsid w:val="004A7915"/>
    <w:rsid w:val="004B2CB4"/>
    <w:rsid w:val="004C7FE7"/>
    <w:rsid w:val="004D4139"/>
    <w:rsid w:val="004D73B5"/>
    <w:rsid w:val="004E0FAD"/>
    <w:rsid w:val="004E3B98"/>
    <w:rsid w:val="00501125"/>
    <w:rsid w:val="00505007"/>
    <w:rsid w:val="00510ECB"/>
    <w:rsid w:val="0051696C"/>
    <w:rsid w:val="00522298"/>
    <w:rsid w:val="0052373B"/>
    <w:rsid w:val="00526761"/>
    <w:rsid w:val="00530F95"/>
    <w:rsid w:val="00534E76"/>
    <w:rsid w:val="0054032A"/>
    <w:rsid w:val="00542137"/>
    <w:rsid w:val="00543FD5"/>
    <w:rsid w:val="00546E70"/>
    <w:rsid w:val="0055254A"/>
    <w:rsid w:val="0056189D"/>
    <w:rsid w:val="005654D0"/>
    <w:rsid w:val="00565942"/>
    <w:rsid w:val="00565F27"/>
    <w:rsid w:val="005770A0"/>
    <w:rsid w:val="005773BD"/>
    <w:rsid w:val="00580F5D"/>
    <w:rsid w:val="00591BC3"/>
    <w:rsid w:val="0059646D"/>
    <w:rsid w:val="005A1D22"/>
    <w:rsid w:val="005C0133"/>
    <w:rsid w:val="005C345C"/>
    <w:rsid w:val="005C6B61"/>
    <w:rsid w:val="005C7A09"/>
    <w:rsid w:val="005D29EA"/>
    <w:rsid w:val="005E1182"/>
    <w:rsid w:val="005E2298"/>
    <w:rsid w:val="005E4D47"/>
    <w:rsid w:val="005E5C51"/>
    <w:rsid w:val="005F3C43"/>
    <w:rsid w:val="005F4DC2"/>
    <w:rsid w:val="005F538D"/>
    <w:rsid w:val="00602D25"/>
    <w:rsid w:val="006105F7"/>
    <w:rsid w:val="0061108A"/>
    <w:rsid w:val="00614831"/>
    <w:rsid w:val="006160F3"/>
    <w:rsid w:val="006164BB"/>
    <w:rsid w:val="0061738D"/>
    <w:rsid w:val="00621AFF"/>
    <w:rsid w:val="00634719"/>
    <w:rsid w:val="00636B57"/>
    <w:rsid w:val="00641222"/>
    <w:rsid w:val="006423F5"/>
    <w:rsid w:val="006470E4"/>
    <w:rsid w:val="00647D58"/>
    <w:rsid w:val="00651D4F"/>
    <w:rsid w:val="00656BBF"/>
    <w:rsid w:val="00685C35"/>
    <w:rsid w:val="00685FA3"/>
    <w:rsid w:val="00690CE1"/>
    <w:rsid w:val="006917E5"/>
    <w:rsid w:val="00691CF7"/>
    <w:rsid w:val="00692497"/>
    <w:rsid w:val="00695A52"/>
    <w:rsid w:val="006A129F"/>
    <w:rsid w:val="006A71D1"/>
    <w:rsid w:val="006B1FC3"/>
    <w:rsid w:val="006B3837"/>
    <w:rsid w:val="006B39D3"/>
    <w:rsid w:val="006B4454"/>
    <w:rsid w:val="006B6585"/>
    <w:rsid w:val="006B6688"/>
    <w:rsid w:val="006C01CD"/>
    <w:rsid w:val="006C5E94"/>
    <w:rsid w:val="006D1114"/>
    <w:rsid w:val="006D56D4"/>
    <w:rsid w:val="006D69EF"/>
    <w:rsid w:val="006D77AA"/>
    <w:rsid w:val="006F51B9"/>
    <w:rsid w:val="006F5FD9"/>
    <w:rsid w:val="0070052E"/>
    <w:rsid w:val="00704D4B"/>
    <w:rsid w:val="00706EF3"/>
    <w:rsid w:val="00710BE8"/>
    <w:rsid w:val="00713C37"/>
    <w:rsid w:val="00722B1A"/>
    <w:rsid w:val="00727E18"/>
    <w:rsid w:val="007365C7"/>
    <w:rsid w:val="00737CDB"/>
    <w:rsid w:val="00744F38"/>
    <w:rsid w:val="00750042"/>
    <w:rsid w:val="00753ED4"/>
    <w:rsid w:val="0075681C"/>
    <w:rsid w:val="00757CAE"/>
    <w:rsid w:val="007603B4"/>
    <w:rsid w:val="00760CB3"/>
    <w:rsid w:val="007627D5"/>
    <w:rsid w:val="00766B69"/>
    <w:rsid w:val="00774BBB"/>
    <w:rsid w:val="00775081"/>
    <w:rsid w:val="00781046"/>
    <w:rsid w:val="007831D4"/>
    <w:rsid w:val="00784475"/>
    <w:rsid w:val="00785286"/>
    <w:rsid w:val="00787198"/>
    <w:rsid w:val="00796709"/>
    <w:rsid w:val="00796EC6"/>
    <w:rsid w:val="00797A81"/>
    <w:rsid w:val="00797F1B"/>
    <w:rsid w:val="007B00F4"/>
    <w:rsid w:val="007B2649"/>
    <w:rsid w:val="007C6FB1"/>
    <w:rsid w:val="007D0E06"/>
    <w:rsid w:val="007D1F2A"/>
    <w:rsid w:val="007D4E4C"/>
    <w:rsid w:val="007E08CB"/>
    <w:rsid w:val="007E2C9E"/>
    <w:rsid w:val="007E3219"/>
    <w:rsid w:val="007E66E3"/>
    <w:rsid w:val="00813B91"/>
    <w:rsid w:val="00817024"/>
    <w:rsid w:val="00823753"/>
    <w:rsid w:val="00823C88"/>
    <w:rsid w:val="00830E7F"/>
    <w:rsid w:val="00832F21"/>
    <w:rsid w:val="00834698"/>
    <w:rsid w:val="00837AFD"/>
    <w:rsid w:val="008402B0"/>
    <w:rsid w:val="00841A55"/>
    <w:rsid w:val="00845C4D"/>
    <w:rsid w:val="0085169D"/>
    <w:rsid w:val="00855D80"/>
    <w:rsid w:val="0086343C"/>
    <w:rsid w:val="0086359D"/>
    <w:rsid w:val="00870047"/>
    <w:rsid w:val="0087005A"/>
    <w:rsid w:val="008714C7"/>
    <w:rsid w:val="00872A02"/>
    <w:rsid w:val="00872CAB"/>
    <w:rsid w:val="00874A25"/>
    <w:rsid w:val="008832C4"/>
    <w:rsid w:val="00886C11"/>
    <w:rsid w:val="008A2BB0"/>
    <w:rsid w:val="008A7096"/>
    <w:rsid w:val="008B11A4"/>
    <w:rsid w:val="008B6007"/>
    <w:rsid w:val="008C7078"/>
    <w:rsid w:val="008D03C8"/>
    <w:rsid w:val="008D24E4"/>
    <w:rsid w:val="008E24F9"/>
    <w:rsid w:val="008E2BED"/>
    <w:rsid w:val="008E3B7D"/>
    <w:rsid w:val="008E74CD"/>
    <w:rsid w:val="008F0E2B"/>
    <w:rsid w:val="008F11BB"/>
    <w:rsid w:val="008F2A97"/>
    <w:rsid w:val="008F3724"/>
    <w:rsid w:val="008F41DD"/>
    <w:rsid w:val="0090115A"/>
    <w:rsid w:val="00907981"/>
    <w:rsid w:val="00911493"/>
    <w:rsid w:val="0091197D"/>
    <w:rsid w:val="0091447E"/>
    <w:rsid w:val="009149E6"/>
    <w:rsid w:val="009162B3"/>
    <w:rsid w:val="009301EF"/>
    <w:rsid w:val="0093291D"/>
    <w:rsid w:val="00953053"/>
    <w:rsid w:val="00953832"/>
    <w:rsid w:val="0095603A"/>
    <w:rsid w:val="009572CC"/>
    <w:rsid w:val="00964A56"/>
    <w:rsid w:val="009661F4"/>
    <w:rsid w:val="00970CEE"/>
    <w:rsid w:val="0097250B"/>
    <w:rsid w:val="009773D3"/>
    <w:rsid w:val="0098606F"/>
    <w:rsid w:val="0098637B"/>
    <w:rsid w:val="00991356"/>
    <w:rsid w:val="0099316F"/>
    <w:rsid w:val="0099339C"/>
    <w:rsid w:val="009935D5"/>
    <w:rsid w:val="009B2939"/>
    <w:rsid w:val="009B2A2A"/>
    <w:rsid w:val="009B40E8"/>
    <w:rsid w:val="009C1F1B"/>
    <w:rsid w:val="009C2C3A"/>
    <w:rsid w:val="009C6F67"/>
    <w:rsid w:val="009E2EE9"/>
    <w:rsid w:val="009E4706"/>
    <w:rsid w:val="009E48DF"/>
    <w:rsid w:val="009F1B7A"/>
    <w:rsid w:val="009F2C85"/>
    <w:rsid w:val="009F4C5C"/>
    <w:rsid w:val="00A03BBC"/>
    <w:rsid w:val="00A0608E"/>
    <w:rsid w:val="00A202B2"/>
    <w:rsid w:val="00A22F86"/>
    <w:rsid w:val="00A23DA3"/>
    <w:rsid w:val="00A267EB"/>
    <w:rsid w:val="00A27FD7"/>
    <w:rsid w:val="00A35C8D"/>
    <w:rsid w:val="00A60064"/>
    <w:rsid w:val="00A61298"/>
    <w:rsid w:val="00A622AA"/>
    <w:rsid w:val="00A673C3"/>
    <w:rsid w:val="00A743BB"/>
    <w:rsid w:val="00A74549"/>
    <w:rsid w:val="00A74FF6"/>
    <w:rsid w:val="00A766C0"/>
    <w:rsid w:val="00A76E6F"/>
    <w:rsid w:val="00A82A8A"/>
    <w:rsid w:val="00A93627"/>
    <w:rsid w:val="00AA13E2"/>
    <w:rsid w:val="00AA64A5"/>
    <w:rsid w:val="00AA7BC9"/>
    <w:rsid w:val="00AB1BA1"/>
    <w:rsid w:val="00AB1C1C"/>
    <w:rsid w:val="00AB66C7"/>
    <w:rsid w:val="00AC4536"/>
    <w:rsid w:val="00AC7700"/>
    <w:rsid w:val="00AE2F87"/>
    <w:rsid w:val="00AE43BC"/>
    <w:rsid w:val="00AF0941"/>
    <w:rsid w:val="00AF1595"/>
    <w:rsid w:val="00AF3DA1"/>
    <w:rsid w:val="00B00EAD"/>
    <w:rsid w:val="00B03176"/>
    <w:rsid w:val="00B17364"/>
    <w:rsid w:val="00B1767F"/>
    <w:rsid w:val="00B21F63"/>
    <w:rsid w:val="00B24325"/>
    <w:rsid w:val="00B25FCF"/>
    <w:rsid w:val="00B304BB"/>
    <w:rsid w:val="00B32AC7"/>
    <w:rsid w:val="00B36066"/>
    <w:rsid w:val="00B403E9"/>
    <w:rsid w:val="00B432B6"/>
    <w:rsid w:val="00B4401D"/>
    <w:rsid w:val="00B44627"/>
    <w:rsid w:val="00B46C0C"/>
    <w:rsid w:val="00B50241"/>
    <w:rsid w:val="00B525C1"/>
    <w:rsid w:val="00B53E85"/>
    <w:rsid w:val="00B568B0"/>
    <w:rsid w:val="00B61308"/>
    <w:rsid w:val="00B61DB2"/>
    <w:rsid w:val="00B663DB"/>
    <w:rsid w:val="00B71740"/>
    <w:rsid w:val="00B86C6C"/>
    <w:rsid w:val="00B9168C"/>
    <w:rsid w:val="00B91C93"/>
    <w:rsid w:val="00B93094"/>
    <w:rsid w:val="00B9641B"/>
    <w:rsid w:val="00BA079E"/>
    <w:rsid w:val="00BB4A8B"/>
    <w:rsid w:val="00BB73BB"/>
    <w:rsid w:val="00BD27E3"/>
    <w:rsid w:val="00BD4976"/>
    <w:rsid w:val="00BD4FBD"/>
    <w:rsid w:val="00BD780A"/>
    <w:rsid w:val="00BD7CD8"/>
    <w:rsid w:val="00BD7E10"/>
    <w:rsid w:val="00BE1B35"/>
    <w:rsid w:val="00BE73B7"/>
    <w:rsid w:val="00BF2554"/>
    <w:rsid w:val="00BF39AA"/>
    <w:rsid w:val="00BF5477"/>
    <w:rsid w:val="00C039D6"/>
    <w:rsid w:val="00C066C4"/>
    <w:rsid w:val="00C12A96"/>
    <w:rsid w:val="00C152C5"/>
    <w:rsid w:val="00C16CC7"/>
    <w:rsid w:val="00C20BBB"/>
    <w:rsid w:val="00C23205"/>
    <w:rsid w:val="00C25256"/>
    <w:rsid w:val="00C26BEC"/>
    <w:rsid w:val="00C3045E"/>
    <w:rsid w:val="00C40BD7"/>
    <w:rsid w:val="00C43C0B"/>
    <w:rsid w:val="00C47EC4"/>
    <w:rsid w:val="00C51DA1"/>
    <w:rsid w:val="00C573EA"/>
    <w:rsid w:val="00C610C8"/>
    <w:rsid w:val="00C64AC8"/>
    <w:rsid w:val="00C70D45"/>
    <w:rsid w:val="00C81A18"/>
    <w:rsid w:val="00C97E27"/>
    <w:rsid w:val="00CA5AEE"/>
    <w:rsid w:val="00CA7A22"/>
    <w:rsid w:val="00CB2E5B"/>
    <w:rsid w:val="00CB485D"/>
    <w:rsid w:val="00CB6FCC"/>
    <w:rsid w:val="00CC21F0"/>
    <w:rsid w:val="00CC543C"/>
    <w:rsid w:val="00CD5C05"/>
    <w:rsid w:val="00CD5FC8"/>
    <w:rsid w:val="00CE5694"/>
    <w:rsid w:val="00CF4738"/>
    <w:rsid w:val="00CF6F40"/>
    <w:rsid w:val="00CF71A6"/>
    <w:rsid w:val="00D021A0"/>
    <w:rsid w:val="00D0381E"/>
    <w:rsid w:val="00D07A01"/>
    <w:rsid w:val="00D102F8"/>
    <w:rsid w:val="00D1097D"/>
    <w:rsid w:val="00D11E70"/>
    <w:rsid w:val="00D2174D"/>
    <w:rsid w:val="00D24BA1"/>
    <w:rsid w:val="00D277E1"/>
    <w:rsid w:val="00D30F4C"/>
    <w:rsid w:val="00D32173"/>
    <w:rsid w:val="00D4442B"/>
    <w:rsid w:val="00D47094"/>
    <w:rsid w:val="00D5118E"/>
    <w:rsid w:val="00D54806"/>
    <w:rsid w:val="00D55D02"/>
    <w:rsid w:val="00D5798C"/>
    <w:rsid w:val="00D605B7"/>
    <w:rsid w:val="00D62908"/>
    <w:rsid w:val="00D703BA"/>
    <w:rsid w:val="00D71625"/>
    <w:rsid w:val="00D717E7"/>
    <w:rsid w:val="00D830B3"/>
    <w:rsid w:val="00D9456B"/>
    <w:rsid w:val="00D96A93"/>
    <w:rsid w:val="00D97C9A"/>
    <w:rsid w:val="00DA7D04"/>
    <w:rsid w:val="00DC3062"/>
    <w:rsid w:val="00DC7A67"/>
    <w:rsid w:val="00DD0C51"/>
    <w:rsid w:val="00DD6746"/>
    <w:rsid w:val="00DE0588"/>
    <w:rsid w:val="00E01D72"/>
    <w:rsid w:val="00E0268C"/>
    <w:rsid w:val="00E05A74"/>
    <w:rsid w:val="00E068FB"/>
    <w:rsid w:val="00E06A30"/>
    <w:rsid w:val="00E21CC3"/>
    <w:rsid w:val="00E224C3"/>
    <w:rsid w:val="00E40257"/>
    <w:rsid w:val="00E570BD"/>
    <w:rsid w:val="00E6006B"/>
    <w:rsid w:val="00E66760"/>
    <w:rsid w:val="00E7184B"/>
    <w:rsid w:val="00E71FC6"/>
    <w:rsid w:val="00E7437B"/>
    <w:rsid w:val="00E80434"/>
    <w:rsid w:val="00E80AB0"/>
    <w:rsid w:val="00EA58C1"/>
    <w:rsid w:val="00EB6471"/>
    <w:rsid w:val="00EC1966"/>
    <w:rsid w:val="00EC502F"/>
    <w:rsid w:val="00EC59F2"/>
    <w:rsid w:val="00ED1B14"/>
    <w:rsid w:val="00ED2287"/>
    <w:rsid w:val="00EE21C3"/>
    <w:rsid w:val="00EE45FC"/>
    <w:rsid w:val="00EE794D"/>
    <w:rsid w:val="00EF2BDF"/>
    <w:rsid w:val="00EF7749"/>
    <w:rsid w:val="00F010ED"/>
    <w:rsid w:val="00F037B9"/>
    <w:rsid w:val="00F04711"/>
    <w:rsid w:val="00F06A0E"/>
    <w:rsid w:val="00F06E63"/>
    <w:rsid w:val="00F07D7D"/>
    <w:rsid w:val="00F11A96"/>
    <w:rsid w:val="00F142AD"/>
    <w:rsid w:val="00F21C7A"/>
    <w:rsid w:val="00F21E4B"/>
    <w:rsid w:val="00F239B9"/>
    <w:rsid w:val="00F36CEF"/>
    <w:rsid w:val="00F37356"/>
    <w:rsid w:val="00F528AD"/>
    <w:rsid w:val="00F565EF"/>
    <w:rsid w:val="00F7507F"/>
    <w:rsid w:val="00F755A0"/>
    <w:rsid w:val="00F86CA3"/>
    <w:rsid w:val="00F87F74"/>
    <w:rsid w:val="00FA17B5"/>
    <w:rsid w:val="00FA39C5"/>
    <w:rsid w:val="00FA57E3"/>
    <w:rsid w:val="00FC12EA"/>
    <w:rsid w:val="00FD063B"/>
    <w:rsid w:val="00FD7454"/>
    <w:rsid w:val="00FD7AB9"/>
    <w:rsid w:val="00FE0116"/>
    <w:rsid w:val="00FE0D66"/>
    <w:rsid w:val="00FE404C"/>
    <w:rsid w:val="00FE434D"/>
    <w:rsid w:val="00FE76EE"/>
    <w:rsid w:val="00FF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05B403"/>
  <w15:docId w15:val="{5A74A5EC-5845-4559-B180-28016D3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C5C"/>
    <w:pPr>
      <w:widowControl w:val="0"/>
    </w:pPr>
    <w:rPr>
      <w:rFonts w:ascii="Helvetica" w:hAnsi="Helvetica"/>
      <w:snapToGrid w:val="0"/>
      <w:sz w:val="24"/>
    </w:rPr>
  </w:style>
  <w:style w:type="paragraph" w:styleId="Heading1">
    <w:name w:val="heading 1"/>
    <w:basedOn w:val="Normal"/>
    <w:next w:val="Normal"/>
    <w:qFormat/>
    <w:rsid w:val="00AE2F87"/>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1B0D8D"/>
    <w:pPr>
      <w:keepNext/>
      <w:widowControl/>
      <w:spacing w:before="240" w:after="120"/>
      <w:outlineLvl w:val="1"/>
    </w:pPr>
    <w:rPr>
      <w:rFonts w:ascii="Arial" w:hAnsi="Arial"/>
      <w:b/>
    </w:rPr>
  </w:style>
  <w:style w:type="paragraph" w:styleId="Heading3">
    <w:name w:val="heading 3"/>
    <w:basedOn w:val="Normal"/>
    <w:next w:val="Normal"/>
    <w:qFormat/>
    <w:pPr>
      <w:keepNext/>
      <w:widowControl/>
      <w:tabs>
        <w:tab w:val="center" w:pos="4680"/>
      </w:tabs>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rFonts w:ascii="Arial" w:hAnsi="Arial"/>
      <w:b/>
      <w:sz w:val="20"/>
      <w:u w:val="single"/>
    </w:rPr>
  </w:style>
  <w:style w:type="paragraph" w:styleId="BodyText2">
    <w:name w:val="Body Text 2"/>
    <w:basedOn w:val="Normal"/>
    <w:semiHidden/>
    <w:pPr>
      <w:widowControl/>
    </w:pPr>
    <w:rPr>
      <w:rFonts w:ascii="Arial" w:hAnsi="Arial"/>
      <w:b/>
      <w:sz w:val="2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jc w:val="both"/>
    </w:pPr>
    <w:rPr>
      <w:rFonts w:ascii="Arial" w:hAnsi="Arial"/>
      <w:sz w:val="20"/>
    </w:rPr>
  </w:style>
  <w:style w:type="paragraph" w:styleId="Title">
    <w:name w:val="Title"/>
    <w:basedOn w:val="Normal"/>
    <w:qFormat/>
    <w:rsid w:val="00387742"/>
    <w:pPr>
      <w:widowControl/>
      <w:tabs>
        <w:tab w:val="center" w:pos="4680"/>
      </w:tabs>
      <w:jc w:val="center"/>
    </w:pPr>
    <w:rPr>
      <w:rFonts w:ascii="Arial" w:hAnsi="Arial"/>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semiHidden/>
    <w:rsid w:val="00082D91"/>
    <w:rPr>
      <w:rFonts w:ascii="Helvetica" w:hAnsi="Helvetica"/>
      <w:snapToGrid w:val="0"/>
      <w:sz w:val="24"/>
    </w:rPr>
  </w:style>
  <w:style w:type="paragraph" w:styleId="ListParagraph">
    <w:name w:val="List Paragraph"/>
    <w:basedOn w:val="Normal"/>
    <w:uiPriority w:val="34"/>
    <w:qFormat/>
    <w:rsid w:val="00194C5C"/>
    <w:pPr>
      <w:ind w:left="720"/>
      <w:contextualSpacing/>
    </w:pPr>
  </w:style>
  <w:style w:type="character" w:styleId="CommentReference">
    <w:name w:val="annotation reference"/>
    <w:basedOn w:val="DefaultParagraphFont"/>
    <w:uiPriority w:val="99"/>
    <w:semiHidden/>
    <w:unhideWhenUsed/>
    <w:rsid w:val="00467F6F"/>
    <w:rPr>
      <w:sz w:val="16"/>
      <w:szCs w:val="16"/>
    </w:rPr>
  </w:style>
  <w:style w:type="paragraph" w:styleId="CommentText">
    <w:name w:val="annotation text"/>
    <w:basedOn w:val="Normal"/>
    <w:link w:val="CommentTextChar"/>
    <w:uiPriority w:val="99"/>
    <w:semiHidden/>
    <w:unhideWhenUsed/>
    <w:rsid w:val="00467F6F"/>
    <w:rPr>
      <w:sz w:val="20"/>
    </w:rPr>
  </w:style>
  <w:style w:type="character" w:customStyle="1" w:styleId="CommentTextChar">
    <w:name w:val="Comment Text Char"/>
    <w:basedOn w:val="DefaultParagraphFont"/>
    <w:link w:val="CommentText"/>
    <w:uiPriority w:val="99"/>
    <w:semiHidden/>
    <w:rsid w:val="00467F6F"/>
    <w:rPr>
      <w:rFonts w:ascii="Helvetica" w:hAnsi="Helvetica"/>
      <w:snapToGrid w:val="0"/>
    </w:rPr>
  </w:style>
  <w:style w:type="paragraph" w:styleId="CommentSubject">
    <w:name w:val="annotation subject"/>
    <w:basedOn w:val="CommentText"/>
    <w:next w:val="CommentText"/>
    <w:link w:val="CommentSubjectChar"/>
    <w:uiPriority w:val="99"/>
    <w:semiHidden/>
    <w:unhideWhenUsed/>
    <w:rsid w:val="00467F6F"/>
    <w:rPr>
      <w:b/>
      <w:bCs/>
    </w:rPr>
  </w:style>
  <w:style w:type="character" w:customStyle="1" w:styleId="CommentSubjectChar">
    <w:name w:val="Comment Subject Char"/>
    <w:basedOn w:val="CommentTextChar"/>
    <w:link w:val="CommentSubject"/>
    <w:uiPriority w:val="99"/>
    <w:semiHidden/>
    <w:rsid w:val="00467F6F"/>
    <w:rPr>
      <w:rFonts w:ascii="Helvetica" w:hAnsi="Helvetic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635334642">
      <w:bodyDiv w:val="1"/>
      <w:marLeft w:val="0"/>
      <w:marRight w:val="0"/>
      <w:marTop w:val="0"/>
      <w:marBottom w:val="0"/>
      <w:divBdr>
        <w:top w:val="none" w:sz="0" w:space="0" w:color="auto"/>
        <w:left w:val="none" w:sz="0" w:space="0" w:color="auto"/>
        <w:bottom w:val="none" w:sz="0" w:space="0" w:color="auto"/>
        <w:right w:val="none" w:sz="0" w:space="0" w:color="auto"/>
      </w:divBdr>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F4F3-04EB-4991-84D0-0FE3181D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2593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Part 1: ISOR</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ISOR</dc:title>
  <dc:creator>Division of the State Architect</dc:creator>
  <cp:lastModifiedBy>Davis, Mariah@DGS</cp:lastModifiedBy>
  <cp:revision>24</cp:revision>
  <cp:lastPrinted>2019-10-15T21:41:00Z</cp:lastPrinted>
  <dcterms:created xsi:type="dcterms:W3CDTF">2019-10-12T22:26:00Z</dcterms:created>
  <dcterms:modified xsi:type="dcterms:W3CDTF">2019-11-05T23:30:00Z</dcterms:modified>
</cp:coreProperties>
</file>