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1D42B" w14:textId="47AE22E0" w:rsidR="008714C7" w:rsidRDefault="00A23DA3" w:rsidP="008058E2">
      <w:pPr>
        <w:pStyle w:val="Title"/>
        <w:spacing w:after="60"/>
        <w:rPr>
          <w:noProof/>
        </w:rPr>
      </w:pPr>
      <w:bookmarkStart w:id="0" w:name="_GoBack"/>
      <w:bookmarkEnd w:id="0"/>
      <w:r w:rsidRPr="009B40E8">
        <w:t>INITIAL STATEMENT OF REASONS</w:t>
      </w:r>
      <w:r w:rsidR="009B40E8" w:rsidRPr="009B40E8">
        <w:br/>
      </w:r>
      <w:r w:rsidRPr="009B40E8">
        <w:t>FOR</w:t>
      </w:r>
      <w:r w:rsidR="00154D19" w:rsidRPr="009B40E8">
        <w:t xml:space="preserve"> </w:t>
      </w:r>
      <w:r w:rsidRPr="009B40E8">
        <w:t>PROPOSED BUILDING STANDARDS</w:t>
      </w:r>
      <w:r w:rsidR="00194C5C">
        <w:br/>
      </w:r>
      <w:r w:rsidRPr="009B40E8">
        <w:t>OF THE</w:t>
      </w:r>
      <w:r w:rsidR="00154D19" w:rsidRPr="009B40E8">
        <w:t xml:space="preserve"> </w:t>
      </w:r>
      <w:r w:rsidR="00EA34DC">
        <w:t>DIVISION OF THE STATE ARCHITECT (DSA-SS AND DSA-CC)</w:t>
      </w:r>
      <w:r w:rsidR="00953053">
        <w:br/>
      </w:r>
      <w:r w:rsidRPr="009B40E8">
        <w:t xml:space="preserve">REGARDING THE </w:t>
      </w:r>
      <w:r w:rsidR="00EA34DC">
        <w:t>2019 CALIFORNIA ADMINSTRATIVE CODE,</w:t>
      </w:r>
      <w:r w:rsidR="00194C5C">
        <w:br/>
      </w:r>
      <w:r w:rsidRPr="009B40E8">
        <w:t>CALIFORNIA CODE OF REGULATIONS,</w:t>
      </w:r>
      <w:r w:rsidR="00796EC6">
        <w:t xml:space="preserve"> </w:t>
      </w:r>
      <w:r w:rsidRPr="009B40E8">
        <w:t xml:space="preserve">TITLE 24, PART </w:t>
      </w:r>
      <w:r w:rsidR="00EA34DC">
        <w:rPr>
          <w:noProof/>
        </w:rPr>
        <w:t>1</w:t>
      </w:r>
    </w:p>
    <w:p w14:paraId="7E7CB4E0" w14:textId="67018CFF" w:rsidR="00903C52" w:rsidRPr="00903C52" w:rsidRDefault="00903C52" w:rsidP="00903C52">
      <w:pPr>
        <w:widowControl/>
        <w:tabs>
          <w:tab w:val="center" w:pos="4680"/>
        </w:tabs>
        <w:spacing w:after="60"/>
        <w:jc w:val="center"/>
        <w:rPr>
          <w:rFonts w:ascii="Arial" w:hAnsi="Arial"/>
          <w:b/>
          <w:bCs/>
          <w:noProof/>
        </w:rPr>
      </w:pPr>
      <w:r w:rsidRPr="00F91F7D">
        <w:rPr>
          <w:rFonts w:ascii="Arial" w:hAnsi="Arial"/>
          <w:b/>
          <w:bCs/>
          <w:noProof/>
        </w:rPr>
        <w:t>([</w:t>
      </w:r>
      <w:r w:rsidRPr="00F91F7D">
        <w:rPr>
          <w:rFonts w:ascii="Arial" w:hAnsi="Arial"/>
          <w:b/>
          <w:bCs/>
          <w:noProof/>
          <w:highlight w:val="lightGray"/>
        </w:rPr>
        <w:t>RULEMAKING FILE #</w:t>
      </w:r>
      <w:r w:rsidRPr="00C51A7A">
        <w:rPr>
          <w:rFonts w:ascii="Arial" w:hAnsi="Arial"/>
          <w:b/>
          <w:bCs/>
          <w:noProof/>
        </w:rPr>
        <w:t>])</w:t>
      </w:r>
    </w:p>
    <w:p w14:paraId="08055815" w14:textId="77777777" w:rsidR="00A23DA3" w:rsidRPr="009529F7" w:rsidRDefault="00A23DA3" w:rsidP="008058E2">
      <w:pPr>
        <w:spacing w:before="120"/>
        <w:rPr>
          <w:rFonts w:ascii="Arial" w:hAnsi="Arial" w:cs="Arial"/>
        </w:rPr>
      </w:pPr>
      <w:r w:rsidRPr="009529F7">
        <w:rPr>
          <w:rFonts w:ascii="Arial" w:hAnsi="Arial" w:cs="Arial"/>
        </w:rPr>
        <w:t>The Administrative Procedure Act (APA) requires that an Initial Statement of Reasons be available to the public upon request when rulemaking action is being undertaken. The following information required by the APA pertains to this particular rulemaking action:</w:t>
      </w:r>
    </w:p>
    <w:p w14:paraId="5010C4AA" w14:textId="77777777" w:rsidR="00A23DA3" w:rsidRPr="00B25FCF" w:rsidRDefault="00A23DA3" w:rsidP="00AE2F87">
      <w:pPr>
        <w:pStyle w:val="Heading2"/>
        <w:rPr>
          <w:szCs w:val="24"/>
        </w:rPr>
      </w:pPr>
      <w:r w:rsidRPr="00B25FCF">
        <w:rPr>
          <w:szCs w:val="24"/>
        </w:rPr>
        <w:t>STATEMENT OF SPECIFIC</w:t>
      </w:r>
      <w:r w:rsidR="00383163" w:rsidRPr="00B25FCF">
        <w:rPr>
          <w:szCs w:val="24"/>
        </w:rPr>
        <w:t xml:space="preserve"> </w:t>
      </w:r>
      <w:r w:rsidR="009F4C5C" w:rsidRPr="00B25FCF">
        <w:rPr>
          <w:szCs w:val="24"/>
        </w:rPr>
        <w:t>PURPOSE,</w:t>
      </w:r>
      <w:r w:rsidRPr="00B25FCF">
        <w:rPr>
          <w:szCs w:val="24"/>
        </w:rPr>
        <w:t xml:space="preserve"> </w:t>
      </w:r>
      <w:r w:rsidR="009F4C5C" w:rsidRPr="00B25FCF">
        <w:rPr>
          <w:szCs w:val="24"/>
        </w:rPr>
        <w:t xml:space="preserve">PROBLEM, </w:t>
      </w:r>
      <w:r w:rsidRPr="00B25FCF">
        <w:rPr>
          <w:szCs w:val="24"/>
        </w:rPr>
        <w:t>RATIONALE</w:t>
      </w:r>
      <w:r w:rsidR="009F4C5C" w:rsidRPr="00B25FCF">
        <w:rPr>
          <w:szCs w:val="24"/>
        </w:rPr>
        <w:t xml:space="preserve"> and BENEFITS</w:t>
      </w:r>
    </w:p>
    <w:p w14:paraId="2E559FF3" w14:textId="523039F6" w:rsidR="00A23DA3" w:rsidRDefault="00A23DA3" w:rsidP="00CB1ED6">
      <w:pPr>
        <w:widowControl/>
        <w:spacing w:after="240"/>
        <w:rPr>
          <w:rFonts w:ascii="Arial" w:hAnsi="Arial"/>
          <w:szCs w:val="24"/>
        </w:rPr>
      </w:pPr>
      <w:r w:rsidRPr="00685FA3">
        <w:rPr>
          <w:rFonts w:ascii="Arial" w:hAnsi="Arial"/>
          <w:szCs w:val="24"/>
        </w:rPr>
        <w:t>Government Code Section 11346.2</w:t>
      </w:r>
      <w:r w:rsidR="00135F2F" w:rsidRPr="00685FA3">
        <w:rPr>
          <w:rFonts w:ascii="Arial" w:hAnsi="Arial"/>
          <w:szCs w:val="24"/>
        </w:rPr>
        <w:t>(b)(1)</w:t>
      </w:r>
      <w:r w:rsidRPr="00685FA3">
        <w:rPr>
          <w:rFonts w:ascii="Arial" w:hAnsi="Arial"/>
          <w:szCs w:val="24"/>
        </w:rPr>
        <w:t xml:space="preserve"> requires a statement of specific purpose of </w:t>
      </w:r>
      <w:r w:rsidR="00E7437B" w:rsidRPr="00685FA3">
        <w:rPr>
          <w:rFonts w:ascii="Arial" w:hAnsi="Arial"/>
          <w:bCs/>
          <w:szCs w:val="24"/>
        </w:rPr>
        <w:t>each</w:t>
      </w:r>
      <w:r w:rsidRPr="00685FA3">
        <w:rPr>
          <w:rFonts w:ascii="Arial" w:hAnsi="Arial"/>
          <w:szCs w:val="24"/>
        </w:rPr>
        <w:t xml:space="preserve"> adoption, amendment, or repeal</w:t>
      </w:r>
      <w:r w:rsidR="00383163" w:rsidRPr="00685FA3">
        <w:rPr>
          <w:rFonts w:ascii="Arial" w:hAnsi="Arial"/>
          <w:szCs w:val="24"/>
        </w:rPr>
        <w:t xml:space="preserve"> and the problem the agency intends to address</w:t>
      </w:r>
      <w:r w:rsidRPr="00685FA3">
        <w:rPr>
          <w:rFonts w:ascii="Arial" w:hAnsi="Arial"/>
          <w:szCs w:val="24"/>
        </w:rPr>
        <w:t xml:space="preserve"> and the rational</w:t>
      </w:r>
      <w:r w:rsidR="00383163" w:rsidRPr="00685FA3">
        <w:rPr>
          <w:rFonts w:ascii="Arial" w:hAnsi="Arial"/>
          <w:szCs w:val="24"/>
        </w:rPr>
        <w:t>e</w:t>
      </w:r>
      <w:r w:rsidRPr="00685FA3">
        <w:rPr>
          <w:rFonts w:ascii="Arial" w:hAnsi="Arial"/>
          <w:szCs w:val="24"/>
        </w:rPr>
        <w:t xml:space="preserve"> </w:t>
      </w:r>
      <w:r w:rsidR="00383163" w:rsidRPr="00685FA3">
        <w:rPr>
          <w:rFonts w:ascii="Arial" w:hAnsi="Arial"/>
          <w:szCs w:val="24"/>
        </w:rPr>
        <w:t xml:space="preserve">for </w:t>
      </w:r>
      <w:r w:rsidRPr="00685FA3">
        <w:rPr>
          <w:rFonts w:ascii="Arial" w:hAnsi="Arial"/>
          <w:szCs w:val="24"/>
        </w:rPr>
        <w:t xml:space="preserve">the determination by the agency that </w:t>
      </w:r>
      <w:r w:rsidR="00E7437B" w:rsidRPr="00685FA3">
        <w:rPr>
          <w:rFonts w:ascii="Arial" w:hAnsi="Arial"/>
          <w:szCs w:val="24"/>
        </w:rPr>
        <w:t>each</w:t>
      </w:r>
      <w:r w:rsidRPr="00685FA3">
        <w:rPr>
          <w:rFonts w:ascii="Arial" w:hAnsi="Arial"/>
          <w:szCs w:val="24"/>
        </w:rPr>
        <w:t xml:space="preserve"> adoption, amendment, or repeal is reasonably necessary to carry out the purpose </w:t>
      </w:r>
      <w:r w:rsidR="00383163" w:rsidRPr="00685FA3">
        <w:rPr>
          <w:rFonts w:ascii="Arial" w:hAnsi="Arial"/>
          <w:szCs w:val="24"/>
        </w:rPr>
        <w:t xml:space="preserve">and address the problem </w:t>
      </w:r>
      <w:r w:rsidRPr="00685FA3">
        <w:rPr>
          <w:rFonts w:ascii="Arial" w:hAnsi="Arial"/>
          <w:szCs w:val="24"/>
        </w:rPr>
        <w:t>for which it is proposed.</w:t>
      </w:r>
      <w:r w:rsidR="00383163" w:rsidRPr="00685FA3">
        <w:rPr>
          <w:rFonts w:ascii="Arial" w:hAnsi="Arial"/>
          <w:szCs w:val="24"/>
        </w:rPr>
        <w:t xml:space="preserve">  The statement shall enumerate the benefits </w:t>
      </w:r>
      <w:r w:rsidR="009F4C5C" w:rsidRPr="00685FA3">
        <w:rPr>
          <w:rFonts w:ascii="Arial" w:hAnsi="Arial"/>
          <w:szCs w:val="24"/>
        </w:rPr>
        <w:t>anticipated from the regulatory action, including the benefits or goals provided in the authorizing statute.</w:t>
      </w:r>
    </w:p>
    <w:p w14:paraId="541D7661" w14:textId="77777777" w:rsidR="00650F28" w:rsidRPr="006B684C" w:rsidRDefault="00650F28" w:rsidP="00650F28">
      <w:pPr>
        <w:widowControl/>
        <w:spacing w:after="120"/>
        <w:rPr>
          <w:rFonts w:ascii="Arial" w:hAnsi="Arial"/>
          <w:b/>
          <w:szCs w:val="24"/>
        </w:rPr>
      </w:pPr>
      <w:r w:rsidRPr="006B684C">
        <w:rPr>
          <w:rFonts w:ascii="Arial" w:hAnsi="Arial"/>
          <w:b/>
          <w:szCs w:val="24"/>
        </w:rPr>
        <w:t>ITEM 1</w:t>
      </w:r>
    </w:p>
    <w:p w14:paraId="095340C8" w14:textId="77777777" w:rsidR="00650F28" w:rsidRPr="006B684C" w:rsidRDefault="00650F28" w:rsidP="00650F28">
      <w:pPr>
        <w:widowControl/>
        <w:spacing w:after="120"/>
        <w:rPr>
          <w:rFonts w:ascii="Arial" w:hAnsi="Arial"/>
          <w:b/>
          <w:szCs w:val="24"/>
        </w:rPr>
      </w:pPr>
      <w:r w:rsidRPr="006B684C">
        <w:rPr>
          <w:rFonts w:ascii="Arial" w:hAnsi="Arial"/>
          <w:b/>
          <w:szCs w:val="24"/>
        </w:rPr>
        <w:t>CHAPTER 4</w:t>
      </w:r>
    </w:p>
    <w:p w14:paraId="59E8EE74" w14:textId="1C357170" w:rsidR="00650F28" w:rsidRPr="006B684C" w:rsidRDefault="00650F28" w:rsidP="00650F28">
      <w:pPr>
        <w:widowControl/>
        <w:spacing w:after="120"/>
        <w:rPr>
          <w:rFonts w:ascii="Arial" w:hAnsi="Arial"/>
          <w:b/>
          <w:szCs w:val="24"/>
        </w:rPr>
      </w:pPr>
      <w:r w:rsidRPr="006B684C">
        <w:rPr>
          <w:rFonts w:ascii="Arial" w:hAnsi="Arial"/>
          <w:b/>
          <w:szCs w:val="24"/>
        </w:rPr>
        <w:t>Section 4-</w:t>
      </w:r>
      <w:r w:rsidR="00B55D89" w:rsidRPr="006B684C">
        <w:rPr>
          <w:rFonts w:ascii="Arial" w:hAnsi="Arial"/>
          <w:b/>
          <w:szCs w:val="24"/>
        </w:rPr>
        <w:t>306</w:t>
      </w:r>
    </w:p>
    <w:p w14:paraId="5810C203" w14:textId="77777777" w:rsidR="00650F28" w:rsidRDefault="00650F28" w:rsidP="00650F28">
      <w:pPr>
        <w:widowControl/>
        <w:spacing w:after="120"/>
        <w:rPr>
          <w:rFonts w:ascii="Arial" w:hAnsi="Arial"/>
          <w:szCs w:val="24"/>
        </w:rPr>
      </w:pPr>
      <w:r w:rsidRPr="006B684C">
        <w:rPr>
          <w:rFonts w:ascii="Arial" w:hAnsi="Arial"/>
          <w:b/>
          <w:szCs w:val="24"/>
        </w:rPr>
        <w:t>PURPOSE AND RATIONALE:</w:t>
      </w:r>
    </w:p>
    <w:p w14:paraId="305150CD" w14:textId="6AE0DA77" w:rsidR="00650F28" w:rsidRPr="00650F28" w:rsidRDefault="00650F28" w:rsidP="00AB78E8">
      <w:pPr>
        <w:widowControl/>
        <w:spacing w:after="120"/>
        <w:rPr>
          <w:rFonts w:ascii="Arial" w:hAnsi="Arial"/>
          <w:szCs w:val="24"/>
        </w:rPr>
      </w:pPr>
      <w:r w:rsidRPr="00650F28">
        <w:rPr>
          <w:rFonts w:ascii="Arial" w:hAnsi="Arial"/>
          <w:szCs w:val="24"/>
        </w:rPr>
        <w:t>In the 2019 CBC, DSA added a</w:t>
      </w:r>
      <w:r w:rsidR="009868CC">
        <w:rPr>
          <w:rFonts w:ascii="Arial" w:hAnsi="Arial"/>
          <w:szCs w:val="24"/>
        </w:rPr>
        <w:t>n amendment</w:t>
      </w:r>
      <w:r w:rsidRPr="00650F28">
        <w:rPr>
          <w:rFonts w:ascii="Arial" w:hAnsi="Arial"/>
          <w:szCs w:val="24"/>
        </w:rPr>
        <w:t xml:space="preserve"> </w:t>
      </w:r>
      <w:r w:rsidR="009868CC">
        <w:rPr>
          <w:rFonts w:ascii="Arial" w:hAnsi="Arial"/>
          <w:szCs w:val="24"/>
        </w:rPr>
        <w:t>requiring</w:t>
      </w:r>
      <w:r w:rsidRPr="00650F28">
        <w:rPr>
          <w:rFonts w:ascii="Arial" w:hAnsi="Arial"/>
          <w:szCs w:val="24"/>
        </w:rPr>
        <w:t xml:space="preserve"> egress from </w:t>
      </w:r>
      <w:r w:rsidR="009868CC">
        <w:rPr>
          <w:rFonts w:ascii="Arial" w:hAnsi="Arial"/>
          <w:szCs w:val="24"/>
        </w:rPr>
        <w:t xml:space="preserve">within a new addition when the existing building was constructed </w:t>
      </w:r>
      <w:r w:rsidR="00A2192A">
        <w:rPr>
          <w:rFonts w:ascii="Arial" w:hAnsi="Arial"/>
          <w:szCs w:val="24"/>
        </w:rPr>
        <w:t>to</w:t>
      </w:r>
      <w:r w:rsidR="009868CC">
        <w:rPr>
          <w:rFonts w:ascii="Arial" w:hAnsi="Arial"/>
          <w:szCs w:val="24"/>
        </w:rPr>
        <w:t xml:space="preserve"> a lesser gravity and lateral load design criteria</w:t>
      </w:r>
      <w:r w:rsidRPr="00650F28">
        <w:rPr>
          <w:rFonts w:ascii="Arial" w:hAnsi="Arial"/>
          <w:szCs w:val="24"/>
        </w:rPr>
        <w:t>. DSA is proposing to remove this amendment because DSA has determined that the existing provisions for multiple occupancies in Section 1604A.5.1, Part 2, and gravity load requirements for alterations to existing buildings in Section xxx, Part 10 adequately address the concern</w:t>
      </w:r>
      <w:r w:rsidR="00A2192A">
        <w:rPr>
          <w:rFonts w:ascii="Arial" w:hAnsi="Arial"/>
          <w:szCs w:val="24"/>
        </w:rPr>
        <w:t xml:space="preserve"> and</w:t>
      </w:r>
      <w:r w:rsidR="009868CC">
        <w:rPr>
          <w:rFonts w:ascii="Arial" w:hAnsi="Arial"/>
          <w:szCs w:val="24"/>
        </w:rPr>
        <w:t xml:space="preserve"> </w:t>
      </w:r>
      <w:r w:rsidR="00A2192A">
        <w:rPr>
          <w:rFonts w:ascii="Arial" w:hAnsi="Arial"/>
          <w:szCs w:val="24"/>
        </w:rPr>
        <w:t>eliminates</w:t>
      </w:r>
      <w:r w:rsidR="009868CC">
        <w:rPr>
          <w:rFonts w:ascii="Arial" w:hAnsi="Arial"/>
          <w:szCs w:val="24"/>
        </w:rPr>
        <w:t xml:space="preserve"> duplication and </w:t>
      </w:r>
      <w:r w:rsidR="00A2192A">
        <w:rPr>
          <w:rFonts w:ascii="Arial" w:hAnsi="Arial"/>
          <w:szCs w:val="24"/>
        </w:rPr>
        <w:t xml:space="preserve">avoids </w:t>
      </w:r>
      <w:r w:rsidR="009868CC">
        <w:rPr>
          <w:rFonts w:ascii="Arial" w:hAnsi="Arial"/>
          <w:szCs w:val="24"/>
        </w:rPr>
        <w:t>potential confusion</w:t>
      </w:r>
      <w:r w:rsidRPr="00650F28">
        <w:rPr>
          <w:rFonts w:ascii="Arial" w:hAnsi="Arial"/>
          <w:szCs w:val="24"/>
        </w:rPr>
        <w:t>.</w:t>
      </w:r>
      <w:r>
        <w:rPr>
          <w:rFonts w:ascii="Arial" w:hAnsi="Arial"/>
          <w:szCs w:val="24"/>
        </w:rPr>
        <w:t xml:space="preserve"> This provision has no fiscal impact.</w:t>
      </w:r>
    </w:p>
    <w:p w14:paraId="398B2BEA" w14:textId="77777777" w:rsidR="00A2192A" w:rsidRDefault="00A2192A" w:rsidP="00A2192A">
      <w:pPr>
        <w:widowControl/>
        <w:spacing w:before="120" w:after="120"/>
        <w:rPr>
          <w:rFonts w:ascii="Arial" w:hAnsi="Arial" w:cs="Arial"/>
          <w:szCs w:val="24"/>
        </w:rPr>
      </w:pPr>
      <w:r>
        <w:rPr>
          <w:rFonts w:ascii="Arial" w:hAnsi="Arial" w:cs="Arial"/>
          <w:b/>
          <w:szCs w:val="24"/>
        </w:rPr>
        <w:t xml:space="preserve">ASSOCIATED SECTIONS TO ITEM 1: </w:t>
      </w:r>
    </w:p>
    <w:p w14:paraId="0BF8C0EA" w14:textId="22AD210D" w:rsidR="00650F28" w:rsidRPr="00A2192A" w:rsidRDefault="00A2192A" w:rsidP="00A2192A">
      <w:pPr>
        <w:widowControl/>
        <w:spacing w:before="120" w:after="360"/>
        <w:rPr>
          <w:rFonts w:ascii="Arial" w:hAnsi="Arial" w:cs="Arial"/>
          <w:bCs/>
          <w:szCs w:val="24"/>
        </w:rPr>
      </w:pPr>
      <w:r w:rsidRPr="00B930B0">
        <w:rPr>
          <w:rFonts w:ascii="Arial" w:hAnsi="Arial" w:cs="Arial"/>
          <w:bCs/>
          <w:szCs w:val="24"/>
        </w:rPr>
        <w:t>(None)</w:t>
      </w:r>
    </w:p>
    <w:p w14:paraId="05A3B8A1" w14:textId="5ABD928D" w:rsidR="002439C7" w:rsidRDefault="002439C7" w:rsidP="00AB78E8">
      <w:pPr>
        <w:widowControl/>
        <w:spacing w:after="120"/>
        <w:rPr>
          <w:rFonts w:ascii="Arial" w:hAnsi="Arial"/>
          <w:b/>
          <w:szCs w:val="24"/>
        </w:rPr>
      </w:pPr>
      <w:r>
        <w:rPr>
          <w:rFonts w:ascii="Arial" w:hAnsi="Arial"/>
          <w:b/>
          <w:szCs w:val="24"/>
        </w:rPr>
        <w:t xml:space="preserve">ITEM </w:t>
      </w:r>
      <w:r w:rsidR="00A2192A">
        <w:rPr>
          <w:rFonts w:ascii="Arial" w:hAnsi="Arial"/>
          <w:b/>
          <w:szCs w:val="24"/>
        </w:rPr>
        <w:t>2</w:t>
      </w:r>
    </w:p>
    <w:p w14:paraId="74EE9FF9" w14:textId="77777777" w:rsidR="002439C7" w:rsidRDefault="002439C7" w:rsidP="002439C7">
      <w:pPr>
        <w:widowControl/>
        <w:spacing w:after="120"/>
        <w:rPr>
          <w:rFonts w:ascii="Arial" w:hAnsi="Arial"/>
          <w:b/>
          <w:szCs w:val="24"/>
        </w:rPr>
      </w:pPr>
      <w:r>
        <w:rPr>
          <w:rFonts w:ascii="Arial" w:hAnsi="Arial"/>
          <w:b/>
          <w:szCs w:val="24"/>
        </w:rPr>
        <w:t>CHAPTER 4</w:t>
      </w:r>
    </w:p>
    <w:p w14:paraId="017C0919" w14:textId="4FAD6E39" w:rsidR="002439C7" w:rsidRDefault="002439C7" w:rsidP="002439C7">
      <w:pPr>
        <w:widowControl/>
        <w:spacing w:after="120"/>
        <w:rPr>
          <w:rFonts w:ascii="Arial" w:hAnsi="Arial"/>
          <w:b/>
          <w:szCs w:val="24"/>
        </w:rPr>
      </w:pPr>
      <w:r>
        <w:rPr>
          <w:rFonts w:ascii="Arial" w:hAnsi="Arial"/>
          <w:b/>
          <w:szCs w:val="24"/>
        </w:rPr>
        <w:t>Section 4-309(a)</w:t>
      </w:r>
    </w:p>
    <w:p w14:paraId="549D0D8F" w14:textId="77777777" w:rsidR="002439C7" w:rsidRDefault="002439C7" w:rsidP="002439C7">
      <w:pPr>
        <w:widowControl/>
        <w:spacing w:after="120"/>
        <w:rPr>
          <w:rFonts w:ascii="Arial" w:hAnsi="Arial"/>
          <w:szCs w:val="24"/>
        </w:rPr>
      </w:pPr>
      <w:r>
        <w:rPr>
          <w:rFonts w:ascii="Arial" w:hAnsi="Arial"/>
          <w:b/>
          <w:szCs w:val="24"/>
        </w:rPr>
        <w:t>PURPOSE AND RATIONALE:</w:t>
      </w:r>
    </w:p>
    <w:p w14:paraId="7EBC4EBF" w14:textId="0742C238" w:rsidR="00251E64" w:rsidRDefault="5F1A1884" w:rsidP="5F1A1884">
      <w:pPr>
        <w:widowControl/>
        <w:spacing w:after="120"/>
        <w:rPr>
          <w:rFonts w:ascii="Arial" w:hAnsi="Arial"/>
        </w:rPr>
      </w:pPr>
      <w:r w:rsidRPr="5F1A1884">
        <w:rPr>
          <w:rFonts w:ascii="Arial" w:hAnsi="Arial"/>
        </w:rPr>
        <w:t xml:space="preserve">Many existing structures receive alterations that result in slight force increases on individual structural elements but have little effect on the structure as a whole. Most existing structural members of a lateral force resisting system are designed and constructed to have some excess strength, and minor alterations that result in slight force increase on existing structural members do not typically result in overstressed conditions. DSA recognizes this fact and has elected to align with </w:t>
      </w:r>
      <w:r w:rsidR="00FB4B99">
        <w:rPr>
          <w:rFonts w:ascii="Arial" w:hAnsi="Arial"/>
        </w:rPr>
        <w:t xml:space="preserve">similar provisions in </w:t>
      </w:r>
      <w:r w:rsidRPr="5F1A1884">
        <w:rPr>
          <w:rFonts w:ascii="Arial" w:hAnsi="Arial"/>
        </w:rPr>
        <w:t xml:space="preserve">the 2019 International Existing Building Code. For these individual elements that receive a slight </w:t>
      </w:r>
      <w:r w:rsidRPr="5F1A1884">
        <w:rPr>
          <w:rFonts w:ascii="Arial" w:hAnsi="Arial"/>
        </w:rPr>
        <w:lastRenderedPageBreak/>
        <w:t>increase in force due to an alteration, DSA proposes to allow force increases on individual elements of up to 10% before having to evaluate the element for potential retrofit. However, when slight alterations to the configuration</w:t>
      </w:r>
      <w:r w:rsidR="002F042A">
        <w:rPr>
          <w:rFonts w:ascii="Arial" w:hAnsi="Arial"/>
        </w:rPr>
        <w:t>, strength and/or stiffness</w:t>
      </w:r>
      <w:r w:rsidRPr="5F1A1884">
        <w:rPr>
          <w:rFonts w:ascii="Arial" w:hAnsi="Arial"/>
        </w:rPr>
        <w:t xml:space="preserve"> of existing force resisting elements occur, such as adding openings in walls or floors, the effect on the structure can be more significant; and therefore, DSA will maintain the 5% decrease allowance before having to evaluate and potentially retrofit the affected member</w:t>
      </w:r>
      <w:r w:rsidR="00B55D89">
        <w:rPr>
          <w:rFonts w:ascii="Arial" w:hAnsi="Arial"/>
        </w:rPr>
        <w:t xml:space="preserve"> when the member is physically altered</w:t>
      </w:r>
      <w:r w:rsidRPr="5F1A1884">
        <w:rPr>
          <w:rFonts w:ascii="Arial" w:hAnsi="Arial"/>
        </w:rPr>
        <w:t xml:space="preserve">. </w:t>
      </w:r>
    </w:p>
    <w:p w14:paraId="19793D34" w14:textId="77777777" w:rsidR="00D7617D" w:rsidRDefault="00783D5D" w:rsidP="00AB78E8">
      <w:pPr>
        <w:widowControl/>
        <w:spacing w:after="120"/>
        <w:rPr>
          <w:rFonts w:ascii="Arial" w:hAnsi="Arial"/>
          <w:szCs w:val="24"/>
        </w:rPr>
      </w:pPr>
      <w:r w:rsidRPr="000564D1">
        <w:rPr>
          <w:rFonts w:ascii="Arial" w:hAnsi="Arial"/>
          <w:szCs w:val="24"/>
        </w:rPr>
        <w:t>Minor</w:t>
      </w:r>
      <w:r w:rsidR="00251E64" w:rsidRPr="000564D1">
        <w:rPr>
          <w:rFonts w:ascii="Arial" w:hAnsi="Arial"/>
          <w:szCs w:val="24"/>
        </w:rPr>
        <w:t xml:space="preserve"> fiscal</w:t>
      </w:r>
      <w:r w:rsidR="00251E64">
        <w:rPr>
          <w:rFonts w:ascii="Arial" w:hAnsi="Arial"/>
          <w:szCs w:val="24"/>
        </w:rPr>
        <w:t xml:space="preserve"> impact</w:t>
      </w:r>
      <w:r w:rsidR="00380249">
        <w:rPr>
          <w:rFonts w:ascii="Arial" w:hAnsi="Arial"/>
          <w:szCs w:val="24"/>
        </w:rPr>
        <w:t xml:space="preserve"> - unknown</w:t>
      </w:r>
      <w:r w:rsidR="00251E64">
        <w:rPr>
          <w:rFonts w:ascii="Arial" w:hAnsi="Arial"/>
          <w:szCs w:val="24"/>
        </w:rPr>
        <w:t xml:space="preserve">. </w:t>
      </w:r>
    </w:p>
    <w:p w14:paraId="7DF2D2FF" w14:textId="3478CDBB" w:rsidR="00630100" w:rsidRDefault="00783D5D" w:rsidP="00AB78E8">
      <w:pPr>
        <w:widowControl/>
        <w:spacing w:after="120"/>
        <w:rPr>
          <w:rFonts w:ascii="Arial" w:hAnsi="Arial"/>
          <w:szCs w:val="24"/>
        </w:rPr>
      </w:pPr>
      <w:r>
        <w:rPr>
          <w:rFonts w:ascii="Arial" w:hAnsi="Arial"/>
          <w:szCs w:val="24"/>
        </w:rPr>
        <w:t xml:space="preserve">Extending the </w:t>
      </w:r>
      <w:r w:rsidR="00CA152B">
        <w:rPr>
          <w:rFonts w:ascii="Arial" w:hAnsi="Arial"/>
          <w:szCs w:val="24"/>
        </w:rPr>
        <w:t>cost threshold</w:t>
      </w:r>
      <w:r>
        <w:rPr>
          <w:rFonts w:ascii="Arial" w:hAnsi="Arial"/>
          <w:szCs w:val="24"/>
        </w:rPr>
        <w:t xml:space="preserve"> before having to evaluate and potentially retrofit existing lateral force resisting elements will potentially reduce costs </w:t>
      </w:r>
      <w:r w:rsidR="00264F6E">
        <w:rPr>
          <w:rFonts w:ascii="Arial" w:hAnsi="Arial"/>
          <w:szCs w:val="24"/>
        </w:rPr>
        <w:t>to the district from having to pay for evaluation</w:t>
      </w:r>
      <w:r>
        <w:rPr>
          <w:rFonts w:ascii="Arial" w:hAnsi="Arial"/>
          <w:szCs w:val="24"/>
        </w:rPr>
        <w:t xml:space="preserve"> and potential retrofit</w:t>
      </w:r>
      <w:r w:rsidR="00264F6E">
        <w:rPr>
          <w:rFonts w:ascii="Arial" w:hAnsi="Arial"/>
          <w:szCs w:val="24"/>
        </w:rPr>
        <w:t xml:space="preserve"> of affected elements. The number of alterations this will </w:t>
      </w:r>
      <w:r w:rsidR="00FB4B99">
        <w:rPr>
          <w:rFonts w:ascii="Arial" w:hAnsi="Arial"/>
          <w:szCs w:val="24"/>
        </w:rPr>
        <w:t>affect,</w:t>
      </w:r>
      <w:r w:rsidR="00264F6E">
        <w:rPr>
          <w:rFonts w:ascii="Arial" w:hAnsi="Arial"/>
          <w:szCs w:val="24"/>
        </w:rPr>
        <w:t xml:space="preserve"> and the costs associated with these conditions is unknown, </w:t>
      </w:r>
      <w:r w:rsidR="002F042A">
        <w:rPr>
          <w:rFonts w:ascii="Arial" w:hAnsi="Arial"/>
          <w:szCs w:val="24"/>
        </w:rPr>
        <w:t xml:space="preserve">and DSA does not maintain this level of data to justify such an estimate. However, </w:t>
      </w:r>
      <w:r w:rsidR="000564D1">
        <w:rPr>
          <w:rFonts w:ascii="Arial" w:hAnsi="Arial"/>
          <w:szCs w:val="24"/>
        </w:rPr>
        <w:t xml:space="preserve">this revised amendment </w:t>
      </w:r>
      <w:r w:rsidR="00380249">
        <w:rPr>
          <w:rFonts w:ascii="Arial" w:hAnsi="Arial"/>
          <w:szCs w:val="24"/>
        </w:rPr>
        <w:t>may</w:t>
      </w:r>
      <w:r w:rsidR="00264F6E">
        <w:rPr>
          <w:rFonts w:ascii="Arial" w:hAnsi="Arial"/>
          <w:szCs w:val="24"/>
        </w:rPr>
        <w:t xml:space="preserve"> save school districts in design costs and potential retrofit costs </w:t>
      </w:r>
      <w:r w:rsidR="002F042A">
        <w:rPr>
          <w:rFonts w:ascii="Arial" w:hAnsi="Arial"/>
          <w:szCs w:val="24"/>
        </w:rPr>
        <w:t>of</w:t>
      </w:r>
      <w:r w:rsidR="00380249">
        <w:rPr>
          <w:rFonts w:ascii="Arial" w:hAnsi="Arial"/>
          <w:szCs w:val="24"/>
        </w:rPr>
        <w:t xml:space="preserve"> </w:t>
      </w:r>
      <w:r w:rsidR="002F042A">
        <w:rPr>
          <w:rFonts w:ascii="Arial" w:hAnsi="Arial"/>
          <w:szCs w:val="24"/>
        </w:rPr>
        <w:t xml:space="preserve">members that would otherwise have been </w:t>
      </w:r>
      <w:r w:rsidR="00264F6E">
        <w:rPr>
          <w:rFonts w:ascii="Arial" w:hAnsi="Arial"/>
          <w:szCs w:val="24"/>
        </w:rPr>
        <w:t>affected.</w:t>
      </w:r>
    </w:p>
    <w:p w14:paraId="25D31BC4" w14:textId="2436BDE2" w:rsidR="002439C7" w:rsidRDefault="002439C7" w:rsidP="002439C7">
      <w:pPr>
        <w:widowControl/>
        <w:spacing w:before="120" w:after="120"/>
        <w:rPr>
          <w:rFonts w:ascii="Arial" w:hAnsi="Arial" w:cs="Arial"/>
          <w:szCs w:val="24"/>
        </w:rPr>
      </w:pPr>
      <w:r>
        <w:rPr>
          <w:rFonts w:ascii="Arial" w:hAnsi="Arial" w:cs="Arial"/>
          <w:b/>
          <w:szCs w:val="24"/>
        </w:rPr>
        <w:t xml:space="preserve">ASSOCIATED SECTIONS TO ITEM </w:t>
      </w:r>
      <w:r w:rsidR="00A2192A">
        <w:rPr>
          <w:rFonts w:ascii="Arial" w:hAnsi="Arial" w:cs="Arial"/>
          <w:b/>
          <w:szCs w:val="24"/>
        </w:rPr>
        <w:t>2</w:t>
      </w:r>
      <w:r>
        <w:rPr>
          <w:rFonts w:ascii="Arial" w:hAnsi="Arial" w:cs="Arial"/>
          <w:b/>
          <w:szCs w:val="24"/>
        </w:rPr>
        <w:t xml:space="preserve">: </w:t>
      </w:r>
    </w:p>
    <w:p w14:paraId="7C1AE044" w14:textId="727D0F6F" w:rsidR="002439C7" w:rsidRPr="00B930B0" w:rsidRDefault="002439C7" w:rsidP="002439C7">
      <w:pPr>
        <w:widowControl/>
        <w:spacing w:before="120" w:after="360"/>
        <w:rPr>
          <w:rFonts w:ascii="Arial" w:hAnsi="Arial" w:cs="Arial"/>
          <w:bCs/>
          <w:szCs w:val="24"/>
        </w:rPr>
      </w:pPr>
      <w:r w:rsidRPr="00B930B0">
        <w:rPr>
          <w:rFonts w:ascii="Arial" w:hAnsi="Arial" w:cs="Arial"/>
          <w:bCs/>
          <w:szCs w:val="24"/>
        </w:rPr>
        <w:t>(</w:t>
      </w:r>
      <w:r w:rsidR="00B930B0" w:rsidRPr="00B930B0">
        <w:rPr>
          <w:rFonts w:ascii="Arial" w:hAnsi="Arial" w:cs="Arial"/>
          <w:bCs/>
          <w:szCs w:val="24"/>
        </w:rPr>
        <w:t>None)</w:t>
      </w:r>
    </w:p>
    <w:p w14:paraId="70FCDE8A" w14:textId="411F858A" w:rsidR="00342E48" w:rsidRDefault="002439C7" w:rsidP="00342E48">
      <w:pPr>
        <w:widowControl/>
        <w:spacing w:after="120"/>
        <w:rPr>
          <w:rFonts w:ascii="Arial" w:hAnsi="Arial"/>
          <w:b/>
          <w:szCs w:val="24"/>
        </w:rPr>
      </w:pPr>
      <w:r>
        <w:rPr>
          <w:rFonts w:ascii="Arial" w:hAnsi="Arial"/>
          <w:b/>
          <w:szCs w:val="24"/>
        </w:rPr>
        <w:t xml:space="preserve">ITEM </w:t>
      </w:r>
      <w:r w:rsidR="00A2192A">
        <w:rPr>
          <w:rFonts w:ascii="Arial" w:hAnsi="Arial"/>
          <w:b/>
          <w:szCs w:val="24"/>
        </w:rPr>
        <w:t>3</w:t>
      </w:r>
    </w:p>
    <w:p w14:paraId="2FF23E9B" w14:textId="46F33064" w:rsidR="00342E48" w:rsidRDefault="00342E48" w:rsidP="00342E48">
      <w:pPr>
        <w:widowControl/>
        <w:spacing w:after="120"/>
        <w:rPr>
          <w:rFonts w:ascii="Arial" w:hAnsi="Arial"/>
          <w:b/>
          <w:szCs w:val="24"/>
        </w:rPr>
      </w:pPr>
      <w:r w:rsidRPr="002439C7">
        <w:rPr>
          <w:rFonts w:ascii="Arial" w:hAnsi="Arial"/>
          <w:b/>
          <w:szCs w:val="24"/>
        </w:rPr>
        <w:t xml:space="preserve">CHAPTER </w:t>
      </w:r>
      <w:r w:rsidR="002439C7" w:rsidRPr="002439C7">
        <w:rPr>
          <w:rFonts w:ascii="Arial" w:hAnsi="Arial"/>
          <w:b/>
          <w:szCs w:val="24"/>
        </w:rPr>
        <w:t>4</w:t>
      </w:r>
    </w:p>
    <w:p w14:paraId="7B589E7D" w14:textId="1B62D3CB" w:rsidR="00342E48" w:rsidRDefault="00342E48" w:rsidP="00342E48">
      <w:pPr>
        <w:widowControl/>
        <w:spacing w:after="120"/>
        <w:rPr>
          <w:rFonts w:ascii="Arial" w:hAnsi="Arial"/>
          <w:b/>
          <w:szCs w:val="24"/>
        </w:rPr>
      </w:pPr>
      <w:r>
        <w:rPr>
          <w:rFonts w:ascii="Arial" w:hAnsi="Arial"/>
          <w:b/>
          <w:szCs w:val="24"/>
        </w:rPr>
        <w:t xml:space="preserve">Section </w:t>
      </w:r>
      <w:r w:rsidR="002439C7">
        <w:rPr>
          <w:rFonts w:ascii="Arial" w:hAnsi="Arial"/>
          <w:b/>
          <w:szCs w:val="24"/>
        </w:rPr>
        <w:t>4-</w:t>
      </w:r>
      <w:r w:rsidR="00FB4B99">
        <w:rPr>
          <w:rFonts w:ascii="Arial" w:hAnsi="Arial"/>
          <w:b/>
          <w:szCs w:val="24"/>
        </w:rPr>
        <w:t>315</w:t>
      </w:r>
    </w:p>
    <w:p w14:paraId="365054A4" w14:textId="6A6E76B8" w:rsidR="00342E48" w:rsidRDefault="00342E48" w:rsidP="00342E48">
      <w:pPr>
        <w:widowControl/>
        <w:spacing w:after="120"/>
        <w:rPr>
          <w:rFonts w:ascii="Arial" w:hAnsi="Arial"/>
          <w:szCs w:val="24"/>
        </w:rPr>
      </w:pPr>
      <w:r>
        <w:rPr>
          <w:rFonts w:ascii="Arial" w:hAnsi="Arial"/>
          <w:b/>
          <w:szCs w:val="24"/>
        </w:rPr>
        <w:t>PURPOSE AND RATIONALE:</w:t>
      </w:r>
    </w:p>
    <w:p w14:paraId="2EC53B7D" w14:textId="17739621" w:rsidR="00CB1ED6" w:rsidRDefault="00CB1ED6" w:rsidP="00AB78E8">
      <w:pPr>
        <w:widowControl/>
        <w:spacing w:after="120"/>
        <w:rPr>
          <w:rFonts w:ascii="Arial" w:hAnsi="Arial"/>
          <w:szCs w:val="24"/>
        </w:rPr>
      </w:pPr>
      <w:r w:rsidRPr="00CB1ED6">
        <w:rPr>
          <w:rFonts w:ascii="Arial" w:hAnsi="Arial"/>
          <w:szCs w:val="24"/>
        </w:rPr>
        <w:t>The 2019 California Administrative Code revised the estimated project cost threshold for reconstruction and alteration projects within Section 4-315(a) in accordance with legislative revisions to California Education Code (EC), Section 17295</w:t>
      </w:r>
      <w:r w:rsidR="003E1B3A">
        <w:rPr>
          <w:rFonts w:ascii="Arial" w:hAnsi="Arial"/>
          <w:szCs w:val="24"/>
        </w:rPr>
        <w:t xml:space="preserve"> in the 2018 Budget Bill</w:t>
      </w:r>
      <w:r w:rsidRPr="00CB1ED6">
        <w:rPr>
          <w:rFonts w:ascii="Arial" w:hAnsi="Arial"/>
          <w:szCs w:val="24"/>
        </w:rPr>
        <w:t xml:space="preserve">; however, the cost limit was </w:t>
      </w:r>
      <w:r w:rsidR="003E1B3A">
        <w:rPr>
          <w:rFonts w:ascii="Arial" w:hAnsi="Arial"/>
          <w:szCs w:val="24"/>
        </w:rPr>
        <w:t xml:space="preserve">inadvertently </w:t>
      </w:r>
      <w:r w:rsidRPr="00CB1ED6">
        <w:rPr>
          <w:rFonts w:ascii="Arial" w:hAnsi="Arial"/>
          <w:szCs w:val="24"/>
        </w:rPr>
        <w:t>not changed in subsection (c). This revision corrects the inconsistency to align with t</w:t>
      </w:r>
      <w:r>
        <w:rPr>
          <w:rFonts w:ascii="Arial" w:hAnsi="Arial"/>
          <w:szCs w:val="24"/>
        </w:rPr>
        <w:t>he section and EC requirements.</w:t>
      </w:r>
      <w:r w:rsidRPr="00CB1ED6">
        <w:rPr>
          <w:rFonts w:ascii="Arial" w:hAnsi="Arial"/>
          <w:szCs w:val="24"/>
        </w:rPr>
        <w:t xml:space="preserve"> </w:t>
      </w:r>
      <w:r w:rsidR="002F042A">
        <w:rPr>
          <w:rFonts w:ascii="Arial" w:hAnsi="Arial"/>
          <w:szCs w:val="24"/>
        </w:rPr>
        <w:t>There is no fiscal</w:t>
      </w:r>
      <w:r w:rsidRPr="00CB1ED6">
        <w:rPr>
          <w:rFonts w:ascii="Arial" w:hAnsi="Arial"/>
          <w:szCs w:val="24"/>
        </w:rPr>
        <w:t xml:space="preserve"> impact</w:t>
      </w:r>
      <w:r w:rsidR="002F042A">
        <w:rPr>
          <w:rFonts w:ascii="Arial" w:hAnsi="Arial"/>
          <w:szCs w:val="24"/>
        </w:rPr>
        <w:t xml:space="preserve"> resulting from this provision</w:t>
      </w:r>
      <w:r w:rsidRPr="00CB1ED6">
        <w:rPr>
          <w:rFonts w:ascii="Arial" w:hAnsi="Arial"/>
          <w:szCs w:val="24"/>
        </w:rPr>
        <w:t>.</w:t>
      </w:r>
    </w:p>
    <w:p w14:paraId="61D879CD" w14:textId="12F5D326" w:rsidR="002439C7" w:rsidRDefault="002439C7" w:rsidP="002439C7">
      <w:pPr>
        <w:widowControl/>
        <w:spacing w:before="120" w:after="120"/>
        <w:rPr>
          <w:rFonts w:ascii="Arial" w:hAnsi="Arial" w:cs="Arial"/>
          <w:szCs w:val="24"/>
        </w:rPr>
      </w:pPr>
      <w:r>
        <w:rPr>
          <w:rFonts w:ascii="Arial" w:hAnsi="Arial" w:cs="Arial"/>
          <w:b/>
          <w:szCs w:val="24"/>
        </w:rPr>
        <w:t xml:space="preserve">ASSOCIATED SECTIONS TO ITEM </w:t>
      </w:r>
      <w:r w:rsidR="00A2192A">
        <w:rPr>
          <w:rFonts w:ascii="Arial" w:hAnsi="Arial" w:cs="Arial"/>
          <w:b/>
          <w:szCs w:val="24"/>
        </w:rPr>
        <w:t>3</w:t>
      </w:r>
      <w:r w:rsidR="00ED6220">
        <w:rPr>
          <w:rFonts w:ascii="Arial" w:hAnsi="Arial" w:cs="Arial"/>
          <w:b/>
          <w:szCs w:val="24"/>
        </w:rPr>
        <w:t>:</w:t>
      </w:r>
    </w:p>
    <w:p w14:paraId="66E60424" w14:textId="77777777" w:rsidR="003E1B3A" w:rsidRPr="00B930B0" w:rsidRDefault="003E1B3A" w:rsidP="003E1B3A">
      <w:pPr>
        <w:widowControl/>
        <w:spacing w:before="120" w:after="360"/>
        <w:rPr>
          <w:rFonts w:ascii="Arial" w:hAnsi="Arial" w:cs="Arial"/>
          <w:bCs/>
          <w:szCs w:val="24"/>
        </w:rPr>
      </w:pPr>
      <w:r w:rsidRPr="00B930B0">
        <w:rPr>
          <w:rFonts w:ascii="Arial" w:hAnsi="Arial" w:cs="Arial"/>
          <w:bCs/>
          <w:szCs w:val="24"/>
        </w:rPr>
        <w:t>(None)</w:t>
      </w:r>
    </w:p>
    <w:p w14:paraId="68336BA1" w14:textId="3F788718" w:rsidR="00AB78E8" w:rsidRDefault="00AB78E8" w:rsidP="00AB78E8">
      <w:pPr>
        <w:widowControl/>
        <w:spacing w:after="120"/>
        <w:rPr>
          <w:rFonts w:ascii="Arial" w:hAnsi="Arial"/>
          <w:b/>
          <w:szCs w:val="24"/>
        </w:rPr>
      </w:pPr>
      <w:r>
        <w:rPr>
          <w:rFonts w:ascii="Arial" w:hAnsi="Arial"/>
          <w:b/>
          <w:szCs w:val="24"/>
        </w:rPr>
        <w:t xml:space="preserve">ITEM </w:t>
      </w:r>
      <w:r w:rsidR="00B55D89">
        <w:rPr>
          <w:rFonts w:ascii="Arial" w:hAnsi="Arial"/>
          <w:b/>
          <w:szCs w:val="24"/>
        </w:rPr>
        <w:t>4</w:t>
      </w:r>
    </w:p>
    <w:p w14:paraId="17B500E4" w14:textId="77777777" w:rsidR="00AB78E8" w:rsidRDefault="00AB78E8" w:rsidP="00AB78E8">
      <w:pPr>
        <w:widowControl/>
        <w:spacing w:after="120"/>
        <w:rPr>
          <w:rFonts w:ascii="Arial" w:hAnsi="Arial"/>
          <w:b/>
          <w:szCs w:val="24"/>
        </w:rPr>
      </w:pPr>
      <w:r w:rsidRPr="002439C7">
        <w:rPr>
          <w:rFonts w:ascii="Arial" w:hAnsi="Arial"/>
          <w:b/>
          <w:szCs w:val="24"/>
        </w:rPr>
        <w:t>CHAPTER 4</w:t>
      </w:r>
    </w:p>
    <w:p w14:paraId="15EFF8E8" w14:textId="1B6DAD11" w:rsidR="00AB78E8" w:rsidRDefault="00AB78E8" w:rsidP="00AB78E8">
      <w:pPr>
        <w:widowControl/>
        <w:spacing w:after="120"/>
        <w:rPr>
          <w:rFonts w:ascii="Arial" w:hAnsi="Arial"/>
          <w:b/>
          <w:szCs w:val="24"/>
        </w:rPr>
      </w:pPr>
      <w:r>
        <w:rPr>
          <w:rFonts w:ascii="Arial" w:hAnsi="Arial"/>
          <w:b/>
          <w:szCs w:val="24"/>
        </w:rPr>
        <w:t>Section 4-</w:t>
      </w:r>
      <w:r w:rsidR="00FB4B99">
        <w:rPr>
          <w:rFonts w:ascii="Arial" w:hAnsi="Arial"/>
          <w:b/>
          <w:szCs w:val="24"/>
        </w:rPr>
        <w:t>317(a)</w:t>
      </w:r>
    </w:p>
    <w:p w14:paraId="7159CC0C" w14:textId="71BDFF14" w:rsidR="00AB78E8" w:rsidRPr="00AB78E8" w:rsidRDefault="00AB78E8" w:rsidP="00AB78E8">
      <w:pPr>
        <w:widowControl/>
        <w:spacing w:after="120"/>
        <w:rPr>
          <w:rFonts w:ascii="Arial" w:hAnsi="Arial"/>
          <w:szCs w:val="24"/>
        </w:rPr>
      </w:pPr>
      <w:r>
        <w:rPr>
          <w:rFonts w:ascii="Arial" w:hAnsi="Arial"/>
          <w:b/>
          <w:szCs w:val="24"/>
        </w:rPr>
        <w:t>PURPOSE AND RATIONALE:</w:t>
      </w:r>
    </w:p>
    <w:p w14:paraId="5F87FC88" w14:textId="400EF0B9" w:rsidR="00CB1ED6" w:rsidRDefault="00CB1ED6" w:rsidP="00AB78E8">
      <w:pPr>
        <w:widowControl/>
        <w:spacing w:after="120"/>
        <w:rPr>
          <w:rFonts w:ascii="Arial" w:hAnsi="Arial"/>
          <w:szCs w:val="24"/>
        </w:rPr>
      </w:pPr>
      <w:r w:rsidRPr="00CB1ED6">
        <w:rPr>
          <w:rFonts w:ascii="Arial" w:hAnsi="Arial"/>
          <w:szCs w:val="24"/>
        </w:rPr>
        <w:t xml:space="preserve">The design profession has been utilizing electronic </w:t>
      </w:r>
      <w:r w:rsidR="002F042A">
        <w:rPr>
          <w:rFonts w:ascii="Arial" w:hAnsi="Arial"/>
          <w:szCs w:val="24"/>
        </w:rPr>
        <w:t>technology</w:t>
      </w:r>
      <w:r w:rsidRPr="00CB1ED6">
        <w:rPr>
          <w:rFonts w:ascii="Arial" w:hAnsi="Arial"/>
          <w:szCs w:val="24"/>
        </w:rPr>
        <w:t xml:space="preserve"> to prepare construction documents for many years. DSA has begun receiving and reviewing project construction documents electronically</w:t>
      </w:r>
      <w:r w:rsidR="0059713C">
        <w:rPr>
          <w:rFonts w:ascii="Arial" w:hAnsi="Arial"/>
          <w:szCs w:val="24"/>
        </w:rPr>
        <w:t>,</w:t>
      </w:r>
      <w:r w:rsidRPr="00CB1ED6">
        <w:rPr>
          <w:rFonts w:ascii="Arial" w:hAnsi="Arial"/>
          <w:szCs w:val="24"/>
        </w:rPr>
        <w:t xml:space="preserve"> in addition to the traditional paper method</w:t>
      </w:r>
      <w:r w:rsidR="0059713C">
        <w:rPr>
          <w:rFonts w:ascii="Arial" w:hAnsi="Arial"/>
          <w:szCs w:val="24"/>
        </w:rPr>
        <w:t>, over the last two years with string support from the design community</w:t>
      </w:r>
      <w:r w:rsidRPr="00CB1ED6">
        <w:rPr>
          <w:rFonts w:ascii="Arial" w:hAnsi="Arial"/>
          <w:szCs w:val="24"/>
        </w:rPr>
        <w:t xml:space="preserve">. The revisions to this section </w:t>
      </w:r>
      <w:r w:rsidR="0059713C">
        <w:rPr>
          <w:rFonts w:ascii="Arial" w:hAnsi="Arial"/>
          <w:szCs w:val="24"/>
        </w:rPr>
        <w:t>codify that</w:t>
      </w:r>
      <w:r w:rsidRPr="00CB1ED6">
        <w:rPr>
          <w:rFonts w:ascii="Arial" w:hAnsi="Arial"/>
          <w:szCs w:val="24"/>
        </w:rPr>
        <w:t xml:space="preserve"> DSA </w:t>
      </w:r>
      <w:r w:rsidR="0059713C">
        <w:rPr>
          <w:rFonts w:ascii="Arial" w:hAnsi="Arial"/>
          <w:szCs w:val="24"/>
        </w:rPr>
        <w:t>may</w:t>
      </w:r>
      <w:r w:rsidRPr="00CB1ED6">
        <w:rPr>
          <w:rFonts w:ascii="Arial" w:hAnsi="Arial"/>
          <w:szCs w:val="24"/>
        </w:rPr>
        <w:t xml:space="preserve"> establish procedures for both electronic and pa</w:t>
      </w:r>
      <w:r>
        <w:rPr>
          <w:rFonts w:ascii="Arial" w:hAnsi="Arial"/>
          <w:szCs w:val="24"/>
        </w:rPr>
        <w:t xml:space="preserve">per submittal </w:t>
      </w:r>
      <w:r w:rsidR="0059713C">
        <w:rPr>
          <w:rFonts w:ascii="Arial" w:hAnsi="Arial"/>
          <w:szCs w:val="24"/>
        </w:rPr>
        <w:t>and plan review of construction documents</w:t>
      </w:r>
      <w:r>
        <w:rPr>
          <w:rFonts w:ascii="Arial" w:hAnsi="Arial"/>
          <w:szCs w:val="24"/>
        </w:rPr>
        <w:t xml:space="preserve">. </w:t>
      </w:r>
      <w:r w:rsidR="0059713C">
        <w:rPr>
          <w:rFonts w:ascii="Arial" w:hAnsi="Arial"/>
          <w:szCs w:val="24"/>
        </w:rPr>
        <w:t xml:space="preserve">Earlier editions of the CAC were limited to paper </w:t>
      </w:r>
      <w:r w:rsidR="0059713C">
        <w:rPr>
          <w:rFonts w:ascii="Arial" w:hAnsi="Arial"/>
          <w:szCs w:val="24"/>
        </w:rPr>
        <w:lastRenderedPageBreak/>
        <w:t>submittal of project construction documents. There is no fiscal</w:t>
      </w:r>
      <w:r w:rsidR="0059713C" w:rsidRPr="00CB1ED6">
        <w:rPr>
          <w:rFonts w:ascii="Arial" w:hAnsi="Arial"/>
          <w:szCs w:val="24"/>
        </w:rPr>
        <w:t xml:space="preserve"> impact</w:t>
      </w:r>
      <w:r w:rsidR="0059713C">
        <w:rPr>
          <w:rFonts w:ascii="Arial" w:hAnsi="Arial"/>
          <w:szCs w:val="24"/>
        </w:rPr>
        <w:t xml:space="preserve"> resulting from this provision</w:t>
      </w:r>
      <w:r w:rsidR="004531E4">
        <w:rPr>
          <w:rFonts w:ascii="Arial" w:hAnsi="Arial"/>
          <w:szCs w:val="24"/>
        </w:rPr>
        <w:t xml:space="preserve"> since it is updating DSA regulations to align with current industry and DSA practice.</w:t>
      </w:r>
    </w:p>
    <w:p w14:paraId="12A804EA" w14:textId="163B8C4B" w:rsidR="00AB78E8" w:rsidRDefault="00AB78E8" w:rsidP="00AB78E8">
      <w:pPr>
        <w:widowControl/>
        <w:spacing w:before="120" w:after="120"/>
        <w:rPr>
          <w:rFonts w:ascii="Arial" w:hAnsi="Arial" w:cs="Arial"/>
          <w:szCs w:val="24"/>
        </w:rPr>
      </w:pPr>
      <w:r>
        <w:rPr>
          <w:rFonts w:ascii="Arial" w:hAnsi="Arial" w:cs="Arial"/>
          <w:b/>
          <w:szCs w:val="24"/>
        </w:rPr>
        <w:t xml:space="preserve">ASSOCIATED SECTIONS TO ITEM </w:t>
      </w:r>
      <w:r w:rsidR="00A2192A">
        <w:rPr>
          <w:rFonts w:ascii="Arial" w:hAnsi="Arial" w:cs="Arial"/>
          <w:b/>
          <w:szCs w:val="24"/>
        </w:rPr>
        <w:t>4</w:t>
      </w:r>
      <w:r w:rsidR="00ED6220">
        <w:rPr>
          <w:rFonts w:ascii="Arial" w:hAnsi="Arial" w:cs="Arial"/>
          <w:b/>
          <w:szCs w:val="24"/>
        </w:rPr>
        <w:t>:</w:t>
      </w:r>
    </w:p>
    <w:p w14:paraId="3C27103E" w14:textId="2DC92E61" w:rsidR="000564D1" w:rsidRPr="00B55D89" w:rsidRDefault="00FB4B99" w:rsidP="00B55D89">
      <w:pPr>
        <w:widowControl/>
        <w:spacing w:before="120" w:after="120"/>
        <w:rPr>
          <w:rFonts w:ascii="Arial" w:hAnsi="Arial" w:cs="Arial"/>
          <w:bCs/>
          <w:szCs w:val="24"/>
        </w:rPr>
      </w:pPr>
      <w:r w:rsidRPr="007D417E">
        <w:rPr>
          <w:rFonts w:ascii="Arial" w:hAnsi="Arial" w:cs="Arial"/>
          <w:bCs/>
          <w:szCs w:val="24"/>
        </w:rPr>
        <w:t>(None)</w:t>
      </w:r>
    </w:p>
    <w:p w14:paraId="73E9B84B" w14:textId="6843EBED" w:rsidR="00AB78E8" w:rsidRDefault="00AB78E8" w:rsidP="000564D1">
      <w:pPr>
        <w:widowControl/>
        <w:spacing w:before="360" w:after="120"/>
        <w:rPr>
          <w:rFonts w:ascii="Arial" w:hAnsi="Arial"/>
          <w:b/>
          <w:szCs w:val="24"/>
        </w:rPr>
      </w:pPr>
      <w:r>
        <w:rPr>
          <w:rFonts w:ascii="Arial" w:hAnsi="Arial"/>
          <w:b/>
          <w:szCs w:val="24"/>
        </w:rPr>
        <w:t xml:space="preserve">ITEM </w:t>
      </w:r>
      <w:r w:rsidR="00B55D89">
        <w:rPr>
          <w:rFonts w:ascii="Arial" w:hAnsi="Arial"/>
          <w:b/>
          <w:szCs w:val="24"/>
        </w:rPr>
        <w:t>5</w:t>
      </w:r>
    </w:p>
    <w:p w14:paraId="6850155F" w14:textId="77777777" w:rsidR="00AB78E8" w:rsidRDefault="00AB78E8" w:rsidP="00AB78E8">
      <w:pPr>
        <w:widowControl/>
        <w:spacing w:after="120"/>
        <w:rPr>
          <w:rFonts w:ascii="Arial" w:hAnsi="Arial"/>
          <w:b/>
          <w:szCs w:val="24"/>
        </w:rPr>
      </w:pPr>
      <w:r w:rsidRPr="002439C7">
        <w:rPr>
          <w:rFonts w:ascii="Arial" w:hAnsi="Arial"/>
          <w:b/>
          <w:szCs w:val="24"/>
        </w:rPr>
        <w:t>CHAPTER 4</w:t>
      </w:r>
    </w:p>
    <w:p w14:paraId="6350DA1E" w14:textId="79A91AA4" w:rsidR="00AB78E8" w:rsidRDefault="00AB78E8" w:rsidP="00AB78E8">
      <w:pPr>
        <w:widowControl/>
        <w:spacing w:after="120"/>
        <w:rPr>
          <w:rFonts w:ascii="Arial" w:hAnsi="Arial"/>
          <w:b/>
          <w:szCs w:val="24"/>
        </w:rPr>
      </w:pPr>
      <w:r>
        <w:rPr>
          <w:rFonts w:ascii="Arial" w:hAnsi="Arial"/>
          <w:b/>
          <w:szCs w:val="24"/>
        </w:rPr>
        <w:t>Section 4-</w:t>
      </w:r>
      <w:r w:rsidR="00FB4B99">
        <w:rPr>
          <w:rFonts w:ascii="Arial" w:hAnsi="Arial"/>
          <w:b/>
          <w:szCs w:val="24"/>
        </w:rPr>
        <w:t>333(d)</w:t>
      </w:r>
    </w:p>
    <w:p w14:paraId="359786AB" w14:textId="3A285ABA" w:rsidR="00AB78E8" w:rsidRPr="00AB78E8" w:rsidRDefault="00AB78E8" w:rsidP="00AB78E8">
      <w:pPr>
        <w:widowControl/>
        <w:spacing w:after="120"/>
        <w:rPr>
          <w:rFonts w:ascii="Arial" w:hAnsi="Arial"/>
          <w:szCs w:val="24"/>
        </w:rPr>
      </w:pPr>
      <w:r>
        <w:rPr>
          <w:rFonts w:ascii="Arial" w:hAnsi="Arial"/>
          <w:b/>
          <w:szCs w:val="24"/>
        </w:rPr>
        <w:t>PURPOSE AND RATIONALE:</w:t>
      </w:r>
    </w:p>
    <w:p w14:paraId="7EEFCA3D" w14:textId="72531643" w:rsidR="00CB1ED6" w:rsidRDefault="00273063" w:rsidP="00AB78E8">
      <w:pPr>
        <w:widowControl/>
        <w:spacing w:after="120"/>
        <w:rPr>
          <w:rFonts w:ascii="Arial" w:hAnsi="Arial"/>
          <w:szCs w:val="24"/>
        </w:rPr>
      </w:pPr>
      <w:r>
        <w:rPr>
          <w:rFonts w:ascii="Arial" w:hAnsi="Arial"/>
          <w:szCs w:val="24"/>
        </w:rPr>
        <w:t>This revision is editorial to correct a section reference.</w:t>
      </w:r>
      <w:r w:rsidR="00CB1ED6">
        <w:rPr>
          <w:rFonts w:ascii="Arial" w:hAnsi="Arial"/>
          <w:szCs w:val="24"/>
        </w:rPr>
        <w:t xml:space="preserve"> </w:t>
      </w:r>
      <w:r w:rsidR="00CB1ED6" w:rsidRPr="00CB1ED6">
        <w:rPr>
          <w:rFonts w:ascii="Arial" w:hAnsi="Arial"/>
          <w:szCs w:val="24"/>
        </w:rPr>
        <w:t>No fiscal impact</w:t>
      </w:r>
      <w:r w:rsidR="00F60474">
        <w:rPr>
          <w:rFonts w:ascii="Arial" w:hAnsi="Arial"/>
          <w:szCs w:val="24"/>
        </w:rPr>
        <w:t xml:space="preserve"> results from this provision</w:t>
      </w:r>
      <w:r w:rsidR="00CB1ED6" w:rsidRPr="00CB1ED6">
        <w:rPr>
          <w:rFonts w:ascii="Arial" w:hAnsi="Arial"/>
          <w:szCs w:val="24"/>
        </w:rPr>
        <w:t>.</w:t>
      </w:r>
    </w:p>
    <w:p w14:paraId="12B01F1E" w14:textId="0231E00B" w:rsidR="00AB78E8" w:rsidRDefault="00AB78E8" w:rsidP="00AB78E8">
      <w:pPr>
        <w:widowControl/>
        <w:spacing w:before="120" w:after="120"/>
        <w:rPr>
          <w:rFonts w:ascii="Arial" w:hAnsi="Arial" w:cs="Arial"/>
          <w:szCs w:val="24"/>
        </w:rPr>
      </w:pPr>
      <w:r>
        <w:rPr>
          <w:rFonts w:ascii="Arial" w:hAnsi="Arial" w:cs="Arial"/>
          <w:b/>
          <w:szCs w:val="24"/>
        </w:rPr>
        <w:t xml:space="preserve">ASSOCIATED SECTIONS TO ITEM </w:t>
      </w:r>
      <w:r w:rsidR="00B55D89">
        <w:rPr>
          <w:rFonts w:ascii="Arial" w:hAnsi="Arial" w:cs="Arial"/>
          <w:b/>
          <w:szCs w:val="24"/>
        </w:rPr>
        <w:t>5</w:t>
      </w:r>
      <w:r>
        <w:rPr>
          <w:rFonts w:ascii="Arial" w:hAnsi="Arial" w:cs="Arial"/>
          <w:b/>
          <w:szCs w:val="24"/>
        </w:rPr>
        <w:t xml:space="preserve">: </w:t>
      </w:r>
    </w:p>
    <w:p w14:paraId="300F1D22" w14:textId="77777777" w:rsidR="00FB4B99" w:rsidRPr="007D417E" w:rsidRDefault="00FB4B99" w:rsidP="00FB4B99">
      <w:pPr>
        <w:widowControl/>
        <w:spacing w:before="120" w:after="120"/>
        <w:rPr>
          <w:rFonts w:ascii="Arial" w:hAnsi="Arial" w:cs="Arial"/>
          <w:bCs/>
          <w:szCs w:val="24"/>
        </w:rPr>
      </w:pPr>
      <w:r w:rsidRPr="007D417E">
        <w:rPr>
          <w:rFonts w:ascii="Arial" w:hAnsi="Arial" w:cs="Arial"/>
          <w:bCs/>
          <w:szCs w:val="24"/>
        </w:rPr>
        <w:t>(None)</w:t>
      </w:r>
    </w:p>
    <w:p w14:paraId="502E8863" w14:textId="77777777" w:rsidR="00A23DA3" w:rsidRPr="00B25FCF" w:rsidRDefault="00A23DA3" w:rsidP="000564D1">
      <w:pPr>
        <w:pStyle w:val="Heading2"/>
        <w:spacing w:before="360"/>
        <w:rPr>
          <w:szCs w:val="24"/>
        </w:rPr>
      </w:pPr>
      <w:r w:rsidRPr="00B25FCF">
        <w:rPr>
          <w:szCs w:val="24"/>
        </w:rPr>
        <w:t>TECHNICAL, THEORETICAL, AND EMPIRICAL STUD</w:t>
      </w:r>
      <w:r w:rsidR="00B46C0C">
        <w:rPr>
          <w:szCs w:val="24"/>
        </w:rPr>
        <w:t>Y, REPORT, OR SIMILAR DOCUMENTS</w:t>
      </w:r>
    </w:p>
    <w:p w14:paraId="24330C1E" w14:textId="77777777" w:rsidR="00A23DA3" w:rsidRDefault="00A23DA3" w:rsidP="00194C5C">
      <w:pPr>
        <w:widowControl/>
        <w:rPr>
          <w:rFonts w:ascii="Arial" w:hAnsi="Arial"/>
          <w:szCs w:val="24"/>
        </w:rPr>
      </w:pPr>
      <w:r w:rsidRPr="00685FA3">
        <w:rPr>
          <w:rFonts w:ascii="Arial" w:hAnsi="Arial"/>
          <w:szCs w:val="24"/>
        </w:rPr>
        <w:t>Government Code Section 11346.2(b)(</w:t>
      </w:r>
      <w:r w:rsidR="009F4C5C" w:rsidRPr="00685FA3">
        <w:rPr>
          <w:rFonts w:ascii="Arial" w:hAnsi="Arial"/>
          <w:szCs w:val="24"/>
        </w:rPr>
        <w:t>3</w:t>
      </w:r>
      <w:r w:rsidRPr="00685FA3">
        <w:rPr>
          <w:rFonts w:ascii="Arial" w:hAnsi="Arial"/>
          <w:szCs w:val="24"/>
        </w:rPr>
        <w:t>) requires an identification of each technical, theoretical, and empirical study, report, or similar document, if any, upon which the agency relies in proposing the regulation(s</w:t>
      </w:r>
      <w:r w:rsidR="00167807" w:rsidRPr="00685FA3">
        <w:rPr>
          <w:rFonts w:ascii="Arial" w:hAnsi="Arial"/>
          <w:szCs w:val="24"/>
        </w:rPr>
        <w:t>).</w:t>
      </w:r>
    </w:p>
    <w:p w14:paraId="55649FAE" w14:textId="5DECA480" w:rsidR="00A35DDB" w:rsidRPr="00A35DDB" w:rsidRDefault="00A35DDB" w:rsidP="00AE2F87">
      <w:pPr>
        <w:pStyle w:val="Heading2"/>
        <w:rPr>
          <w:b w:val="0"/>
          <w:szCs w:val="24"/>
        </w:rPr>
      </w:pPr>
      <w:r w:rsidRPr="000564D1">
        <w:rPr>
          <w:b w:val="0"/>
          <w:szCs w:val="24"/>
        </w:rPr>
        <w:t xml:space="preserve">These administrative regulations are applicable to Parts 2, 3, 4, 5, </w:t>
      </w:r>
      <w:r w:rsidR="00641BAB">
        <w:rPr>
          <w:b w:val="0"/>
          <w:szCs w:val="24"/>
        </w:rPr>
        <w:t>8</w:t>
      </w:r>
      <w:r w:rsidRPr="000564D1">
        <w:rPr>
          <w:b w:val="0"/>
          <w:szCs w:val="24"/>
        </w:rPr>
        <w:t xml:space="preserve">, 10, 11 and 12 of Title 24, California Code of Regulations. </w:t>
      </w:r>
      <w:r w:rsidR="00F60474">
        <w:rPr>
          <w:b w:val="0"/>
          <w:szCs w:val="24"/>
        </w:rPr>
        <w:t xml:space="preserve">The International Existing Buildings Code was used in the evaluation and development of Item 1. </w:t>
      </w:r>
      <w:r w:rsidRPr="000564D1">
        <w:rPr>
          <w:b w:val="0"/>
          <w:szCs w:val="24"/>
        </w:rPr>
        <w:t xml:space="preserve">No </w:t>
      </w:r>
      <w:r w:rsidR="00F60474">
        <w:rPr>
          <w:b w:val="0"/>
          <w:szCs w:val="24"/>
        </w:rPr>
        <w:t xml:space="preserve">other </w:t>
      </w:r>
      <w:r w:rsidRPr="000564D1">
        <w:rPr>
          <w:b w:val="0"/>
          <w:szCs w:val="24"/>
        </w:rPr>
        <w:t>technical reports or studies were used in the development of these proposed amendments.</w:t>
      </w:r>
    </w:p>
    <w:p w14:paraId="104ECCAD" w14:textId="77777777" w:rsidR="009F4C5C" w:rsidRPr="00B25FCF" w:rsidRDefault="00A35DDB" w:rsidP="00AE2F87">
      <w:pPr>
        <w:pStyle w:val="Heading2"/>
        <w:rPr>
          <w:szCs w:val="24"/>
        </w:rPr>
      </w:pPr>
      <w:r w:rsidRPr="00B25FCF">
        <w:rPr>
          <w:szCs w:val="24"/>
        </w:rPr>
        <w:t>STATEMENT</w:t>
      </w:r>
      <w:r w:rsidR="009F4C5C" w:rsidRPr="00B25FCF">
        <w:rPr>
          <w:szCs w:val="24"/>
        </w:rPr>
        <w:t xml:space="preserve"> OF JUSTIFICA</w:t>
      </w:r>
      <w:r w:rsidR="00B46C0C">
        <w:rPr>
          <w:szCs w:val="24"/>
        </w:rPr>
        <w:t>TION FOR PRESCRIPTIVE STANDARDS</w:t>
      </w:r>
    </w:p>
    <w:p w14:paraId="3A0EC2FE" w14:textId="77777777" w:rsidR="009F4C5C" w:rsidRDefault="009F4C5C" w:rsidP="00194C5C">
      <w:pPr>
        <w:widowControl/>
        <w:rPr>
          <w:rFonts w:ascii="Arial" w:hAnsi="Arial"/>
          <w:szCs w:val="24"/>
        </w:rPr>
      </w:pPr>
      <w:r w:rsidRPr="00685FA3">
        <w:rPr>
          <w:rFonts w:ascii="Arial" w:hAnsi="Arial"/>
          <w:szCs w:val="24"/>
        </w:rPr>
        <w:t>Government Code Section 11346.2(b)(</w:t>
      </w:r>
      <w:r w:rsidR="00C573EA" w:rsidRPr="00685FA3">
        <w:rPr>
          <w:rFonts w:ascii="Arial" w:hAnsi="Arial"/>
          <w:szCs w:val="24"/>
        </w:rPr>
        <w:t>1</w:t>
      </w:r>
      <w:r w:rsidRPr="00685FA3">
        <w:rPr>
          <w:rFonts w:ascii="Arial" w:hAnsi="Arial"/>
          <w:szCs w:val="24"/>
        </w:rPr>
        <w:t>) requires a statement of the reasons why an agency believes any mandates for specific technologies or equipment or prescriptive standards</w:t>
      </w:r>
      <w:r w:rsidR="00167807" w:rsidRPr="00685FA3">
        <w:rPr>
          <w:rFonts w:ascii="Arial" w:hAnsi="Arial"/>
          <w:szCs w:val="24"/>
        </w:rPr>
        <w:t xml:space="preserve"> are required</w:t>
      </w:r>
      <w:r w:rsidRPr="00685FA3">
        <w:rPr>
          <w:rFonts w:ascii="Arial" w:hAnsi="Arial"/>
          <w:szCs w:val="24"/>
        </w:rPr>
        <w:t>.</w:t>
      </w:r>
    </w:p>
    <w:p w14:paraId="635B6250" w14:textId="77777777" w:rsidR="00A35DDB" w:rsidRDefault="00A35DDB" w:rsidP="00AE2F87">
      <w:pPr>
        <w:pStyle w:val="Heading2"/>
        <w:rPr>
          <w:szCs w:val="24"/>
        </w:rPr>
      </w:pPr>
      <w:r w:rsidRPr="000564D1">
        <w:rPr>
          <w:b w:val="0"/>
          <w:szCs w:val="24"/>
        </w:rPr>
        <w:t>The proposed amendments do not contain any mandates for specific technologies or equipment or prescriptive standards</w:t>
      </w:r>
      <w:r w:rsidRPr="000564D1">
        <w:rPr>
          <w:szCs w:val="24"/>
        </w:rPr>
        <w:t>.</w:t>
      </w:r>
    </w:p>
    <w:p w14:paraId="43D78150" w14:textId="77777777" w:rsidR="00A23DA3" w:rsidRPr="00B25FCF" w:rsidRDefault="00A35DDB" w:rsidP="00AE2F87">
      <w:pPr>
        <w:pStyle w:val="Heading2"/>
        <w:rPr>
          <w:szCs w:val="24"/>
        </w:rPr>
      </w:pPr>
      <w:r w:rsidRPr="00B25FCF">
        <w:rPr>
          <w:szCs w:val="24"/>
        </w:rPr>
        <w:t>CONSIDERATION</w:t>
      </w:r>
      <w:r w:rsidR="00A23DA3" w:rsidRPr="00B25FCF">
        <w:rPr>
          <w:szCs w:val="24"/>
        </w:rPr>
        <w:t xml:space="preserve"> OF REASONABLE ALTERNATIVES</w:t>
      </w:r>
    </w:p>
    <w:p w14:paraId="3D88A345" w14:textId="3195C156" w:rsidR="00A23DA3" w:rsidRPr="00685FA3" w:rsidRDefault="00A23DA3" w:rsidP="00194C5C">
      <w:pPr>
        <w:widowControl/>
        <w:rPr>
          <w:rFonts w:ascii="Arial" w:hAnsi="Arial" w:cs="Arial"/>
          <w:szCs w:val="24"/>
        </w:rPr>
      </w:pPr>
      <w:r w:rsidRPr="00685FA3">
        <w:rPr>
          <w:rFonts w:ascii="Arial" w:hAnsi="Arial" w:cs="Arial"/>
          <w:szCs w:val="24"/>
        </w:rPr>
        <w:t>Government Code Section 11346.2(b)(</w:t>
      </w:r>
      <w:r w:rsidR="00AB66C7" w:rsidRPr="00685FA3">
        <w:rPr>
          <w:rFonts w:ascii="Arial" w:hAnsi="Arial" w:cs="Arial"/>
          <w:szCs w:val="24"/>
        </w:rPr>
        <w:t>4</w:t>
      </w:r>
      <w:r w:rsidR="00F21C7A" w:rsidRPr="00685FA3">
        <w:rPr>
          <w:rFonts w:ascii="Arial" w:hAnsi="Arial" w:cs="Arial"/>
          <w:szCs w:val="24"/>
        </w:rPr>
        <w:t xml:space="preserve">)(A) </w:t>
      </w:r>
      <w:r w:rsidRPr="00685FA3">
        <w:rPr>
          <w:rFonts w:ascii="Arial" w:hAnsi="Arial" w:cs="Arial"/>
          <w:szCs w:val="24"/>
        </w:rPr>
        <w:t>requires a description of reasonable alternatives to the regulation and the agency’s reason</w:t>
      </w:r>
      <w:r w:rsidR="00CF6F40" w:rsidRPr="00685FA3">
        <w:rPr>
          <w:rFonts w:ascii="Arial" w:hAnsi="Arial" w:cs="Arial"/>
          <w:szCs w:val="24"/>
        </w:rPr>
        <w:t>s</w:t>
      </w:r>
      <w:r w:rsidRPr="00685FA3">
        <w:rPr>
          <w:rFonts w:ascii="Arial" w:hAnsi="Arial" w:cs="Arial"/>
          <w:szCs w:val="24"/>
        </w:rPr>
        <w:t xml:space="preserve"> for rejecting those alternatives. In the case of a regulation that would mandate the use of specific technologies or equipment or prescribe specific action or procedures, the imposition of performance standards shall be considered as an alternate</w:t>
      </w:r>
      <w:r w:rsidR="00135F2F" w:rsidRPr="00685FA3">
        <w:rPr>
          <w:rFonts w:ascii="Arial" w:hAnsi="Arial" w:cs="Arial"/>
          <w:szCs w:val="24"/>
        </w:rPr>
        <w:t>. It is not the intent of this paragraph to require the agency to artificially construct alternatives or desc</w:t>
      </w:r>
      <w:r w:rsidR="00685FA3">
        <w:rPr>
          <w:rFonts w:ascii="Arial" w:hAnsi="Arial" w:cs="Arial"/>
          <w:szCs w:val="24"/>
        </w:rPr>
        <w:t>ribe unreasonable alternatives.</w:t>
      </w:r>
    </w:p>
    <w:p w14:paraId="3DEC534D" w14:textId="77777777" w:rsidR="00A35DDB" w:rsidRDefault="00A35DDB" w:rsidP="00AE2F87">
      <w:pPr>
        <w:pStyle w:val="Heading2"/>
        <w:rPr>
          <w:b w:val="0"/>
          <w:szCs w:val="24"/>
        </w:rPr>
      </w:pPr>
      <w:r w:rsidRPr="00155EB7">
        <w:rPr>
          <w:b w:val="0"/>
          <w:szCs w:val="24"/>
        </w:rPr>
        <w:t>The Division of the State Architect did not identify nor determine any reasonable alternatives to the proposed administrative regulations.</w:t>
      </w:r>
    </w:p>
    <w:p w14:paraId="2E448485" w14:textId="77777777" w:rsidR="00A23DA3" w:rsidRPr="009529F7" w:rsidRDefault="00A23DA3" w:rsidP="00AE2F87">
      <w:pPr>
        <w:pStyle w:val="Heading2"/>
        <w:rPr>
          <w:rFonts w:cs="Arial"/>
          <w:szCs w:val="24"/>
        </w:rPr>
      </w:pPr>
      <w:r w:rsidRPr="009529F7">
        <w:rPr>
          <w:rFonts w:cs="Arial"/>
          <w:szCs w:val="24"/>
        </w:rPr>
        <w:t>REASONABLE ALTERNATIVES THE AGENCY HAS IDENTIFIED THAT WOULD LESSEN ANY AD</w:t>
      </w:r>
      <w:r w:rsidR="00B46C0C" w:rsidRPr="009529F7">
        <w:rPr>
          <w:rFonts w:cs="Arial"/>
          <w:szCs w:val="24"/>
        </w:rPr>
        <w:t>VERSE IMPACT ON SMALL BUSINESS</w:t>
      </w:r>
    </w:p>
    <w:p w14:paraId="159CAA1A" w14:textId="77777777" w:rsidR="00A23DA3" w:rsidRPr="009529F7" w:rsidRDefault="00A23DA3" w:rsidP="00194C5C">
      <w:pPr>
        <w:rPr>
          <w:rFonts w:ascii="Arial" w:hAnsi="Arial" w:cs="Arial"/>
        </w:rPr>
      </w:pPr>
      <w:r w:rsidRPr="009529F7">
        <w:rPr>
          <w:rFonts w:ascii="Arial" w:hAnsi="Arial" w:cs="Arial"/>
        </w:rPr>
        <w:t>Government Code Section 11346.2(b)(</w:t>
      </w:r>
      <w:r w:rsidR="00AB66C7" w:rsidRPr="009529F7">
        <w:rPr>
          <w:rFonts w:ascii="Arial" w:hAnsi="Arial" w:cs="Arial"/>
        </w:rPr>
        <w:t>4</w:t>
      </w:r>
      <w:r w:rsidRPr="009529F7">
        <w:rPr>
          <w:rFonts w:ascii="Arial" w:hAnsi="Arial" w:cs="Arial"/>
        </w:rPr>
        <w:t>)(B) requires a description of any reasonable alternatives that have been identified or that have otherwise been identified and brought to the attention of the agency that would lessen any ad</w:t>
      </w:r>
      <w:r w:rsidR="00685FA3" w:rsidRPr="009529F7">
        <w:rPr>
          <w:rFonts w:ascii="Arial" w:hAnsi="Arial" w:cs="Arial"/>
        </w:rPr>
        <w:t>verse impact on small business.</w:t>
      </w:r>
    </w:p>
    <w:p w14:paraId="36365B5F" w14:textId="7D9B1C9B" w:rsidR="00A35DDB" w:rsidRDefault="00A35DDB" w:rsidP="00AE2F87">
      <w:pPr>
        <w:pStyle w:val="Heading2"/>
        <w:rPr>
          <w:rFonts w:cs="Arial"/>
          <w:b w:val="0"/>
          <w:szCs w:val="24"/>
        </w:rPr>
      </w:pPr>
      <w:r w:rsidRPr="00155EB7">
        <w:rPr>
          <w:rFonts w:cs="Arial"/>
          <w:b w:val="0"/>
          <w:szCs w:val="24"/>
        </w:rPr>
        <w:t xml:space="preserve">The Division of the State Architect did not identify any reasonable alternatives to the proposed administrative regulations that would lessen </w:t>
      </w:r>
      <w:r w:rsidR="00F60474">
        <w:rPr>
          <w:rFonts w:cs="Arial"/>
          <w:b w:val="0"/>
          <w:szCs w:val="24"/>
        </w:rPr>
        <w:t xml:space="preserve">any </w:t>
      </w:r>
      <w:r w:rsidRPr="00155EB7">
        <w:rPr>
          <w:rFonts w:cs="Arial"/>
          <w:b w:val="0"/>
          <w:szCs w:val="24"/>
        </w:rPr>
        <w:t>adverse impact on small business.</w:t>
      </w:r>
    </w:p>
    <w:p w14:paraId="5E5C20A1" w14:textId="77777777" w:rsidR="00A23DA3" w:rsidRPr="00B25FCF" w:rsidRDefault="00A23DA3" w:rsidP="00AE2F87">
      <w:pPr>
        <w:pStyle w:val="Heading2"/>
        <w:rPr>
          <w:szCs w:val="24"/>
        </w:rPr>
      </w:pPr>
      <w:r w:rsidRPr="00B25FCF">
        <w:rPr>
          <w:szCs w:val="24"/>
        </w:rPr>
        <w:t>FACTS, EVIDENCE, DOCUMENTS, TESTIMONY, OR OTHER EVIDENCE OF NO SIGNIFI</w:t>
      </w:r>
      <w:r w:rsidR="00B46C0C">
        <w:rPr>
          <w:szCs w:val="24"/>
        </w:rPr>
        <w:t>CANT ADVERSE IMPACT ON BUSINESS</w:t>
      </w:r>
    </w:p>
    <w:p w14:paraId="0F5CA785" w14:textId="77777777" w:rsidR="00A35DDB" w:rsidRDefault="00A23DA3" w:rsidP="00A35DDB">
      <w:pPr>
        <w:widowControl/>
        <w:spacing w:after="120"/>
        <w:rPr>
          <w:rFonts w:ascii="Arial" w:hAnsi="Arial"/>
          <w:szCs w:val="24"/>
        </w:rPr>
      </w:pPr>
      <w:r w:rsidRPr="00685FA3">
        <w:rPr>
          <w:rFonts w:ascii="Arial" w:hAnsi="Arial"/>
          <w:szCs w:val="24"/>
        </w:rPr>
        <w:t>Government Code Section 11346.2(</w:t>
      </w:r>
      <w:r w:rsidR="006917E5" w:rsidRPr="00685FA3">
        <w:rPr>
          <w:rFonts w:ascii="Arial" w:hAnsi="Arial"/>
          <w:szCs w:val="24"/>
        </w:rPr>
        <w:t>b</w:t>
      </w:r>
      <w:r w:rsidRPr="00685FA3">
        <w:rPr>
          <w:rFonts w:ascii="Arial" w:hAnsi="Arial"/>
          <w:szCs w:val="24"/>
        </w:rPr>
        <w:t>)(</w:t>
      </w:r>
      <w:r w:rsidR="00AB66C7" w:rsidRPr="00685FA3">
        <w:rPr>
          <w:rFonts w:ascii="Arial" w:hAnsi="Arial"/>
          <w:szCs w:val="24"/>
        </w:rPr>
        <w:t>5</w:t>
      </w:r>
      <w:r w:rsidRPr="00685FA3">
        <w:rPr>
          <w:rFonts w:ascii="Arial" w:hAnsi="Arial"/>
          <w:szCs w:val="24"/>
        </w:rPr>
        <w:t>)</w:t>
      </w:r>
      <w:r w:rsidR="000F123E" w:rsidRPr="00685FA3">
        <w:rPr>
          <w:rFonts w:ascii="Arial" w:hAnsi="Arial"/>
          <w:szCs w:val="24"/>
        </w:rPr>
        <w:t>(A)</w:t>
      </w:r>
      <w:r w:rsidRPr="00685FA3">
        <w:rPr>
          <w:rFonts w:ascii="Arial" w:hAnsi="Arial"/>
          <w:szCs w:val="24"/>
        </w:rPr>
        <w:t xml:space="preserve"> requires the facts, evidence, documents, testimony, or other evidence on which the agency relies to support an initial determination that the action will not have a significant adverse economic impact on business</w:t>
      </w:r>
      <w:r w:rsidR="00A35DDB">
        <w:rPr>
          <w:rFonts w:ascii="Arial" w:hAnsi="Arial"/>
          <w:szCs w:val="24"/>
        </w:rPr>
        <w:t xml:space="preserve">. </w:t>
      </w:r>
    </w:p>
    <w:p w14:paraId="7093436C" w14:textId="47E4F766" w:rsidR="00A35DDB" w:rsidRPr="00A35DDB" w:rsidRDefault="00A35DDB" w:rsidP="00A35DDB">
      <w:pPr>
        <w:widowControl/>
        <w:rPr>
          <w:rFonts w:ascii="Arial" w:hAnsi="Arial"/>
          <w:szCs w:val="24"/>
        </w:rPr>
      </w:pPr>
      <w:r w:rsidRPr="00155EB7">
        <w:rPr>
          <w:szCs w:val="24"/>
        </w:rPr>
        <w:t xml:space="preserve">No </w:t>
      </w:r>
      <w:r w:rsidR="00155EB7" w:rsidRPr="00155EB7">
        <w:rPr>
          <w:szCs w:val="24"/>
        </w:rPr>
        <w:t xml:space="preserve">significant </w:t>
      </w:r>
      <w:r w:rsidRPr="00155EB7">
        <w:rPr>
          <w:szCs w:val="24"/>
        </w:rPr>
        <w:t xml:space="preserve">adverse </w:t>
      </w:r>
      <w:r w:rsidR="00155EB7" w:rsidRPr="00155EB7">
        <w:rPr>
          <w:szCs w:val="24"/>
        </w:rPr>
        <w:t>impact</w:t>
      </w:r>
      <w:r w:rsidRPr="00155EB7">
        <w:rPr>
          <w:szCs w:val="24"/>
        </w:rPr>
        <w:t xml:space="preserve"> on business was determined and no other documents </w:t>
      </w:r>
      <w:r w:rsidR="00155EB7" w:rsidRPr="00155EB7">
        <w:rPr>
          <w:szCs w:val="24"/>
        </w:rPr>
        <w:t>or evidence was determined applicable</w:t>
      </w:r>
      <w:r w:rsidR="00155EB7">
        <w:rPr>
          <w:szCs w:val="24"/>
        </w:rPr>
        <w:t xml:space="preserve"> to the proposed provisions.</w:t>
      </w:r>
      <w:r w:rsidRPr="00A35DDB">
        <w:rPr>
          <w:szCs w:val="24"/>
        </w:rPr>
        <w:t xml:space="preserve"> </w:t>
      </w:r>
    </w:p>
    <w:p w14:paraId="5C8E8995" w14:textId="77777777" w:rsidR="00787198" w:rsidRPr="009529F7" w:rsidRDefault="00787198" w:rsidP="00194C5C">
      <w:pPr>
        <w:pStyle w:val="Heading2"/>
        <w:rPr>
          <w:rFonts w:cs="Arial"/>
          <w:snapToGrid/>
          <w:szCs w:val="24"/>
        </w:rPr>
      </w:pPr>
      <w:r w:rsidRPr="009529F7">
        <w:rPr>
          <w:rFonts w:cs="Arial"/>
          <w:snapToGrid/>
          <w:szCs w:val="24"/>
        </w:rPr>
        <w:t>ASSESSMENT OF EFFECT OF REGULATIONS UPON JOBS AND BUSINESS EXPANSION, ELIMINATION OR CREATION</w:t>
      </w:r>
    </w:p>
    <w:p w14:paraId="63410300" w14:textId="77777777" w:rsidR="00787198" w:rsidRPr="009529F7" w:rsidRDefault="00787198" w:rsidP="00194C5C">
      <w:pPr>
        <w:widowControl/>
        <w:snapToGrid w:val="0"/>
        <w:rPr>
          <w:rFonts w:ascii="Arial" w:hAnsi="Arial" w:cs="Arial"/>
          <w:snapToGrid/>
          <w:szCs w:val="24"/>
        </w:rPr>
      </w:pPr>
      <w:r w:rsidRPr="009529F7">
        <w:rPr>
          <w:rFonts w:ascii="Arial" w:hAnsi="Arial" w:cs="Arial"/>
          <w:snapToGrid/>
          <w:szCs w:val="24"/>
        </w:rPr>
        <w:t>Government Code Sections 1</w:t>
      </w:r>
      <w:r w:rsidR="00685FA3" w:rsidRPr="009529F7">
        <w:rPr>
          <w:rFonts w:ascii="Arial" w:hAnsi="Arial" w:cs="Arial"/>
          <w:snapToGrid/>
          <w:szCs w:val="24"/>
        </w:rPr>
        <w:t>1346.3(b)(1) and 11346.5(a)(10)</w:t>
      </w:r>
    </w:p>
    <w:p w14:paraId="501D0A17" w14:textId="77777777" w:rsidR="00787198" w:rsidRPr="009529F7" w:rsidRDefault="00787198" w:rsidP="00AE2F87">
      <w:pPr>
        <w:widowControl/>
        <w:snapToGrid w:val="0"/>
        <w:rPr>
          <w:rFonts w:ascii="Arial" w:hAnsi="Arial" w:cs="Arial"/>
          <w:snapToGrid/>
          <w:szCs w:val="24"/>
        </w:rPr>
      </w:pPr>
      <w:r w:rsidRPr="009529F7">
        <w:rPr>
          <w:rFonts w:ascii="Arial" w:hAnsi="Arial" w:cs="Arial"/>
          <w:snapToGrid/>
          <w:szCs w:val="24"/>
        </w:rPr>
        <w:t xml:space="preserve">The </w:t>
      </w:r>
      <w:r w:rsidR="00A35DDB">
        <w:rPr>
          <w:rFonts w:ascii="Arial" w:hAnsi="Arial" w:cs="Arial"/>
          <w:snapToGrid/>
          <w:szCs w:val="24"/>
        </w:rPr>
        <w:t>Division of the State Architect</w:t>
      </w:r>
      <w:r w:rsidRPr="009529F7">
        <w:rPr>
          <w:rFonts w:ascii="Arial" w:hAnsi="Arial" w:cs="Arial"/>
          <w:snapToGrid/>
          <w:szCs w:val="24"/>
        </w:rPr>
        <w:t xml:space="preserve"> has assessed whether or not and to what extent this proposal will affect the following:</w:t>
      </w:r>
    </w:p>
    <w:p w14:paraId="0518EE33" w14:textId="77777777" w:rsidR="00787198" w:rsidRPr="009529F7" w:rsidRDefault="00787198" w:rsidP="00F86CA3">
      <w:pPr>
        <w:pStyle w:val="ListParagraph"/>
        <w:widowControl/>
        <w:numPr>
          <w:ilvl w:val="0"/>
          <w:numId w:val="1"/>
        </w:numPr>
        <w:snapToGrid w:val="0"/>
        <w:spacing w:before="120"/>
        <w:ind w:left="1080"/>
        <w:rPr>
          <w:rFonts w:ascii="Arial" w:hAnsi="Arial" w:cs="Arial"/>
          <w:snapToGrid/>
          <w:szCs w:val="24"/>
        </w:rPr>
      </w:pPr>
      <w:r w:rsidRPr="009529F7">
        <w:rPr>
          <w:rFonts w:ascii="Arial" w:hAnsi="Arial" w:cs="Arial"/>
          <w:snapToGrid/>
          <w:szCs w:val="24"/>
        </w:rPr>
        <w:t>The creation or elimination of jobs within the State of California.</w:t>
      </w:r>
    </w:p>
    <w:p w14:paraId="2876C5D6" w14:textId="1C108BF8" w:rsidR="00787198" w:rsidRPr="009529F7" w:rsidRDefault="00A35DDB" w:rsidP="00F86CA3">
      <w:pPr>
        <w:widowControl/>
        <w:snapToGrid w:val="0"/>
        <w:spacing w:before="120"/>
        <w:ind w:left="1080"/>
        <w:rPr>
          <w:rFonts w:ascii="Arial" w:hAnsi="Arial" w:cs="Arial"/>
          <w:snapToGrid/>
          <w:szCs w:val="24"/>
        </w:rPr>
      </w:pPr>
      <w:r w:rsidRPr="00155EB7">
        <w:rPr>
          <w:rFonts w:ascii="Arial" w:hAnsi="Arial" w:cs="Arial"/>
          <w:snapToGrid/>
          <w:szCs w:val="24"/>
        </w:rPr>
        <w:t>The Division of the State Architect did not identify any amended regulation that would lead to the creation or elimination of jobs</w:t>
      </w:r>
      <w:r w:rsidR="00155EB7" w:rsidRPr="00155EB7">
        <w:rPr>
          <w:rFonts w:ascii="Arial" w:hAnsi="Arial" w:cs="Arial"/>
          <w:snapToGrid/>
          <w:szCs w:val="24"/>
        </w:rPr>
        <w:t xml:space="preserve"> </w:t>
      </w:r>
      <w:r w:rsidR="00155EB7" w:rsidRPr="009529F7">
        <w:rPr>
          <w:rFonts w:ascii="Arial" w:hAnsi="Arial" w:cs="Arial"/>
          <w:snapToGrid/>
          <w:szCs w:val="24"/>
        </w:rPr>
        <w:t>within the State of California</w:t>
      </w:r>
      <w:r w:rsidR="00155EB7" w:rsidRPr="00155EB7">
        <w:rPr>
          <w:rFonts w:ascii="Arial" w:hAnsi="Arial" w:cs="Arial"/>
          <w:snapToGrid/>
          <w:szCs w:val="24"/>
        </w:rPr>
        <w:t>.</w:t>
      </w:r>
    </w:p>
    <w:p w14:paraId="6F907C21" w14:textId="77777777" w:rsidR="00787198" w:rsidRPr="009529F7" w:rsidRDefault="00787198" w:rsidP="00F86CA3">
      <w:pPr>
        <w:pStyle w:val="ListParagraph"/>
        <w:widowControl/>
        <w:numPr>
          <w:ilvl w:val="0"/>
          <w:numId w:val="1"/>
        </w:numPr>
        <w:tabs>
          <w:tab w:val="left" w:pos="-1440"/>
        </w:tabs>
        <w:snapToGrid w:val="0"/>
        <w:spacing w:before="120"/>
        <w:ind w:left="1080"/>
        <w:rPr>
          <w:rFonts w:ascii="Arial" w:hAnsi="Arial" w:cs="Arial"/>
          <w:snapToGrid/>
          <w:szCs w:val="24"/>
        </w:rPr>
      </w:pPr>
      <w:r w:rsidRPr="009529F7">
        <w:rPr>
          <w:rFonts w:ascii="Arial" w:hAnsi="Arial" w:cs="Arial"/>
          <w:snapToGrid/>
          <w:szCs w:val="24"/>
        </w:rPr>
        <w:t>The creation of new businesses or the elimination of existing businesses within the State of California.</w:t>
      </w:r>
    </w:p>
    <w:p w14:paraId="14F6F294" w14:textId="55AF035A" w:rsidR="00A35DDB" w:rsidRPr="009529F7" w:rsidRDefault="00A35DDB" w:rsidP="00A35DDB">
      <w:pPr>
        <w:widowControl/>
        <w:snapToGrid w:val="0"/>
        <w:spacing w:before="120"/>
        <w:ind w:left="1080"/>
        <w:rPr>
          <w:rFonts w:ascii="Arial" w:hAnsi="Arial" w:cs="Arial"/>
          <w:snapToGrid/>
          <w:szCs w:val="24"/>
        </w:rPr>
      </w:pPr>
      <w:r w:rsidRPr="00155EB7">
        <w:rPr>
          <w:rFonts w:ascii="Arial" w:hAnsi="Arial" w:cs="Arial"/>
          <w:snapToGrid/>
          <w:szCs w:val="24"/>
        </w:rPr>
        <w:t xml:space="preserve">The Division of the State Architect did not identify any amended regulation that would lead to </w:t>
      </w:r>
      <w:r w:rsidR="00EA34DC" w:rsidRPr="00155EB7">
        <w:rPr>
          <w:rFonts w:ascii="Arial" w:hAnsi="Arial" w:cs="Arial"/>
          <w:snapToGrid/>
          <w:szCs w:val="24"/>
        </w:rPr>
        <w:t xml:space="preserve">the </w:t>
      </w:r>
      <w:r w:rsidR="00155EB7">
        <w:rPr>
          <w:rFonts w:ascii="Arial" w:hAnsi="Arial" w:cs="Arial"/>
          <w:snapToGrid/>
          <w:szCs w:val="24"/>
        </w:rPr>
        <w:t xml:space="preserve">creation of new businesses or the </w:t>
      </w:r>
      <w:r w:rsidR="00EA34DC" w:rsidRPr="00155EB7">
        <w:rPr>
          <w:rFonts w:ascii="Arial" w:hAnsi="Arial" w:cs="Arial"/>
          <w:snapToGrid/>
          <w:szCs w:val="24"/>
        </w:rPr>
        <w:t>elimination of existing businesses</w:t>
      </w:r>
      <w:r w:rsidR="00155EB7" w:rsidRPr="00155EB7">
        <w:rPr>
          <w:rFonts w:ascii="Arial" w:hAnsi="Arial" w:cs="Arial"/>
          <w:snapToGrid/>
          <w:szCs w:val="24"/>
        </w:rPr>
        <w:t xml:space="preserve"> </w:t>
      </w:r>
      <w:r w:rsidR="00155EB7" w:rsidRPr="009529F7">
        <w:rPr>
          <w:rFonts w:ascii="Arial" w:hAnsi="Arial" w:cs="Arial"/>
          <w:snapToGrid/>
          <w:szCs w:val="24"/>
        </w:rPr>
        <w:t>within the State of California.</w:t>
      </w:r>
    </w:p>
    <w:p w14:paraId="60C4E384" w14:textId="77777777" w:rsidR="00787198" w:rsidRPr="009529F7" w:rsidRDefault="00787198" w:rsidP="00F86CA3">
      <w:pPr>
        <w:pStyle w:val="ListParagraph"/>
        <w:widowControl/>
        <w:numPr>
          <w:ilvl w:val="0"/>
          <w:numId w:val="1"/>
        </w:numPr>
        <w:snapToGrid w:val="0"/>
        <w:spacing w:before="120"/>
        <w:ind w:left="1080"/>
        <w:rPr>
          <w:rFonts w:ascii="Arial" w:hAnsi="Arial" w:cs="Arial"/>
          <w:snapToGrid/>
          <w:szCs w:val="24"/>
        </w:rPr>
      </w:pPr>
      <w:r w:rsidRPr="009529F7">
        <w:rPr>
          <w:rFonts w:ascii="Arial" w:hAnsi="Arial" w:cs="Arial"/>
          <w:snapToGrid/>
          <w:szCs w:val="24"/>
        </w:rPr>
        <w:t>The expansion of businesses currently doing business with</w:t>
      </w:r>
      <w:r w:rsidR="00B46C0C" w:rsidRPr="009529F7">
        <w:rPr>
          <w:rFonts w:ascii="Arial" w:hAnsi="Arial" w:cs="Arial"/>
          <w:snapToGrid/>
          <w:szCs w:val="24"/>
        </w:rPr>
        <w:t>in</w:t>
      </w:r>
      <w:r w:rsidRPr="009529F7">
        <w:rPr>
          <w:rFonts w:ascii="Arial" w:hAnsi="Arial" w:cs="Arial"/>
          <w:snapToGrid/>
          <w:szCs w:val="24"/>
        </w:rPr>
        <w:t xml:space="preserve"> the State of California.</w:t>
      </w:r>
    </w:p>
    <w:p w14:paraId="7C59314A" w14:textId="786E8A65" w:rsidR="00787198" w:rsidRPr="009529F7" w:rsidRDefault="00EA34DC" w:rsidP="00F86CA3">
      <w:pPr>
        <w:widowControl/>
        <w:snapToGrid w:val="0"/>
        <w:spacing w:before="120"/>
        <w:ind w:left="1080"/>
        <w:rPr>
          <w:rFonts w:ascii="Arial" w:hAnsi="Arial" w:cs="Arial"/>
          <w:snapToGrid/>
          <w:szCs w:val="24"/>
        </w:rPr>
      </w:pPr>
      <w:r w:rsidRPr="00155EB7">
        <w:rPr>
          <w:rFonts w:ascii="Arial" w:hAnsi="Arial" w:cs="Arial"/>
          <w:snapToGrid/>
          <w:szCs w:val="24"/>
        </w:rPr>
        <w:t>The Division of the State Architect did not identify any amended regulation that would lead to the expansion of businesses currently doing business with</w:t>
      </w:r>
      <w:r w:rsidR="00155EB7" w:rsidRPr="00155EB7">
        <w:rPr>
          <w:rFonts w:ascii="Arial" w:hAnsi="Arial" w:cs="Arial"/>
          <w:snapToGrid/>
          <w:szCs w:val="24"/>
        </w:rPr>
        <w:t>in</w:t>
      </w:r>
      <w:r w:rsidRPr="00155EB7">
        <w:rPr>
          <w:rFonts w:ascii="Arial" w:hAnsi="Arial" w:cs="Arial"/>
          <w:snapToGrid/>
          <w:szCs w:val="24"/>
        </w:rPr>
        <w:t xml:space="preserve"> the State of California.</w:t>
      </w:r>
    </w:p>
    <w:p w14:paraId="04C4EB22" w14:textId="77777777" w:rsidR="00787198" w:rsidRPr="009529F7" w:rsidRDefault="00787198" w:rsidP="00F86CA3">
      <w:pPr>
        <w:pStyle w:val="ListParagraph"/>
        <w:widowControl/>
        <w:numPr>
          <w:ilvl w:val="0"/>
          <w:numId w:val="1"/>
        </w:numPr>
        <w:snapToGrid w:val="0"/>
        <w:spacing w:before="120"/>
        <w:ind w:left="1080"/>
        <w:rPr>
          <w:rFonts w:ascii="Arial" w:hAnsi="Arial" w:cs="Arial"/>
          <w:snapToGrid/>
          <w:szCs w:val="24"/>
        </w:rPr>
      </w:pPr>
      <w:r w:rsidRPr="009529F7">
        <w:rPr>
          <w:rFonts w:ascii="Arial" w:hAnsi="Arial" w:cs="Arial"/>
          <w:snapToGrid/>
          <w:szCs w:val="24"/>
        </w:rPr>
        <w:t>The benefits of the regulation to the health and welfare of California residents, worker safety, and the state’s environment.</w:t>
      </w:r>
    </w:p>
    <w:p w14:paraId="117D2596" w14:textId="1F05036B" w:rsidR="00787198" w:rsidRPr="009529F7" w:rsidRDefault="00EA34DC" w:rsidP="00F86CA3">
      <w:pPr>
        <w:widowControl/>
        <w:snapToGrid w:val="0"/>
        <w:spacing w:before="120"/>
        <w:ind w:left="1080"/>
        <w:rPr>
          <w:rFonts w:ascii="Arial" w:hAnsi="Arial" w:cs="Arial"/>
          <w:snapToGrid/>
          <w:szCs w:val="24"/>
        </w:rPr>
      </w:pPr>
      <w:r w:rsidRPr="00336520">
        <w:rPr>
          <w:rFonts w:ascii="Arial" w:hAnsi="Arial" w:cs="Arial"/>
          <w:snapToGrid/>
          <w:szCs w:val="24"/>
        </w:rPr>
        <w:t xml:space="preserve">Part 1, California Administrative Code </w:t>
      </w:r>
      <w:r w:rsidR="005C04E7">
        <w:rPr>
          <w:rFonts w:ascii="Arial" w:hAnsi="Arial" w:cs="Arial"/>
          <w:snapToGrid/>
          <w:szCs w:val="24"/>
        </w:rPr>
        <w:t xml:space="preserve">(CAC) </w:t>
      </w:r>
      <w:r w:rsidRPr="00336520">
        <w:rPr>
          <w:rFonts w:ascii="Arial" w:hAnsi="Arial" w:cs="Arial"/>
          <w:snapToGrid/>
          <w:szCs w:val="24"/>
        </w:rPr>
        <w:t xml:space="preserve">is the administrative regulations for application of the California Building code, </w:t>
      </w:r>
      <w:r w:rsidR="00336520" w:rsidRPr="00336520">
        <w:rPr>
          <w:rFonts w:ascii="Arial" w:hAnsi="Arial" w:cs="Arial"/>
          <w:snapToGrid/>
          <w:szCs w:val="24"/>
        </w:rPr>
        <w:t>implementation</w:t>
      </w:r>
      <w:r w:rsidRPr="00336520">
        <w:rPr>
          <w:rFonts w:ascii="Arial" w:hAnsi="Arial" w:cs="Arial"/>
          <w:snapToGrid/>
          <w:szCs w:val="24"/>
        </w:rPr>
        <w:t xml:space="preserve"> of construction testing a</w:t>
      </w:r>
      <w:r w:rsidR="00336520" w:rsidRPr="00336520">
        <w:rPr>
          <w:rFonts w:ascii="Arial" w:hAnsi="Arial" w:cs="Arial"/>
          <w:snapToGrid/>
          <w:szCs w:val="24"/>
        </w:rPr>
        <w:t>n</w:t>
      </w:r>
      <w:r w:rsidRPr="00336520">
        <w:rPr>
          <w:rFonts w:ascii="Arial" w:hAnsi="Arial" w:cs="Arial"/>
          <w:snapToGrid/>
          <w:szCs w:val="24"/>
        </w:rPr>
        <w:t xml:space="preserve">d inspection programs, and certification of construction for the </w:t>
      </w:r>
      <w:r w:rsidR="005C04E7">
        <w:rPr>
          <w:rFonts w:ascii="Arial" w:hAnsi="Arial" w:cs="Arial"/>
          <w:snapToGrid/>
          <w:szCs w:val="24"/>
        </w:rPr>
        <w:t xml:space="preserve">safety and </w:t>
      </w:r>
      <w:r w:rsidRPr="00336520">
        <w:rPr>
          <w:rFonts w:ascii="Arial" w:hAnsi="Arial" w:cs="Arial"/>
          <w:snapToGrid/>
          <w:szCs w:val="24"/>
        </w:rPr>
        <w:t>protection of life and property of public K-14 school buildings in compliance with the California Education Code and state-owned or state-leased essential service buildings in compliance with the California Health and Safety Code.</w:t>
      </w:r>
      <w:r w:rsidR="005C04E7">
        <w:rPr>
          <w:rFonts w:ascii="Arial" w:hAnsi="Arial" w:cs="Arial"/>
          <w:snapToGrid/>
          <w:szCs w:val="24"/>
        </w:rPr>
        <w:t xml:space="preserve"> The benefits of the regulations provide clarity to the CAC. </w:t>
      </w:r>
    </w:p>
    <w:p w14:paraId="0917A1BE" w14:textId="77777777" w:rsidR="000F123E" w:rsidRPr="009529F7" w:rsidRDefault="000F123E" w:rsidP="00194C5C">
      <w:pPr>
        <w:pStyle w:val="Heading2"/>
        <w:rPr>
          <w:rFonts w:cs="Arial"/>
          <w:szCs w:val="24"/>
        </w:rPr>
      </w:pPr>
      <w:r w:rsidRPr="009529F7">
        <w:rPr>
          <w:rFonts w:cs="Arial"/>
          <w:szCs w:val="24"/>
        </w:rPr>
        <w:t xml:space="preserve">ESTIMATED COST OF COMPLIANCE, ESTIMATED POTENTIAL BENEFITS, AND RELATED ASSUMPTIONS USED FOR BUILDING STANDARDS </w:t>
      </w:r>
    </w:p>
    <w:p w14:paraId="6AA4BCFA" w14:textId="77777777" w:rsidR="000F123E" w:rsidRPr="009529F7" w:rsidRDefault="000F123E" w:rsidP="00194C5C">
      <w:pPr>
        <w:widowControl/>
        <w:rPr>
          <w:rFonts w:ascii="Arial" w:hAnsi="Arial" w:cs="Arial"/>
          <w:szCs w:val="24"/>
        </w:rPr>
      </w:pPr>
      <w:r w:rsidRPr="009529F7">
        <w:rPr>
          <w:rFonts w:ascii="Arial" w:hAnsi="Arial" w:cs="Arial"/>
          <w:szCs w:val="24"/>
        </w:rPr>
        <w:t>Government C</w:t>
      </w:r>
      <w:r w:rsidR="00AB66C7" w:rsidRPr="009529F7">
        <w:rPr>
          <w:rFonts w:ascii="Arial" w:hAnsi="Arial" w:cs="Arial"/>
          <w:szCs w:val="24"/>
        </w:rPr>
        <w:t>ode Section 11346.2(b)(5</w:t>
      </w:r>
      <w:r w:rsidR="006B3837" w:rsidRPr="009529F7">
        <w:rPr>
          <w:rFonts w:ascii="Arial" w:hAnsi="Arial" w:cs="Arial"/>
          <w:szCs w:val="24"/>
        </w:rPr>
        <w:t>)(B)</w:t>
      </w:r>
      <w:r w:rsidR="00AB66C7" w:rsidRPr="009529F7">
        <w:rPr>
          <w:rFonts w:ascii="Arial" w:hAnsi="Arial" w:cs="Arial"/>
          <w:szCs w:val="24"/>
        </w:rPr>
        <w:t>(i)</w:t>
      </w:r>
      <w:r w:rsidR="006B3837" w:rsidRPr="009529F7">
        <w:rPr>
          <w:rFonts w:ascii="Arial" w:hAnsi="Arial" w:cs="Arial"/>
          <w:szCs w:val="24"/>
        </w:rPr>
        <w:t xml:space="preserve"> states if a proposed regulation is a building standard, the initial statement of reasons shall include the estimated cost of compliance, the estimated potential benefits, and the related assumptions us</w:t>
      </w:r>
      <w:r w:rsidR="00685FA3" w:rsidRPr="009529F7">
        <w:rPr>
          <w:rFonts w:ascii="Arial" w:hAnsi="Arial" w:cs="Arial"/>
          <w:szCs w:val="24"/>
        </w:rPr>
        <w:t>ed to determine the estimates.</w:t>
      </w:r>
    </w:p>
    <w:p w14:paraId="4CF2C38C" w14:textId="17B9CDC6" w:rsidR="00EA34DC" w:rsidRDefault="00EA34DC" w:rsidP="00194C5C">
      <w:pPr>
        <w:pStyle w:val="Heading2"/>
        <w:rPr>
          <w:rFonts w:cs="Arial"/>
          <w:b w:val="0"/>
          <w:szCs w:val="24"/>
        </w:rPr>
      </w:pPr>
      <w:r w:rsidRPr="00336520">
        <w:rPr>
          <w:rFonts w:cs="Arial"/>
          <w:b w:val="0"/>
          <w:szCs w:val="24"/>
        </w:rPr>
        <w:t xml:space="preserve">The proposed changes to the regulations are </w:t>
      </w:r>
      <w:r w:rsidR="00336520" w:rsidRPr="00336520">
        <w:rPr>
          <w:rFonts w:cs="Arial"/>
          <w:b w:val="0"/>
          <w:szCs w:val="24"/>
        </w:rPr>
        <w:t xml:space="preserve">primarily </w:t>
      </w:r>
      <w:r w:rsidRPr="00336520">
        <w:rPr>
          <w:rFonts w:cs="Arial"/>
          <w:b w:val="0"/>
          <w:szCs w:val="24"/>
        </w:rPr>
        <w:t xml:space="preserve">editorial </w:t>
      </w:r>
      <w:r w:rsidR="00336520" w:rsidRPr="00336520">
        <w:rPr>
          <w:rFonts w:cs="Arial"/>
          <w:b w:val="0"/>
          <w:szCs w:val="24"/>
        </w:rPr>
        <w:t>to provide clarity or to align with statutory changes</w:t>
      </w:r>
      <w:r w:rsidRPr="00336520">
        <w:rPr>
          <w:rFonts w:cs="Arial"/>
          <w:b w:val="0"/>
          <w:szCs w:val="24"/>
        </w:rPr>
        <w:t>, and do not result in an increase to the cost of compliance in the application and implementation of the California Administrative Code or California Building Code.</w:t>
      </w:r>
      <w:r w:rsidR="00336520" w:rsidRPr="00336520">
        <w:rPr>
          <w:rFonts w:cs="Arial"/>
          <w:b w:val="0"/>
          <w:szCs w:val="24"/>
        </w:rPr>
        <w:t xml:space="preserve"> Item </w:t>
      </w:r>
      <w:r w:rsidR="00641BAB">
        <w:rPr>
          <w:rFonts w:cs="Arial"/>
          <w:b w:val="0"/>
          <w:szCs w:val="24"/>
        </w:rPr>
        <w:t>1</w:t>
      </w:r>
      <w:r w:rsidR="00641BAB" w:rsidRPr="00336520">
        <w:rPr>
          <w:rFonts w:cs="Arial"/>
          <w:b w:val="0"/>
          <w:szCs w:val="24"/>
        </w:rPr>
        <w:t xml:space="preserve"> </w:t>
      </w:r>
      <w:r w:rsidR="00336520" w:rsidRPr="00336520">
        <w:rPr>
          <w:rFonts w:cs="Arial"/>
          <w:b w:val="0"/>
          <w:szCs w:val="24"/>
        </w:rPr>
        <w:t xml:space="preserve">will benefit school districts and building owners by saving them from having to evaluate and potentially retrofit </w:t>
      </w:r>
      <w:r w:rsidR="005C04E7">
        <w:rPr>
          <w:rFonts w:cs="Arial"/>
          <w:b w:val="0"/>
          <w:szCs w:val="24"/>
        </w:rPr>
        <w:t xml:space="preserve">elements of </w:t>
      </w:r>
      <w:r w:rsidR="00336520" w:rsidRPr="00336520">
        <w:rPr>
          <w:rFonts w:cs="Arial"/>
          <w:b w:val="0"/>
          <w:szCs w:val="24"/>
        </w:rPr>
        <w:t>existing buildings</w:t>
      </w:r>
      <w:r w:rsidR="005C04E7">
        <w:rPr>
          <w:rFonts w:cs="Arial"/>
          <w:b w:val="0"/>
          <w:szCs w:val="24"/>
        </w:rPr>
        <w:t>. H</w:t>
      </w:r>
      <w:r w:rsidR="00336520" w:rsidRPr="00336520">
        <w:rPr>
          <w:rFonts w:cs="Arial"/>
          <w:b w:val="0"/>
          <w:szCs w:val="24"/>
        </w:rPr>
        <w:t>owever, the actual dollar savings is unknown and not reasonably determinable</w:t>
      </w:r>
      <w:r w:rsidR="005C04E7">
        <w:rPr>
          <w:rFonts w:cs="Arial"/>
          <w:b w:val="0"/>
          <w:szCs w:val="24"/>
        </w:rPr>
        <w:t>,</w:t>
      </w:r>
      <w:r w:rsidR="00336520" w:rsidRPr="00336520">
        <w:rPr>
          <w:rFonts w:cs="Arial"/>
          <w:b w:val="0"/>
          <w:szCs w:val="24"/>
        </w:rPr>
        <w:t xml:space="preserve"> and </w:t>
      </w:r>
      <w:r w:rsidR="004A5A14">
        <w:rPr>
          <w:rFonts w:cs="Arial"/>
          <w:b w:val="0"/>
          <w:szCs w:val="24"/>
        </w:rPr>
        <w:t>will</w:t>
      </w:r>
      <w:r w:rsidR="00336520" w:rsidRPr="00336520">
        <w:rPr>
          <w:rFonts w:cs="Arial"/>
          <w:b w:val="0"/>
          <w:szCs w:val="24"/>
        </w:rPr>
        <w:t xml:space="preserve"> be relatively insignificant to the annual cost of construction of school and essential services buildings.</w:t>
      </w:r>
    </w:p>
    <w:p w14:paraId="1844ADF3" w14:textId="77777777" w:rsidR="00A23DA3" w:rsidRPr="009529F7" w:rsidRDefault="00EA34DC" w:rsidP="00194C5C">
      <w:pPr>
        <w:pStyle w:val="Heading2"/>
        <w:rPr>
          <w:rFonts w:cs="Arial"/>
          <w:szCs w:val="24"/>
        </w:rPr>
      </w:pPr>
      <w:r>
        <w:rPr>
          <w:rFonts w:cs="Arial"/>
          <w:szCs w:val="24"/>
        </w:rPr>
        <w:t>D</w:t>
      </w:r>
      <w:r w:rsidR="00A23DA3" w:rsidRPr="009529F7">
        <w:rPr>
          <w:rFonts w:cs="Arial"/>
          <w:szCs w:val="24"/>
        </w:rPr>
        <w:t xml:space="preserve">UPLICATION OR CONFLICTS WITH FEDERAL REGULATIONS </w:t>
      </w:r>
    </w:p>
    <w:p w14:paraId="1DD1FFD2" w14:textId="77777777" w:rsidR="00A23DA3" w:rsidRPr="009529F7" w:rsidRDefault="00A23DA3" w:rsidP="00194C5C">
      <w:pPr>
        <w:rPr>
          <w:rFonts w:ascii="Arial" w:hAnsi="Arial" w:cs="Arial"/>
          <w:b/>
        </w:rPr>
      </w:pPr>
      <w:r w:rsidRPr="009529F7">
        <w:rPr>
          <w:rFonts w:ascii="Arial" w:hAnsi="Arial" w:cs="Arial"/>
        </w:rPr>
        <w:t>Government Code Section 11346.2(b)(</w:t>
      </w:r>
      <w:r w:rsidR="00AB66C7" w:rsidRPr="009529F7">
        <w:rPr>
          <w:rFonts w:ascii="Arial" w:hAnsi="Arial" w:cs="Arial"/>
        </w:rPr>
        <w:t>6</w:t>
      </w:r>
      <w:r w:rsidRPr="009529F7">
        <w:rPr>
          <w:rFonts w:ascii="Arial" w:hAnsi="Arial" w:cs="Arial"/>
        </w:rPr>
        <w:t>)</w:t>
      </w:r>
      <w:r w:rsidR="00105766" w:rsidRPr="009529F7">
        <w:rPr>
          <w:rFonts w:ascii="Arial" w:hAnsi="Arial" w:cs="Arial"/>
        </w:rPr>
        <w:t xml:space="preserve"> </w:t>
      </w:r>
      <w:r w:rsidRPr="009529F7">
        <w:rPr>
          <w:rFonts w:ascii="Arial" w:hAnsi="Arial" w:cs="Arial"/>
        </w:rPr>
        <w:t>requires a department, board, or commission within the Environmental Protection Agency, the Resources Agency, or the Offi</w:t>
      </w:r>
      <w:r w:rsidR="00D55D02" w:rsidRPr="009529F7">
        <w:rPr>
          <w:rFonts w:ascii="Arial" w:hAnsi="Arial" w:cs="Arial"/>
        </w:rPr>
        <w:t>ce of the State Fire Marshal to</w:t>
      </w:r>
      <w:r w:rsidRPr="009529F7">
        <w:rPr>
          <w:rFonts w:ascii="Arial" w:hAnsi="Arial" w:cs="Arial"/>
        </w:rPr>
        <w:t xml:space="preserve"> describe its efforts, in connection with a proposed rulemaking action, to avoid unnecessary duplication or conflicts with federal regulations contained in the Code of Federal Regulatio</w:t>
      </w:r>
      <w:r w:rsidR="00154D19" w:rsidRPr="009529F7">
        <w:rPr>
          <w:rFonts w:ascii="Arial" w:hAnsi="Arial" w:cs="Arial"/>
        </w:rPr>
        <w:t xml:space="preserve">ns addressing the same issues. </w:t>
      </w:r>
      <w:r w:rsidRPr="009529F7">
        <w:rPr>
          <w:rFonts w:ascii="Arial" w:hAnsi="Arial" w:cs="Arial"/>
        </w:rPr>
        <w:t>These agencies may adopt regulations different from these federal regulations upon a finding of one or more of the following justific</w:t>
      </w:r>
      <w:r w:rsidR="00154D19" w:rsidRPr="009529F7">
        <w:rPr>
          <w:rFonts w:ascii="Arial" w:hAnsi="Arial" w:cs="Arial"/>
        </w:rPr>
        <w:t xml:space="preserve">ations: </w:t>
      </w:r>
      <w:r w:rsidRPr="009529F7">
        <w:rPr>
          <w:rFonts w:ascii="Arial" w:hAnsi="Arial" w:cs="Arial"/>
        </w:rPr>
        <w:t>(A) The differing state regulations are authorized by law and/or (B) The cost of differing state regulations is justified by the benefit to human health, public safety, public welfa</w:t>
      </w:r>
      <w:r w:rsidR="00135F2F" w:rsidRPr="009529F7">
        <w:rPr>
          <w:rFonts w:ascii="Arial" w:hAnsi="Arial" w:cs="Arial"/>
        </w:rPr>
        <w:t>re, or the environment.</w:t>
      </w:r>
    </w:p>
    <w:p w14:paraId="1C4FEC24" w14:textId="4FBAD066" w:rsidR="00A23DA3" w:rsidRPr="009529F7" w:rsidRDefault="00EA34DC" w:rsidP="00EA34DC">
      <w:pPr>
        <w:spacing w:before="120"/>
        <w:rPr>
          <w:rFonts w:ascii="Arial" w:hAnsi="Arial" w:cs="Arial"/>
          <w:szCs w:val="24"/>
        </w:rPr>
      </w:pPr>
      <w:r w:rsidRPr="00336520">
        <w:rPr>
          <w:rFonts w:ascii="Arial" w:hAnsi="Arial" w:cs="Arial"/>
          <w:szCs w:val="24"/>
        </w:rPr>
        <w:t>DSA is not affiliated with the EPA, Resources Agency, or OSFM</w:t>
      </w:r>
      <w:r w:rsidR="00641BAB">
        <w:rPr>
          <w:rFonts w:ascii="Arial" w:hAnsi="Arial" w:cs="Arial"/>
          <w:szCs w:val="24"/>
        </w:rPr>
        <w:t>. T</w:t>
      </w:r>
      <w:r w:rsidRPr="00336520">
        <w:rPr>
          <w:rFonts w:ascii="Arial" w:hAnsi="Arial" w:cs="Arial"/>
          <w:szCs w:val="24"/>
        </w:rPr>
        <w:t>hese proposed administrative regulations do not duplicate or conflict with federal regulations.</w:t>
      </w:r>
    </w:p>
    <w:sectPr w:rsidR="00A23DA3" w:rsidRPr="009529F7" w:rsidSect="00B432B6">
      <w:headerReference w:type="default" r:id="rId8"/>
      <w:footerReference w:type="default" r:id="rId9"/>
      <w:endnotePr>
        <w:numFmt w:val="decimal"/>
      </w:endnotePr>
      <w:type w:val="continuous"/>
      <w:pgSz w:w="12240" w:h="15840"/>
      <w:pgMar w:top="1152" w:right="1152" w:bottom="576"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1BE94" w14:textId="77777777" w:rsidR="00052DDF" w:rsidRDefault="00052DDF">
      <w:r>
        <w:separator/>
      </w:r>
    </w:p>
  </w:endnote>
  <w:endnote w:type="continuationSeparator" w:id="0">
    <w:p w14:paraId="060D4046" w14:textId="77777777" w:rsidR="00052DDF" w:rsidRDefault="0005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9E583" w14:textId="77777777" w:rsidR="00497978" w:rsidRDefault="00497978" w:rsidP="00526761">
    <w:pPr>
      <w:pStyle w:val="Footer"/>
      <w:tabs>
        <w:tab w:val="clear" w:pos="4320"/>
        <w:tab w:val="clear" w:pos="8640"/>
        <w:tab w:val="center" w:pos="4698"/>
        <w:tab w:val="right" w:pos="6498"/>
      </w:tabs>
      <w:rPr>
        <w:rFonts w:ascii="Arial" w:hAnsi="Arial" w:cs="Arial"/>
        <w:sz w:val="16"/>
      </w:rPr>
    </w:pPr>
  </w:p>
  <w:p w14:paraId="56F6A562" w14:textId="01E6FD7D" w:rsidR="00497978" w:rsidRPr="00B1767F" w:rsidRDefault="00835CE1" w:rsidP="00497978">
    <w:pPr>
      <w:pStyle w:val="Footer"/>
      <w:tabs>
        <w:tab w:val="clear" w:pos="4320"/>
        <w:tab w:val="clear" w:pos="8640"/>
        <w:tab w:val="right" w:pos="9540"/>
      </w:tabs>
      <w:rPr>
        <w:rFonts w:ascii="Arial" w:hAnsi="Arial" w:cs="Arial"/>
        <w:sz w:val="16"/>
      </w:rPr>
    </w:pPr>
    <w:r>
      <w:rPr>
        <w:rFonts w:ascii="Arial" w:hAnsi="Arial" w:cs="Arial"/>
        <w:sz w:val="16"/>
      </w:rPr>
      <w:t>BSC TP-106 (Rev. 08/</w:t>
    </w:r>
    <w:r w:rsidR="00497978">
      <w:rPr>
        <w:rFonts w:ascii="Arial" w:hAnsi="Arial" w:cs="Arial"/>
        <w:sz w:val="16"/>
      </w:rPr>
      <w:t>19</w:t>
    </w:r>
    <w:r w:rsidR="00497978" w:rsidRPr="00B1767F">
      <w:rPr>
        <w:rFonts w:ascii="Arial" w:hAnsi="Arial" w:cs="Arial"/>
        <w:sz w:val="16"/>
      </w:rPr>
      <w:t>) ISOR</w:t>
    </w:r>
    <w:r w:rsidR="00497978" w:rsidRPr="00B1767F">
      <w:rPr>
        <w:rFonts w:ascii="Arial" w:hAnsi="Arial" w:cs="Arial"/>
        <w:sz w:val="16"/>
      </w:rPr>
      <w:tab/>
    </w:r>
    <w:r w:rsidR="00A318D9">
      <w:rPr>
        <w:rFonts w:ascii="Arial" w:hAnsi="Arial" w:cs="Arial"/>
        <w:sz w:val="16"/>
      </w:rPr>
      <w:t>October 15, 2019</w:t>
    </w:r>
  </w:p>
  <w:p w14:paraId="4F3395CA" w14:textId="46A89C33" w:rsidR="00497978" w:rsidRPr="00B1767F" w:rsidRDefault="00497978" w:rsidP="00497978">
    <w:pPr>
      <w:pStyle w:val="Footer"/>
      <w:tabs>
        <w:tab w:val="clear" w:pos="4320"/>
        <w:tab w:val="clear" w:pos="8640"/>
        <w:tab w:val="center" w:pos="5040"/>
        <w:tab w:val="right" w:pos="9540"/>
      </w:tabs>
      <w:rPr>
        <w:rFonts w:ascii="Arial" w:hAnsi="Arial" w:cs="Arial"/>
        <w:sz w:val="16"/>
      </w:rPr>
    </w:pPr>
    <w:r w:rsidRPr="00B1767F">
      <w:rPr>
        <w:rFonts w:ascii="Arial" w:hAnsi="Arial" w:cs="Arial"/>
        <w:sz w:val="16"/>
      </w:rPr>
      <w:t xml:space="preserve">Part </w:t>
    </w:r>
    <w:r w:rsidR="00005DDD">
      <w:rPr>
        <w:rFonts w:ascii="Arial" w:hAnsi="Arial" w:cs="Arial"/>
        <w:sz w:val="16"/>
      </w:rPr>
      <w:t>1</w:t>
    </w:r>
    <w:r w:rsidRPr="00B1767F">
      <w:rPr>
        <w:rFonts w:ascii="Arial" w:hAnsi="Arial" w:cs="Arial"/>
        <w:sz w:val="16"/>
      </w:rPr>
      <w:t xml:space="preserve"> - </w:t>
    </w:r>
    <w:r w:rsidR="00005DDD">
      <w:rPr>
        <w:rFonts w:ascii="Arial" w:hAnsi="Arial" w:cs="Arial"/>
        <w:sz w:val="16"/>
      </w:rPr>
      <w:t>2019 Inter</w:t>
    </w:r>
    <w:r w:rsidRPr="00B1767F">
      <w:rPr>
        <w:rFonts w:ascii="Arial" w:hAnsi="Arial" w:cs="Arial"/>
        <w:sz w:val="16"/>
      </w:rPr>
      <w:t xml:space="preserve"> Code Cycle</w:t>
    </w:r>
    <w:r w:rsidRPr="00B1767F">
      <w:rPr>
        <w:rFonts w:ascii="Arial" w:hAnsi="Arial" w:cs="Arial"/>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6F6DEB">
      <w:rPr>
        <w:rStyle w:val="PageNumber"/>
        <w:rFonts w:ascii="Arial" w:hAnsi="Arial" w:cs="Arial"/>
        <w:noProof/>
        <w:sz w:val="16"/>
      </w:rPr>
      <w:t>2</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6F6DEB">
      <w:rPr>
        <w:rStyle w:val="PageNumber"/>
        <w:rFonts w:ascii="Arial" w:hAnsi="Arial" w:cs="Arial"/>
        <w:noProof/>
        <w:sz w:val="16"/>
      </w:rPr>
      <w:t>5</w:t>
    </w:r>
    <w:r w:rsidRPr="00B1767F">
      <w:rPr>
        <w:rStyle w:val="PageNumber"/>
        <w:rFonts w:ascii="Arial" w:hAnsi="Arial" w:cs="Arial"/>
        <w:sz w:val="16"/>
      </w:rPr>
      <w:fldChar w:fldCharType="end"/>
    </w:r>
    <w:r w:rsidRPr="00B1767F">
      <w:rPr>
        <w:rFonts w:ascii="Arial" w:hAnsi="Arial" w:cs="Arial"/>
        <w:sz w:val="16"/>
      </w:rPr>
      <w:tab/>
    </w:r>
    <w:r w:rsidR="00A318D9">
      <w:rPr>
        <w:rFonts w:ascii="Arial" w:hAnsi="Arial" w:cs="Arial"/>
        <w:sz w:val="16"/>
      </w:rPr>
      <w:t>Part 1 ISOR</w:t>
    </w:r>
  </w:p>
  <w:p w14:paraId="09064386" w14:textId="77777777" w:rsidR="00497978" w:rsidRPr="00B1767F" w:rsidRDefault="00005DDD" w:rsidP="00497978">
    <w:pPr>
      <w:pStyle w:val="Footer"/>
      <w:tabs>
        <w:tab w:val="clear" w:pos="4320"/>
        <w:tab w:val="clear" w:pos="8640"/>
        <w:tab w:val="center" w:pos="4698"/>
        <w:tab w:val="right" w:pos="9540"/>
      </w:tabs>
      <w:rPr>
        <w:rFonts w:ascii="Arial" w:hAnsi="Arial" w:cs="Arial"/>
        <w:sz w:val="16"/>
      </w:rPr>
    </w:pPr>
    <w:r>
      <w:rPr>
        <w:rFonts w:ascii="Arial" w:hAnsi="Arial" w:cs="Arial"/>
        <w:sz w:val="16"/>
      </w:rPr>
      <w:t>Division of the State Architect</w:t>
    </w:r>
  </w:p>
  <w:p w14:paraId="505916B0" w14:textId="77777777" w:rsidR="00526761" w:rsidRPr="00B1767F" w:rsidRDefault="00526761" w:rsidP="00744F38">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E6FF0" w14:textId="77777777" w:rsidR="00052DDF" w:rsidRDefault="00052DDF">
      <w:r>
        <w:separator/>
      </w:r>
    </w:p>
  </w:footnote>
  <w:footnote w:type="continuationSeparator" w:id="0">
    <w:p w14:paraId="478F7C37" w14:textId="77777777" w:rsidR="00052DDF" w:rsidRDefault="00052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7C4BD" w14:textId="486E96B4" w:rsidR="00082D91" w:rsidRDefault="00082D91" w:rsidP="00082D9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A386B7" w14:textId="77777777" w:rsidR="00082D91" w:rsidRDefault="00082D91" w:rsidP="00082D9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1973DE38" w14:textId="77777777" w:rsidR="00082D91" w:rsidRDefault="00082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476A6"/>
    <w:multiLevelType w:val="hybridMultilevel"/>
    <w:tmpl w:val="D004D4B6"/>
    <w:lvl w:ilvl="0" w:tplc="F8081224">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26"/>
    <w:rsid w:val="00001750"/>
    <w:rsid w:val="00005DDD"/>
    <w:rsid w:val="00020408"/>
    <w:rsid w:val="00052DDF"/>
    <w:rsid w:val="000564D1"/>
    <w:rsid w:val="00065AE4"/>
    <w:rsid w:val="000677F0"/>
    <w:rsid w:val="00072A18"/>
    <w:rsid w:val="00082D91"/>
    <w:rsid w:val="00084066"/>
    <w:rsid w:val="000C1E80"/>
    <w:rsid w:val="000D634A"/>
    <w:rsid w:val="000F123E"/>
    <w:rsid w:val="00105766"/>
    <w:rsid w:val="00130778"/>
    <w:rsid w:val="00135F2F"/>
    <w:rsid w:val="00136737"/>
    <w:rsid w:val="00151926"/>
    <w:rsid w:val="00154D19"/>
    <w:rsid w:val="00155EB7"/>
    <w:rsid w:val="00167807"/>
    <w:rsid w:val="001700E1"/>
    <w:rsid w:val="00183901"/>
    <w:rsid w:val="00194C5C"/>
    <w:rsid w:val="001A37EE"/>
    <w:rsid w:val="001B0D8D"/>
    <w:rsid w:val="001B658D"/>
    <w:rsid w:val="001C33AD"/>
    <w:rsid w:val="001C573D"/>
    <w:rsid w:val="001F6DA1"/>
    <w:rsid w:val="00200AB9"/>
    <w:rsid w:val="0022095A"/>
    <w:rsid w:val="00242B2F"/>
    <w:rsid w:val="002439C7"/>
    <w:rsid w:val="00251E64"/>
    <w:rsid w:val="00262613"/>
    <w:rsid w:val="00264F6E"/>
    <w:rsid w:val="00273063"/>
    <w:rsid w:val="002942D4"/>
    <w:rsid w:val="002A3AFD"/>
    <w:rsid w:val="002B7EEE"/>
    <w:rsid w:val="002C3BB1"/>
    <w:rsid w:val="002C62AE"/>
    <w:rsid w:val="002F042A"/>
    <w:rsid w:val="003102CA"/>
    <w:rsid w:val="00331C6A"/>
    <w:rsid w:val="00336520"/>
    <w:rsid w:val="00342E48"/>
    <w:rsid w:val="00351E40"/>
    <w:rsid w:val="00354375"/>
    <w:rsid w:val="00380249"/>
    <w:rsid w:val="00383163"/>
    <w:rsid w:val="00387742"/>
    <w:rsid w:val="00390259"/>
    <w:rsid w:val="00391483"/>
    <w:rsid w:val="003B191B"/>
    <w:rsid w:val="003B5B3A"/>
    <w:rsid w:val="003E17C4"/>
    <w:rsid w:val="003E1B3A"/>
    <w:rsid w:val="004069CE"/>
    <w:rsid w:val="00412FEA"/>
    <w:rsid w:val="004155ED"/>
    <w:rsid w:val="00427670"/>
    <w:rsid w:val="00452D33"/>
    <w:rsid w:val="004531E4"/>
    <w:rsid w:val="004539C8"/>
    <w:rsid w:val="00454727"/>
    <w:rsid w:val="00457339"/>
    <w:rsid w:val="0046522E"/>
    <w:rsid w:val="004829F2"/>
    <w:rsid w:val="00497978"/>
    <w:rsid w:val="004A0868"/>
    <w:rsid w:val="004A5A14"/>
    <w:rsid w:val="004A7901"/>
    <w:rsid w:val="004D4139"/>
    <w:rsid w:val="00510ECB"/>
    <w:rsid w:val="005246F1"/>
    <w:rsid w:val="00526761"/>
    <w:rsid w:val="005305E5"/>
    <w:rsid w:val="00534E76"/>
    <w:rsid w:val="0054032A"/>
    <w:rsid w:val="00565942"/>
    <w:rsid w:val="005770A0"/>
    <w:rsid w:val="00591BC3"/>
    <w:rsid w:val="0059713C"/>
    <w:rsid w:val="005A123F"/>
    <w:rsid w:val="005A1D22"/>
    <w:rsid w:val="005C04E7"/>
    <w:rsid w:val="005C7A09"/>
    <w:rsid w:val="005F4B55"/>
    <w:rsid w:val="006105F7"/>
    <w:rsid w:val="00630100"/>
    <w:rsid w:val="00641BAB"/>
    <w:rsid w:val="006470E4"/>
    <w:rsid w:val="00650F28"/>
    <w:rsid w:val="00685FA3"/>
    <w:rsid w:val="006917E5"/>
    <w:rsid w:val="00695A52"/>
    <w:rsid w:val="006B3837"/>
    <w:rsid w:val="006B4454"/>
    <w:rsid w:val="006B6585"/>
    <w:rsid w:val="006B684C"/>
    <w:rsid w:val="006D56D4"/>
    <w:rsid w:val="006F6DEB"/>
    <w:rsid w:val="00716FFE"/>
    <w:rsid w:val="00744F38"/>
    <w:rsid w:val="00760CB3"/>
    <w:rsid w:val="007630EA"/>
    <w:rsid w:val="00783D5D"/>
    <w:rsid w:val="00784475"/>
    <w:rsid w:val="00787198"/>
    <w:rsid w:val="00796EC6"/>
    <w:rsid w:val="007C6E8A"/>
    <w:rsid w:val="007E66E3"/>
    <w:rsid w:val="008058E2"/>
    <w:rsid w:val="00813B91"/>
    <w:rsid w:val="00823C88"/>
    <w:rsid w:val="00835CE1"/>
    <w:rsid w:val="00841A55"/>
    <w:rsid w:val="00855D80"/>
    <w:rsid w:val="0086343C"/>
    <w:rsid w:val="00870047"/>
    <w:rsid w:val="008714C7"/>
    <w:rsid w:val="00874A25"/>
    <w:rsid w:val="008A2BB0"/>
    <w:rsid w:val="008B644B"/>
    <w:rsid w:val="008E24F9"/>
    <w:rsid w:val="008F41DD"/>
    <w:rsid w:val="00903C52"/>
    <w:rsid w:val="00907981"/>
    <w:rsid w:val="009307C7"/>
    <w:rsid w:val="0093291D"/>
    <w:rsid w:val="009529F7"/>
    <w:rsid w:val="00953053"/>
    <w:rsid w:val="0098606F"/>
    <w:rsid w:val="009868CC"/>
    <w:rsid w:val="0099316F"/>
    <w:rsid w:val="009B2939"/>
    <w:rsid w:val="009B40E8"/>
    <w:rsid w:val="009C2C3A"/>
    <w:rsid w:val="009C6F67"/>
    <w:rsid w:val="009E48DF"/>
    <w:rsid w:val="009F4C5C"/>
    <w:rsid w:val="00A202B2"/>
    <w:rsid w:val="00A2192A"/>
    <w:rsid w:val="00A23DA3"/>
    <w:rsid w:val="00A318D9"/>
    <w:rsid w:val="00A35DDB"/>
    <w:rsid w:val="00A60064"/>
    <w:rsid w:val="00A622AA"/>
    <w:rsid w:val="00AA13E2"/>
    <w:rsid w:val="00AA7BC9"/>
    <w:rsid w:val="00AB66C7"/>
    <w:rsid w:val="00AB78E8"/>
    <w:rsid w:val="00AE2F87"/>
    <w:rsid w:val="00B00EAD"/>
    <w:rsid w:val="00B03176"/>
    <w:rsid w:val="00B17364"/>
    <w:rsid w:val="00B1767F"/>
    <w:rsid w:val="00B20D7A"/>
    <w:rsid w:val="00B25FCF"/>
    <w:rsid w:val="00B432B6"/>
    <w:rsid w:val="00B44627"/>
    <w:rsid w:val="00B46C0C"/>
    <w:rsid w:val="00B53E85"/>
    <w:rsid w:val="00B55D89"/>
    <w:rsid w:val="00B72672"/>
    <w:rsid w:val="00B91C93"/>
    <w:rsid w:val="00B93094"/>
    <w:rsid w:val="00B930B0"/>
    <w:rsid w:val="00BD27E3"/>
    <w:rsid w:val="00BD4FBD"/>
    <w:rsid w:val="00BD7E10"/>
    <w:rsid w:val="00C039D6"/>
    <w:rsid w:val="00C12A96"/>
    <w:rsid w:val="00C43C0B"/>
    <w:rsid w:val="00C47EC4"/>
    <w:rsid w:val="00C573EA"/>
    <w:rsid w:val="00C610C8"/>
    <w:rsid w:val="00C97E27"/>
    <w:rsid w:val="00CA152B"/>
    <w:rsid w:val="00CA5AEE"/>
    <w:rsid w:val="00CB1ED6"/>
    <w:rsid w:val="00CB6FCC"/>
    <w:rsid w:val="00CC32DE"/>
    <w:rsid w:val="00CF4738"/>
    <w:rsid w:val="00CF6F40"/>
    <w:rsid w:val="00CF71A6"/>
    <w:rsid w:val="00D0381E"/>
    <w:rsid w:val="00D102F8"/>
    <w:rsid w:val="00D1097D"/>
    <w:rsid w:val="00D2228A"/>
    <w:rsid w:val="00D277E1"/>
    <w:rsid w:val="00D55D02"/>
    <w:rsid w:val="00D5798C"/>
    <w:rsid w:val="00D62908"/>
    <w:rsid w:val="00D7617D"/>
    <w:rsid w:val="00D9456B"/>
    <w:rsid w:val="00DA7D04"/>
    <w:rsid w:val="00E0268C"/>
    <w:rsid w:val="00E05A74"/>
    <w:rsid w:val="00E7437B"/>
    <w:rsid w:val="00E80AB0"/>
    <w:rsid w:val="00EA34DC"/>
    <w:rsid w:val="00EC53F9"/>
    <w:rsid w:val="00EC59F2"/>
    <w:rsid w:val="00ED1B14"/>
    <w:rsid w:val="00ED2287"/>
    <w:rsid w:val="00ED6220"/>
    <w:rsid w:val="00EE45FC"/>
    <w:rsid w:val="00EE794D"/>
    <w:rsid w:val="00F21C7A"/>
    <w:rsid w:val="00F239B9"/>
    <w:rsid w:val="00F516BD"/>
    <w:rsid w:val="00F60474"/>
    <w:rsid w:val="00F71AAE"/>
    <w:rsid w:val="00F83764"/>
    <w:rsid w:val="00F86CA3"/>
    <w:rsid w:val="00FB4B99"/>
    <w:rsid w:val="00FC1CEF"/>
    <w:rsid w:val="00FD7454"/>
    <w:rsid w:val="00FD7AB9"/>
    <w:rsid w:val="00FE0116"/>
    <w:rsid w:val="00FE76EE"/>
    <w:rsid w:val="5F1A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A0C5A8"/>
  <w15:docId w15:val="{5A74A5EC-5845-4559-B180-28016D3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DDB"/>
    <w:pPr>
      <w:widowControl w:val="0"/>
    </w:pPr>
    <w:rPr>
      <w:rFonts w:ascii="Helvetica" w:hAnsi="Helvetica"/>
      <w:snapToGrid w:val="0"/>
      <w:sz w:val="24"/>
    </w:rPr>
  </w:style>
  <w:style w:type="paragraph" w:styleId="Heading1">
    <w:name w:val="heading 1"/>
    <w:basedOn w:val="Normal"/>
    <w:next w:val="Normal"/>
    <w:qFormat/>
    <w:rsid w:val="00AE2F87"/>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1B0D8D"/>
    <w:pPr>
      <w:keepNext/>
      <w:widowControl/>
      <w:spacing w:before="240" w:after="120"/>
      <w:outlineLvl w:val="1"/>
    </w:pPr>
    <w:rPr>
      <w:rFonts w:ascii="Arial" w:hAnsi="Arial"/>
      <w:b/>
    </w:rPr>
  </w:style>
  <w:style w:type="paragraph" w:styleId="Heading3">
    <w:name w:val="heading 3"/>
    <w:basedOn w:val="Normal"/>
    <w:next w:val="Normal"/>
    <w:qFormat/>
    <w:pPr>
      <w:keepNext/>
      <w:widowControl/>
      <w:tabs>
        <w:tab w:val="center" w:pos="4680"/>
      </w:tabs>
      <w:jc w:val="center"/>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widowControl/>
    </w:pPr>
    <w:rPr>
      <w:rFonts w:ascii="Arial" w:hAnsi="Arial"/>
      <w:b/>
      <w:sz w:val="20"/>
      <w:u w:val="single"/>
    </w:rPr>
  </w:style>
  <w:style w:type="paragraph" w:styleId="BodyText2">
    <w:name w:val="Body Text 2"/>
    <w:basedOn w:val="Normal"/>
    <w:semiHidden/>
    <w:pPr>
      <w:widowControl/>
    </w:pPr>
    <w:rPr>
      <w:rFonts w:ascii="Arial" w:hAnsi="Arial"/>
      <w:b/>
      <w:sz w:val="20"/>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widowControl/>
      <w:jc w:val="both"/>
    </w:pPr>
    <w:rPr>
      <w:rFonts w:ascii="Arial" w:hAnsi="Arial"/>
      <w:sz w:val="20"/>
    </w:rPr>
  </w:style>
  <w:style w:type="paragraph" w:styleId="Title">
    <w:name w:val="Title"/>
    <w:basedOn w:val="Normal"/>
    <w:qFormat/>
    <w:rsid w:val="00387742"/>
    <w:pPr>
      <w:widowControl/>
      <w:tabs>
        <w:tab w:val="center" w:pos="4680"/>
      </w:tabs>
      <w:jc w:val="center"/>
    </w:pPr>
    <w:rPr>
      <w:rFonts w:ascii="Arial" w:hAnsi="Arial"/>
      <w:b/>
      <w:bCs/>
    </w:rPr>
  </w:style>
  <w:style w:type="paragraph" w:styleId="BalloonText">
    <w:name w:val="Balloon Text"/>
    <w:basedOn w:val="Normal"/>
    <w:link w:val="BalloonTextChar"/>
    <w:uiPriority w:val="99"/>
    <w:semiHidden/>
    <w:unhideWhenUsed/>
    <w:rsid w:val="002B7EEE"/>
    <w:rPr>
      <w:rFonts w:ascii="Tahoma" w:hAnsi="Tahoma" w:cs="Tahoma"/>
      <w:sz w:val="16"/>
      <w:szCs w:val="16"/>
    </w:rPr>
  </w:style>
  <w:style w:type="character" w:customStyle="1" w:styleId="BalloonTextChar">
    <w:name w:val="Balloon Text Char"/>
    <w:link w:val="BalloonText"/>
    <w:uiPriority w:val="99"/>
    <w:semiHidden/>
    <w:rsid w:val="002B7EEE"/>
    <w:rPr>
      <w:rFonts w:ascii="Tahoma" w:hAnsi="Tahoma" w:cs="Tahoma"/>
      <w:snapToGrid w:val="0"/>
      <w:sz w:val="16"/>
      <w:szCs w:val="16"/>
    </w:rPr>
  </w:style>
  <w:style w:type="character" w:customStyle="1" w:styleId="HeaderChar">
    <w:name w:val="Header Char"/>
    <w:link w:val="Header"/>
    <w:semiHidden/>
    <w:rsid w:val="00082D91"/>
    <w:rPr>
      <w:rFonts w:ascii="Helvetica" w:hAnsi="Helvetica"/>
      <w:snapToGrid w:val="0"/>
      <w:sz w:val="24"/>
    </w:rPr>
  </w:style>
  <w:style w:type="paragraph" w:styleId="ListParagraph">
    <w:name w:val="List Paragraph"/>
    <w:basedOn w:val="Normal"/>
    <w:uiPriority w:val="34"/>
    <w:qFormat/>
    <w:rsid w:val="00194C5C"/>
    <w:pPr>
      <w:ind w:left="720"/>
      <w:contextualSpacing/>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Helvetica" w:hAnsi="Helvetica"/>
      <w:snapToGrid w:val="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5738">
      <w:bodyDiv w:val="1"/>
      <w:marLeft w:val="0"/>
      <w:marRight w:val="0"/>
      <w:marTop w:val="0"/>
      <w:marBottom w:val="0"/>
      <w:divBdr>
        <w:top w:val="none" w:sz="0" w:space="0" w:color="auto"/>
        <w:left w:val="none" w:sz="0" w:space="0" w:color="auto"/>
        <w:bottom w:val="none" w:sz="0" w:space="0" w:color="auto"/>
        <w:right w:val="none" w:sz="0" w:space="0" w:color="auto"/>
      </w:divBdr>
    </w:div>
    <w:div w:id="1116365652">
      <w:bodyDiv w:val="1"/>
      <w:marLeft w:val="0"/>
      <w:marRight w:val="0"/>
      <w:marTop w:val="390"/>
      <w:marBottom w:val="0"/>
      <w:divBdr>
        <w:top w:val="none" w:sz="0" w:space="0" w:color="auto"/>
        <w:left w:val="none" w:sz="0" w:space="0" w:color="auto"/>
        <w:bottom w:val="none" w:sz="0" w:space="0" w:color="auto"/>
        <w:right w:val="none" w:sz="0" w:space="0" w:color="auto"/>
      </w:divBdr>
      <w:divsChild>
        <w:div w:id="2087140346">
          <w:marLeft w:val="0"/>
          <w:marRight w:val="0"/>
          <w:marTop w:val="0"/>
          <w:marBottom w:val="0"/>
          <w:divBdr>
            <w:top w:val="none" w:sz="0" w:space="0" w:color="auto"/>
            <w:left w:val="none" w:sz="0" w:space="0" w:color="auto"/>
            <w:bottom w:val="none" w:sz="0" w:space="0" w:color="auto"/>
            <w:right w:val="none" w:sz="0" w:space="0" w:color="auto"/>
          </w:divBdr>
          <w:divsChild>
            <w:div w:id="1062677380">
              <w:marLeft w:val="0"/>
              <w:marRight w:val="0"/>
              <w:marTop w:val="0"/>
              <w:marBottom w:val="0"/>
              <w:divBdr>
                <w:top w:val="none" w:sz="0" w:space="0" w:color="auto"/>
                <w:left w:val="none" w:sz="0" w:space="0" w:color="auto"/>
                <w:bottom w:val="none" w:sz="0" w:space="0" w:color="auto"/>
                <w:right w:val="none" w:sz="0" w:space="0" w:color="auto"/>
              </w:divBdr>
              <w:divsChild>
                <w:div w:id="1306276208">
                  <w:marLeft w:val="0"/>
                  <w:marRight w:val="0"/>
                  <w:marTop w:val="0"/>
                  <w:marBottom w:val="0"/>
                  <w:divBdr>
                    <w:top w:val="none" w:sz="0" w:space="0" w:color="auto"/>
                    <w:left w:val="none" w:sz="0" w:space="0" w:color="auto"/>
                    <w:bottom w:val="none" w:sz="0" w:space="0" w:color="auto"/>
                    <w:right w:val="none" w:sz="0" w:space="0" w:color="auto"/>
                  </w:divBdr>
                  <w:divsChild>
                    <w:div w:id="683559416">
                      <w:marLeft w:val="0"/>
                      <w:marRight w:val="0"/>
                      <w:marTop w:val="0"/>
                      <w:marBottom w:val="0"/>
                      <w:divBdr>
                        <w:top w:val="none" w:sz="0" w:space="0" w:color="auto"/>
                        <w:left w:val="none" w:sz="0" w:space="0" w:color="auto"/>
                        <w:bottom w:val="none" w:sz="0" w:space="0" w:color="auto"/>
                        <w:right w:val="none" w:sz="0" w:space="0" w:color="auto"/>
                      </w:divBdr>
                      <w:divsChild>
                        <w:div w:id="233588495">
                          <w:marLeft w:val="0"/>
                          <w:marRight w:val="0"/>
                          <w:marTop w:val="0"/>
                          <w:marBottom w:val="0"/>
                          <w:divBdr>
                            <w:top w:val="none" w:sz="0" w:space="0" w:color="auto"/>
                            <w:left w:val="none" w:sz="0" w:space="0" w:color="auto"/>
                            <w:bottom w:val="none" w:sz="0" w:space="0" w:color="auto"/>
                            <w:right w:val="none" w:sz="0" w:space="0" w:color="auto"/>
                          </w:divBdr>
                          <w:divsChild>
                            <w:div w:id="32073295">
                              <w:marLeft w:val="0"/>
                              <w:marRight w:val="0"/>
                              <w:marTop w:val="0"/>
                              <w:marBottom w:val="0"/>
                              <w:divBdr>
                                <w:top w:val="none" w:sz="0" w:space="0" w:color="auto"/>
                                <w:left w:val="none" w:sz="0" w:space="0" w:color="auto"/>
                                <w:bottom w:val="none" w:sz="0" w:space="0" w:color="auto"/>
                                <w:right w:val="none" w:sz="0" w:space="0" w:color="auto"/>
                              </w:divBdr>
                              <w:divsChild>
                                <w:div w:id="1555039239">
                                  <w:marLeft w:val="0"/>
                                  <w:marRight w:val="0"/>
                                  <w:marTop w:val="0"/>
                                  <w:marBottom w:val="0"/>
                                  <w:divBdr>
                                    <w:top w:val="none" w:sz="0" w:space="0" w:color="auto"/>
                                    <w:left w:val="none" w:sz="0" w:space="0" w:color="auto"/>
                                    <w:bottom w:val="none" w:sz="0" w:space="0" w:color="auto"/>
                                    <w:right w:val="none" w:sz="0" w:space="0" w:color="auto"/>
                                  </w:divBdr>
                                  <w:divsChild>
                                    <w:div w:id="1323392032">
                                      <w:marLeft w:val="0"/>
                                      <w:marRight w:val="0"/>
                                      <w:marTop w:val="0"/>
                                      <w:marBottom w:val="0"/>
                                      <w:divBdr>
                                        <w:top w:val="none" w:sz="0" w:space="0" w:color="auto"/>
                                        <w:left w:val="none" w:sz="0" w:space="0" w:color="auto"/>
                                        <w:bottom w:val="none" w:sz="0" w:space="0" w:color="auto"/>
                                        <w:right w:val="none" w:sz="0" w:space="0" w:color="auto"/>
                                      </w:divBdr>
                                      <w:divsChild>
                                        <w:div w:id="246231610">
                                          <w:marLeft w:val="0"/>
                                          <w:marRight w:val="0"/>
                                          <w:marTop w:val="0"/>
                                          <w:marBottom w:val="240"/>
                                          <w:divBdr>
                                            <w:top w:val="none" w:sz="0" w:space="0" w:color="auto"/>
                                            <w:left w:val="none" w:sz="0" w:space="0" w:color="auto"/>
                                            <w:bottom w:val="none" w:sz="0" w:space="0" w:color="auto"/>
                                            <w:right w:val="none" w:sz="0" w:space="0" w:color="auto"/>
                                          </w:divBdr>
                                        </w:div>
                                        <w:div w:id="18867949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754362">
      <w:bodyDiv w:val="1"/>
      <w:marLeft w:val="0"/>
      <w:marRight w:val="0"/>
      <w:marTop w:val="0"/>
      <w:marBottom w:val="0"/>
      <w:divBdr>
        <w:top w:val="none" w:sz="0" w:space="0" w:color="auto"/>
        <w:left w:val="none" w:sz="0" w:space="0" w:color="auto"/>
        <w:bottom w:val="none" w:sz="0" w:space="0" w:color="auto"/>
        <w:right w:val="none" w:sz="0" w:space="0" w:color="auto"/>
      </w:divBdr>
    </w:div>
    <w:div w:id="16438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1356B-7CFB-4995-968D-608C1207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1713</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Part 1: ISOR</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ISOR</dc:title>
  <dc:creator>Divsion of the State Architect</dc:creator>
  <cp:lastModifiedBy>Davis, Mariah@DGS</cp:lastModifiedBy>
  <cp:revision>5</cp:revision>
  <cp:lastPrinted>2019-10-15T18:03:00Z</cp:lastPrinted>
  <dcterms:created xsi:type="dcterms:W3CDTF">2019-11-01T21:45:00Z</dcterms:created>
  <dcterms:modified xsi:type="dcterms:W3CDTF">2019-11-05T23:33:00Z</dcterms:modified>
</cp:coreProperties>
</file>