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D7F0" w14:textId="77777777" w:rsidR="0098188F" w:rsidRPr="0014602D" w:rsidRDefault="00CE616C" w:rsidP="00C84472">
      <w:pPr>
        <w:pStyle w:val="H1"/>
        <w:rPr>
          <w:rStyle w:val="IntenseReference"/>
          <w:bCs w:val="0"/>
          <w:smallCaps w:val="0"/>
          <w:color w:val="auto"/>
          <w:spacing w:val="0"/>
          <w:sz w:val="36"/>
          <w:lang w:eastAsia="zh-CN"/>
        </w:rPr>
      </w:pPr>
      <w:r w:rsidRPr="00CE616C">
        <w:rPr>
          <w:rStyle w:val="IntenseReference"/>
          <w:rFonts w:eastAsia="PMingLiU" w:hint="eastAsia"/>
          <w:bCs w:val="0"/>
          <w:smallCaps w:val="0"/>
          <w:color w:val="auto"/>
          <w:spacing w:val="0"/>
          <w:sz w:val="36"/>
          <w:lang w:eastAsia="zh-TW"/>
        </w:rPr>
        <w:t>營業執照及商業建築許可</w:t>
      </w:r>
      <w:r w:rsidR="008E25C6" w:rsidRPr="00C84472">
        <w:rPr>
          <w:rStyle w:val="IntenseReference"/>
          <w:b w:val="0"/>
          <w:bCs w:val="0"/>
          <w:smallCaps w:val="0"/>
          <w:color w:val="auto"/>
          <w:spacing w:val="0"/>
          <w:sz w:val="36"/>
        </w:rPr>
        <w:br/>
      </w:r>
      <w:r w:rsidRPr="00CE616C">
        <w:rPr>
          <w:rStyle w:val="IntenseReference"/>
          <w:rFonts w:eastAsia="PMingLiU" w:hint="eastAsia"/>
          <w:bCs w:val="0"/>
          <w:smallCaps w:val="0"/>
          <w:color w:val="auto"/>
          <w:spacing w:val="0"/>
          <w:sz w:val="36"/>
          <w:lang w:eastAsia="zh-TW"/>
        </w:rPr>
        <w:t>申請人須知：</w:t>
      </w:r>
    </w:p>
    <w:p w14:paraId="0FD0C67E" w14:textId="77777777" w:rsidR="00C52086" w:rsidRPr="00250035" w:rsidRDefault="00CE616C" w:rsidP="008B47CB">
      <w:pPr>
        <w:pStyle w:val="Body"/>
        <w:ind w:firstLineChars="200" w:firstLine="440"/>
        <w:rPr>
          <w:lang w:eastAsia="zh-CN"/>
        </w:rPr>
      </w:pPr>
      <w:r w:rsidRPr="00CE616C">
        <w:rPr>
          <w:rFonts w:eastAsia="PMingLiU" w:hint="eastAsia"/>
          <w:lang w:eastAsia="zh-TW"/>
        </w:rPr>
        <w:t>根據</w:t>
      </w:r>
      <w:bookmarkStart w:id="0" w:name="OLE_LINK20"/>
      <w:bookmarkStart w:id="1" w:name="OLE_LINK21"/>
      <w:r w:rsidRPr="00CE616C">
        <w:rPr>
          <w:rFonts w:eastAsia="PMingLiU" w:hint="eastAsia"/>
          <w:lang w:eastAsia="zh-TW"/>
        </w:rPr>
        <w:t>聯邦及州法律</w:t>
      </w:r>
      <w:bookmarkEnd w:id="0"/>
      <w:bookmarkEnd w:id="1"/>
      <w:r w:rsidRPr="00CE616C">
        <w:rPr>
          <w:rFonts w:eastAsia="PMingLiU" w:hint="eastAsia"/>
          <w:lang w:eastAsia="zh-TW"/>
        </w:rPr>
        <w:t>，所有</w:t>
      </w:r>
      <w:r w:rsidR="001F1BA9">
        <w:rPr>
          <w:rFonts w:hint="eastAsia"/>
          <w:lang w:eastAsia="zh-CN"/>
        </w:rPr>
        <w:t>加利福尼亞州</w:t>
      </w:r>
      <w:r w:rsidRPr="00CE616C">
        <w:rPr>
          <w:rFonts w:eastAsia="PMingLiU" w:hint="eastAsia"/>
          <w:lang w:eastAsia="zh-TW"/>
        </w:rPr>
        <w:t>建築物業主與對公眾開放的建築的租戶應遵守殘疾人無障礙法規，此為一項嚴肅且重要的義務。您可在如下機構查看有關法律義務及殘疾人無障礙法規的相關資訊：</w:t>
      </w:r>
    </w:p>
    <w:p w14:paraId="575B7B02" w14:textId="77777777" w:rsidR="00CD4B26" w:rsidRDefault="00CD4B26" w:rsidP="00A45FF9">
      <w:pPr>
        <w:pStyle w:val="Body"/>
        <w:rPr>
          <w:rStyle w:val="Strong"/>
          <w:b w:val="0"/>
          <w:bCs w:val="0"/>
          <w:lang w:eastAsia="zh-CN"/>
        </w:rPr>
        <w:sectPr w:rsidR="00CD4B26" w:rsidSect="0098188F">
          <w:headerReference w:type="default" r:id="rId8"/>
          <w:footerReference w:type="default" r:id="rId9"/>
          <w:pgSz w:w="12240" w:h="15840"/>
          <w:pgMar w:top="1505" w:right="1886" w:bottom="907" w:left="1886" w:header="1354" w:footer="720" w:gutter="0"/>
          <w:cols w:space="720"/>
          <w:docGrid w:linePitch="360"/>
        </w:sectPr>
      </w:pPr>
    </w:p>
    <w:p w14:paraId="6B8ACE25" w14:textId="77777777" w:rsidR="00BC2E09" w:rsidRPr="00D733C4" w:rsidRDefault="00CE616C" w:rsidP="0098188F">
      <w:pPr>
        <w:pStyle w:val="Body"/>
        <w:jc w:val="center"/>
        <w:rPr>
          <w:rStyle w:val="Strong"/>
          <w:b w:val="0"/>
          <w:bCs w:val="0"/>
          <w:lang w:eastAsia="zh-CN"/>
        </w:rPr>
      </w:pPr>
      <w:r w:rsidRPr="00CE616C">
        <w:rPr>
          <w:rStyle w:val="Strong"/>
          <w:rFonts w:eastAsia="PMingLiU" w:hint="eastAsia"/>
          <w:b w:val="0"/>
          <w:bCs w:val="0"/>
          <w:lang w:eastAsia="zh-TW"/>
        </w:rPr>
        <w:t>常規業務部，</w:t>
      </w:r>
      <w:r w:rsidR="008E25C6" w:rsidRPr="00D733C4">
        <w:rPr>
          <w:lang w:eastAsia="zh-TW"/>
        </w:rPr>
        <w:br/>
      </w:r>
      <w:r w:rsidRPr="00CE616C">
        <w:rPr>
          <w:rFonts w:eastAsia="PMingLiU" w:hint="eastAsia"/>
          <w:lang w:eastAsia="zh-TW"/>
        </w:rPr>
        <w:t>州</w:t>
      </w:r>
      <w:r w:rsidRPr="00CE616C">
        <w:rPr>
          <w:rStyle w:val="Strong"/>
          <w:rFonts w:eastAsia="PMingLiU" w:hint="eastAsia"/>
          <w:b w:val="0"/>
          <w:bCs w:val="0"/>
          <w:lang w:eastAsia="zh-TW"/>
        </w:rPr>
        <w:t>建築科</w:t>
      </w:r>
      <w:r w:rsidRPr="00CE616C">
        <w:rPr>
          <w:rStyle w:val="Strong"/>
          <w:rFonts w:eastAsia="PMingLiU"/>
          <w:b w:val="0"/>
          <w:bCs w:val="0"/>
          <w:lang w:eastAsia="zh-TW"/>
        </w:rPr>
        <w:t>, CASp</w:t>
      </w:r>
      <w:r w:rsidRPr="00CE616C">
        <w:rPr>
          <w:rStyle w:val="Strong"/>
          <w:rFonts w:eastAsia="PMingLiU" w:hint="eastAsia"/>
          <w:b w:val="0"/>
          <w:bCs w:val="0"/>
          <w:lang w:eastAsia="zh-TW"/>
        </w:rPr>
        <w:t>計畫</w:t>
      </w:r>
    </w:p>
    <w:p w14:paraId="47135A27" w14:textId="7932496D" w:rsidR="00BC2E09" w:rsidRPr="00D14D10" w:rsidRDefault="00CE616C" w:rsidP="0098188F">
      <w:pPr>
        <w:pStyle w:val="Links"/>
        <w:suppressAutoHyphens/>
        <w:spacing w:line="360" w:lineRule="auto"/>
      </w:pPr>
      <w:hyperlink r:id="rId10" w:history="1">
        <w:r w:rsidRPr="00CE616C">
          <w:rPr>
            <w:rFonts w:eastAsia="PMingLiU"/>
            <w:lang w:eastAsia="zh-TW"/>
          </w:rPr>
          <w:t>www.dgs.ca.gov/dsa</w:t>
        </w:r>
      </w:hyperlink>
      <w:r w:rsidR="00D14D10" w:rsidRPr="00D14D10">
        <w:br/>
      </w:r>
      <w:hyperlink r:id="rId11" w:history="1">
        <w:r w:rsidR="00825776" w:rsidRPr="00825776">
          <w:rPr>
            <w:rStyle w:val="Hyperlink"/>
          </w:rPr>
          <w:t>www.dgs.ca.gov/DSA/Resources/CASp-Property-Inspection</w:t>
        </w:r>
      </w:hyperlink>
    </w:p>
    <w:p w14:paraId="4C76559F" w14:textId="77777777" w:rsidR="00BC2E09" w:rsidRPr="00D733C4" w:rsidRDefault="00CE616C" w:rsidP="0098188F">
      <w:pPr>
        <w:pStyle w:val="Body"/>
        <w:jc w:val="center"/>
        <w:rPr>
          <w:lang w:eastAsia="zh-CN"/>
        </w:rPr>
      </w:pPr>
      <w:r w:rsidRPr="00CE616C">
        <w:rPr>
          <w:rFonts w:eastAsia="PMingLiU" w:hint="eastAsia"/>
          <w:lang w:eastAsia="zh-TW"/>
        </w:rPr>
        <w:t>康復部</w:t>
      </w:r>
      <w:r w:rsidR="007709CF" w:rsidRPr="00D733C4">
        <w:rPr>
          <w:lang w:eastAsia="zh-CN"/>
        </w:rPr>
        <w:br/>
      </w:r>
      <w:r w:rsidRPr="00CE616C">
        <w:rPr>
          <w:rFonts w:eastAsia="PMingLiU" w:hint="eastAsia"/>
          <w:lang w:eastAsia="zh-TW"/>
        </w:rPr>
        <w:t>殘疾人無障礙服務</w:t>
      </w:r>
    </w:p>
    <w:p w14:paraId="329FE2AC" w14:textId="0C9A6CD0" w:rsidR="00D11946" w:rsidRPr="00D11946" w:rsidRDefault="00D11946" w:rsidP="00D11946">
      <w:pPr>
        <w:pStyle w:val="Body"/>
        <w:jc w:val="center"/>
      </w:pPr>
      <w:hyperlink r:id="rId12" w:history="1">
        <w:r>
          <w:rPr>
            <w:rStyle w:val="Hyperlink"/>
          </w:rPr>
          <w:t>www.dor.ca.gov/</w:t>
        </w:r>
      </w:hyperlink>
    </w:p>
    <w:p w14:paraId="394D2170" w14:textId="06BD2E6B" w:rsidR="00CD4B26" w:rsidRDefault="008D395A" w:rsidP="001765AB">
      <w:pPr>
        <w:suppressAutoHyphens/>
        <w:jc w:val="center"/>
      </w:pPr>
      <w:hyperlink r:id="rId13" w:history="1">
        <w:r w:rsidRPr="00502A1C">
          <w:rPr>
            <w:rStyle w:val="Hyperlink"/>
            <w:rFonts w:asciiTheme="minorHAnsi" w:hAnsiTheme="minorHAnsi"/>
          </w:rPr>
          <w:t>https://dor.ca.gov/Home/DAS</w:t>
        </w:r>
      </w:hyperlink>
      <w:r>
        <w:t xml:space="preserve"> </w:t>
      </w:r>
      <w:hyperlink r:id="rId14" w:history="1"/>
      <w:hyperlink r:id="rId15" w:history="1"/>
    </w:p>
    <w:p w14:paraId="5F0898C8" w14:textId="77777777" w:rsidR="001765AB" w:rsidRPr="007709CF" w:rsidRDefault="00CE616C" w:rsidP="001765AB">
      <w:pPr>
        <w:pStyle w:val="Body"/>
        <w:jc w:val="center"/>
        <w:rPr>
          <w:lang w:eastAsia="zh-CN"/>
        </w:rPr>
      </w:pPr>
      <w:r w:rsidRPr="00CE616C">
        <w:rPr>
          <w:rStyle w:val="Strong"/>
          <w:rFonts w:eastAsia="PMingLiU" w:hint="eastAsia"/>
          <w:b w:val="0"/>
          <w:bCs w:val="0"/>
          <w:lang w:eastAsia="zh-TW"/>
        </w:rPr>
        <w:t>常規業務部，</w:t>
      </w:r>
      <w:r w:rsidR="00F431F7">
        <w:rPr>
          <w:rStyle w:val="Strong"/>
          <w:rFonts w:eastAsia="PMingLiU" w:hint="eastAsia"/>
          <w:b w:val="0"/>
          <w:bCs w:val="0"/>
          <w:lang w:eastAsia="zh-TW"/>
        </w:rPr>
        <w:t>加利福尼亚州</w:t>
      </w:r>
      <w:r w:rsidRPr="00CE616C">
        <w:rPr>
          <w:rFonts w:eastAsia="PMingLiU" w:hint="eastAsia"/>
          <w:lang w:eastAsia="zh-TW"/>
        </w:rPr>
        <w:t>殘疾人無障礙委員會</w:t>
      </w:r>
    </w:p>
    <w:p w14:paraId="67DA1B5A" w14:textId="77777777" w:rsidR="001765AB" w:rsidRPr="00CD4B26" w:rsidRDefault="00CE616C" w:rsidP="001765AB">
      <w:pPr>
        <w:pStyle w:val="Links"/>
        <w:spacing w:after="0"/>
      </w:pPr>
      <w:hyperlink r:id="rId16" w:history="1">
        <w:r w:rsidRPr="00CE616C">
          <w:rPr>
            <w:rStyle w:val="Hyperlink"/>
            <w:rFonts w:eastAsia="PMingLiU"/>
            <w:i/>
            <w:lang w:eastAsia="zh-TW"/>
          </w:rPr>
          <w:t>www.ccda.ca.gov</w:t>
        </w:r>
      </w:hyperlink>
    </w:p>
    <w:p w14:paraId="17043CA0" w14:textId="77777777" w:rsidR="00D11946" w:rsidRPr="00D11946" w:rsidRDefault="00D11946" w:rsidP="00D11946">
      <w:pPr>
        <w:pStyle w:val="Links"/>
        <w:rPr>
          <w:i w:val="0"/>
          <w:iCs/>
        </w:rPr>
        <w:sectPr w:rsidR="00D11946" w:rsidRPr="00D11946" w:rsidSect="0098188F">
          <w:type w:val="continuous"/>
          <w:pgSz w:w="12240" w:h="15840"/>
          <w:pgMar w:top="1505" w:right="1886" w:bottom="907" w:left="1886" w:header="1354" w:footer="720" w:gutter="0"/>
          <w:cols w:num="3" w:space="454"/>
          <w:docGrid w:linePitch="360"/>
        </w:sectPr>
      </w:pPr>
      <w:r>
        <w:rPr>
          <w:rFonts w:eastAsia="PMingLiU"/>
          <w:lang w:eastAsia="zh-TW"/>
        </w:rPr>
        <w:br/>
      </w:r>
      <w:hyperlink r:id="rId17" w:history="1">
        <w:r w:rsidRPr="00D11946">
          <w:rPr>
            <w:rStyle w:val="Hyperlink"/>
            <w:i/>
            <w:iCs/>
          </w:rPr>
          <w:t>www.ccda.ca.gov/</w:t>
        </w:r>
        <w:r w:rsidRPr="00D11946">
          <w:rPr>
            <w:rStyle w:val="Hyperlink"/>
            <w:i/>
            <w:iCs/>
          </w:rPr>
          <w:br/>
          <w:t>resources</w:t>
        </w:r>
      </w:hyperlink>
    </w:p>
    <w:p w14:paraId="35583EB6" w14:textId="18967D46" w:rsidR="001765AB" w:rsidRPr="001765AB" w:rsidRDefault="001765AB" w:rsidP="001765AB">
      <w:pPr>
        <w:pStyle w:val="Links"/>
        <w:sectPr w:rsidR="001765AB" w:rsidRPr="001765AB" w:rsidSect="0098188F">
          <w:type w:val="continuous"/>
          <w:pgSz w:w="12240" w:h="15840"/>
          <w:pgMar w:top="1505" w:right="1886" w:bottom="907" w:left="1886" w:header="1354" w:footer="720" w:gutter="0"/>
          <w:cols w:num="3" w:space="454"/>
          <w:docGrid w:linePitch="360"/>
        </w:sectPr>
      </w:pPr>
    </w:p>
    <w:p w14:paraId="156A9EFE" w14:textId="77777777" w:rsidR="00BC2E09" w:rsidRPr="0014602D" w:rsidRDefault="00CE616C" w:rsidP="00D733C4">
      <w:pPr>
        <w:pStyle w:val="H2"/>
        <w:suppressAutoHyphens/>
        <w:rPr>
          <w:b/>
          <w:lang w:eastAsia="zh-CN"/>
        </w:rPr>
      </w:pPr>
      <w:bookmarkStart w:id="2" w:name="OLE_LINK14"/>
      <w:bookmarkStart w:id="3" w:name="OLE_LINK15"/>
      <w:r w:rsidRPr="00CE616C">
        <w:rPr>
          <w:rFonts w:eastAsia="PMingLiU" w:hint="eastAsia"/>
          <w:b/>
          <w:lang w:eastAsia="zh-TW"/>
        </w:rPr>
        <w:t>經認證的無障礙專家檢驗服務</w:t>
      </w:r>
    </w:p>
    <w:p w14:paraId="366225B4" w14:textId="77777777" w:rsidR="00B660EF" w:rsidRPr="00CA40AB" w:rsidRDefault="00CE616C" w:rsidP="00D65F9A">
      <w:pPr>
        <w:pStyle w:val="Body"/>
        <w:ind w:firstLineChars="200" w:firstLine="440"/>
        <w:rPr>
          <w:lang w:eastAsia="zh-CN"/>
        </w:rPr>
      </w:pPr>
      <w:r w:rsidRPr="00CE616C">
        <w:rPr>
          <w:rFonts w:eastAsia="PMingLiU" w:hint="eastAsia"/>
          <w:lang w:eastAsia="zh-TW"/>
        </w:rPr>
        <w:t>遵守州與聯邦建築相關的無障礙環境標準，確保殘疾人士可進入和使用公共場所。無論您的</w:t>
      </w:r>
      <w:bookmarkStart w:id="4" w:name="OLE_LINK24"/>
      <w:bookmarkStart w:id="5" w:name="OLE_LINK25"/>
      <w:r w:rsidRPr="00CE616C">
        <w:rPr>
          <w:rFonts w:eastAsia="PMingLiU" w:hint="eastAsia"/>
          <w:lang w:eastAsia="zh-TW"/>
        </w:rPr>
        <w:t>企業</w:t>
      </w:r>
      <w:bookmarkEnd w:id="4"/>
      <w:bookmarkEnd w:id="5"/>
      <w:r w:rsidRPr="00CE616C">
        <w:rPr>
          <w:rFonts w:eastAsia="PMingLiU" w:hint="eastAsia"/>
          <w:lang w:eastAsia="zh-TW"/>
        </w:rPr>
        <w:t>是否正準備遷入一處新建設施，還是您正打算對現有設施進行改建，在初期使用經認證的無障礙專家檢驗服務</w:t>
      </w:r>
      <w:r w:rsidRPr="00CE616C">
        <w:rPr>
          <w:rFonts w:eastAsia="PMingLiU"/>
          <w:lang w:eastAsia="zh-TW"/>
        </w:rPr>
        <w:t>(CASp)</w:t>
      </w:r>
      <w:r w:rsidRPr="00CE616C">
        <w:rPr>
          <w:rFonts w:eastAsia="PMingLiU" w:hint="eastAsia"/>
          <w:lang w:eastAsia="zh-TW"/>
        </w:rPr>
        <w:t>能讓您符合建築相關的無障礙環境標準合規法案</w:t>
      </w:r>
      <w:r w:rsidRPr="00CE616C">
        <w:rPr>
          <w:rFonts w:eastAsia="PMingLiU"/>
          <w:lang w:eastAsia="zh-TW"/>
        </w:rPr>
        <w:t xml:space="preserve">(CRASCA, </w:t>
      </w:r>
      <w:r w:rsidRPr="00CE616C">
        <w:rPr>
          <w:rFonts w:eastAsia="PMingLiU" w:hint="eastAsia"/>
          <w:lang w:eastAsia="zh-TW"/>
        </w:rPr>
        <w:t>民事法典</w:t>
      </w:r>
      <w:r w:rsidRPr="00CE616C">
        <w:rPr>
          <w:rFonts w:eastAsia="PMingLiU"/>
          <w:lang w:eastAsia="zh-TW"/>
        </w:rPr>
        <w:t xml:space="preserve"> 55.51-55.545)</w:t>
      </w:r>
      <w:r w:rsidRPr="00CE616C">
        <w:rPr>
          <w:rFonts w:eastAsia="PMingLiU" w:hint="eastAsia"/>
          <w:lang w:eastAsia="zh-TW"/>
        </w:rPr>
        <w:t>，同時也能受到法律保護。</w:t>
      </w:r>
    </w:p>
    <w:bookmarkEnd w:id="2"/>
    <w:bookmarkEnd w:id="3"/>
    <w:p w14:paraId="6E4D4367" w14:textId="77777777" w:rsidR="00B660EF" w:rsidRPr="00CA40AB" w:rsidRDefault="001F1BA9" w:rsidP="00E32C52">
      <w:pPr>
        <w:pStyle w:val="Body"/>
        <w:ind w:firstLineChars="200" w:firstLine="440"/>
        <w:rPr>
          <w:b/>
          <w:lang w:eastAsia="zh-CN"/>
        </w:rPr>
      </w:pPr>
      <w:r w:rsidRPr="00CE616C">
        <w:rPr>
          <w:rFonts w:eastAsia="PMingLiU" w:hint="eastAsia"/>
          <w:lang w:eastAsia="zh-TW"/>
        </w:rPr>
        <w:t>儘管</w:t>
      </w:r>
      <w:r w:rsidR="00CE616C" w:rsidRPr="00CE616C">
        <w:rPr>
          <w:rFonts w:eastAsia="PMingLiU" w:hint="eastAsia"/>
          <w:lang w:eastAsia="zh-TW"/>
        </w:rPr>
        <w:t>您的新設施可能已經獲得建築部門的許可和批核，但在遷入後使用經認證的無障礙專家檢驗服務也非常重要，因您可在無意間產生通行障礙及違規行為，例如傢俱及設備應擺放在相應位置，以保持通道暢通。對於計劃性改建，專業的無障礙檢驗人員可為您審查改建計畫，並對可能不在改建範圍內的公共設施進行無障礙合規評估。</w:t>
      </w:r>
    </w:p>
    <w:p w14:paraId="251FBE88" w14:textId="77777777" w:rsidR="00A50DBD" w:rsidRDefault="00CE616C" w:rsidP="00C84472">
      <w:pPr>
        <w:pStyle w:val="Body"/>
        <w:rPr>
          <w:rStyle w:val="BodyChar"/>
          <w:lang w:eastAsia="zh-CN"/>
        </w:rPr>
      </w:pPr>
      <w:r w:rsidRPr="00CE616C">
        <w:rPr>
          <w:rFonts w:eastAsia="PMingLiU"/>
          <w:lang w:eastAsia="zh-TW"/>
        </w:rPr>
        <w:t>CASp</w:t>
      </w:r>
      <w:r w:rsidR="00247BAF">
        <w:rPr>
          <w:rFonts w:hint="eastAsia"/>
          <w:lang w:eastAsia="zh-CN"/>
        </w:rPr>
        <w:t>均</w:t>
      </w:r>
      <w:r w:rsidRPr="00CE616C">
        <w:rPr>
          <w:rFonts w:eastAsia="PMingLiU" w:hint="eastAsia"/>
          <w:lang w:eastAsia="zh-TW"/>
        </w:rPr>
        <w:t>由經</w:t>
      </w:r>
      <w:r w:rsidR="00F431F7">
        <w:rPr>
          <w:rFonts w:eastAsia="PMingLiU" w:hint="eastAsia"/>
          <w:lang w:eastAsia="zh-TW"/>
        </w:rPr>
        <w:t>加利福尼亚州</w:t>
      </w:r>
      <w:r w:rsidR="00435BE2">
        <w:rPr>
          <w:rFonts w:eastAsia="PMingLiU" w:hint="eastAsia"/>
          <w:lang w:eastAsia="zh-TW"/>
        </w:rPr>
        <w:t>認證</w:t>
      </w:r>
      <w:r w:rsidRPr="00CE616C">
        <w:rPr>
          <w:rFonts w:eastAsia="PMingLiU" w:hint="eastAsia"/>
          <w:lang w:eastAsia="zh-TW"/>
        </w:rPr>
        <w:t>且具有無障礙環境標準相關知識的專業人員提供。</w:t>
      </w:r>
      <w:r w:rsidRPr="00CE616C">
        <w:rPr>
          <w:rFonts w:eastAsia="PMingLiU"/>
          <w:lang w:eastAsia="zh-TW"/>
        </w:rPr>
        <w:t xml:space="preserve">CASp </w:t>
      </w:r>
      <w:r w:rsidRPr="00CE616C">
        <w:rPr>
          <w:rFonts w:eastAsia="PMingLiU" w:hint="eastAsia"/>
          <w:lang w:eastAsia="zh-TW"/>
        </w:rPr>
        <w:t>檢驗報告根據</w:t>
      </w:r>
      <w:r w:rsidRPr="00CE616C">
        <w:rPr>
          <w:rFonts w:eastAsia="PMingLiU"/>
          <w:lang w:eastAsia="zh-TW"/>
        </w:rPr>
        <w:t>CRASCA</w:t>
      </w:r>
      <w:r w:rsidRPr="00CE616C">
        <w:rPr>
          <w:rFonts w:eastAsia="PMingLiU" w:hint="eastAsia"/>
          <w:lang w:eastAsia="zh-TW"/>
        </w:rPr>
        <w:t>進行擬定，能在企業及建築物業主收到建築相關的無障礙環境</w:t>
      </w:r>
      <w:bookmarkStart w:id="6" w:name="OLE_LINK28"/>
      <w:bookmarkStart w:id="7" w:name="OLE_LINK29"/>
      <w:r w:rsidRPr="00CE616C">
        <w:rPr>
          <w:rFonts w:eastAsia="PMingLiU" w:hint="eastAsia"/>
          <w:lang w:eastAsia="zh-TW"/>
        </w:rPr>
        <w:t>索賠</w:t>
      </w:r>
      <w:bookmarkEnd w:id="6"/>
      <w:bookmarkEnd w:id="7"/>
      <w:r w:rsidRPr="00CE616C">
        <w:rPr>
          <w:rFonts w:eastAsia="PMingLiU" w:hint="eastAsia"/>
          <w:lang w:eastAsia="zh-TW"/>
        </w:rPr>
        <w:t>時，授予他們特定的法定福利。</w:t>
      </w:r>
      <w:r w:rsidR="00B660EF" w:rsidRPr="00B660EF">
        <w:rPr>
          <w:lang w:eastAsia="zh-CN"/>
        </w:rPr>
        <w:t xml:space="preserve"> </w:t>
      </w:r>
      <w:r w:rsidR="00BC2E09" w:rsidRPr="00D733C4">
        <w:rPr>
          <w:rStyle w:val="BodyChar"/>
          <w:lang w:eastAsia="zh-CN"/>
        </w:rPr>
        <w:t xml:space="preserve"> </w:t>
      </w:r>
      <w:r w:rsidR="003036CC">
        <w:rPr>
          <w:rStyle w:val="BodyChar"/>
          <w:rFonts w:hint="eastAsia"/>
          <w:lang w:eastAsia="zh-CN"/>
        </w:rPr>
        <w:t xml:space="preserve"> </w:t>
      </w:r>
    </w:p>
    <w:p w14:paraId="4DDD217A" w14:textId="77777777" w:rsidR="00BC2E09" w:rsidRPr="00250035" w:rsidRDefault="00CE616C" w:rsidP="00C84472">
      <w:pPr>
        <w:pStyle w:val="Body"/>
        <w:rPr>
          <w:rStyle w:val="Hyperlink"/>
          <w:color w:val="auto"/>
          <w:u w:val="none"/>
        </w:rPr>
      </w:pPr>
      <w:r w:rsidRPr="00CE616C">
        <w:rPr>
          <w:rStyle w:val="BodyInfoChar"/>
          <w:rFonts w:eastAsia="PMingLiU" w:hint="eastAsia"/>
          <w:lang w:eastAsia="zh-TW"/>
        </w:rPr>
        <w:t>要查找</w:t>
      </w:r>
      <w:r w:rsidRPr="00CE616C">
        <w:rPr>
          <w:rStyle w:val="BodyInfoChar"/>
          <w:rFonts w:eastAsia="PMingLiU"/>
          <w:lang w:eastAsia="zh-TW"/>
        </w:rPr>
        <w:t>CASp</w:t>
      </w:r>
      <w:r w:rsidRPr="00CE616C">
        <w:rPr>
          <w:rStyle w:val="BodyInfoChar"/>
          <w:rFonts w:eastAsia="PMingLiU" w:hint="eastAsia"/>
          <w:lang w:eastAsia="zh-TW"/>
        </w:rPr>
        <w:t>，請</w:t>
      </w:r>
      <w:r w:rsidR="00247BAF">
        <w:rPr>
          <w:rStyle w:val="BodyInfoChar"/>
          <w:rFonts w:eastAsia="PMingLiU" w:hint="eastAsia"/>
          <w:lang w:eastAsia="zh-TW"/>
        </w:rPr>
        <w:t>瀏覽</w:t>
      </w:r>
      <w:hyperlink r:id="rId18" w:history="1">
        <w:r w:rsidRPr="00CE616C">
          <w:rPr>
            <w:rStyle w:val="Hyperlink"/>
            <w:rFonts w:eastAsia="PMingLiU"/>
            <w:lang w:eastAsia="zh-TW"/>
          </w:rPr>
          <w:t>www.apps2.dgs.ca.gov/DSA/casp/casp_certified_list.aspx</w:t>
        </w:r>
      </w:hyperlink>
      <w:r w:rsidRPr="00CE616C">
        <w:rPr>
          <w:rStyle w:val="Hyperlink"/>
          <w:rFonts w:eastAsia="PMingLiU"/>
          <w:color w:val="auto"/>
          <w:u w:val="none"/>
          <w:lang w:eastAsia="zh-TW"/>
        </w:rPr>
        <w:t>.</w:t>
      </w:r>
    </w:p>
    <w:p w14:paraId="375A1665" w14:textId="77777777" w:rsidR="006415FD" w:rsidRDefault="006415FD">
      <w:pPr>
        <w:rPr>
          <w:rFonts w:ascii="Franklin Gothic Medium Cond" w:hAnsi="Franklin Gothic Medium Cond" w:cstheme="minorHAnsi"/>
          <w:caps/>
          <w:sz w:val="28"/>
          <w:szCs w:val="28"/>
        </w:rPr>
      </w:pPr>
      <w:r>
        <w:lastRenderedPageBreak/>
        <w:br w:type="page"/>
      </w:r>
    </w:p>
    <w:p w14:paraId="1619E8B3" w14:textId="77777777" w:rsidR="00BC2E09" w:rsidRPr="00426C43" w:rsidRDefault="00CE616C" w:rsidP="00A45FF9">
      <w:pPr>
        <w:pStyle w:val="H2"/>
        <w:suppressAutoHyphens/>
        <w:rPr>
          <w:lang w:eastAsia="zh-CN"/>
        </w:rPr>
      </w:pPr>
      <w:r w:rsidRPr="00CE616C">
        <w:rPr>
          <w:rFonts w:eastAsia="PMingLiU" w:hint="eastAsia"/>
          <w:b/>
          <w:lang w:eastAsia="zh-TW"/>
        </w:rPr>
        <w:t>政府稅收扣除、稅收減免及融資</w:t>
      </w:r>
    </w:p>
    <w:p w14:paraId="7B00E3DB" w14:textId="77777777" w:rsidR="00BC2E09" w:rsidRPr="009D383E" w:rsidRDefault="00CE616C" w:rsidP="008E25C6">
      <w:pPr>
        <w:pStyle w:val="Body"/>
        <w:ind w:firstLineChars="200" w:firstLine="440"/>
        <w:rPr>
          <w:lang w:eastAsia="zh-CN"/>
        </w:rPr>
      </w:pPr>
      <w:r w:rsidRPr="00CE616C">
        <w:rPr>
          <w:rFonts w:eastAsia="PMingLiU" w:hint="eastAsia"/>
          <w:lang w:eastAsia="zh-TW"/>
        </w:rPr>
        <w:t>如下州及聯邦計畫可協助企業進行合規操作，以及</w:t>
      </w:r>
      <w:r w:rsidR="003E651E" w:rsidRPr="00426C43">
        <w:rPr>
          <w:lang w:eastAsia="zh-CN"/>
        </w:rPr>
        <w:br/>
      </w:r>
      <w:r w:rsidRPr="00CE616C">
        <w:rPr>
          <w:rFonts w:eastAsia="PMingLiU" w:hint="eastAsia"/>
          <w:lang w:eastAsia="zh-TW"/>
        </w:rPr>
        <w:t>減免支出：</w:t>
      </w:r>
    </w:p>
    <w:p w14:paraId="6C3237AD" w14:textId="77777777" w:rsidR="00A45FF9" w:rsidRPr="00426C43" w:rsidRDefault="00CE616C" w:rsidP="00C84472">
      <w:pPr>
        <w:pStyle w:val="H3"/>
        <w:rPr>
          <w:lang w:eastAsia="zh-CN"/>
        </w:rPr>
      </w:pPr>
      <w:r w:rsidRPr="00CE616C">
        <w:rPr>
          <w:rFonts w:eastAsia="PMingLiU" w:hint="eastAsia"/>
          <w:lang w:eastAsia="zh-TW"/>
        </w:rPr>
        <w:t>合資格的小型企業可獲殘疾人無障礙環境建設稅收優惠</w:t>
      </w:r>
    </w:p>
    <w:p w14:paraId="5D8ED012" w14:textId="77777777" w:rsidR="00A45FF9" w:rsidRPr="00426C43" w:rsidRDefault="00CE616C" w:rsidP="00C84472">
      <w:pPr>
        <w:pStyle w:val="Body"/>
        <w:rPr>
          <w:lang w:eastAsia="zh-CN"/>
        </w:rPr>
      </w:pPr>
      <w:r w:rsidRPr="00CE616C">
        <w:rPr>
          <w:rFonts w:eastAsia="PMingLiU" w:hint="eastAsia"/>
          <w:lang w:eastAsia="zh-TW"/>
        </w:rPr>
        <w:t>聯邦稅收扣除——國內稅收法典第</w:t>
      </w:r>
      <w:r w:rsidRPr="00CE616C">
        <w:rPr>
          <w:rFonts w:eastAsia="PMingLiU"/>
          <w:lang w:eastAsia="zh-TW"/>
        </w:rPr>
        <w:t>44</w:t>
      </w:r>
      <w:r w:rsidRPr="00CE616C">
        <w:rPr>
          <w:rFonts w:eastAsia="PMingLiU" w:hint="eastAsia"/>
          <w:lang w:eastAsia="zh-TW"/>
        </w:rPr>
        <w:t>節說明，小型企業為殘疾人士提供無障礙環境所產生之支出，可享受聯邦稅收扣除。如需獲取詳情，請參閱國稅局</w:t>
      </w:r>
      <w:r w:rsidRPr="00CE616C">
        <w:rPr>
          <w:rFonts w:eastAsia="PMingLiU"/>
          <w:lang w:eastAsia="zh-TW"/>
        </w:rPr>
        <w:t>(IRS)</w:t>
      </w:r>
      <w:r w:rsidRPr="00CE616C">
        <w:rPr>
          <w:rFonts w:eastAsia="PMingLiU" w:hint="eastAsia"/>
          <w:lang w:eastAsia="zh-TW"/>
        </w:rPr>
        <w:t>表</w:t>
      </w:r>
      <w:r w:rsidRPr="00CE616C">
        <w:rPr>
          <w:rFonts w:eastAsia="PMingLiU"/>
          <w:lang w:eastAsia="zh-TW"/>
        </w:rPr>
        <w:t>8826</w:t>
      </w:r>
      <w:r w:rsidRPr="00CE616C">
        <w:rPr>
          <w:rFonts w:eastAsia="PMingLiU" w:hint="eastAsia"/>
          <w:lang w:eastAsia="zh-TW"/>
        </w:rPr>
        <w:t>：</w:t>
      </w:r>
      <w:r w:rsidR="00C65302">
        <w:fldChar w:fldCharType="begin"/>
      </w:r>
      <w:r w:rsidR="00D932C5">
        <w:rPr>
          <w:lang w:eastAsia="zh-TW"/>
        </w:rPr>
        <w:instrText>HYPERLINK "http://www.irs.gov"</w:instrText>
      </w:r>
      <w:r w:rsidR="00C65302">
        <w:fldChar w:fldCharType="separate"/>
      </w:r>
      <w:r w:rsidRPr="00CE616C">
        <w:rPr>
          <w:rStyle w:val="Hyperlink"/>
          <w:rFonts w:eastAsia="PMingLiU"/>
          <w:lang w:eastAsia="zh-TW"/>
        </w:rPr>
        <w:t>www.irs.gov</w:t>
      </w:r>
      <w:r w:rsidR="00C65302">
        <w:fldChar w:fldCharType="end"/>
      </w:r>
      <w:r w:rsidRPr="00CE616C">
        <w:rPr>
          <w:rFonts w:eastAsia="PMingLiU"/>
          <w:lang w:eastAsia="zh-TW"/>
        </w:rPr>
        <w:t>.</w:t>
      </w:r>
      <w:r w:rsidRPr="00CE616C">
        <w:rPr>
          <w:rFonts w:eastAsia="PMingLiU" w:hint="eastAsia"/>
          <w:lang w:eastAsia="zh-TW"/>
        </w:rPr>
        <w:t>上的殘疾人無障礙環境建設稅收優惠。</w:t>
      </w:r>
    </w:p>
    <w:p w14:paraId="4AD135DA" w14:textId="77777777" w:rsidR="00A45FF9" w:rsidRPr="00426C43" w:rsidRDefault="00CE616C" w:rsidP="00A45FF9">
      <w:pPr>
        <w:pStyle w:val="Body"/>
        <w:rPr>
          <w:lang w:eastAsia="zh-CN"/>
        </w:rPr>
      </w:pPr>
      <w:r w:rsidRPr="00CE616C">
        <w:rPr>
          <w:rFonts w:eastAsia="PMingLiU" w:hint="eastAsia"/>
          <w:lang w:eastAsia="zh-TW"/>
        </w:rPr>
        <w:t>州稅收扣除——稅收及徵稅法典</w:t>
      </w:r>
      <w:r w:rsidRPr="00CE616C">
        <w:rPr>
          <w:rFonts w:eastAsia="PMingLiU"/>
          <w:lang w:eastAsia="zh-TW"/>
        </w:rPr>
        <w:t>17053.42</w:t>
      </w:r>
      <w:r w:rsidRPr="00CE616C">
        <w:rPr>
          <w:rFonts w:eastAsia="PMingLiU" w:hint="eastAsia"/>
          <w:lang w:eastAsia="zh-TW"/>
        </w:rPr>
        <w:t>和</w:t>
      </w:r>
      <w:r w:rsidRPr="00CE616C">
        <w:rPr>
          <w:rFonts w:eastAsia="PMingLiU"/>
          <w:lang w:eastAsia="zh-TW"/>
        </w:rPr>
        <w:t xml:space="preserve">23642 </w:t>
      </w:r>
      <w:r w:rsidRPr="00CE616C">
        <w:rPr>
          <w:rFonts w:eastAsia="PMingLiU" w:hint="eastAsia"/>
          <w:lang w:eastAsia="zh-TW"/>
        </w:rPr>
        <w:t>提供類似于聯邦殘疾人無障礙環境建設稅收優惠，但有例外情況。如需獲取詳情，請參閱稅務局</w:t>
      </w:r>
      <w:r w:rsidRPr="00CE616C">
        <w:rPr>
          <w:rFonts w:eastAsia="PMingLiU"/>
          <w:lang w:eastAsia="zh-TW"/>
        </w:rPr>
        <w:t>(FTB)</w:t>
      </w:r>
      <w:r w:rsidRPr="00CE616C">
        <w:rPr>
          <w:rFonts w:eastAsia="PMingLiU" w:hint="eastAsia"/>
          <w:lang w:eastAsia="zh-TW"/>
        </w:rPr>
        <w:t>表</w:t>
      </w:r>
      <w:r w:rsidRPr="00CE616C">
        <w:rPr>
          <w:rFonts w:eastAsia="PMingLiU"/>
          <w:lang w:eastAsia="zh-TW"/>
        </w:rPr>
        <w:t>3548</w:t>
      </w:r>
      <w:r w:rsidRPr="00CE616C">
        <w:rPr>
          <w:rFonts w:eastAsia="PMingLiU" w:hint="eastAsia"/>
          <w:lang w:eastAsia="zh-TW"/>
        </w:rPr>
        <w:t>：</w:t>
      </w:r>
      <w:r w:rsidR="00C65302">
        <w:fldChar w:fldCharType="begin"/>
      </w:r>
      <w:r w:rsidR="00D932C5">
        <w:rPr>
          <w:lang w:eastAsia="zh-TW"/>
        </w:rPr>
        <w:instrText>HYPERLINK "http://www.ftb.ca.gov"</w:instrText>
      </w:r>
      <w:r w:rsidR="00C65302">
        <w:fldChar w:fldCharType="separate"/>
      </w:r>
      <w:r w:rsidRPr="00CE616C">
        <w:rPr>
          <w:rStyle w:val="Hyperlink"/>
          <w:rFonts w:eastAsia="PMingLiU"/>
          <w:lang w:eastAsia="zh-TW"/>
        </w:rPr>
        <w:t>www.ftb.ca.gov</w:t>
      </w:r>
      <w:r w:rsidR="00C65302">
        <w:fldChar w:fldCharType="end"/>
      </w:r>
      <w:r w:rsidRPr="00CE616C">
        <w:rPr>
          <w:rFonts w:eastAsia="PMingLiU" w:hint="eastAsia"/>
          <w:lang w:eastAsia="zh-TW"/>
        </w:rPr>
        <w:t>上的合資格小型企業的殘疾人無障礙環境建設稅收優惠。</w:t>
      </w:r>
    </w:p>
    <w:p w14:paraId="570BDAF0" w14:textId="77777777" w:rsidR="00A45FF9" w:rsidRPr="00426C43" w:rsidRDefault="00CE616C" w:rsidP="00C84472">
      <w:pPr>
        <w:pStyle w:val="H3"/>
        <w:rPr>
          <w:lang w:eastAsia="zh-CN"/>
        </w:rPr>
      </w:pPr>
      <w:r w:rsidRPr="00CE616C">
        <w:rPr>
          <w:rFonts w:eastAsia="PMingLiU" w:hint="eastAsia"/>
          <w:lang w:eastAsia="zh-TW"/>
        </w:rPr>
        <w:t>建築及交通障礙移除稅收減免</w:t>
      </w:r>
    </w:p>
    <w:p w14:paraId="7CDB14DB" w14:textId="77777777" w:rsidR="00A45FF9" w:rsidRPr="00426C43" w:rsidRDefault="00CE616C" w:rsidP="00C84472">
      <w:pPr>
        <w:pStyle w:val="Body"/>
        <w:rPr>
          <w:lang w:eastAsia="zh-CN"/>
        </w:rPr>
      </w:pPr>
      <w:r w:rsidRPr="00CE616C">
        <w:rPr>
          <w:rFonts w:eastAsia="PMingLiU" w:hint="eastAsia"/>
          <w:lang w:eastAsia="zh-TW"/>
        </w:rPr>
        <w:t>聯邦稅收扣除——國內稅收法典第</w:t>
      </w:r>
      <w:r w:rsidRPr="00CE616C">
        <w:rPr>
          <w:rFonts w:eastAsia="PMingLiU"/>
          <w:lang w:eastAsia="zh-TW"/>
        </w:rPr>
        <w:t>190</w:t>
      </w:r>
      <w:r w:rsidRPr="00CE616C">
        <w:rPr>
          <w:rFonts w:eastAsia="PMingLiU" w:hint="eastAsia"/>
          <w:lang w:eastAsia="zh-TW"/>
        </w:rPr>
        <w:t>節允許各種規模的企業每年可報銷用於移除殘疾人士物理、建築及交通障礙</w:t>
      </w:r>
      <w:r w:rsidR="00247BAF">
        <w:rPr>
          <w:rFonts w:hint="eastAsia"/>
          <w:lang w:eastAsia="zh-CN"/>
        </w:rPr>
        <w:t>之</w:t>
      </w:r>
      <w:r w:rsidRPr="00CE616C">
        <w:rPr>
          <w:rFonts w:eastAsia="PMingLiU" w:hint="eastAsia"/>
          <w:lang w:eastAsia="zh-TW"/>
        </w:rPr>
        <w:t>規定支出。如需獲取詳情，請參閱</w:t>
      </w:r>
      <w:r w:rsidRPr="00CE616C">
        <w:rPr>
          <w:rFonts w:eastAsia="PMingLiU"/>
          <w:lang w:eastAsia="zh-TW"/>
        </w:rPr>
        <w:t>IRS</w:t>
      </w:r>
      <w:r w:rsidRPr="00CE616C">
        <w:rPr>
          <w:rFonts w:eastAsia="PMingLiU" w:hint="eastAsia"/>
          <w:lang w:eastAsia="zh-TW"/>
        </w:rPr>
        <w:t>出版刊物</w:t>
      </w:r>
      <w:r w:rsidRPr="00CE616C">
        <w:rPr>
          <w:rFonts w:eastAsia="PMingLiU"/>
          <w:lang w:eastAsia="zh-TW"/>
        </w:rPr>
        <w:t>535</w:t>
      </w:r>
      <w:r w:rsidRPr="00CE616C">
        <w:rPr>
          <w:rFonts w:eastAsia="PMingLiU" w:hint="eastAsia"/>
          <w:lang w:eastAsia="zh-TW"/>
        </w:rPr>
        <w:t>：</w:t>
      </w:r>
      <w:r w:rsidR="00C65302">
        <w:fldChar w:fldCharType="begin"/>
      </w:r>
      <w:r w:rsidR="00D932C5">
        <w:rPr>
          <w:lang w:eastAsia="zh-TW"/>
        </w:rPr>
        <w:instrText>HYPERLINK "http://www.irs.gov"</w:instrText>
      </w:r>
      <w:r w:rsidR="00C65302">
        <w:fldChar w:fldCharType="separate"/>
      </w:r>
      <w:r w:rsidRPr="00CE616C">
        <w:rPr>
          <w:rStyle w:val="Hyperlink"/>
          <w:rFonts w:eastAsia="PMingLiU"/>
          <w:lang w:eastAsia="zh-TW"/>
        </w:rPr>
        <w:t>www.irs.gov</w:t>
      </w:r>
      <w:r w:rsidR="00C65302">
        <w:fldChar w:fldCharType="end"/>
      </w:r>
      <w:r w:rsidRPr="00CE616C">
        <w:rPr>
          <w:rFonts w:eastAsia="PMingLiU" w:hint="eastAsia"/>
          <w:lang w:eastAsia="zh-TW"/>
        </w:rPr>
        <w:t>上的企業支出。</w:t>
      </w:r>
    </w:p>
    <w:p w14:paraId="7BBC166F" w14:textId="77777777" w:rsidR="00A45FF9" w:rsidRPr="00426C43" w:rsidRDefault="00F431F7" w:rsidP="00C84472">
      <w:pPr>
        <w:pStyle w:val="H3"/>
        <w:rPr>
          <w:lang w:eastAsia="zh-CN"/>
        </w:rPr>
      </w:pPr>
      <w:r>
        <w:rPr>
          <w:rFonts w:eastAsia="PMingLiU" w:hint="eastAsia"/>
          <w:lang w:eastAsia="zh-TW"/>
        </w:rPr>
        <w:t>加利福尼亚州</w:t>
      </w:r>
      <w:r w:rsidR="00CE616C" w:rsidRPr="00CE616C">
        <w:rPr>
          <w:rFonts w:eastAsia="PMingLiU" w:hint="eastAsia"/>
          <w:lang w:eastAsia="zh-TW"/>
        </w:rPr>
        <w:t>資金准入融資計畫</w:t>
      </w:r>
      <w:r w:rsidR="00A45FF9" w:rsidRPr="00426C43">
        <w:rPr>
          <w:lang w:eastAsia="zh-CN"/>
        </w:rPr>
        <w:t xml:space="preserve"> </w:t>
      </w:r>
    </w:p>
    <w:p w14:paraId="79B58A58" w14:textId="77777777" w:rsidR="00BC2E09" w:rsidRDefault="00CE616C" w:rsidP="00C84472">
      <w:pPr>
        <w:pStyle w:val="Body"/>
        <w:rPr>
          <w:lang w:eastAsia="zh-CN"/>
        </w:rPr>
      </w:pPr>
      <w:r w:rsidRPr="00CE616C">
        <w:rPr>
          <w:rFonts w:eastAsia="PMingLiU" w:hint="eastAsia"/>
          <w:lang w:eastAsia="zh-TW"/>
        </w:rPr>
        <w:t>州融資選項——</w:t>
      </w:r>
      <w:r w:rsidR="00F431F7">
        <w:rPr>
          <w:rFonts w:eastAsia="PMingLiU" w:hint="eastAsia"/>
          <w:lang w:eastAsia="zh-TW"/>
        </w:rPr>
        <w:t>加利福尼亚州</w:t>
      </w:r>
      <w:r w:rsidRPr="00CE616C">
        <w:rPr>
          <w:rFonts w:eastAsia="PMingLiU" w:hint="eastAsia"/>
          <w:lang w:eastAsia="zh-TW"/>
        </w:rPr>
        <w:t>資金准入計畫</w:t>
      </w:r>
      <w:r w:rsidRPr="00CE616C">
        <w:rPr>
          <w:rFonts w:eastAsia="PMingLiU"/>
          <w:lang w:eastAsia="zh-TW"/>
        </w:rPr>
        <w:t xml:space="preserve"> (</w:t>
      </w:r>
      <w:proofErr w:type="spellStart"/>
      <w:r w:rsidRPr="00CE616C">
        <w:rPr>
          <w:rFonts w:eastAsia="PMingLiU"/>
          <w:lang w:eastAsia="zh-TW"/>
        </w:rPr>
        <w:t>CalCAP</w:t>
      </w:r>
      <w:proofErr w:type="spellEnd"/>
      <w:r w:rsidRPr="00CE616C">
        <w:rPr>
          <w:rFonts w:eastAsia="PMingLiU"/>
          <w:lang w:eastAsia="zh-TW"/>
        </w:rPr>
        <w:t>)</w:t>
      </w:r>
      <w:r w:rsidRPr="00CE616C">
        <w:rPr>
          <w:rFonts w:eastAsia="PMingLiU" w:hint="eastAsia"/>
          <w:lang w:eastAsia="zh-TW"/>
        </w:rPr>
        <w:t>美國殘疾人法案</w:t>
      </w:r>
      <w:r w:rsidRPr="00CE616C">
        <w:rPr>
          <w:rFonts w:eastAsia="PMingLiU"/>
          <w:lang w:eastAsia="zh-TW"/>
        </w:rPr>
        <w:t xml:space="preserve"> (</w:t>
      </w:r>
      <w:proofErr w:type="spellStart"/>
      <w:r w:rsidRPr="00CE616C">
        <w:rPr>
          <w:rFonts w:eastAsia="PMingLiU"/>
          <w:lang w:eastAsia="zh-TW"/>
        </w:rPr>
        <w:t>CalCAP</w:t>
      </w:r>
      <w:proofErr w:type="spellEnd"/>
      <w:r w:rsidRPr="00CE616C">
        <w:rPr>
          <w:rFonts w:eastAsia="PMingLiU"/>
          <w:lang w:eastAsia="zh-TW"/>
        </w:rPr>
        <w:t>/ADA)</w:t>
      </w:r>
      <w:r w:rsidRPr="00CE616C">
        <w:rPr>
          <w:rFonts w:eastAsia="PMingLiU" w:hint="eastAsia"/>
          <w:lang w:eastAsia="zh-TW"/>
        </w:rPr>
        <w:t>融資計畫幫助小型企業籌集資金來改動或改進現有企業設施以符合聯邦美國殘疾人法案</w:t>
      </w:r>
      <w:r w:rsidR="00247BAF">
        <w:rPr>
          <w:rFonts w:hint="eastAsia"/>
          <w:lang w:eastAsia="zh-CN"/>
        </w:rPr>
        <w:t>之</w:t>
      </w:r>
      <w:r w:rsidRPr="00CE616C">
        <w:rPr>
          <w:rFonts w:eastAsia="PMingLiU" w:hint="eastAsia"/>
          <w:lang w:eastAsia="zh-TW"/>
        </w:rPr>
        <w:t>要求。欲瞭解詳情，請</w:t>
      </w:r>
      <w:r w:rsidR="00247BAF">
        <w:rPr>
          <w:rFonts w:eastAsia="PMingLiU" w:hint="eastAsia"/>
          <w:lang w:eastAsia="zh-TW"/>
        </w:rPr>
        <w:t>瀏覽</w:t>
      </w:r>
      <w:hyperlink r:id="rId19" w:history="1">
        <w:r w:rsidRPr="00CE616C">
          <w:rPr>
            <w:rStyle w:val="Hyperlink"/>
            <w:rFonts w:eastAsia="PMingLiU"/>
            <w:lang w:eastAsia="zh-TW"/>
          </w:rPr>
          <w:t>www.treasurer.ca.gov/cpcfa/calcap/</w:t>
        </w:r>
      </w:hyperlink>
      <w:r w:rsidRPr="00CE616C">
        <w:rPr>
          <w:rFonts w:eastAsia="PMingLiU" w:hint="eastAsia"/>
          <w:lang w:eastAsia="zh-TW"/>
        </w:rPr>
        <w:t>。</w:t>
      </w:r>
    </w:p>
    <w:p w14:paraId="44895312" w14:textId="77777777" w:rsidR="00C84472" w:rsidRPr="00C75BFE" w:rsidRDefault="00CE616C" w:rsidP="00C75BFE">
      <w:pPr>
        <w:pStyle w:val="H2"/>
        <w:suppressAutoHyphens/>
        <w:rPr>
          <w:b/>
          <w:lang w:eastAsia="zh-CN"/>
        </w:rPr>
      </w:pPr>
      <w:bookmarkStart w:id="8" w:name="OLE_LINK26"/>
      <w:bookmarkStart w:id="9" w:name="OLE_LINK27"/>
      <w:r w:rsidRPr="00CE616C">
        <w:rPr>
          <w:rFonts w:eastAsia="PMingLiU" w:hint="eastAsia"/>
          <w:b/>
          <w:lang w:eastAsia="zh-TW"/>
        </w:rPr>
        <w:t>為殘疾人士提供無障礙環境的</w:t>
      </w:r>
      <w:r w:rsidR="00C84472" w:rsidRPr="00C75BFE">
        <w:rPr>
          <w:b/>
          <w:lang w:eastAsia="zh-CN"/>
        </w:rPr>
        <w:br/>
      </w:r>
      <w:r w:rsidRPr="00CE616C">
        <w:rPr>
          <w:rFonts w:eastAsia="PMingLiU" w:hint="eastAsia"/>
          <w:b/>
          <w:lang w:eastAsia="zh-TW"/>
        </w:rPr>
        <w:t>聯邦及州法律法規</w:t>
      </w:r>
    </w:p>
    <w:p w14:paraId="6344B22D" w14:textId="77777777" w:rsidR="00C84472" w:rsidRPr="00CA40AB" w:rsidRDefault="00CE616C" w:rsidP="00E6507E">
      <w:pPr>
        <w:pStyle w:val="Body"/>
        <w:ind w:firstLineChars="200" w:firstLine="440"/>
        <w:rPr>
          <w:lang w:eastAsia="zh-CN"/>
        </w:rPr>
      </w:pPr>
      <w:r w:rsidRPr="00CE616C">
        <w:rPr>
          <w:rFonts w:eastAsia="PMingLiU"/>
          <w:lang w:eastAsia="zh-TW"/>
        </w:rPr>
        <w:t>1990</w:t>
      </w:r>
      <w:r w:rsidRPr="00CE616C">
        <w:rPr>
          <w:rFonts w:eastAsia="PMingLiU" w:hint="eastAsia"/>
          <w:lang w:eastAsia="zh-TW"/>
        </w:rPr>
        <w:t>年美國殘疾人法案</w:t>
      </w:r>
      <w:r w:rsidRPr="00CE616C">
        <w:rPr>
          <w:rFonts w:eastAsia="PMingLiU"/>
          <w:lang w:eastAsia="zh-TW"/>
        </w:rPr>
        <w:t xml:space="preserve"> (ADA)</w:t>
      </w:r>
      <w:r w:rsidRPr="00CE616C">
        <w:rPr>
          <w:rFonts w:eastAsia="PMingLiU" w:hint="eastAsia"/>
          <w:lang w:eastAsia="zh-TW"/>
        </w:rPr>
        <w:t>——一項聯邦民權法律，它禁止他人歧視殘疾人士，並要求所有公共居住設施及商業設施為殘疾人士提供無障礙環境。欲瞭解詳情，請</w:t>
      </w:r>
      <w:r w:rsidR="00247BAF">
        <w:rPr>
          <w:rFonts w:eastAsia="PMingLiU" w:hint="eastAsia"/>
          <w:lang w:eastAsia="zh-TW"/>
        </w:rPr>
        <w:t>瀏覽</w:t>
      </w:r>
      <w:hyperlink r:id="rId20" w:history="1">
        <w:r w:rsidRPr="00CE616C">
          <w:rPr>
            <w:rStyle w:val="Hyperlink"/>
            <w:rFonts w:eastAsia="PMingLiU"/>
            <w:lang w:eastAsia="zh-TW"/>
          </w:rPr>
          <w:t>www.ada.gov</w:t>
        </w:r>
      </w:hyperlink>
      <w:r w:rsidRPr="00CE616C">
        <w:rPr>
          <w:rStyle w:val="Hyperlink"/>
          <w:rFonts w:eastAsia="PMingLiU" w:hint="eastAsia"/>
          <w:i w:val="0"/>
          <w:color w:val="auto"/>
          <w:u w:val="none"/>
          <w:lang w:eastAsia="zh-TW"/>
        </w:rPr>
        <w:t>。</w:t>
      </w:r>
    </w:p>
    <w:bookmarkEnd w:id="8"/>
    <w:bookmarkEnd w:id="9"/>
    <w:p w14:paraId="5D7463FA" w14:textId="73B55BE6" w:rsidR="00C84472" w:rsidRPr="00D30161" w:rsidRDefault="00F431F7" w:rsidP="00D11946">
      <w:pPr>
        <w:pStyle w:val="Body"/>
      </w:pPr>
      <w:r>
        <w:rPr>
          <w:rFonts w:eastAsia="PMingLiU" w:hint="eastAsia"/>
          <w:lang w:eastAsia="zh-TW"/>
        </w:rPr>
        <w:t>加利福尼亚州</w:t>
      </w:r>
      <w:r w:rsidR="00CE616C" w:rsidRPr="00CE616C">
        <w:rPr>
          <w:rFonts w:eastAsia="PMingLiU" w:hint="eastAsia"/>
          <w:lang w:eastAsia="zh-TW"/>
        </w:rPr>
        <w:t>建築規範</w:t>
      </w:r>
      <w:r w:rsidR="00CE616C" w:rsidRPr="00CE616C">
        <w:rPr>
          <w:rFonts w:eastAsia="PMingLiU"/>
          <w:lang w:eastAsia="zh-TW"/>
        </w:rPr>
        <w:t xml:space="preserve"> (CBC)</w:t>
      </w:r>
      <w:r w:rsidR="00CE616C" w:rsidRPr="00CE616C">
        <w:rPr>
          <w:rFonts w:eastAsia="PMingLiU" w:hint="eastAsia"/>
          <w:lang w:eastAsia="zh-TW"/>
        </w:rPr>
        <w:t>——包含建築相關無障礙環境合規標準。設施的合規按照其建造或改建時的</w:t>
      </w:r>
      <w:r w:rsidR="00CE616C" w:rsidRPr="00CE616C">
        <w:rPr>
          <w:rFonts w:eastAsia="PMingLiU"/>
          <w:lang w:eastAsia="zh-TW"/>
        </w:rPr>
        <w:t>CBC</w:t>
      </w:r>
      <w:r w:rsidR="00CE616C" w:rsidRPr="00CE616C">
        <w:rPr>
          <w:rFonts w:eastAsia="PMingLiU" w:hint="eastAsia"/>
          <w:lang w:eastAsia="zh-TW"/>
        </w:rPr>
        <w:t>版本。欲瞭解詳情，請</w:t>
      </w:r>
      <w:r w:rsidR="00247BAF">
        <w:rPr>
          <w:rFonts w:eastAsia="PMingLiU" w:hint="eastAsia"/>
          <w:lang w:eastAsia="zh-TW"/>
        </w:rPr>
        <w:t>瀏覽</w:t>
      </w:r>
      <w:hyperlink r:id="rId21" w:history="1">
        <w:r w:rsidR="00D11946">
          <w:rPr>
            <w:rStyle w:val="Hyperlink"/>
          </w:rPr>
          <w:t>www.dgs.ca.gov/bsc</w:t>
        </w:r>
      </w:hyperlink>
    </w:p>
    <w:sectPr w:rsidR="00C84472" w:rsidRPr="00D30161" w:rsidSect="0098188F">
      <w:type w:val="continuous"/>
      <w:pgSz w:w="12240" w:h="15840"/>
      <w:pgMar w:top="1505" w:right="1886" w:bottom="907" w:left="1886" w:header="1354"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8DE3" w14:textId="77777777" w:rsidR="004035A2" w:rsidRDefault="004035A2" w:rsidP="009B0868">
      <w:pPr>
        <w:spacing w:after="0" w:line="240" w:lineRule="auto"/>
      </w:pPr>
      <w:r>
        <w:separator/>
      </w:r>
    </w:p>
  </w:endnote>
  <w:endnote w:type="continuationSeparator" w:id="0">
    <w:p w14:paraId="7AE7F4CD" w14:textId="77777777" w:rsidR="004035A2" w:rsidRDefault="004035A2" w:rsidP="009B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F3A9" w14:textId="77777777" w:rsidR="00D11946" w:rsidRPr="00D30161" w:rsidRDefault="00D11946" w:rsidP="00D11946">
    <w:pPr>
      <w:pStyle w:val="Footer"/>
      <w:jc w:val="right"/>
      <w:rPr>
        <w:rFonts w:ascii="Franklin Gothic Book" w:hAnsi="Franklin Gothic Book" w:cs="Arial"/>
        <w:sz w:val="18"/>
      </w:rPr>
    </w:pPr>
    <w:r w:rsidRPr="00D30161">
      <w:rPr>
        <w:rFonts w:ascii="Franklin Gothic Book" w:hAnsi="Franklin Gothic Book" w:cs="Arial"/>
        <w:sz w:val="18"/>
      </w:rPr>
      <w:t>(</w:t>
    </w:r>
    <w:r>
      <w:rPr>
        <w:rFonts w:ascii="Franklin Gothic Book" w:hAnsi="Franklin Gothic Book" w:cs="Arial"/>
        <w:sz w:val="18"/>
      </w:rPr>
      <w:t>Revised 11-09-21</w:t>
    </w:r>
    <w:r w:rsidRPr="00D30161">
      <w:rPr>
        <w:rFonts w:ascii="Franklin Gothic Book" w:hAnsi="Franklin Gothic Book" w:cs="Arial"/>
        <w:sz w:val="18"/>
      </w:rPr>
      <w:t>)</w:t>
    </w:r>
  </w:p>
  <w:p w14:paraId="11CA3B98" w14:textId="77777777" w:rsidR="00B04BE4" w:rsidRDefault="00B04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C9D9" w14:textId="77777777" w:rsidR="004035A2" w:rsidRDefault="004035A2" w:rsidP="009B0868">
      <w:pPr>
        <w:spacing w:after="0" w:line="240" w:lineRule="auto"/>
      </w:pPr>
      <w:r>
        <w:separator/>
      </w:r>
    </w:p>
  </w:footnote>
  <w:footnote w:type="continuationSeparator" w:id="0">
    <w:p w14:paraId="1CC03807" w14:textId="77777777" w:rsidR="004035A2" w:rsidRDefault="004035A2" w:rsidP="009B0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6086" w14:textId="77777777" w:rsidR="0098188F" w:rsidRPr="00C84472" w:rsidRDefault="00CE616C" w:rsidP="00C84472">
    <w:pPr>
      <w:pStyle w:val="Body"/>
      <w:jc w:val="center"/>
      <w:rPr>
        <w:lang w:eastAsia="zh-CN"/>
      </w:rPr>
    </w:pPr>
    <w:r w:rsidRPr="00CE616C">
      <w:rPr>
        <w:rStyle w:val="BodyChar"/>
        <w:rFonts w:eastAsia="PMingLiU" w:hint="eastAsia"/>
        <w:lang w:eastAsia="zh-TW"/>
      </w:rPr>
      <w:t>殘疾人無障礙環境要求及資源</w:t>
    </w:r>
  </w:p>
  <w:p w14:paraId="381BCE4B" w14:textId="77777777" w:rsidR="006415FD" w:rsidRPr="009B0868" w:rsidRDefault="006415FD" w:rsidP="00A50DBD">
    <w:pPr>
      <w:pStyle w:val="H1"/>
      <w:spacing w:after="0" w:line="480" w:lineRule="exact"/>
      <w:contextualSpacing/>
      <w:rPr>
        <w:sz w:val="52"/>
        <w:szCs w:val="5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E29FF"/>
    <w:multiLevelType w:val="hybridMultilevel"/>
    <w:tmpl w:val="0ED2E098"/>
    <w:lvl w:ilvl="0" w:tplc="CF50B90C">
      <w:start w:val="1"/>
      <w:numFmt w:val="bullet"/>
      <w:pStyle w:val="Check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85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09"/>
    <w:rsid w:val="000A4D59"/>
    <w:rsid w:val="000B734B"/>
    <w:rsid w:val="000E6A52"/>
    <w:rsid w:val="00114547"/>
    <w:rsid w:val="0014602D"/>
    <w:rsid w:val="001765AB"/>
    <w:rsid w:val="001F1BA9"/>
    <w:rsid w:val="001F65C6"/>
    <w:rsid w:val="00247BAF"/>
    <w:rsid w:val="00250035"/>
    <w:rsid w:val="002E38B6"/>
    <w:rsid w:val="00301C1D"/>
    <w:rsid w:val="003036CC"/>
    <w:rsid w:val="00346209"/>
    <w:rsid w:val="003B5F12"/>
    <w:rsid w:val="003E651E"/>
    <w:rsid w:val="004035A2"/>
    <w:rsid w:val="004056C7"/>
    <w:rsid w:val="00426C43"/>
    <w:rsid w:val="00435BE2"/>
    <w:rsid w:val="004E5976"/>
    <w:rsid w:val="00580569"/>
    <w:rsid w:val="006415FD"/>
    <w:rsid w:val="006E5AAD"/>
    <w:rsid w:val="006E776E"/>
    <w:rsid w:val="007123CD"/>
    <w:rsid w:val="00727938"/>
    <w:rsid w:val="00734878"/>
    <w:rsid w:val="00742CF5"/>
    <w:rsid w:val="0076635A"/>
    <w:rsid w:val="007709CF"/>
    <w:rsid w:val="00792BF9"/>
    <w:rsid w:val="007B4711"/>
    <w:rsid w:val="00806D0B"/>
    <w:rsid w:val="00811AD5"/>
    <w:rsid w:val="00825776"/>
    <w:rsid w:val="008B47CB"/>
    <w:rsid w:val="008D395A"/>
    <w:rsid w:val="008E25C6"/>
    <w:rsid w:val="00900517"/>
    <w:rsid w:val="00935A33"/>
    <w:rsid w:val="00956205"/>
    <w:rsid w:val="0098188F"/>
    <w:rsid w:val="00987F17"/>
    <w:rsid w:val="009970D1"/>
    <w:rsid w:val="009B0868"/>
    <w:rsid w:val="009B2FAD"/>
    <w:rsid w:val="009D383E"/>
    <w:rsid w:val="00A06D78"/>
    <w:rsid w:val="00A31124"/>
    <w:rsid w:val="00A350ED"/>
    <w:rsid w:val="00A415BC"/>
    <w:rsid w:val="00A45FF9"/>
    <w:rsid w:val="00A50DBD"/>
    <w:rsid w:val="00AD1E88"/>
    <w:rsid w:val="00AE37F2"/>
    <w:rsid w:val="00B04BE4"/>
    <w:rsid w:val="00B660EF"/>
    <w:rsid w:val="00BB2D77"/>
    <w:rsid w:val="00BC2E09"/>
    <w:rsid w:val="00BF255C"/>
    <w:rsid w:val="00C52086"/>
    <w:rsid w:val="00C65302"/>
    <w:rsid w:val="00C75BFE"/>
    <w:rsid w:val="00C84472"/>
    <w:rsid w:val="00C8452D"/>
    <w:rsid w:val="00C91D0F"/>
    <w:rsid w:val="00CA40AB"/>
    <w:rsid w:val="00CD4B26"/>
    <w:rsid w:val="00CE616C"/>
    <w:rsid w:val="00D11946"/>
    <w:rsid w:val="00D14D10"/>
    <w:rsid w:val="00D240D6"/>
    <w:rsid w:val="00D30161"/>
    <w:rsid w:val="00D65F9A"/>
    <w:rsid w:val="00D733C4"/>
    <w:rsid w:val="00D932C5"/>
    <w:rsid w:val="00D977F9"/>
    <w:rsid w:val="00E32C52"/>
    <w:rsid w:val="00E644A1"/>
    <w:rsid w:val="00E6507E"/>
    <w:rsid w:val="00E9442E"/>
    <w:rsid w:val="00EB782F"/>
    <w:rsid w:val="00EE11E3"/>
    <w:rsid w:val="00F32028"/>
    <w:rsid w:val="00F35237"/>
    <w:rsid w:val="00F431F7"/>
    <w:rsid w:val="00F70609"/>
    <w:rsid w:val="00F86F4F"/>
    <w:rsid w:val="00FE4D4F"/>
    <w:rsid w:val="00FE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4228C"/>
  <w15:docId w15:val="{A153B2B3-E1F7-402F-8ED4-3F93B7C0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09"/>
  </w:style>
  <w:style w:type="paragraph" w:styleId="Heading2">
    <w:name w:val="heading 2"/>
    <w:basedOn w:val="Normal"/>
    <w:next w:val="Normal"/>
    <w:link w:val="Heading2Char"/>
    <w:uiPriority w:val="9"/>
    <w:unhideWhenUsed/>
    <w:qFormat/>
    <w:rsid w:val="007709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BC2E09"/>
    <w:rPr>
      <w:b/>
      <w:bCs/>
      <w:smallCaps/>
      <w:color w:val="4F81BD" w:themeColor="accent1"/>
      <w:spacing w:val="5"/>
    </w:rPr>
  </w:style>
  <w:style w:type="character" w:styleId="Hyperlink">
    <w:name w:val="Hyperlink"/>
    <w:basedOn w:val="DefaultParagraphFont"/>
    <w:uiPriority w:val="99"/>
    <w:unhideWhenUsed/>
    <w:qFormat/>
    <w:rsid w:val="00D733C4"/>
    <w:rPr>
      <w:rFonts w:ascii="Franklin Gothic Book" w:hAnsi="Franklin Gothic Book"/>
      <w:i/>
      <w:color w:val="0000FF"/>
      <w:sz w:val="22"/>
      <w:u w:val="single"/>
    </w:rPr>
  </w:style>
  <w:style w:type="character" w:styleId="Strong">
    <w:name w:val="Strong"/>
    <w:basedOn w:val="DefaultParagraphFont"/>
    <w:uiPriority w:val="22"/>
    <w:qFormat/>
    <w:rsid w:val="00BC2E09"/>
    <w:rPr>
      <w:b/>
      <w:bCs/>
    </w:rPr>
  </w:style>
  <w:style w:type="character" w:styleId="SubtleEmphasis">
    <w:name w:val="Subtle Emphasis"/>
    <w:basedOn w:val="DefaultParagraphFont"/>
    <w:uiPriority w:val="19"/>
    <w:qFormat/>
    <w:rsid w:val="00BC2E09"/>
    <w:rPr>
      <w:i/>
      <w:iCs/>
      <w:color w:val="404040" w:themeColor="text1" w:themeTint="BF"/>
    </w:rPr>
  </w:style>
  <w:style w:type="paragraph" w:customStyle="1" w:styleId="H1">
    <w:name w:val="H1"/>
    <w:basedOn w:val="Normal"/>
    <w:link w:val="H1Char"/>
    <w:qFormat/>
    <w:rsid w:val="00C84472"/>
    <w:pPr>
      <w:jc w:val="center"/>
    </w:pPr>
    <w:rPr>
      <w:rFonts w:ascii="Franklin Gothic Medium Cond" w:hAnsi="Franklin Gothic Medium Cond" w:cstheme="minorHAnsi"/>
      <w:caps/>
      <w:sz w:val="32"/>
      <w:szCs w:val="24"/>
    </w:rPr>
  </w:style>
  <w:style w:type="paragraph" w:customStyle="1" w:styleId="H2">
    <w:name w:val="H2"/>
    <w:basedOn w:val="H1"/>
    <w:link w:val="H2Char"/>
    <w:qFormat/>
    <w:rsid w:val="0098188F"/>
    <w:pPr>
      <w:spacing w:before="480" w:line="240" w:lineRule="auto"/>
      <w:jc w:val="left"/>
    </w:pPr>
    <w:rPr>
      <w:sz w:val="28"/>
      <w:szCs w:val="28"/>
    </w:rPr>
  </w:style>
  <w:style w:type="character" w:customStyle="1" w:styleId="H1Char">
    <w:name w:val="H1 Char"/>
    <w:basedOn w:val="DefaultParagraphFont"/>
    <w:link w:val="H1"/>
    <w:rsid w:val="00C84472"/>
    <w:rPr>
      <w:rFonts w:ascii="Franklin Gothic Medium Cond" w:hAnsi="Franklin Gothic Medium Cond" w:cstheme="minorHAnsi"/>
      <w:caps/>
      <w:sz w:val="32"/>
      <w:szCs w:val="24"/>
    </w:rPr>
  </w:style>
  <w:style w:type="character" w:styleId="Emphasis">
    <w:name w:val="Emphasis"/>
    <w:basedOn w:val="DefaultParagraphFont"/>
    <w:uiPriority w:val="20"/>
    <w:qFormat/>
    <w:rsid w:val="007709CF"/>
    <w:rPr>
      <w:i/>
      <w:iCs/>
    </w:rPr>
  </w:style>
  <w:style w:type="character" w:customStyle="1" w:styleId="H2Char">
    <w:name w:val="H2 Char"/>
    <w:basedOn w:val="H1Char"/>
    <w:link w:val="H2"/>
    <w:rsid w:val="0098188F"/>
    <w:rPr>
      <w:rFonts w:ascii="Franklin Gothic Medium Cond" w:hAnsi="Franklin Gothic Medium Cond" w:cstheme="minorHAnsi"/>
      <w:caps/>
      <w:sz w:val="28"/>
      <w:szCs w:val="28"/>
    </w:rPr>
  </w:style>
  <w:style w:type="paragraph" w:customStyle="1" w:styleId="Links">
    <w:name w:val="Links"/>
    <w:basedOn w:val="Normal"/>
    <w:link w:val="LinksChar"/>
    <w:qFormat/>
    <w:rsid w:val="007709CF"/>
    <w:pPr>
      <w:jc w:val="center"/>
    </w:pPr>
    <w:rPr>
      <w:rFonts w:ascii="Franklin Gothic Book" w:hAnsi="Franklin Gothic Book"/>
      <w:i/>
      <w:color w:val="0000FF"/>
      <w:u w:val="single"/>
    </w:rPr>
  </w:style>
  <w:style w:type="character" w:customStyle="1" w:styleId="Heading2Char">
    <w:name w:val="Heading 2 Char"/>
    <w:basedOn w:val="DefaultParagraphFont"/>
    <w:link w:val="Heading2"/>
    <w:uiPriority w:val="9"/>
    <w:rsid w:val="007709CF"/>
    <w:rPr>
      <w:rFonts w:asciiTheme="majorHAnsi" w:eastAsiaTheme="majorEastAsia" w:hAnsiTheme="majorHAnsi" w:cstheme="majorBidi"/>
      <w:color w:val="365F91" w:themeColor="accent1" w:themeShade="BF"/>
      <w:sz w:val="26"/>
      <w:szCs w:val="26"/>
    </w:rPr>
  </w:style>
  <w:style w:type="character" w:customStyle="1" w:styleId="LinksChar">
    <w:name w:val="Links Char"/>
    <w:basedOn w:val="DefaultParagraphFont"/>
    <w:link w:val="Links"/>
    <w:rsid w:val="007709CF"/>
    <w:rPr>
      <w:rFonts w:ascii="Franklin Gothic Book" w:hAnsi="Franklin Gothic Book"/>
      <w:i/>
      <w:color w:val="0000FF"/>
      <w:u w:val="single"/>
    </w:rPr>
  </w:style>
  <w:style w:type="paragraph" w:customStyle="1" w:styleId="Body">
    <w:name w:val="Body"/>
    <w:basedOn w:val="Normal"/>
    <w:link w:val="BodyChar"/>
    <w:qFormat/>
    <w:rsid w:val="0098188F"/>
    <w:pPr>
      <w:spacing w:before="240" w:line="240" w:lineRule="auto"/>
    </w:pPr>
    <w:rPr>
      <w:rFonts w:ascii="Franklin Gothic Book" w:hAnsi="Franklin Gothic Book" w:cstheme="minorHAnsi"/>
    </w:rPr>
  </w:style>
  <w:style w:type="paragraph" w:customStyle="1" w:styleId="BodyInfo">
    <w:name w:val="Body Info"/>
    <w:basedOn w:val="Body"/>
    <w:link w:val="BodyInfoChar"/>
    <w:qFormat/>
    <w:rsid w:val="003E651E"/>
    <w:pPr>
      <w:spacing w:before="120" w:after="0"/>
    </w:pPr>
  </w:style>
  <w:style w:type="character" w:customStyle="1" w:styleId="BodyChar">
    <w:name w:val="Body Char"/>
    <w:basedOn w:val="DefaultParagraphFont"/>
    <w:link w:val="Body"/>
    <w:rsid w:val="0098188F"/>
    <w:rPr>
      <w:rFonts w:ascii="Franklin Gothic Book" w:hAnsi="Franklin Gothic Book" w:cstheme="minorHAnsi"/>
    </w:rPr>
  </w:style>
  <w:style w:type="paragraph" w:customStyle="1" w:styleId="H3">
    <w:name w:val="H3"/>
    <w:basedOn w:val="Body"/>
    <w:link w:val="H3Char"/>
    <w:qFormat/>
    <w:rsid w:val="009B0868"/>
    <w:rPr>
      <w:b/>
    </w:rPr>
  </w:style>
  <w:style w:type="character" w:customStyle="1" w:styleId="BodyInfoChar">
    <w:name w:val="Body Info Char"/>
    <w:basedOn w:val="BodyChar"/>
    <w:link w:val="BodyInfo"/>
    <w:rsid w:val="003E651E"/>
    <w:rPr>
      <w:rFonts w:ascii="Franklin Gothic Book" w:hAnsi="Franklin Gothic Book" w:cstheme="minorHAnsi"/>
    </w:rPr>
  </w:style>
  <w:style w:type="paragraph" w:styleId="Header">
    <w:name w:val="header"/>
    <w:basedOn w:val="Normal"/>
    <w:link w:val="HeaderChar"/>
    <w:uiPriority w:val="99"/>
    <w:unhideWhenUsed/>
    <w:rsid w:val="009B0868"/>
    <w:pPr>
      <w:tabs>
        <w:tab w:val="center" w:pos="4680"/>
        <w:tab w:val="right" w:pos="9360"/>
      </w:tabs>
      <w:spacing w:after="0" w:line="240" w:lineRule="auto"/>
    </w:pPr>
  </w:style>
  <w:style w:type="character" w:customStyle="1" w:styleId="H3Char">
    <w:name w:val="H3 Char"/>
    <w:basedOn w:val="BodyChar"/>
    <w:link w:val="H3"/>
    <w:rsid w:val="009B0868"/>
    <w:rPr>
      <w:rFonts w:ascii="Franklin Gothic Book" w:hAnsi="Franklin Gothic Book" w:cstheme="minorHAnsi"/>
      <w:b/>
    </w:rPr>
  </w:style>
  <w:style w:type="character" w:customStyle="1" w:styleId="HeaderChar">
    <w:name w:val="Header Char"/>
    <w:basedOn w:val="DefaultParagraphFont"/>
    <w:link w:val="Header"/>
    <w:uiPriority w:val="99"/>
    <w:rsid w:val="009B0868"/>
  </w:style>
  <w:style w:type="paragraph" w:styleId="Footer">
    <w:name w:val="footer"/>
    <w:basedOn w:val="Normal"/>
    <w:link w:val="FooterChar"/>
    <w:uiPriority w:val="99"/>
    <w:unhideWhenUsed/>
    <w:rsid w:val="009B0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868"/>
  </w:style>
  <w:style w:type="paragraph" w:styleId="ListParagraph">
    <w:name w:val="List Paragraph"/>
    <w:basedOn w:val="Normal"/>
    <w:link w:val="ListParagraphChar"/>
    <w:uiPriority w:val="34"/>
    <w:qFormat/>
    <w:rsid w:val="00A50DBD"/>
    <w:pPr>
      <w:ind w:left="720"/>
      <w:contextualSpacing/>
    </w:pPr>
  </w:style>
  <w:style w:type="paragraph" w:customStyle="1" w:styleId="CheckList">
    <w:name w:val="Check List"/>
    <w:basedOn w:val="ListParagraph"/>
    <w:link w:val="CheckListChar"/>
    <w:qFormat/>
    <w:rsid w:val="00A50DBD"/>
    <w:pPr>
      <w:numPr>
        <w:numId w:val="1"/>
      </w:numPr>
      <w:suppressAutoHyphens/>
      <w:contextualSpacing w:val="0"/>
      <w:jc w:val="center"/>
    </w:pPr>
    <w:rPr>
      <w:rFonts w:ascii="Franklin Gothic Book" w:hAnsi="Franklin Gothic Book" w:cstheme="minorHAnsi"/>
      <w:i/>
    </w:rPr>
  </w:style>
  <w:style w:type="paragraph" w:styleId="BalloonText">
    <w:name w:val="Balloon Text"/>
    <w:basedOn w:val="Normal"/>
    <w:link w:val="BalloonTextChar"/>
    <w:uiPriority w:val="99"/>
    <w:semiHidden/>
    <w:unhideWhenUsed/>
    <w:rsid w:val="00F86F4F"/>
    <w:pPr>
      <w:spacing w:after="0" w:line="240" w:lineRule="auto"/>
    </w:pPr>
    <w:rPr>
      <w:rFonts w:ascii="Segoe UI" w:hAnsi="Segoe UI" w:cs="Segoe UI"/>
      <w:sz w:val="18"/>
      <w:szCs w:val="18"/>
    </w:rPr>
  </w:style>
  <w:style w:type="character" w:customStyle="1" w:styleId="ListParagraphChar">
    <w:name w:val="List Paragraph Char"/>
    <w:basedOn w:val="DefaultParagraphFont"/>
    <w:link w:val="ListParagraph"/>
    <w:uiPriority w:val="34"/>
    <w:rsid w:val="00A50DBD"/>
  </w:style>
  <w:style w:type="character" w:customStyle="1" w:styleId="CheckListChar">
    <w:name w:val="Check List Char"/>
    <w:basedOn w:val="ListParagraphChar"/>
    <w:link w:val="CheckList"/>
    <w:rsid w:val="00A50DBD"/>
    <w:rPr>
      <w:rFonts w:ascii="Franklin Gothic Book" w:hAnsi="Franklin Gothic Book" w:cstheme="minorHAnsi"/>
      <w:i/>
    </w:rPr>
  </w:style>
  <w:style w:type="character" w:customStyle="1" w:styleId="BalloonTextChar">
    <w:name w:val="Balloon Text Char"/>
    <w:basedOn w:val="DefaultParagraphFont"/>
    <w:link w:val="BalloonText"/>
    <w:uiPriority w:val="99"/>
    <w:semiHidden/>
    <w:rsid w:val="00F86F4F"/>
    <w:rPr>
      <w:rFonts w:ascii="Segoe UI" w:hAnsi="Segoe UI" w:cs="Segoe UI"/>
      <w:sz w:val="18"/>
      <w:szCs w:val="18"/>
    </w:rPr>
  </w:style>
  <w:style w:type="character" w:styleId="CommentReference">
    <w:name w:val="annotation reference"/>
    <w:basedOn w:val="DefaultParagraphFont"/>
    <w:uiPriority w:val="99"/>
    <w:semiHidden/>
    <w:unhideWhenUsed/>
    <w:rsid w:val="00AE37F2"/>
    <w:rPr>
      <w:sz w:val="16"/>
      <w:szCs w:val="16"/>
    </w:rPr>
  </w:style>
  <w:style w:type="paragraph" w:styleId="CommentText">
    <w:name w:val="annotation text"/>
    <w:basedOn w:val="Normal"/>
    <w:link w:val="CommentTextChar"/>
    <w:uiPriority w:val="99"/>
    <w:semiHidden/>
    <w:unhideWhenUsed/>
    <w:rsid w:val="00AE37F2"/>
    <w:pPr>
      <w:spacing w:line="240" w:lineRule="auto"/>
    </w:pPr>
    <w:rPr>
      <w:sz w:val="20"/>
      <w:szCs w:val="20"/>
    </w:rPr>
  </w:style>
  <w:style w:type="character" w:customStyle="1" w:styleId="CommentTextChar">
    <w:name w:val="Comment Text Char"/>
    <w:basedOn w:val="DefaultParagraphFont"/>
    <w:link w:val="CommentText"/>
    <w:uiPriority w:val="99"/>
    <w:semiHidden/>
    <w:rsid w:val="00AE37F2"/>
    <w:rPr>
      <w:sz w:val="20"/>
      <w:szCs w:val="20"/>
    </w:rPr>
  </w:style>
  <w:style w:type="paragraph" w:styleId="CommentSubject">
    <w:name w:val="annotation subject"/>
    <w:basedOn w:val="CommentText"/>
    <w:next w:val="CommentText"/>
    <w:link w:val="CommentSubjectChar"/>
    <w:uiPriority w:val="99"/>
    <w:semiHidden/>
    <w:unhideWhenUsed/>
    <w:rsid w:val="00AE37F2"/>
    <w:rPr>
      <w:b/>
      <w:bCs/>
    </w:rPr>
  </w:style>
  <w:style w:type="character" w:customStyle="1" w:styleId="CommentSubjectChar">
    <w:name w:val="Comment Subject Char"/>
    <w:basedOn w:val="CommentTextChar"/>
    <w:link w:val="CommentSubject"/>
    <w:uiPriority w:val="99"/>
    <w:semiHidden/>
    <w:rsid w:val="00AE37F2"/>
    <w:rPr>
      <w:b/>
      <w:bCs/>
      <w:sz w:val="20"/>
      <w:szCs w:val="20"/>
    </w:rPr>
  </w:style>
  <w:style w:type="character" w:styleId="FollowedHyperlink">
    <w:name w:val="FollowedHyperlink"/>
    <w:basedOn w:val="DefaultParagraphFont"/>
    <w:uiPriority w:val="99"/>
    <w:semiHidden/>
    <w:unhideWhenUsed/>
    <w:rsid w:val="00CD4B26"/>
    <w:rPr>
      <w:color w:val="800080" w:themeColor="followedHyperlink"/>
      <w:u w:val="single"/>
    </w:rPr>
  </w:style>
  <w:style w:type="character" w:styleId="UnresolvedMention">
    <w:name w:val="Unresolved Mention"/>
    <w:basedOn w:val="DefaultParagraphFont"/>
    <w:uiPriority w:val="99"/>
    <w:semiHidden/>
    <w:unhideWhenUsed/>
    <w:rsid w:val="00D11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r.ca.gov/Home/DAS" TargetMode="External"/><Relationship Id="rId18" Type="http://schemas.openxmlformats.org/officeDocument/2006/relationships/hyperlink" Target="http://www.apps2.dgs.ca.gov/DSA/casp/casp_certified_list.aspx" TargetMode="External"/><Relationship Id="rId3" Type="http://schemas.openxmlformats.org/officeDocument/2006/relationships/styles" Target="styles.xml"/><Relationship Id="rId21" Type="http://schemas.openxmlformats.org/officeDocument/2006/relationships/hyperlink" Target="http://www.dgs.ca.gov/bsc" TargetMode="External"/><Relationship Id="rId7" Type="http://schemas.openxmlformats.org/officeDocument/2006/relationships/endnotes" Target="endnotes.xml"/><Relationship Id="rId12" Type="http://schemas.openxmlformats.org/officeDocument/2006/relationships/hyperlink" Target="http://www.dor.ca.gov/" TargetMode="External"/><Relationship Id="rId17" Type="http://schemas.openxmlformats.org/officeDocument/2006/relationships/hyperlink" Target="http://www.ccda.ca.gov/resources" TargetMode="External"/><Relationship Id="rId2" Type="http://schemas.openxmlformats.org/officeDocument/2006/relationships/numbering" Target="numbering.xml"/><Relationship Id="rId16" Type="http://schemas.openxmlformats.org/officeDocument/2006/relationships/hyperlink" Target="http://www.ccda.ca.gov" TargetMode="External"/><Relationship Id="rId20" Type="http://schemas.openxmlformats.org/officeDocument/2006/relationships/hyperlink" Target="http://www.a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dgs.ca.gov/DSA/Resources/CASp-Property-Inspection" TargetMode="External"/><Relationship Id="rId5" Type="http://schemas.openxmlformats.org/officeDocument/2006/relationships/webSettings" Target="webSettings.xml"/><Relationship Id="rId15" Type="http://schemas.openxmlformats.org/officeDocument/2006/relationships/hyperlink" Target="http://www.rehab.cahwnet.gov" TargetMode="External"/><Relationship Id="rId23" Type="http://schemas.openxmlformats.org/officeDocument/2006/relationships/theme" Target="theme/theme1.xml"/><Relationship Id="rId10" Type="http://schemas.openxmlformats.org/officeDocument/2006/relationships/hyperlink" Target="http://www.dgs.ca.gov/dsa" TargetMode="External"/><Relationship Id="rId19" Type="http://schemas.openxmlformats.org/officeDocument/2006/relationships/hyperlink" Target="http://www.treasurer.ca.gov/cpcfa/calca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ehab.cahwnet.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8759F-5CEF-4F99-BD32-3FAB19FD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955</Words>
  <Characters>1300</Characters>
  <Application>Microsoft Office Word</Application>
  <DocSecurity>0</DocSecurity>
  <Lines>56</Lines>
  <Paragraphs>39</Paragraphs>
  <ScaleCrop>false</ScaleCrop>
  <HeadingPairs>
    <vt:vector size="2" baseType="variant">
      <vt:variant>
        <vt:lpstr>Title</vt:lpstr>
      </vt:variant>
      <vt:variant>
        <vt:i4>1</vt:i4>
      </vt:variant>
    </vt:vector>
  </HeadingPairs>
  <TitlesOfParts>
    <vt:vector size="1" baseType="lpstr">
      <vt:lpstr>DISABILITY ACCESS REQUIREMENTS AND RESOURCES</vt:lpstr>
    </vt:vector>
  </TitlesOfParts>
  <Company>Department of General Services</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ACCESS REQUIREMENTS AND RESOURCES</dc:title>
  <dc:creator>Division of the State Architect</dc:creator>
  <cp:lastModifiedBy>Smothers, Andrew@DGS</cp:lastModifiedBy>
  <cp:revision>5</cp:revision>
  <cp:lastPrinted>2018-12-27T18:17:00Z</cp:lastPrinted>
  <dcterms:created xsi:type="dcterms:W3CDTF">2019-01-18T18:52:00Z</dcterms:created>
  <dcterms:modified xsi:type="dcterms:W3CDTF">2026-07-03T19:09:00Z</dcterms:modified>
</cp:coreProperties>
</file>