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8A032" w14:textId="77777777" w:rsidR="0022295B" w:rsidRPr="008B05AA" w:rsidRDefault="00465238" w:rsidP="00BF1BC2">
      <w:pPr>
        <w:spacing w:after="0" w:line="240" w:lineRule="auto"/>
        <w:jc w:val="center"/>
        <w:rPr>
          <w:b/>
          <w:sz w:val="32"/>
          <w:szCs w:val="32"/>
        </w:rPr>
      </w:pPr>
      <w:r w:rsidRPr="008B05AA">
        <w:rPr>
          <w:b/>
          <w:sz w:val="32"/>
          <w:szCs w:val="32"/>
        </w:rPr>
        <w:t>CCDA Legislative Status Report</w:t>
      </w:r>
    </w:p>
    <w:p w14:paraId="72265396" w14:textId="014E5DFF" w:rsidR="008B05AA" w:rsidRDefault="00465238" w:rsidP="00BF1BC2">
      <w:pPr>
        <w:spacing w:after="0" w:line="240" w:lineRule="auto"/>
        <w:jc w:val="center"/>
        <w:rPr>
          <w:b/>
          <w:sz w:val="32"/>
          <w:szCs w:val="32"/>
        </w:rPr>
      </w:pPr>
      <w:r w:rsidRPr="008B05AA">
        <w:rPr>
          <w:b/>
          <w:sz w:val="32"/>
          <w:szCs w:val="32"/>
        </w:rPr>
        <w:t xml:space="preserve">Report ran on </w:t>
      </w:r>
      <w:r w:rsidR="00634B4E">
        <w:rPr>
          <w:b/>
          <w:sz w:val="32"/>
          <w:szCs w:val="32"/>
        </w:rPr>
        <w:t>Fri</w:t>
      </w:r>
      <w:r w:rsidRPr="008B05AA">
        <w:rPr>
          <w:b/>
          <w:sz w:val="32"/>
          <w:szCs w:val="32"/>
        </w:rPr>
        <w:t xml:space="preserve">day, </w:t>
      </w:r>
      <w:r w:rsidR="00CE6159">
        <w:rPr>
          <w:b/>
          <w:sz w:val="32"/>
          <w:szCs w:val="32"/>
        </w:rPr>
        <w:t xml:space="preserve">October </w:t>
      </w:r>
      <w:r w:rsidR="00634B4E">
        <w:rPr>
          <w:b/>
          <w:sz w:val="32"/>
          <w:szCs w:val="32"/>
        </w:rPr>
        <w:t>16</w:t>
      </w:r>
      <w:r w:rsidRPr="008B05AA">
        <w:rPr>
          <w:b/>
          <w:sz w:val="32"/>
          <w:szCs w:val="32"/>
        </w:rPr>
        <w:t>, 2020</w:t>
      </w:r>
    </w:p>
    <w:p w14:paraId="43618EE3" w14:textId="77777777" w:rsidR="00BF1BC2" w:rsidRDefault="00BF1BC2" w:rsidP="00BF1BC2">
      <w:pPr>
        <w:spacing w:after="0" w:line="240" w:lineRule="auto"/>
        <w:jc w:val="center"/>
        <w:rPr>
          <w:b/>
          <w:sz w:val="32"/>
          <w:szCs w:val="32"/>
        </w:rPr>
      </w:pPr>
    </w:p>
    <w:p w14:paraId="7CA05579" w14:textId="77777777" w:rsidR="00BF1BC2" w:rsidRPr="008803FE" w:rsidRDefault="00BF1BC2">
      <w:pPr>
        <w:widowControl w:val="0"/>
        <w:tabs>
          <w:tab w:val="left" w:pos="1293"/>
        </w:tabs>
        <w:autoSpaceDE w:val="0"/>
        <w:autoSpaceDN w:val="0"/>
        <w:adjustRightInd w:val="0"/>
        <w:spacing w:after="0" w:line="240" w:lineRule="auto"/>
        <w:ind w:left="45"/>
        <w:rPr>
          <w:rFonts w:cs="Arial"/>
          <w:bCs/>
          <w:szCs w:val="24"/>
        </w:rPr>
      </w:pPr>
    </w:p>
    <w:p w14:paraId="0237D7A6" w14:textId="77777777" w:rsidR="00BF1BC2" w:rsidRPr="008803FE" w:rsidRDefault="00BF1BC2">
      <w:pPr>
        <w:widowControl w:val="0"/>
        <w:tabs>
          <w:tab w:val="left" w:pos="1293"/>
        </w:tabs>
        <w:autoSpaceDE w:val="0"/>
        <w:autoSpaceDN w:val="0"/>
        <w:adjustRightInd w:val="0"/>
        <w:spacing w:after="0" w:line="240" w:lineRule="auto"/>
        <w:ind w:left="45"/>
        <w:rPr>
          <w:rFonts w:cs="Arial"/>
          <w:bCs/>
          <w:szCs w:val="24"/>
        </w:rPr>
      </w:pPr>
    </w:p>
    <w:p w14:paraId="3358AF9B" w14:textId="5818D38F" w:rsidR="008B05AA" w:rsidRPr="008803FE" w:rsidRDefault="00C57D16" w:rsidP="008B05AA">
      <w:pPr>
        <w:rPr>
          <w:rFonts w:cs="Arial"/>
          <w:b/>
          <w:bCs/>
          <w:szCs w:val="24"/>
        </w:rPr>
      </w:pPr>
      <w:hyperlink r:id="rId6" w:history="1">
        <w:r w:rsidR="008B05AA" w:rsidRPr="008803FE">
          <w:rPr>
            <w:rFonts w:cs="Arial"/>
            <w:b/>
            <w:bCs/>
            <w:color w:val="0000FF"/>
            <w:szCs w:val="24"/>
            <w:u w:val="single"/>
          </w:rPr>
          <w:t>AB 3364</w:t>
        </w:r>
      </w:hyperlink>
      <w:r w:rsidR="008B05AA" w:rsidRPr="008803FE">
        <w:rPr>
          <w:rFonts w:cs="Arial"/>
          <w:b/>
          <w:bCs/>
          <w:color w:val="0000FF"/>
          <w:szCs w:val="24"/>
        </w:rPr>
        <w:tab/>
      </w:r>
      <w:r w:rsidR="008B05AA" w:rsidRPr="008803FE">
        <w:rPr>
          <w:rFonts w:cs="Arial"/>
          <w:b/>
          <w:bCs/>
          <w:szCs w:val="24"/>
        </w:rPr>
        <w:t>(Committee on Judiciary) Judiciary omnibus.</w:t>
      </w:r>
    </w:p>
    <w:p w14:paraId="6C559EE8" w14:textId="5F0C7A19" w:rsidR="008B05AA" w:rsidRPr="008803FE" w:rsidRDefault="008B05AA" w:rsidP="00BF1BC2">
      <w:pPr>
        <w:widowControl w:val="0"/>
        <w:tabs>
          <w:tab w:val="left" w:pos="1293"/>
        </w:tabs>
        <w:autoSpaceDE w:val="0"/>
        <w:autoSpaceDN w:val="0"/>
        <w:adjustRightInd w:val="0"/>
        <w:spacing w:after="0" w:line="240" w:lineRule="auto"/>
        <w:rPr>
          <w:rFonts w:cs="Arial"/>
          <w:bCs/>
          <w:color w:val="0000FF"/>
          <w:szCs w:val="24"/>
        </w:rPr>
      </w:pPr>
      <w:r w:rsidRPr="008803FE">
        <w:rPr>
          <w:rFonts w:cs="Arial"/>
          <w:b/>
          <w:bCs/>
          <w:szCs w:val="24"/>
        </w:rPr>
        <w:t>Current Text: </w:t>
      </w:r>
      <w:r w:rsidR="00634B4E">
        <w:rPr>
          <w:rFonts w:cs="Arial"/>
          <w:bCs/>
          <w:szCs w:val="24"/>
        </w:rPr>
        <w:t>Enrollment</w:t>
      </w:r>
      <w:r w:rsidRPr="008803FE">
        <w:rPr>
          <w:rFonts w:cs="Arial"/>
          <w:bCs/>
          <w:szCs w:val="24"/>
        </w:rPr>
        <w:t>: </w:t>
      </w:r>
      <w:r w:rsidR="00634B4E">
        <w:rPr>
          <w:rFonts w:cs="Arial"/>
          <w:bCs/>
          <w:szCs w:val="24"/>
        </w:rPr>
        <w:t>8</w:t>
      </w:r>
      <w:r w:rsidRPr="008803FE">
        <w:rPr>
          <w:rFonts w:cs="Arial"/>
          <w:bCs/>
          <w:szCs w:val="24"/>
        </w:rPr>
        <w:t>/</w:t>
      </w:r>
      <w:r w:rsidR="00634B4E">
        <w:rPr>
          <w:rFonts w:cs="Arial"/>
          <w:bCs/>
          <w:szCs w:val="24"/>
        </w:rPr>
        <w:t>31</w:t>
      </w:r>
      <w:r w:rsidRPr="008803FE">
        <w:rPr>
          <w:rFonts w:cs="Arial"/>
          <w:bCs/>
          <w:szCs w:val="24"/>
        </w:rPr>
        <w:t xml:space="preserve">/2020   </w:t>
      </w:r>
      <w:hyperlink r:id="rId7" w:history="1">
        <w:r w:rsidRPr="008803FE">
          <w:rPr>
            <w:rFonts w:cs="Arial"/>
            <w:bCs/>
            <w:color w:val="0000FF"/>
            <w:szCs w:val="24"/>
            <w:u w:val="single"/>
          </w:rPr>
          <w:t xml:space="preserve"> html </w:t>
        </w:r>
      </w:hyperlink>
      <w:r w:rsidRPr="008803FE">
        <w:rPr>
          <w:rFonts w:cs="Arial"/>
          <w:bCs/>
          <w:szCs w:val="24"/>
        </w:rPr>
        <w:t xml:space="preserve">   </w:t>
      </w:r>
      <w:hyperlink r:id="rId8" w:history="1">
        <w:r w:rsidRPr="008803FE">
          <w:rPr>
            <w:rFonts w:cs="Arial"/>
            <w:bCs/>
            <w:color w:val="0000FF"/>
            <w:szCs w:val="24"/>
            <w:u w:val="single"/>
          </w:rPr>
          <w:t xml:space="preserve"> pdf </w:t>
        </w:r>
      </w:hyperlink>
    </w:p>
    <w:p w14:paraId="2BBE13B5" w14:textId="77777777" w:rsidR="008B05AA" w:rsidRPr="008803FE" w:rsidRDefault="008B05AA" w:rsidP="00BF1BC2">
      <w:pPr>
        <w:widowControl w:val="0"/>
        <w:tabs>
          <w:tab w:val="left" w:pos="1293"/>
        </w:tabs>
        <w:autoSpaceDE w:val="0"/>
        <w:autoSpaceDN w:val="0"/>
        <w:adjustRightInd w:val="0"/>
        <w:spacing w:after="0" w:line="240" w:lineRule="auto"/>
        <w:rPr>
          <w:rFonts w:cs="Arial"/>
          <w:bCs/>
          <w:szCs w:val="24"/>
        </w:rPr>
      </w:pPr>
      <w:r w:rsidRPr="008803FE">
        <w:rPr>
          <w:rFonts w:cs="Arial"/>
          <w:b/>
          <w:bCs/>
          <w:szCs w:val="24"/>
        </w:rPr>
        <w:t>Introduced: </w:t>
      </w:r>
      <w:r w:rsidRPr="008803FE">
        <w:rPr>
          <w:rFonts w:cs="Arial"/>
          <w:bCs/>
          <w:szCs w:val="24"/>
        </w:rPr>
        <w:t>3/5/2020</w:t>
      </w:r>
    </w:p>
    <w:p w14:paraId="3606D01C" w14:textId="388C792B" w:rsidR="008B05AA" w:rsidRPr="008803FE" w:rsidRDefault="008B05AA" w:rsidP="00BF1BC2">
      <w:pPr>
        <w:widowControl w:val="0"/>
        <w:tabs>
          <w:tab w:val="left" w:pos="1293"/>
        </w:tabs>
        <w:autoSpaceDE w:val="0"/>
        <w:autoSpaceDN w:val="0"/>
        <w:adjustRightInd w:val="0"/>
        <w:spacing w:after="0" w:line="240" w:lineRule="auto"/>
        <w:rPr>
          <w:rFonts w:cs="Arial"/>
          <w:bCs/>
          <w:szCs w:val="24"/>
        </w:rPr>
      </w:pPr>
      <w:r w:rsidRPr="008803FE">
        <w:rPr>
          <w:rFonts w:cs="Arial"/>
          <w:b/>
          <w:bCs/>
          <w:szCs w:val="24"/>
        </w:rPr>
        <w:t>Last Amend: </w:t>
      </w:r>
      <w:r w:rsidR="00634B4E">
        <w:rPr>
          <w:rFonts w:cs="Arial"/>
          <w:bCs/>
          <w:szCs w:val="24"/>
        </w:rPr>
        <w:t>8</w:t>
      </w:r>
      <w:r w:rsidRPr="008803FE">
        <w:rPr>
          <w:rFonts w:cs="Arial"/>
          <w:bCs/>
          <w:szCs w:val="24"/>
        </w:rPr>
        <w:t>/</w:t>
      </w:r>
      <w:r w:rsidR="00634B4E">
        <w:rPr>
          <w:rFonts w:cs="Arial"/>
          <w:bCs/>
          <w:szCs w:val="24"/>
        </w:rPr>
        <w:t>20</w:t>
      </w:r>
      <w:r w:rsidRPr="008803FE">
        <w:rPr>
          <w:rFonts w:cs="Arial"/>
          <w:bCs/>
          <w:szCs w:val="24"/>
        </w:rPr>
        <w:t>/2020</w:t>
      </w:r>
    </w:p>
    <w:p w14:paraId="3E6A9558" w14:textId="5881B837" w:rsidR="008B05AA" w:rsidRPr="008803FE" w:rsidRDefault="008B05AA" w:rsidP="00BF1BC2">
      <w:pPr>
        <w:widowControl w:val="0"/>
        <w:tabs>
          <w:tab w:val="left" w:pos="1293"/>
        </w:tabs>
        <w:autoSpaceDE w:val="0"/>
        <w:autoSpaceDN w:val="0"/>
        <w:adjustRightInd w:val="0"/>
        <w:spacing w:after="0" w:line="240" w:lineRule="auto"/>
        <w:rPr>
          <w:rFonts w:cs="Arial"/>
          <w:b/>
          <w:bCs/>
          <w:szCs w:val="24"/>
        </w:rPr>
      </w:pPr>
      <w:r w:rsidRPr="008803FE">
        <w:rPr>
          <w:rFonts w:cs="Arial"/>
          <w:b/>
          <w:bCs/>
          <w:szCs w:val="24"/>
        </w:rPr>
        <w:t>Status: </w:t>
      </w:r>
      <w:r w:rsidR="00634B4E">
        <w:rPr>
          <w:rFonts w:cs="Arial"/>
          <w:bCs/>
          <w:szCs w:val="24"/>
        </w:rPr>
        <w:t>8/31/2020-Chaptered by the Secretary of State- Chapter 36, Statutes of 2020</w:t>
      </w:r>
    </w:p>
    <w:p w14:paraId="2B7971F6" w14:textId="61F81D04" w:rsidR="00C8219E" w:rsidRPr="00634B4E" w:rsidRDefault="008B05AA" w:rsidP="00634B4E">
      <w:pPr>
        <w:widowControl w:val="0"/>
        <w:shd w:val="clear" w:color="auto" w:fill="C5E0B3" w:themeFill="accent6" w:themeFillTint="66"/>
        <w:tabs>
          <w:tab w:val="left" w:pos="1293"/>
        </w:tabs>
        <w:autoSpaceDE w:val="0"/>
        <w:autoSpaceDN w:val="0"/>
        <w:adjustRightInd w:val="0"/>
        <w:spacing w:after="0" w:line="240" w:lineRule="auto"/>
        <w:rPr>
          <w:rFonts w:cs="Arial"/>
          <w:bCs/>
          <w:szCs w:val="24"/>
        </w:rPr>
      </w:pPr>
      <w:r w:rsidRPr="00465238">
        <w:rPr>
          <w:rFonts w:cs="Arial"/>
          <w:b/>
          <w:bCs/>
          <w:szCs w:val="24"/>
        </w:rPr>
        <w:t>Location: </w:t>
      </w:r>
      <w:r w:rsidR="00634B4E">
        <w:rPr>
          <w:rFonts w:cs="Arial"/>
          <w:bCs/>
          <w:szCs w:val="24"/>
        </w:rPr>
        <w:t>8</w:t>
      </w:r>
      <w:r w:rsidRPr="00465238">
        <w:rPr>
          <w:rFonts w:cs="Arial"/>
          <w:bCs/>
          <w:szCs w:val="24"/>
        </w:rPr>
        <w:t>/</w:t>
      </w:r>
      <w:r w:rsidR="00634B4E">
        <w:rPr>
          <w:rFonts w:cs="Arial"/>
          <w:bCs/>
          <w:szCs w:val="24"/>
        </w:rPr>
        <w:t>31</w:t>
      </w:r>
      <w:r w:rsidRPr="00465238">
        <w:rPr>
          <w:rFonts w:cs="Arial"/>
          <w:bCs/>
          <w:szCs w:val="24"/>
        </w:rPr>
        <w:t>/2020-</w:t>
      </w:r>
      <w:r w:rsidR="00634B4E">
        <w:rPr>
          <w:rFonts w:cs="Arial"/>
          <w:bCs/>
          <w:szCs w:val="24"/>
        </w:rPr>
        <w:t>A</w:t>
      </w:r>
      <w:r w:rsidRPr="00465238">
        <w:rPr>
          <w:rFonts w:cs="Arial"/>
          <w:bCs/>
          <w:szCs w:val="24"/>
        </w:rPr>
        <w:t>. </w:t>
      </w:r>
      <w:r w:rsidR="00634B4E">
        <w:rPr>
          <w:rFonts w:cs="Arial"/>
          <w:bCs/>
          <w:szCs w:val="24"/>
        </w:rPr>
        <w:t>CHAPTERED</w:t>
      </w:r>
    </w:p>
    <w:p w14:paraId="2A86B7F2" w14:textId="77777777" w:rsidR="00634B4E" w:rsidRDefault="00634B4E" w:rsidP="00C8219E">
      <w:pPr>
        <w:widowControl w:val="0"/>
        <w:tabs>
          <w:tab w:val="left" w:pos="1293"/>
        </w:tabs>
        <w:autoSpaceDE w:val="0"/>
        <w:autoSpaceDN w:val="0"/>
        <w:adjustRightInd w:val="0"/>
        <w:spacing w:after="0" w:line="240" w:lineRule="auto"/>
        <w:rPr>
          <w:rFonts w:cs="Arial"/>
          <w:b/>
          <w:bCs/>
          <w:szCs w:val="24"/>
        </w:rPr>
      </w:pPr>
    </w:p>
    <w:p w14:paraId="6D15BD9C" w14:textId="067DFE05" w:rsidR="008B05AA" w:rsidRDefault="008B05AA" w:rsidP="00C8219E">
      <w:pPr>
        <w:widowControl w:val="0"/>
        <w:tabs>
          <w:tab w:val="left" w:pos="1293"/>
        </w:tabs>
        <w:autoSpaceDE w:val="0"/>
        <w:autoSpaceDN w:val="0"/>
        <w:adjustRightInd w:val="0"/>
        <w:spacing w:after="0" w:line="240" w:lineRule="auto"/>
      </w:pPr>
      <w:r w:rsidRPr="008803FE">
        <w:rPr>
          <w:rFonts w:cs="Arial"/>
          <w:b/>
          <w:bCs/>
          <w:szCs w:val="24"/>
        </w:rPr>
        <w:t>Summary: </w:t>
      </w:r>
      <w:r w:rsidRPr="008803FE">
        <w:rPr>
          <w:rFonts w:cs="Arial"/>
          <w:bCs/>
          <w:szCs w:val="24"/>
        </w:rPr>
        <w:t>The State Bar Act provides for the licensure and regulation of attorneys by the State Bar of California and requires the State Bar to adopt regulations to require, as of January 1, 2022, that the mandatory continuing legal education curriculum for all licensees include training on bias, as specified. Current law requires a licensee to meet the requirements for each compliance period ending after January 31, 2023. This bill would instead require a licensee to meet the requirements for each compliance period ending after January 31, 2022.</w:t>
      </w:r>
      <w:r>
        <w:t xml:space="preserve"> </w:t>
      </w:r>
    </w:p>
    <w:p w14:paraId="7618024E" w14:textId="77777777" w:rsidR="00BF1BC2" w:rsidRDefault="00BF1BC2" w:rsidP="008B05AA">
      <w:pPr>
        <w:widowControl w:val="0"/>
        <w:tabs>
          <w:tab w:val="left" w:pos="1293"/>
        </w:tabs>
        <w:autoSpaceDE w:val="0"/>
        <w:autoSpaceDN w:val="0"/>
        <w:adjustRightInd w:val="0"/>
        <w:spacing w:after="0" w:line="240" w:lineRule="auto"/>
        <w:ind w:left="45"/>
      </w:pPr>
    </w:p>
    <w:p w14:paraId="16B05D72" w14:textId="161149D3" w:rsidR="008B05AA" w:rsidRPr="008803FE" w:rsidRDefault="008B05AA" w:rsidP="00C8219E">
      <w:pPr>
        <w:widowControl w:val="0"/>
        <w:tabs>
          <w:tab w:val="left" w:pos="1293"/>
        </w:tabs>
        <w:autoSpaceDE w:val="0"/>
        <w:autoSpaceDN w:val="0"/>
        <w:adjustRightInd w:val="0"/>
        <w:spacing w:after="0" w:line="240" w:lineRule="auto"/>
        <w:rPr>
          <w:rFonts w:cs="Arial"/>
          <w:bCs/>
          <w:szCs w:val="24"/>
        </w:rPr>
      </w:pPr>
      <w:r w:rsidRPr="008803FE">
        <w:rPr>
          <w:rFonts w:cs="Arial"/>
          <w:bCs/>
          <w:szCs w:val="24"/>
        </w:rPr>
        <w:t>.</w:t>
      </w:r>
    </w:p>
    <w:p w14:paraId="06FDA91F" w14:textId="77777777" w:rsidR="0022295B" w:rsidRPr="008803FE" w:rsidRDefault="0022295B">
      <w:pPr>
        <w:widowControl w:val="0"/>
        <w:autoSpaceDE w:val="0"/>
        <w:autoSpaceDN w:val="0"/>
        <w:adjustRightInd w:val="0"/>
        <w:spacing w:after="0" w:line="240" w:lineRule="auto"/>
        <w:rPr>
          <w:rFonts w:cs="Arial"/>
          <w:bCs/>
          <w:szCs w:val="24"/>
        </w:rPr>
      </w:pPr>
    </w:p>
    <w:p w14:paraId="4C4DC169" w14:textId="1A8A94C5" w:rsidR="0022295B" w:rsidRDefault="00465238" w:rsidP="00465238">
      <w:pPr>
        <w:jc w:val="center"/>
        <w:rPr>
          <w:b/>
        </w:rPr>
      </w:pPr>
      <w:r w:rsidRPr="008B05AA">
        <w:rPr>
          <w:b/>
        </w:rPr>
        <w:t>Total Measures: </w:t>
      </w:r>
      <w:r w:rsidR="00CE6159">
        <w:rPr>
          <w:b/>
        </w:rPr>
        <w:t>1</w:t>
      </w:r>
    </w:p>
    <w:p w14:paraId="517A0C1A" w14:textId="77777777" w:rsidR="0070056B" w:rsidRDefault="0070056B" w:rsidP="00465238">
      <w:pPr>
        <w:jc w:val="center"/>
        <w:rPr>
          <w:b/>
        </w:rPr>
      </w:pPr>
    </w:p>
    <w:p w14:paraId="5CEF4E78" w14:textId="77777777" w:rsidR="0070056B" w:rsidRDefault="0070056B" w:rsidP="0070056B">
      <w:pPr>
        <w:rPr>
          <w:rFonts w:asciiTheme="minorHAnsi" w:hAnsiTheme="minorHAnsi"/>
          <w:vanish/>
          <w:sz w:val="22"/>
        </w:rPr>
      </w:pPr>
      <w:r>
        <w:rPr>
          <w:vanish/>
        </w:rPr>
        <w:t>Top of Form</w:t>
      </w:r>
    </w:p>
    <w:p w14:paraId="63A23CD0" w14:textId="77777777" w:rsidR="0070056B" w:rsidRDefault="0070056B" w:rsidP="0070056B">
      <w:pPr>
        <w:rPr>
          <w:b/>
          <w:bCs/>
        </w:rPr>
      </w:pPr>
      <w:r>
        <w:rPr>
          <w:b/>
          <w:bCs/>
        </w:rPr>
        <w:t xml:space="preserve">AB-3364 Judiciary </w:t>
      </w:r>
      <w:proofErr w:type="gramStart"/>
      <w:r>
        <w:rPr>
          <w:b/>
          <w:bCs/>
        </w:rPr>
        <w:t>omnibus.</w:t>
      </w:r>
      <w:r>
        <w:t>(</w:t>
      </w:r>
      <w:proofErr w:type="gramEnd"/>
      <w:r>
        <w:t>2019-2020)</w:t>
      </w:r>
    </w:p>
    <w:p w14:paraId="6203F4FE" w14:textId="77777777" w:rsidR="0070056B" w:rsidRDefault="0070056B" w:rsidP="0070056B">
      <w:pPr>
        <w:rPr>
          <w:vanish/>
        </w:rPr>
      </w:pPr>
      <w:r>
        <w:rPr>
          <w:vanish/>
        </w:rPr>
        <w:t>Bottom of Form</w:t>
      </w:r>
    </w:p>
    <w:p w14:paraId="4CDA90A9" w14:textId="77777777" w:rsidR="0070056B" w:rsidRDefault="0070056B" w:rsidP="0070056B">
      <w:pPr>
        <w:rPr>
          <w:vanish/>
        </w:rPr>
      </w:pPr>
      <w:r>
        <w:rPr>
          <w:vanish/>
        </w:rPr>
        <w:t>Top of Form</w:t>
      </w:r>
    </w:p>
    <w:p w14:paraId="77EC7BCF" w14:textId="77777777" w:rsidR="0070056B" w:rsidRDefault="0070056B" w:rsidP="0070056B">
      <w:r>
        <w:rPr>
          <w:b/>
          <w:bCs/>
        </w:rPr>
        <w:t>Date Published: 09/01/2020 10:00 AM</w:t>
      </w:r>
    </w:p>
    <w:p w14:paraId="46569AED" w14:textId="77777777" w:rsidR="0070056B" w:rsidRDefault="0070056B" w:rsidP="0070056B">
      <w:pPr>
        <w:rPr>
          <w:vanish/>
        </w:rPr>
      </w:pPr>
      <w:r>
        <w:rPr>
          <w:vanish/>
        </w:rPr>
        <w:t>Bottom of Form</w:t>
      </w:r>
    </w:p>
    <w:p w14:paraId="03825124" w14:textId="77777777" w:rsidR="0070056B" w:rsidRDefault="0070056B" w:rsidP="0070056B">
      <w:r>
        <w:t xml:space="preserve">excerpts: </w:t>
      </w:r>
    </w:p>
    <w:p w14:paraId="396F79CA" w14:textId="77777777" w:rsidR="0070056B" w:rsidRDefault="0070056B" w:rsidP="0070056B">
      <w:r>
        <w:t>(10) Existing law requires an attorney who provides a demand letter for a construction-related accessibility claim to a building owner or tenant to send a copy of, and information about, the demand letter to the California Commission on Disability Access in the Department of General Services in a standard format specified by the commission.</w:t>
      </w:r>
    </w:p>
    <w:p w14:paraId="04A01E91" w14:textId="77777777" w:rsidR="0070056B" w:rsidRDefault="0070056B" w:rsidP="0070056B">
      <w:r>
        <w:t>This bill would require the commission, at least 30 days before requiring a new standard format, to post on its internet website the new standard format and the date on which the commission will begin requiring the information to be sent in the new standard format.</w:t>
      </w:r>
    </w:p>
    <w:p w14:paraId="0DC14E89" w14:textId="77777777" w:rsidR="0070056B" w:rsidRDefault="0070056B" w:rsidP="0070056B">
      <w:r>
        <w:t>(2) Within five business days of providing the demand letter, send a copy of the demand letter, and submit information about the demand letter in a standard format specified by the California Commission on Disability Access on the commission’s internet website pursuant to Section 14985.8 of the Government Code, to the commission.</w:t>
      </w:r>
      <w:bookmarkStart w:id="0" w:name="_GoBack"/>
      <w:bookmarkEnd w:id="0"/>
    </w:p>
    <w:p w14:paraId="4BEE978A" w14:textId="77777777" w:rsidR="0070056B" w:rsidRDefault="0070056B" w:rsidP="0070056B">
      <w:r>
        <w:t>(b) An attorney who sends or serves a complaint, as defined in subdivision (a) of Section 55.3, shall do both of the following:</w:t>
      </w:r>
    </w:p>
    <w:p w14:paraId="1B3864B3" w14:textId="77777777" w:rsidR="0070056B" w:rsidRDefault="0070056B" w:rsidP="0070056B">
      <w:r>
        <w:t xml:space="preserve">(1) Send a copy of the complaint and submit information about the complaint in a standard format specified by the California Commission on Disability Access on the commission’s internet website </w:t>
      </w:r>
      <w:r>
        <w:lastRenderedPageBreak/>
        <w:t>pursuant to Section 14985.8 of the Government Code to the commission within five business days of sending or serving the complaint.</w:t>
      </w:r>
    </w:p>
    <w:p w14:paraId="5D7BD927" w14:textId="77777777" w:rsidR="0070056B" w:rsidRDefault="0070056B" w:rsidP="0070056B">
      <w:r>
        <w:t>(2) Notify the California Commission on Disability Access within five business days of judgment, settlement, or dismissal of the claim or claims alleged in the complaint of the following information in a standard format specified by the commission on the commission’s internet website pursuant to Section 14985.8 of the Government Code:</w:t>
      </w:r>
    </w:p>
    <w:p w14:paraId="73469ADC" w14:textId="77777777" w:rsidR="0070056B" w:rsidRDefault="0070056B" w:rsidP="0070056B">
      <w:r>
        <w:t>(A) The date of the judgment, settlement, or dismissal.</w:t>
      </w:r>
    </w:p>
    <w:p w14:paraId="76AFE720" w14:textId="77777777" w:rsidR="0070056B" w:rsidRDefault="0070056B" w:rsidP="0070056B">
      <w:r>
        <w:t>(B) Whether or not the construction-related accessibility violations alleged in the complaint were remedied in whole or in part after the plaintiff filed a complaint or provided a demand letter, as defined by Section 55.3.</w:t>
      </w:r>
    </w:p>
    <w:p w14:paraId="5542A48B" w14:textId="77777777" w:rsidR="0070056B" w:rsidRDefault="0070056B" w:rsidP="0070056B">
      <w:r>
        <w:t>(C) If the construction-related accessibility violations alleged in the complaint were not remedied in whole or in part after the plaintiff filed a complaint or provided a demand letter, as defined by Section 55.3, whether or not another favorable result was achieved after the plaintiff filed the complaint or provided the demand letter.</w:t>
      </w:r>
    </w:p>
    <w:p w14:paraId="78AF5451" w14:textId="77777777" w:rsidR="0070056B" w:rsidRDefault="0070056B" w:rsidP="0070056B">
      <w:r>
        <w:t xml:space="preserve">(D) Whether or not the defendant </w:t>
      </w:r>
      <w:proofErr w:type="gramStart"/>
      <w:r>
        <w:t>submitted an application</w:t>
      </w:r>
      <w:proofErr w:type="gramEnd"/>
      <w:r>
        <w:t xml:space="preserve"> for an early evaluation conference and stay pursuant to Section 55.54, whether the defendant requested a site inspection, the date of any early evaluation conference, and the date of any site inspection.</w:t>
      </w:r>
    </w:p>
    <w:p w14:paraId="79428FDF" w14:textId="77777777" w:rsidR="0070056B" w:rsidRDefault="0070056B" w:rsidP="0070056B">
      <w:r>
        <w:t>(c) A violation of paragraph (2) of subdivision (a) or subdivision (b) shall constitute cause for the imposition of discipline of an attorney if a copy of the demand letter, complaint, or notification of a case outcome is not sent to the California Commission on Disability Access in the standard format specified on the commission’s internet website pursuant to Section 14985.8 of the Government Code within five business days. In the event the State Bar receives information indicating that an attorney has failed to send a copy of the demand letter, complaint, or notification of a case outcome to the California Commission on Disability Access in the standard format specified on the commission’s internet website pursuant to Section 14985.8 of the Government Code within five business days, the State Bar shall investigate to determine whether paragraph (2) of subdivision (a) or subdivision (b) has been violated.</w:t>
      </w:r>
    </w:p>
    <w:p w14:paraId="0996664F" w14:textId="77777777" w:rsidR="0070056B" w:rsidRDefault="0070056B" w:rsidP="0070056B">
      <w:r>
        <w:t>(d) Notwithstanding subdivisions (a) and (b), an attorney is not required to send to the California Commission on Disability Access a copy of any subsequent demand letter or amended complaint in the same dispute following the initial demand letter or complaint, unless that subsequent demand letter or amended complaint alleges a new construction-related accessibility claim.</w:t>
      </w:r>
    </w:p>
    <w:p w14:paraId="69DFA7C2" w14:textId="77777777" w:rsidR="0070056B" w:rsidRDefault="0070056B" w:rsidP="0070056B">
      <w:r>
        <w:t>(e) A demand letter or notification of a case outcome sent to the California Commission on Disability Access shall be for the informational purposes of Section 14985.8 of the Government Code. A demand letter received by the State Bar from the recipient of the demand letter shall be reviewed by the State Bar to determine whether subdivision (b) or (c) of Section 55.31 has been violated.</w:t>
      </w:r>
    </w:p>
    <w:p w14:paraId="4433AD1F" w14:textId="77777777" w:rsidR="0070056B" w:rsidRDefault="0070056B" w:rsidP="0070056B">
      <w:r>
        <w:t>(g) The California Commission on Disability Access shall review and report on the demand letters, complaints, and notifications of case outcomes it receives as provided in Section 14985.8 of the Government Code.</w:t>
      </w:r>
    </w:p>
    <w:p w14:paraId="0D854A78" w14:textId="77777777" w:rsidR="0070056B" w:rsidRDefault="0070056B" w:rsidP="0070056B">
      <w:r>
        <w:t>(h) The expiration of any ground for discipline of an attorney shall not affect the imposition of discipline for any act prior to the expiration. An act or omission that constituted cause for imposition of discipline of an attorney when committed or omitted prior to January 1, 2019, shall continue to constitute cause for the imposition of discipline of that attorney on and after January 1, 2019.</w:t>
      </w:r>
    </w:p>
    <w:p w14:paraId="4D8686A7" w14:textId="77777777" w:rsidR="0070056B" w:rsidRDefault="0070056B" w:rsidP="0070056B">
      <w:r>
        <w:lastRenderedPageBreak/>
        <w:t>(</w:t>
      </w:r>
      <w:proofErr w:type="spellStart"/>
      <w:r>
        <w:t>i</w:t>
      </w:r>
      <w:proofErr w:type="spellEnd"/>
      <w:r>
        <w:t>) Paragraph (2) of subdivision (a) and subdivision (b) shall not apply to a demand letter or complaint sent or filed by an attorney employed or retained by a qualified legal services project or a qualified support center, as defined in Section 6213 of the Business and Professions Code, when acting within the scope of employment in asserting a construction-related accessibility claim. The Legislature finds and declares that qualified legal services projects and support centers are extensively regulated by the State Bar of California, and that there is no evidence of any abusive use of demand letters or complaints by these organizations. The Legislature further finds that, in light of the evidence of the extraordinarily small number of construction-related accessibility cases brought by regulated legal services programs, and given the resources of those programs, exempting regulated legal services programs from the requirements of this section to report to the California Commission on Disability Access will not affect the purpose of the reporting to, and tabulation by, the commission of all other construction-related accessibility claims.</w:t>
      </w:r>
    </w:p>
    <w:p w14:paraId="73CC9D86" w14:textId="77777777" w:rsidR="0070056B" w:rsidRPr="008B05AA" w:rsidRDefault="0070056B" w:rsidP="00465238">
      <w:pPr>
        <w:jc w:val="center"/>
        <w:rPr>
          <w:b/>
        </w:rPr>
      </w:pPr>
    </w:p>
    <w:sectPr w:rsidR="0070056B" w:rsidRPr="008B05AA">
      <w:footerReference w:type="default" r:id="rId9"/>
      <w:pgSz w:w="12241" w:h="15841"/>
      <w:pgMar w:top="283"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442EE" w14:textId="77777777" w:rsidR="00241335" w:rsidRDefault="00241335" w:rsidP="00241335">
      <w:pPr>
        <w:spacing w:after="0" w:line="240" w:lineRule="auto"/>
      </w:pPr>
      <w:r>
        <w:separator/>
      </w:r>
    </w:p>
  </w:endnote>
  <w:endnote w:type="continuationSeparator" w:id="0">
    <w:p w14:paraId="71B9DD4D" w14:textId="77777777" w:rsidR="00241335" w:rsidRDefault="00241335" w:rsidP="0024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E43A" w14:textId="2E690CAD" w:rsidR="00241335" w:rsidRPr="00241335" w:rsidRDefault="00241335" w:rsidP="00241335">
    <w:pPr>
      <w:tabs>
        <w:tab w:val="center" w:pos="4680"/>
        <w:tab w:val="right" w:pos="9360"/>
      </w:tabs>
      <w:spacing w:after="0" w:line="240" w:lineRule="auto"/>
      <w:jc w:val="center"/>
      <w:rPr>
        <w:rFonts w:cs="Arial"/>
        <w:i/>
      </w:rPr>
    </w:pPr>
    <w:r w:rsidRPr="00241335">
      <w:rPr>
        <w:rFonts w:cs="Arial"/>
        <w:i/>
      </w:rPr>
      <w:t xml:space="preserve">INFORMATION CURRENT AS OF </w:t>
    </w:r>
    <w:r w:rsidR="00CE6159">
      <w:rPr>
        <w:rFonts w:cs="Arial"/>
        <w:i/>
      </w:rPr>
      <w:t xml:space="preserve">October </w:t>
    </w:r>
    <w:r w:rsidR="00C57D16">
      <w:rPr>
        <w:rFonts w:cs="Arial"/>
        <w:i/>
      </w:rPr>
      <w:t>16</w:t>
    </w:r>
    <w:r>
      <w:rPr>
        <w:rFonts w:cs="Arial"/>
        <w:i/>
      </w:rPr>
      <w:t>, 2020</w:t>
    </w:r>
    <w:r w:rsidRPr="00241335">
      <w:rPr>
        <w:rFonts w:cs="Arial"/>
        <w:i/>
      </w:rPr>
      <w:t>. PLEASE NOTE LEGISLATIVE BILLS ARE SUBJECT TO CONSTANT, CONTINUOUS UPDATES.</w:t>
    </w:r>
  </w:p>
  <w:p w14:paraId="45368CFE" w14:textId="77777777" w:rsidR="00241335" w:rsidRDefault="00241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1A6FE" w14:textId="77777777" w:rsidR="00241335" w:rsidRDefault="00241335" w:rsidP="00241335">
      <w:pPr>
        <w:spacing w:after="0" w:line="240" w:lineRule="auto"/>
      </w:pPr>
      <w:r>
        <w:separator/>
      </w:r>
    </w:p>
  </w:footnote>
  <w:footnote w:type="continuationSeparator" w:id="0">
    <w:p w14:paraId="704FF239" w14:textId="77777777" w:rsidR="00241335" w:rsidRDefault="00241335" w:rsidP="002413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35"/>
    <w:rsid w:val="00220F53"/>
    <w:rsid w:val="0022295B"/>
    <w:rsid w:val="00241335"/>
    <w:rsid w:val="0042598D"/>
    <w:rsid w:val="00465238"/>
    <w:rsid w:val="00634B4E"/>
    <w:rsid w:val="0070056B"/>
    <w:rsid w:val="00781018"/>
    <w:rsid w:val="008803FE"/>
    <w:rsid w:val="008B05AA"/>
    <w:rsid w:val="00B55F62"/>
    <w:rsid w:val="00BF1BC2"/>
    <w:rsid w:val="00C57D16"/>
    <w:rsid w:val="00C6159D"/>
    <w:rsid w:val="00C8219E"/>
    <w:rsid w:val="00CD4C87"/>
    <w:rsid w:val="00CE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D6C4F"/>
  <w14:defaultImageDpi w14:val="0"/>
  <w15:docId w15:val="{999D7E25-F48A-4BBC-913A-BA7D5F15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05AA"/>
    <w:rPr>
      <w:rFonts w:ascii="Arial" w:hAnsi="Arial"/>
      <w:sz w:val="24"/>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Header">
    <w:name w:val="header"/>
    <w:basedOn w:val="Normal"/>
    <w:link w:val="HeaderChar"/>
    <w:uiPriority w:val="99"/>
    <w:unhideWhenUsed/>
    <w:rsid w:val="00241335"/>
    <w:pPr>
      <w:tabs>
        <w:tab w:val="center" w:pos="4680"/>
        <w:tab w:val="right" w:pos="9360"/>
      </w:tabs>
    </w:pPr>
  </w:style>
  <w:style w:type="character" w:customStyle="1" w:styleId="HeaderChar">
    <w:name w:val="Header Char"/>
    <w:basedOn w:val="DefaultParagraphFont"/>
    <w:link w:val="Header"/>
    <w:uiPriority w:val="99"/>
    <w:rsid w:val="00241335"/>
  </w:style>
  <w:style w:type="paragraph" w:styleId="Footer">
    <w:name w:val="footer"/>
    <w:basedOn w:val="Normal"/>
    <w:link w:val="FooterChar"/>
    <w:uiPriority w:val="99"/>
    <w:unhideWhenUsed/>
    <w:rsid w:val="00241335"/>
    <w:pPr>
      <w:tabs>
        <w:tab w:val="center" w:pos="4680"/>
        <w:tab w:val="right" w:pos="9360"/>
      </w:tabs>
    </w:pPr>
  </w:style>
  <w:style w:type="character" w:customStyle="1" w:styleId="FooterChar">
    <w:name w:val="Footer Char"/>
    <w:basedOn w:val="DefaultParagraphFont"/>
    <w:link w:val="Footer"/>
    <w:uiPriority w:val="99"/>
    <w:rsid w:val="00241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5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Bills\19Bills_3351-3400_3364_98_A_bill.pdf" TargetMode="External"/><Relationship Id="rId3" Type="http://schemas.openxmlformats.org/officeDocument/2006/relationships/webSettings" Target="webSettings.xml"/><Relationship Id="rId7" Type="http://schemas.openxmlformats.org/officeDocument/2006/relationships/hyperlink" Target="file:///C:\Bills\19Bills_3351-3400_3364_98_A_bill.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tweb.capitoltrack.com/public/publishbillinfo.aspx?bi=EPyfQO83OiZ8Grkby4rOdnOX%2b1eKa0gaw1rxvEL2tO9UTxP7n9zAKlCmBskYVbz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Created by the HTML-to-RTF Pro DLL .Net 5.0.12.19</dc:description>
  <cp:lastModifiedBy>Saenz, Davina@DGS</cp:lastModifiedBy>
  <cp:revision>2</cp:revision>
  <dcterms:created xsi:type="dcterms:W3CDTF">2020-10-16T20:18:00Z</dcterms:created>
  <dcterms:modified xsi:type="dcterms:W3CDTF">2020-10-16T20:18:00Z</dcterms:modified>
</cp:coreProperties>
</file>