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EE8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STRATEGIC PLAN</w:t>
      </w:r>
    </w:p>
    <w:p w14:paraId="6FC4305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2025-2030</w:t>
      </w:r>
    </w:p>
    <w:p w14:paraId="54806E0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Mission</w:t>
      </w:r>
    </w:p>
    <w:p w14:paraId="5E08C68C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To promote disability access across California through education, dialogue, and</w:t>
      </w:r>
    </w:p>
    <w:p w14:paraId="11B5CCD1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collaboration with stakeholders including the disability and business communities, and</w:t>
      </w:r>
    </w:p>
    <w:p w14:paraId="067F2D3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all levels of government.</w:t>
      </w:r>
    </w:p>
    <w:p w14:paraId="57F769A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499D2C7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Vision</w:t>
      </w:r>
    </w:p>
    <w:p w14:paraId="2DBFDAA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An accessible California = Inclusive and equal opportunities for all.</w:t>
      </w:r>
    </w:p>
    <w:p w14:paraId="3433F11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47B4D09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Core Values</w:t>
      </w:r>
    </w:p>
    <w:p w14:paraId="7EB293B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23D96DB5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Resourceful</w:t>
      </w:r>
    </w:p>
    <w:p w14:paraId="6752826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We maximize our impact by leveraging partnerships, data, and creativity to deliver meaningful</w:t>
      </w:r>
    </w:p>
    <w:p w14:paraId="6361BED3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outcomes with the resources we have.</w:t>
      </w:r>
    </w:p>
    <w:p w14:paraId="37E285D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08352CC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Strategic</w:t>
      </w:r>
    </w:p>
    <w:p w14:paraId="7B036D1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We serve as the connector that brings together key relationships, infrastructure, and players to</w:t>
      </w:r>
    </w:p>
    <w:p w14:paraId="4D7CD7E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advance disability access across California.</w:t>
      </w:r>
    </w:p>
    <w:p w14:paraId="4974B7E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1DBEF43A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Integrity</w:t>
      </w:r>
    </w:p>
    <w:p w14:paraId="41AC257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lastRenderedPageBreak/>
        <w:t>As stewards of public trust, we are committed to serving the people and the state of California</w:t>
      </w:r>
    </w:p>
    <w:p w14:paraId="0426429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with transparency and accountability in all that we do.</w:t>
      </w:r>
    </w:p>
    <w:p w14:paraId="4AD6489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19ABB49B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Uplifting</w:t>
      </w:r>
    </w:p>
    <w:p w14:paraId="6B3C596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We elevate individuals, businesses, communities, and resources to create greater opportunity</w:t>
      </w:r>
    </w:p>
    <w:p w14:paraId="053F9081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and access for all.</w:t>
      </w:r>
    </w:p>
    <w:p w14:paraId="7297598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3352D13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Community Engagement</w:t>
      </w:r>
    </w:p>
    <w:p w14:paraId="0B30C29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Community engagement is at the core of who we are — because lasting change only happens</w:t>
      </w:r>
    </w:p>
    <w:p w14:paraId="68A5B04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when all the pieces come together.</w:t>
      </w:r>
    </w:p>
    <w:p w14:paraId="3768B86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47777075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2030 Target</w:t>
      </w:r>
    </w:p>
    <w:p w14:paraId="4C2209F3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CCDA is the bridge that connects stakeholders to high-quality tools and the guidance</w:t>
      </w:r>
    </w:p>
    <w:p w14:paraId="50E49A2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needed to navigate accessibility laws, increase compliance, and promote inclusion.</w:t>
      </w:r>
    </w:p>
    <w:p w14:paraId="6CF9983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3E51409C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Strategic Pillars</w:t>
      </w:r>
    </w:p>
    <w:p w14:paraId="4E28773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1. Outreach, Education and Public Awareness</w:t>
      </w:r>
    </w:p>
    <w:p w14:paraId="01724AF5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2. Compliance Resource Innovation</w:t>
      </w:r>
    </w:p>
    <w:p w14:paraId="18B2418B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3. Partnerships, Ambassadors and Community Engagement</w:t>
      </w:r>
    </w:p>
    <w:p w14:paraId="09892F3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4. Operational Excellence and Data</w:t>
      </w:r>
    </w:p>
    <w:p w14:paraId="6EE60FE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</w:p>
    <w:p w14:paraId="0AFD508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lastRenderedPageBreak/>
        <w:t>STRATEGIC PILLARS &amp; 2030 GOALS</w:t>
      </w:r>
    </w:p>
    <w:p w14:paraId="3307E67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1) Outreach, Education and Public Awareness</w:t>
      </w:r>
    </w:p>
    <w:p w14:paraId="5122759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Increase conversion to 10 to 15%, resulting in 50 to 75 participants per event from similar outreach levels.</w:t>
      </w:r>
    </w:p>
    <w:p w14:paraId="320631CB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Engage 500 to 600 individuals annually across eight to 10 events, with average attendance increasing to 100+ per webinar and 50+ per</w:t>
      </w:r>
    </w:p>
    <w:p w14:paraId="32B10FF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community event.</w:t>
      </w:r>
    </w:p>
    <w:p w14:paraId="4DBE3AB1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Host 8 to 10 events annually, expanding geographic and industry-specific reach.</w:t>
      </w:r>
    </w:p>
    <w:p w14:paraId="15DE687A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Expand outreach to 20+ counties, reaching approximately 35% of California counties, with more consistent regional rotation and targeted</w:t>
      </w:r>
    </w:p>
    <w:p w14:paraId="105AD17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engagement in underserved areas.</w:t>
      </w:r>
    </w:p>
    <w:p w14:paraId="0721633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Grow to 1,000+ Facebook followers and 250+ YouTube subscribers, representing sustained multiyear growth and expanded digital reach.</w:t>
      </w:r>
    </w:p>
    <w:p w14:paraId="26E92C2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Establish a consistent baseline and achieve 50% increase in average engagement per post, reflecting stronger audience interaction.</w:t>
      </w:r>
    </w:p>
    <w:p w14:paraId="5A4F737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Track business participation and engage 400 to 500 businesses annually, with clearer segmentation by industry and region.</w:t>
      </w:r>
    </w:p>
    <w:p w14:paraId="350E596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2) Compliance Resource Innovation</w:t>
      </w:r>
    </w:p>
    <w:p w14:paraId="028899D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Establish a multiyear dataset and demonstrate a clear upward trend in Certified Access Specialist (CASp) requests, indicating increased</w:t>
      </w:r>
    </w:p>
    <w:p w14:paraId="4D82834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awareness and voluntary compliance efforts.</w:t>
      </w:r>
    </w:p>
    <w:p w14:paraId="22F3212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Increase the share of cases with CASp requests by 25 to 40%, reflecting stronger adoption of compliance-seeking practices.</w:t>
      </w:r>
    </w:p>
    <w:p w14:paraId="644B7DE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Collect three to five documented success stories annually, supported by structured follow-up surveys and interviews.</w:t>
      </w:r>
    </w:p>
    <w:p w14:paraId="3F2AE61B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Produce at least three to five formal case studies annually, highlighting measurable accessibility improvements and outcomes.</w:t>
      </w:r>
    </w:p>
    <w:p w14:paraId="6BCA810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lastRenderedPageBreak/>
        <w:t>• Develop a consumer advocacy and resource toolkit. By 2030, CCDA will develop and maintain consumer-focused accessibility toolkits that</w:t>
      </w:r>
    </w:p>
    <w:p w14:paraId="52C601D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improve public awareness of disability access issues, available educational materials, and community resources.</w:t>
      </w:r>
    </w:p>
    <w:p w14:paraId="1140F2B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Provide educational materials and informational resources related to accessibility-related demand letters to improve awareness and</w:t>
      </w:r>
    </w:p>
    <w:p w14:paraId="03AC2203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understanding among businesses and community stakeholders.</w:t>
      </w:r>
    </w:p>
    <w:p w14:paraId="7DA1842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Develop and maintain an educational video series addressing common misconceptions related to disability access, accessibility</w:t>
      </w:r>
    </w:p>
    <w:p w14:paraId="3858062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requirements, and accessibility-related processes.</w:t>
      </w:r>
    </w:p>
    <w:p w14:paraId="23F066A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 xml:space="preserve">• Develop and maintain informational materials for policymakers and stakeholders that clarify CCDA's role as </w:t>
      </w:r>
      <w:proofErr w:type="gramStart"/>
      <w:r w:rsidRPr="00206504">
        <w:rPr>
          <w:rFonts w:asciiTheme="minorBidi" w:eastAsiaTheme="majorEastAsia" w:hAnsiTheme="minorBidi" w:cstheme="minorBidi"/>
          <w:sz w:val="24"/>
          <w:szCs w:val="24"/>
        </w:rPr>
        <w:t>a statewide</w:t>
      </w:r>
      <w:proofErr w:type="gramEnd"/>
      <w:r w:rsidRPr="00206504">
        <w:rPr>
          <w:rFonts w:asciiTheme="minorBidi" w:eastAsiaTheme="majorEastAsia" w:hAnsiTheme="minorBidi" w:cstheme="minorBidi"/>
          <w:sz w:val="24"/>
          <w:szCs w:val="24"/>
        </w:rPr>
        <w:t xml:space="preserve"> accessibility</w:t>
      </w:r>
    </w:p>
    <w:p w14:paraId="589DCFE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education, outreach, and resource-connecting entity.</w:t>
      </w:r>
    </w:p>
    <w:p w14:paraId="393DD192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Develop educational materials and informational resources that increase awareness of accessible and inclusive customer interaction</w:t>
      </w:r>
    </w:p>
    <w:p w14:paraId="139DA32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practices across sectors.</w:t>
      </w:r>
    </w:p>
    <w:p w14:paraId="21891C8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3) Partnerships, Ambassadors, and Community Engagement</w:t>
      </w:r>
    </w:p>
    <w:p w14:paraId="24196A6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Expand to 600+ active contacts, representing approximately 8 to 10% annual growth.</w:t>
      </w:r>
    </w:p>
    <w:p w14:paraId="7E148E3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 xml:space="preserve">• Engage 150+ local government entities (cities, counties, and </w:t>
      </w:r>
      <w:proofErr w:type="gramStart"/>
      <w:r w:rsidRPr="00206504">
        <w:rPr>
          <w:rFonts w:asciiTheme="minorBidi" w:eastAsiaTheme="majorEastAsia" w:hAnsiTheme="minorBidi" w:cstheme="minorBidi"/>
          <w:sz w:val="24"/>
          <w:szCs w:val="24"/>
        </w:rPr>
        <w:t>authority</w:t>
      </w:r>
      <w:proofErr w:type="gramEnd"/>
      <w:r w:rsidRPr="00206504">
        <w:rPr>
          <w:rFonts w:asciiTheme="minorBidi" w:eastAsiaTheme="majorEastAsia" w:hAnsiTheme="minorBidi" w:cstheme="minorBidi"/>
          <w:sz w:val="24"/>
          <w:szCs w:val="24"/>
        </w:rPr>
        <w:t xml:space="preserve"> having jurisdictions), representing approximately 20 to 25%</w:t>
      </w:r>
    </w:p>
    <w:p w14:paraId="75A0E42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statewide coverage, supported by improved tracking and targeted outreach.</w:t>
      </w:r>
    </w:p>
    <w:p w14:paraId="385D2533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Conduct targeted outreach to 100% of identified Olympic-related jurisdictions, including Los Angeles County and surrounding host</w:t>
      </w:r>
    </w:p>
    <w:p w14:paraId="6868F38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communities, with annual engagement and tracked participation across these areas.</w:t>
      </w:r>
    </w:p>
    <w:p w14:paraId="1D54B395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Maintain 25 to 30 active partnerships annually, expanding across sectors and regions while ensuring sustained engagement (active within</w:t>
      </w:r>
    </w:p>
    <w:p w14:paraId="557A0D8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12 months).</w:t>
      </w:r>
    </w:p>
    <w:p w14:paraId="4666E3CA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lastRenderedPageBreak/>
        <w:t>• Achieve 10 to 15% annual partnership growth, supported by quarterly and annual tracking.</w:t>
      </w:r>
    </w:p>
    <w:p w14:paraId="743DA91A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Achieve 80 to 90% engagement among priority jurisdictions, with targeted strategies and annual tracking.</w:t>
      </w:r>
    </w:p>
    <w:p w14:paraId="7C8D39C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Increase deep engagement to 35 to 40% of localities (approximately 190 to 215), while maintaining broad engagement across 60 to 70%</w:t>
      </w:r>
    </w:p>
    <w:p w14:paraId="50EED13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statewide.</w:t>
      </w:r>
    </w:p>
    <w:p w14:paraId="74DD65A0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Engage 60 to 70% of California localities (325 to 380 cities/counties) through sustained outreach, training, and partnerships.</w:t>
      </w:r>
    </w:p>
    <w:p w14:paraId="6C9096DF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4) Operational Excellence and Data</w:t>
      </w:r>
    </w:p>
    <w:p w14:paraId="01F8CAA6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Establish a baseline (2026) and increase tracked downloads and resource access by 50%, with consistent reporting across all platforms.</w:t>
      </w:r>
    </w:p>
    <w:p w14:paraId="4082E97E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maintain 100% accessible events (eight to 10 annually) and track types and frequency of accommodations used to</w:t>
      </w:r>
    </w:p>
    <w:p w14:paraId="79446089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improve service delivery.</w:t>
      </w:r>
    </w:p>
    <w:p w14:paraId="4F386FD7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ensure that 100% of events track audience type, with participation reflecting a more balanced mix: at least 40%</w:t>
      </w:r>
    </w:p>
    <w:p w14:paraId="43275F8D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business, 30% government, and 30% disability community stakeholders, ensuring more equitable representation.</w:t>
      </w:r>
    </w:p>
    <w:p w14:paraId="588972E5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establish a formal pipeline and add five to eight new partnerships annually, with consistent tracking and onboarding.</w:t>
      </w:r>
    </w:p>
    <w:p w14:paraId="2C09B0C1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achieve 15 to 25% annual growth across platforms through consistent posting and targeted outreach.</w:t>
      </w:r>
    </w:p>
    <w:p w14:paraId="0ACEB5BB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track and increase click-through traffic by 50%, strengthening the connection between outreach and resource</w:t>
      </w:r>
    </w:p>
    <w:p w14:paraId="371E83B4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utilization.</w:t>
      </w:r>
    </w:p>
    <w:p w14:paraId="28AF4FC8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maintain consistent monthly posting (four to six posts/month) and regular video uploads, supporting sustained</w:t>
      </w:r>
    </w:p>
    <w:p w14:paraId="689478C1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lastRenderedPageBreak/>
        <w:t>audience growth and engagement.</w:t>
      </w:r>
    </w:p>
    <w:p w14:paraId="22E980CC" w14:textId="77777777" w:rsidR="00206504" w:rsidRPr="00206504" w:rsidRDefault="00206504" w:rsidP="00206504">
      <w:pPr>
        <w:pStyle w:val="Heading2"/>
        <w:spacing w:before="240" w:after="0"/>
        <w:rPr>
          <w:rFonts w:asciiTheme="minorBidi" w:eastAsiaTheme="majorEastAsia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demonstrate consistent annual increases in CASp request rates, supported by quarterly and annual reporting.</w:t>
      </w:r>
    </w:p>
    <w:p w14:paraId="39007FE6" w14:textId="72FECF2C" w:rsidR="00F74E86" w:rsidRPr="00206504" w:rsidRDefault="00206504" w:rsidP="00206504">
      <w:pPr>
        <w:pStyle w:val="Heading2"/>
        <w:spacing w:before="240" w:after="0"/>
        <w:rPr>
          <w:rFonts w:asciiTheme="minorBidi" w:hAnsiTheme="minorBidi" w:cstheme="minorBidi"/>
          <w:sz w:val="24"/>
          <w:szCs w:val="24"/>
        </w:rPr>
      </w:pPr>
      <w:r w:rsidRPr="00206504">
        <w:rPr>
          <w:rFonts w:asciiTheme="minorBidi" w:eastAsiaTheme="majorEastAsia" w:hAnsiTheme="minorBidi" w:cstheme="minorBidi"/>
          <w:sz w:val="24"/>
          <w:szCs w:val="24"/>
        </w:rPr>
        <w:t>• By 2030, CCDA will produce regular trend reports identifying patterns in high-frequency litigation and use findings to inform targeted outreach and education.</w:t>
      </w:r>
    </w:p>
    <w:sectPr w:rsidR="00F74E86" w:rsidRPr="00206504" w:rsidSect="001A1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F22D" w14:textId="77777777" w:rsidR="00510B6F" w:rsidRDefault="00510B6F" w:rsidP="008F72DE">
      <w:pPr>
        <w:spacing w:after="0" w:line="240" w:lineRule="auto"/>
      </w:pPr>
      <w:r>
        <w:separator/>
      </w:r>
    </w:p>
  </w:endnote>
  <w:endnote w:type="continuationSeparator" w:id="0">
    <w:p w14:paraId="34B0E0CE" w14:textId="77777777" w:rsidR="00510B6F" w:rsidRDefault="00510B6F" w:rsidP="008F7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D4F4" w14:textId="77777777" w:rsidR="00510B6F" w:rsidRDefault="00510B6F" w:rsidP="008F72DE">
      <w:pPr>
        <w:spacing w:after="0" w:line="240" w:lineRule="auto"/>
      </w:pPr>
      <w:r>
        <w:separator/>
      </w:r>
    </w:p>
  </w:footnote>
  <w:footnote w:type="continuationSeparator" w:id="0">
    <w:p w14:paraId="14C30083" w14:textId="77777777" w:rsidR="00510B6F" w:rsidRDefault="00510B6F" w:rsidP="008F7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64CE"/>
    <w:multiLevelType w:val="hybridMultilevel"/>
    <w:tmpl w:val="19B4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7115E"/>
    <w:multiLevelType w:val="hybridMultilevel"/>
    <w:tmpl w:val="CD70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22F06"/>
    <w:multiLevelType w:val="hybridMultilevel"/>
    <w:tmpl w:val="75FA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E4DD2"/>
    <w:multiLevelType w:val="hybridMultilevel"/>
    <w:tmpl w:val="741E0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7558"/>
    <w:multiLevelType w:val="hybridMultilevel"/>
    <w:tmpl w:val="2814D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912026">
    <w:abstractNumId w:val="2"/>
  </w:num>
  <w:num w:numId="2" w16cid:durableId="360013995">
    <w:abstractNumId w:val="1"/>
  </w:num>
  <w:num w:numId="3" w16cid:durableId="1760905083">
    <w:abstractNumId w:val="4"/>
  </w:num>
  <w:num w:numId="4" w16cid:durableId="1882283548">
    <w:abstractNumId w:val="0"/>
  </w:num>
  <w:num w:numId="5" w16cid:durableId="626205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2B"/>
    <w:rsid w:val="0000172E"/>
    <w:rsid w:val="00090DE9"/>
    <w:rsid w:val="000C37C8"/>
    <w:rsid w:val="000D279A"/>
    <w:rsid w:val="000D6664"/>
    <w:rsid w:val="001065E5"/>
    <w:rsid w:val="001A1C1B"/>
    <w:rsid w:val="001D2F5F"/>
    <w:rsid w:val="00204762"/>
    <w:rsid w:val="00206504"/>
    <w:rsid w:val="00250815"/>
    <w:rsid w:val="00272B71"/>
    <w:rsid w:val="00283C72"/>
    <w:rsid w:val="0029513F"/>
    <w:rsid w:val="002C3144"/>
    <w:rsid w:val="0033611D"/>
    <w:rsid w:val="00345063"/>
    <w:rsid w:val="0036072B"/>
    <w:rsid w:val="00393A34"/>
    <w:rsid w:val="003F5F48"/>
    <w:rsid w:val="004023A9"/>
    <w:rsid w:val="0044737E"/>
    <w:rsid w:val="00456C37"/>
    <w:rsid w:val="00473963"/>
    <w:rsid w:val="004A7608"/>
    <w:rsid w:val="00510B6F"/>
    <w:rsid w:val="00557541"/>
    <w:rsid w:val="00571102"/>
    <w:rsid w:val="005E0156"/>
    <w:rsid w:val="005E4D90"/>
    <w:rsid w:val="005F3DDC"/>
    <w:rsid w:val="00677D90"/>
    <w:rsid w:val="00702DA3"/>
    <w:rsid w:val="007516D3"/>
    <w:rsid w:val="007923D6"/>
    <w:rsid w:val="007A4BB4"/>
    <w:rsid w:val="007A7AF1"/>
    <w:rsid w:val="00852071"/>
    <w:rsid w:val="00854C3B"/>
    <w:rsid w:val="00873110"/>
    <w:rsid w:val="00896CAC"/>
    <w:rsid w:val="008F72DE"/>
    <w:rsid w:val="009A1821"/>
    <w:rsid w:val="009A34F8"/>
    <w:rsid w:val="009B6E40"/>
    <w:rsid w:val="00A002F2"/>
    <w:rsid w:val="00A32915"/>
    <w:rsid w:val="00A5032C"/>
    <w:rsid w:val="00AA3075"/>
    <w:rsid w:val="00AB24CB"/>
    <w:rsid w:val="00B25000"/>
    <w:rsid w:val="00C01644"/>
    <w:rsid w:val="00CA1A70"/>
    <w:rsid w:val="00D07629"/>
    <w:rsid w:val="00D66A2D"/>
    <w:rsid w:val="00D953C0"/>
    <w:rsid w:val="00DF06F6"/>
    <w:rsid w:val="00E250DC"/>
    <w:rsid w:val="00E57A9B"/>
    <w:rsid w:val="00EC7B09"/>
    <w:rsid w:val="00F06E76"/>
    <w:rsid w:val="00F25CF6"/>
    <w:rsid w:val="00F74E86"/>
    <w:rsid w:val="00F91B03"/>
    <w:rsid w:val="00F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90675"/>
  <w15:chartTrackingRefBased/>
  <w15:docId w15:val="{DB1F3AA0-941A-42C9-BF72-19545779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F5F"/>
    <w:pPr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2F5F"/>
    <w:rPr>
      <w:rFonts w:ascii="Arial" w:hAnsi="Arial" w:cs="Arial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DE"/>
  </w:style>
  <w:style w:type="paragraph" w:styleId="Footer">
    <w:name w:val="footer"/>
    <w:basedOn w:val="Normal"/>
    <w:link w:val="Foot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1F9B54ADA4941ADEEB25CC4B8D841" ma:contentTypeVersion="11" ma:contentTypeDescription="Create a new document." ma:contentTypeScope="" ma:versionID="7200312b9383522675e29e6329c7277e">
  <xsd:schema xmlns:xsd="http://www.w3.org/2001/XMLSchema" xmlns:xs="http://www.w3.org/2001/XMLSchema" xmlns:p="http://schemas.microsoft.com/office/2006/metadata/properties" xmlns:ns2="67b2b460-4205-4624-824e-b30e541253b6" xmlns:ns3="d7adb65d-971c-4d37-8ccd-dc1fdf4bec8c" targetNamespace="http://schemas.microsoft.com/office/2006/metadata/properties" ma:root="true" ma:fieldsID="c6e55ab7561368f8ea6b554cbb0014d7" ns2:_="" ns3:_="">
    <xsd:import namespace="67b2b460-4205-4624-824e-b30e541253b6"/>
    <xsd:import namespace="d7adb65d-971c-4d37-8ccd-dc1fdf4bec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2b460-4205-4624-824e-b30e54125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b65d-971c-4d37-8ccd-dc1fdf4bec8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f3181e-97b8-45c3-ad6e-2f933f1d5541}" ma:internalName="TaxCatchAll" ma:showField="CatchAllData" ma:web="d7adb65d-971c-4d37-8ccd-dc1fdf4bec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b2b460-4205-4624-824e-b30e541253b6">
      <Terms xmlns="http://schemas.microsoft.com/office/infopath/2007/PartnerControls"/>
    </lcf76f155ced4ddcb4097134ff3c332f>
    <TaxCatchAll xmlns="d7adb65d-971c-4d37-8ccd-dc1fdf4bec8c" xsi:nil="true"/>
  </documentManagement>
</p:properties>
</file>

<file path=customXml/itemProps1.xml><?xml version="1.0" encoding="utf-8"?>
<ds:datastoreItem xmlns:ds="http://schemas.openxmlformats.org/officeDocument/2006/customXml" ds:itemID="{1EE3EFD6-7C55-48C4-BBF0-E9CF0A573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AA6BB4-1936-4948-A865-8B3752112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2b460-4205-4624-824e-b30e541253b6"/>
    <ds:schemaRef ds:uri="d7adb65d-971c-4d37-8ccd-dc1fdf4bec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C82BA5-912B-42EE-889B-53E62985BCC3}">
  <ds:schemaRefs>
    <ds:schemaRef ds:uri="http://schemas.microsoft.com/office/2006/metadata/properties"/>
    <ds:schemaRef ds:uri="http://schemas.microsoft.com/office/infopath/2007/PartnerControls"/>
    <ds:schemaRef ds:uri="67b2b460-4205-4624-824e-b30e541253b6"/>
    <ds:schemaRef ds:uri="d7adb65d-971c-4d37-8ccd-dc1fdf4be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1036</Words>
  <Characters>5523</Characters>
  <Application>Microsoft Office Word</Application>
  <DocSecurity>0</DocSecurity>
  <Lines>263</Lines>
  <Paragraphs>285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Ridge, Abigail@DGS</dc:creator>
  <cp:keywords/>
  <dc:description/>
  <cp:lastModifiedBy>Ridge, Abigail@DGS</cp:lastModifiedBy>
  <cp:revision>1</cp:revision>
  <dcterms:created xsi:type="dcterms:W3CDTF">2026-10-01T22:50:00Z</dcterms:created>
  <dcterms:modified xsi:type="dcterms:W3CDTF">2026-10-01T22:54:00Z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0x010100DE11F9B54ADA4941ADEEB25CC4B8D841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