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Default="00173074" w:rsidP="00173074">
      <w:pPr>
        <w:jc w:val="center"/>
        <w:rPr>
          <w:rFonts w:cs="Arial"/>
          <w:szCs w:val="24"/>
        </w:rPr>
      </w:pPr>
      <w:r>
        <w:rPr>
          <w:rFonts w:cs="Arial"/>
          <w:noProof/>
          <w:szCs w:val="24"/>
        </w:rPr>
        <w:drawing>
          <wp:inline distT="0" distB="0" distL="0" distR="0">
            <wp:extent cx="4648200" cy="873028"/>
            <wp:effectExtent l="0" t="0" r="0" b="381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6">
                      <a:extLst>
                        <a:ext uri="{28A0092B-C50C-407E-A947-70E740481C1C}">
                          <a14:useLocalDpi xmlns:a14="http://schemas.microsoft.com/office/drawing/2010/main" val="0"/>
                        </a:ext>
                      </a:extLst>
                    </a:blip>
                    <a:stretch>
                      <a:fillRect/>
                    </a:stretch>
                  </pic:blipFill>
                  <pic:spPr>
                    <a:xfrm>
                      <a:off x="0" y="0"/>
                      <a:ext cx="4764276" cy="894829"/>
                    </a:xfrm>
                    <a:prstGeom prst="rect">
                      <a:avLst/>
                    </a:prstGeom>
                  </pic:spPr>
                </pic:pic>
              </a:graphicData>
            </a:graphic>
          </wp:inline>
        </w:drawing>
      </w:r>
    </w:p>
    <w:p w:rsidR="00173074" w:rsidRDefault="000935AC" w:rsidP="00173074">
      <w:pPr>
        <w:pStyle w:val="Heading1"/>
        <w:jc w:val="center"/>
        <w:rPr>
          <w:b/>
        </w:rPr>
      </w:pPr>
      <w:r>
        <w:rPr>
          <w:b/>
        </w:rPr>
        <w:t>CCDA Goal 6</w:t>
      </w:r>
      <w:r w:rsidR="00173074">
        <w:rPr>
          <w:b/>
        </w:rPr>
        <w:t xml:space="preserve"> Evaluated using Governing Statutes</w:t>
      </w:r>
    </w:p>
    <w:p w:rsidR="00173074" w:rsidRDefault="00173074" w:rsidP="00173074"/>
    <w:p w:rsidR="00FB29D4" w:rsidRPr="00FB29D4" w:rsidRDefault="00FB29D4" w:rsidP="00FB29D4">
      <w:pPr>
        <w:rPr>
          <w:b/>
        </w:rPr>
      </w:pPr>
      <w:r w:rsidRPr="00FB29D4">
        <w:rPr>
          <w:b/>
        </w:rPr>
        <w:t>Goal 6: Explore the development of a state level Americans with Disabilities Act (ADA) Access office.</w:t>
      </w:r>
    </w:p>
    <w:p w:rsidR="00FB29D4" w:rsidRDefault="00FB29D4" w:rsidP="00FB29D4">
      <w:r>
        <w:t xml:space="preserve">Corresponding statute(s): </w:t>
      </w:r>
      <w:r w:rsidR="00CD24ED">
        <w:t xml:space="preserve">Government Code sections </w:t>
      </w:r>
      <w:hyperlink r:id="rId7" w:history="1">
        <w:r w:rsidRPr="00B01620">
          <w:rPr>
            <w:rStyle w:val="Hyperlink"/>
          </w:rPr>
          <w:t>14985.4</w:t>
        </w:r>
      </w:hyperlink>
      <w:r w:rsidR="00CD24ED">
        <w:t>,</w:t>
      </w:r>
      <w:r w:rsidR="00734556">
        <w:t xml:space="preserve"> </w:t>
      </w:r>
      <w:hyperlink r:id="rId8" w:history="1">
        <w:r w:rsidR="00734556" w:rsidRPr="00734556">
          <w:rPr>
            <w:rStyle w:val="Hyperlink"/>
          </w:rPr>
          <w:t>14985.6</w:t>
        </w:r>
      </w:hyperlink>
      <w:r w:rsidR="00734556">
        <w:t xml:space="preserve">, </w:t>
      </w:r>
      <w:r w:rsidR="00CD24ED">
        <w:t xml:space="preserve"> </w:t>
      </w:r>
      <w:hyperlink r:id="rId9" w:history="1">
        <w:r w:rsidR="00CD24ED" w:rsidRPr="00B01620">
          <w:rPr>
            <w:rStyle w:val="Hyperlink"/>
          </w:rPr>
          <w:t>14985.9</w:t>
        </w:r>
      </w:hyperlink>
      <w:r w:rsidR="00CD24ED">
        <w:t xml:space="preserve">, </w:t>
      </w:r>
      <w:hyperlink r:id="rId10" w:history="1">
        <w:r w:rsidR="00CD24ED" w:rsidRPr="00B01620">
          <w:rPr>
            <w:rStyle w:val="Hyperlink"/>
          </w:rPr>
          <w:t>14985.10</w:t>
        </w:r>
      </w:hyperlink>
    </w:p>
    <w:p w:rsidR="00FB29D4" w:rsidRPr="007424E3" w:rsidRDefault="00FB29D4" w:rsidP="006E4154">
      <w:pPr>
        <w:pStyle w:val="Heading2"/>
        <w:rPr>
          <w:color w:val="000000"/>
          <w:bdr w:val="none" w:sz="0" w:space="0" w:color="auto" w:frame="1"/>
        </w:rPr>
      </w:pPr>
      <w:r w:rsidRPr="007424E3">
        <w:rPr>
          <w:bdr w:val="none" w:sz="0" w:space="0" w:color="auto" w:frame="1"/>
        </w:rPr>
        <w:t>14985.4.  </w:t>
      </w:r>
    </w:p>
    <w:p w:rsidR="00FB29D4" w:rsidRPr="00FB29D4" w:rsidRDefault="00FB29D4" w:rsidP="007424E3">
      <w:pPr>
        <w:shd w:val="clear" w:color="auto" w:fill="FFFFFF"/>
        <w:spacing w:after="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The commission shall have the powers and authority necessary to carry out the duties imposed upon it by this chapter, including, but not limited to, the following:</w:t>
      </w:r>
    </w:p>
    <w:p w:rsidR="00FB29D4" w:rsidRPr="00FB29D4" w:rsidRDefault="00CD24ED"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CD24ED">
        <w:rPr>
          <w:rFonts w:ascii="Verdana" w:eastAsia="Times New Roman" w:hAnsi="Verdana" w:cs="Times New Roman"/>
          <w:i/>
          <w:color w:val="333333"/>
          <w:sz w:val="22"/>
          <w:bdr w:val="none" w:sz="0" w:space="0" w:color="auto" w:frame="1"/>
        </w:rPr>
        <w:t xml:space="preserve"> </w:t>
      </w:r>
      <w:r w:rsidR="00FB29D4" w:rsidRPr="00FB29D4">
        <w:rPr>
          <w:rFonts w:ascii="Verdana" w:eastAsia="Times New Roman" w:hAnsi="Verdana" w:cs="Times New Roman"/>
          <w:i/>
          <w:color w:val="333333"/>
          <w:sz w:val="22"/>
          <w:bdr w:val="none" w:sz="0" w:space="0" w:color="auto" w:frame="1"/>
        </w:rPr>
        <w:t>(b) To hold hearings, make and sign any agreement, and do or perform any act, including the collection of relevant information, that may be necessary, desirable, or proper to carry out the purposes of this chapter.</w:t>
      </w:r>
    </w:p>
    <w:p w:rsidR="00FB29D4" w:rsidRPr="00FB29D4" w:rsidRDefault="00FB29D4"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(c) To cooperate with, and secure the cooperation of, any department, division, board, bureau, commission, or other agency of th</w:t>
      </w:r>
      <w:bookmarkStart w:id="0" w:name="_GoBack"/>
      <w:bookmarkEnd w:id="0"/>
      <w:r w:rsidRPr="00FB29D4">
        <w:rPr>
          <w:rFonts w:ascii="Verdana" w:eastAsia="Times New Roman" w:hAnsi="Verdana" w:cs="Times New Roman"/>
          <w:i/>
          <w:color w:val="333333"/>
          <w:sz w:val="22"/>
          <w:bdr w:val="none" w:sz="0" w:space="0" w:color="auto" w:frame="1"/>
        </w:rPr>
        <w:t>e state to facilitate the proper execution of its powers and duties under this chapter.</w:t>
      </w:r>
    </w:p>
    <w:p w:rsidR="00FB29D4" w:rsidRDefault="00FB29D4"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r w:rsidRPr="00FB29D4">
        <w:rPr>
          <w:rFonts w:ascii="Verdana" w:eastAsia="Times New Roman" w:hAnsi="Verdana" w:cs="Times New Roman"/>
          <w:i/>
          <w:color w:val="333333"/>
          <w:sz w:val="22"/>
          <w:bdr w:val="none" w:sz="0" w:space="0" w:color="auto" w:frame="1"/>
        </w:rPr>
        <w:t>(d) To appoint advisers or advisory committees from time to time when the commission determines that the experience or expertise of those advisers or advisory committees is needed for projects of the commission. Section 11009 shall apply to advisers or advisory committees.</w:t>
      </w:r>
    </w:p>
    <w:p w:rsidR="00CD24ED" w:rsidRDefault="00CD24ED" w:rsidP="00FB29D4">
      <w:pPr>
        <w:shd w:val="clear" w:color="auto" w:fill="FFFFFF"/>
        <w:spacing w:after="120" w:line="240" w:lineRule="auto"/>
        <w:textAlignment w:val="baseline"/>
        <w:rPr>
          <w:rFonts w:ascii="Verdana" w:hAnsi="Verdana"/>
          <w:i/>
          <w:iCs/>
          <w:color w:val="333333"/>
          <w:sz w:val="22"/>
          <w:shd w:val="clear" w:color="auto" w:fill="FFFFFF"/>
        </w:rPr>
      </w:pPr>
      <w:r>
        <w:rPr>
          <w:rFonts w:ascii="Verdana" w:hAnsi="Verdana"/>
          <w:i/>
          <w:iCs/>
          <w:color w:val="333333"/>
          <w:sz w:val="22"/>
          <w:shd w:val="clear" w:color="auto" w:fill="FFFFFF"/>
        </w:rPr>
        <w:t>(Added by Stats. 2017, Ch. 19, Sec. 15. (AB 111) Effective June 27, 2017. Pursuant to Section 14985.11, continuing operation is contingent upon funding.)</w:t>
      </w:r>
    </w:p>
    <w:p w:rsidR="00C4422E" w:rsidRDefault="00C4422E" w:rsidP="00FB29D4">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p>
    <w:p w:rsidR="00734556" w:rsidRPr="00734556" w:rsidRDefault="00734556" w:rsidP="006E4154">
      <w:pPr>
        <w:pStyle w:val="Heading2"/>
        <w:rPr>
          <w:rFonts w:eastAsia="Times New Roman"/>
          <w:color w:val="000000"/>
        </w:rPr>
      </w:pPr>
      <w:r w:rsidRPr="00734556">
        <w:rPr>
          <w:rFonts w:eastAsia="Times New Roman"/>
        </w:rPr>
        <w:t>14985.6.  </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(a) A priority of the commission shall be the development and dissemination of educational materials and information to promote and facilitate disability access compliance.</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(b) The commission shall work with other state agencies, including the Division of the State Architect and the Department of Rehabilitation, to develop educational materials and information for use by businesses to understand its obligations to provide disability access and to facilitate compliance with construction-related accessibility standards.</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 xml:space="preserve">(c) The commission shall develop and make available on its Internet Web site, or make available on its Internet Web site if developed by another governmental agency, including Americans with Disabilities Act centers, toolkits or educational </w:t>
      </w:r>
      <w:r w:rsidRPr="00734556">
        <w:rPr>
          <w:rFonts w:ascii="Verdana" w:eastAsia="Times New Roman" w:hAnsi="Verdana" w:cs="Times New Roman"/>
          <w:i/>
          <w:color w:val="333333"/>
          <w:sz w:val="22"/>
        </w:rPr>
        <w:lastRenderedPageBreak/>
        <w:t>modules to assist a California business to understand its obligations under the law and to facilitate compliance with respect to the top 10 alleged construction-related violations, by type, as specified in subdivision (a) of Section 14985.8. Upon completion of this requirement, the commission shall develop and make available on its Internet Web site, or work with another agency to develop, other toolkits or educational modules that would educate businesses of the accessibility requirements and to facilitate compliance with that requirement.</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(d) The commission shall post the following on its Internet Web site:</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(1) Educational materials and information that will assist building owners, tenants, building officials, and building inspectors to understand the disability accessibility requirements and to facilitate compliance with disability access laws. The commission shall at least annually review the educational materials and information on disability access requirements and compliance available on the Internet Web site of other local, state, or federal agencies, including Americans with Disabilities Act centers, to augment the educational materials and information developed by the commission.</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(2) A link to the Internet Web site of the Division of the State Architect’s certified access specialist (CASp) program to assist building owners and tenants in locating or hiring a CASp.</w:t>
      </w:r>
    </w:p>
    <w:p w:rsidR="00734556" w:rsidRPr="00734556" w:rsidRDefault="00734556" w:rsidP="00734556">
      <w:pPr>
        <w:shd w:val="clear" w:color="auto" w:fill="FFFFFF"/>
        <w:spacing w:after="120" w:line="240" w:lineRule="auto"/>
        <w:textAlignment w:val="baseline"/>
        <w:rPr>
          <w:rFonts w:ascii="Verdana" w:eastAsia="Times New Roman" w:hAnsi="Verdana" w:cs="Times New Roman"/>
          <w:i/>
          <w:color w:val="333333"/>
          <w:sz w:val="22"/>
        </w:rPr>
      </w:pPr>
      <w:r w:rsidRPr="00734556">
        <w:rPr>
          <w:rFonts w:ascii="Verdana" w:eastAsia="Times New Roman" w:hAnsi="Verdana" w:cs="Times New Roman"/>
          <w:i/>
          <w:color w:val="333333"/>
          <w:sz w:val="22"/>
        </w:rPr>
        <w:t>(e) The commission shall, to the extent feasible, coordinate with other state agencies and local building departments to ensure that information provided to the public on disability access requirements is uniform and complete, and make its educational materials and information available to those agencies and departments.</w:t>
      </w:r>
    </w:p>
    <w:p w:rsidR="00734556" w:rsidRPr="007424E3" w:rsidRDefault="00734556" w:rsidP="007424E3">
      <w:pPr>
        <w:rPr>
          <w:rFonts w:ascii="Verdana" w:hAnsi="Verdana"/>
          <w:i/>
          <w:sz w:val="22"/>
          <w:shd w:val="clear" w:color="auto" w:fill="FFFFFF"/>
        </w:rPr>
      </w:pPr>
      <w:r w:rsidRPr="007424E3">
        <w:rPr>
          <w:rFonts w:ascii="Verdana" w:hAnsi="Verdana"/>
          <w:i/>
          <w:sz w:val="22"/>
          <w:shd w:val="clear" w:color="auto" w:fill="FFFFFF"/>
        </w:rPr>
        <w:t>(Added by Stats. 2017, Ch. 19, Sec. 15. (AB 111) Effective June 27, 2017. Pursuant to Section 14985.11, continuing operation is contingent upon funding.)</w:t>
      </w:r>
    </w:p>
    <w:p w:rsidR="00734556" w:rsidRPr="00734556" w:rsidRDefault="00734556" w:rsidP="00734556">
      <w:pPr>
        <w:shd w:val="clear" w:color="auto" w:fill="FFFFFF"/>
        <w:spacing w:after="0" w:line="240" w:lineRule="auto"/>
        <w:textAlignment w:val="baseline"/>
        <w:outlineLvl w:val="5"/>
        <w:rPr>
          <w:rFonts w:eastAsia="Times New Roman" w:cs="Arial"/>
          <w:b/>
          <w:bCs/>
          <w:i/>
          <w:color w:val="111111"/>
          <w:szCs w:val="24"/>
        </w:rPr>
      </w:pPr>
    </w:p>
    <w:p w:rsidR="00CD24ED" w:rsidRPr="00CD24ED" w:rsidRDefault="00CD24ED" w:rsidP="006E4154">
      <w:pPr>
        <w:pStyle w:val="Heading2"/>
        <w:rPr>
          <w:rFonts w:eastAsia="Times New Roman"/>
          <w:color w:val="000000"/>
        </w:rPr>
      </w:pPr>
      <w:r w:rsidRPr="00CD24ED">
        <w:rPr>
          <w:rFonts w:eastAsia="Times New Roman"/>
        </w:rPr>
        <w:t>14985.9.  </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color w:val="333333"/>
          <w:sz w:val="22"/>
        </w:rPr>
      </w:pPr>
      <w:r w:rsidRPr="00CD24ED">
        <w:rPr>
          <w:rFonts w:ascii="Verdana" w:eastAsia="Times New Roman" w:hAnsi="Verdana" w:cs="Times New Roman"/>
          <w:color w:val="333333"/>
          <w:sz w:val="22"/>
        </w:rPr>
        <w:t>With respect to its duties, the commission shall be an advisory commission only, and there shall be no right or obligation on the part of the state to implement the findings of the commission without further legislation that specifically authorizes that the evaluations, determinations, and findings of the commission be implemented.</w:t>
      </w:r>
    </w:p>
    <w:p w:rsidR="00CD24ED" w:rsidRDefault="00CD24ED" w:rsidP="00CD24ED">
      <w:pPr>
        <w:shd w:val="clear" w:color="auto" w:fill="FFFFFF"/>
        <w:spacing w:after="120" w:line="240" w:lineRule="auto"/>
        <w:textAlignment w:val="baseline"/>
        <w:rPr>
          <w:rFonts w:ascii="Verdana" w:eastAsia="Times New Roman" w:hAnsi="Verdana" w:cs="Times New Roman"/>
          <w:i/>
          <w:iCs/>
          <w:color w:val="333333"/>
          <w:sz w:val="22"/>
          <w:shd w:val="clear" w:color="auto" w:fill="FFFFFF"/>
        </w:rPr>
      </w:pPr>
      <w:r w:rsidRPr="00CD24ED">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C4422E" w:rsidRPr="00FB29D4" w:rsidRDefault="00C4422E" w:rsidP="00CD24ED">
      <w:pPr>
        <w:shd w:val="clear" w:color="auto" w:fill="FFFFFF"/>
        <w:spacing w:after="120" w:line="240" w:lineRule="auto"/>
        <w:textAlignment w:val="baseline"/>
        <w:rPr>
          <w:rFonts w:ascii="Verdana" w:eastAsia="Times New Roman" w:hAnsi="Verdana" w:cs="Times New Roman"/>
          <w:i/>
          <w:color w:val="333333"/>
          <w:sz w:val="22"/>
          <w:bdr w:val="none" w:sz="0" w:space="0" w:color="auto" w:frame="1"/>
        </w:rPr>
      </w:pPr>
    </w:p>
    <w:p w:rsidR="00CD24ED" w:rsidRPr="00CD24ED" w:rsidRDefault="00CD24ED" w:rsidP="006E4154">
      <w:pPr>
        <w:pStyle w:val="Heading2"/>
        <w:rPr>
          <w:rFonts w:eastAsia="Times New Roman"/>
          <w:color w:val="000000"/>
        </w:rPr>
      </w:pPr>
      <w:r w:rsidRPr="00CD24ED">
        <w:rPr>
          <w:rFonts w:eastAsia="Times New Roman"/>
        </w:rPr>
        <w:t>14985.10.  </w:t>
      </w:r>
    </w:p>
    <w:p w:rsidR="00CD24ED" w:rsidRPr="00CD24ED" w:rsidRDefault="00CD24ED" w:rsidP="00CD24ED">
      <w:pPr>
        <w:shd w:val="clear" w:color="auto" w:fill="FFFFFF"/>
        <w:spacing w:after="120" w:line="240" w:lineRule="auto"/>
        <w:textAlignment w:val="baseline"/>
        <w:rPr>
          <w:rFonts w:ascii="Verdana" w:eastAsia="Times New Roman" w:hAnsi="Verdana" w:cs="Times New Roman"/>
          <w:i/>
          <w:color w:val="333333"/>
          <w:sz w:val="22"/>
        </w:rPr>
      </w:pPr>
      <w:r w:rsidRPr="00CD24ED">
        <w:rPr>
          <w:rFonts w:ascii="Verdana" w:eastAsia="Times New Roman" w:hAnsi="Verdana" w:cs="Times New Roman"/>
          <w:i/>
          <w:color w:val="333333"/>
          <w:sz w:val="22"/>
        </w:rPr>
        <w:t>The commission shall hire staff or contract for those experts or technical and professional services that may be required for the completion of any task authorized or study required by this chapter. Staff hired pursuant to this section shall be hired in compliance with the State Civil Service Act (Part 2 (commencing with Section 18500) of Division 5 of Title 2). Contracts awarded pursuant to this section shall be in compliance with Section 19130. The commission is expressly encouraged and authorized to seek the technical and legal assistance of other state agencies and departments in fulfilling its statutory responsibilities.</w:t>
      </w:r>
    </w:p>
    <w:p w:rsidR="00CD24ED" w:rsidRPr="00CD24ED" w:rsidRDefault="00CD24ED" w:rsidP="00CD24ED">
      <w:pPr>
        <w:rPr>
          <w:i/>
        </w:rPr>
      </w:pPr>
      <w:r w:rsidRPr="00CD24ED">
        <w:rPr>
          <w:rFonts w:ascii="Verdana" w:eastAsia="Times New Roman" w:hAnsi="Verdana" w:cs="Times New Roman"/>
          <w:i/>
          <w:iCs/>
          <w:color w:val="333333"/>
          <w:sz w:val="22"/>
          <w:shd w:val="clear" w:color="auto" w:fill="FFFFFF"/>
        </w:rPr>
        <w:t>(Added by Stats. 2017, Ch. 19, Sec. 15. (AB 111) Effective June 27, 2017. Pursuant to Section 14985.11, continuing operation is contingent upon funding.)</w:t>
      </w:r>
    </w:p>
    <w:p w:rsidR="00CD24ED" w:rsidRDefault="00CD24ED" w:rsidP="00CD24ED">
      <w:r w:rsidRPr="000935AC">
        <w:rPr>
          <w:b/>
        </w:rPr>
        <w:t>Staff Recommendation:</w:t>
      </w:r>
      <w:r>
        <w:t xml:space="preserve"> CCDA staff recommends the Commission continue this goal in 2019 and carry it forward to a new strategic plan. This goal is also aligned with CCDA’s one-year strategic goal for DGS</w:t>
      </w:r>
      <w:r w:rsidR="00B01620">
        <w:t xml:space="preserve"> to conduct a research study on State accessibility and compliance coordination efforts</w:t>
      </w:r>
      <w:r>
        <w:t>.</w:t>
      </w:r>
    </w:p>
    <w:p w:rsidR="00CD24ED" w:rsidRDefault="00CD24ED" w:rsidP="00CD24ED">
      <w:r w:rsidRPr="000935AC">
        <w:rPr>
          <w:b/>
        </w:rPr>
        <w:t>Who:</w:t>
      </w:r>
      <w:r>
        <w:t xml:space="preserve"> CCDA would fulfill this goal through partnership with a research university and members of the Legislative Committee.</w:t>
      </w:r>
    </w:p>
    <w:p w:rsidR="00CD24ED" w:rsidRDefault="00CD24ED" w:rsidP="00CD24ED">
      <w:r w:rsidRPr="000935AC">
        <w:rPr>
          <w:b/>
        </w:rPr>
        <w:t>Implementation Methods and Frequency:</w:t>
      </w:r>
      <w:r>
        <w:t xml:space="preserve"> CCDA has identified this as a two-year goal for DGS. Phase 1 would be completed by December 31, 2019 and Phase 2 would be completed by December 31, 2020.</w:t>
      </w:r>
    </w:p>
    <w:p w:rsidR="00CD24ED" w:rsidRDefault="00CD24ED" w:rsidP="00CD24ED">
      <w:r w:rsidRPr="000935AC">
        <w:rPr>
          <w:b/>
        </w:rPr>
        <w:t>Why:</w:t>
      </w:r>
      <w:r>
        <w:t xml:space="preserve"> CCDA staff is seeking feedback from Commissioners on the statewide impact(s) of this goal and advisory recommendations for the Legislature.</w:t>
      </w:r>
    </w:p>
    <w:sectPr w:rsidR="00CD24ED" w:rsidSect="0031053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2F" w:rsidRDefault="001F4C2F" w:rsidP="00B01620">
      <w:pPr>
        <w:spacing w:after="0" w:line="240" w:lineRule="auto"/>
      </w:pPr>
      <w:r>
        <w:separator/>
      </w:r>
    </w:p>
  </w:endnote>
  <w:endnote w:type="continuationSeparator" w:id="0">
    <w:p w:rsidR="001F4C2F" w:rsidRDefault="001F4C2F" w:rsidP="00B0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20" w:rsidRPr="00B01620" w:rsidRDefault="000935AC">
    <w:pPr>
      <w:pStyle w:val="Footer"/>
      <w:rPr>
        <w:sz w:val="22"/>
      </w:rPr>
    </w:pPr>
    <w:r>
      <w:rPr>
        <w:sz w:val="22"/>
      </w:rPr>
      <w:t>June 4, 2019 – CCDA Legislative</w:t>
    </w:r>
    <w:r w:rsidR="00B01620" w:rsidRPr="00B01620">
      <w:rPr>
        <w:sz w:val="22"/>
      </w:rPr>
      <w:t xml:space="preserve"> Committee Meeting – Support Document</w:t>
    </w:r>
    <w:r w:rsidR="00B01620" w:rsidRPr="00B01620">
      <w:rPr>
        <w:sz w:val="22"/>
      </w:rPr>
      <w:tab/>
      <w:t xml:space="preserve">Page </w:t>
    </w:r>
    <w:r w:rsidR="00B01620" w:rsidRPr="00B01620">
      <w:rPr>
        <w:bCs/>
        <w:sz w:val="22"/>
      </w:rPr>
      <w:fldChar w:fldCharType="begin"/>
    </w:r>
    <w:r w:rsidR="00B01620" w:rsidRPr="00B01620">
      <w:rPr>
        <w:bCs/>
        <w:sz w:val="22"/>
      </w:rPr>
      <w:instrText xml:space="preserve"> PAGE  \* Arabic  \* MERGEFORMAT </w:instrText>
    </w:r>
    <w:r w:rsidR="00B01620" w:rsidRPr="00B01620">
      <w:rPr>
        <w:bCs/>
        <w:sz w:val="22"/>
      </w:rPr>
      <w:fldChar w:fldCharType="separate"/>
    </w:r>
    <w:r w:rsidR="001F4C2F">
      <w:rPr>
        <w:bCs/>
        <w:noProof/>
        <w:sz w:val="22"/>
      </w:rPr>
      <w:t>1</w:t>
    </w:r>
    <w:r w:rsidR="00B01620" w:rsidRPr="00B01620">
      <w:rPr>
        <w:bCs/>
        <w:sz w:val="22"/>
      </w:rPr>
      <w:fldChar w:fldCharType="end"/>
    </w:r>
    <w:r w:rsidR="00B01620" w:rsidRPr="00B01620">
      <w:rPr>
        <w:sz w:val="22"/>
      </w:rPr>
      <w:t xml:space="preserve"> of </w:t>
    </w:r>
    <w:r w:rsidR="00B01620" w:rsidRPr="00B01620">
      <w:rPr>
        <w:bCs/>
        <w:sz w:val="22"/>
      </w:rPr>
      <w:fldChar w:fldCharType="begin"/>
    </w:r>
    <w:r w:rsidR="00B01620" w:rsidRPr="00B01620">
      <w:rPr>
        <w:bCs/>
        <w:sz w:val="22"/>
      </w:rPr>
      <w:instrText xml:space="preserve"> NUMPAGES  \* Arabic  \* MERGEFORMAT </w:instrText>
    </w:r>
    <w:r w:rsidR="00B01620" w:rsidRPr="00B01620">
      <w:rPr>
        <w:bCs/>
        <w:sz w:val="22"/>
      </w:rPr>
      <w:fldChar w:fldCharType="separate"/>
    </w:r>
    <w:r w:rsidR="001F4C2F">
      <w:rPr>
        <w:bCs/>
        <w:noProof/>
        <w:sz w:val="22"/>
      </w:rPr>
      <w:t>1</w:t>
    </w:r>
    <w:r w:rsidR="00B01620" w:rsidRPr="00B01620">
      <w:rPr>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2F" w:rsidRDefault="001F4C2F" w:rsidP="00B01620">
      <w:pPr>
        <w:spacing w:after="0" w:line="240" w:lineRule="auto"/>
      </w:pPr>
      <w:r>
        <w:separator/>
      </w:r>
    </w:p>
  </w:footnote>
  <w:footnote w:type="continuationSeparator" w:id="0">
    <w:p w:rsidR="001F4C2F" w:rsidRDefault="001F4C2F" w:rsidP="00B01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MbU0tjA2sTQ0sLBQ0lEKTi0uzszPAykwrAUAGCSpxCwAAAA="/>
  </w:docVars>
  <w:rsids>
    <w:rsidRoot w:val="00173074"/>
    <w:rsid w:val="0000203D"/>
    <w:rsid w:val="000427AD"/>
    <w:rsid w:val="00056059"/>
    <w:rsid w:val="00056206"/>
    <w:rsid w:val="000935AC"/>
    <w:rsid w:val="00155AD9"/>
    <w:rsid w:val="00157C92"/>
    <w:rsid w:val="00173074"/>
    <w:rsid w:val="001E3B8C"/>
    <w:rsid w:val="001F4C2F"/>
    <w:rsid w:val="002A5198"/>
    <w:rsid w:val="002B561F"/>
    <w:rsid w:val="00310538"/>
    <w:rsid w:val="00427836"/>
    <w:rsid w:val="004F144D"/>
    <w:rsid w:val="00511971"/>
    <w:rsid w:val="005B4425"/>
    <w:rsid w:val="006D1E0C"/>
    <w:rsid w:val="006E4154"/>
    <w:rsid w:val="006E4F7E"/>
    <w:rsid w:val="006F5ADD"/>
    <w:rsid w:val="00734556"/>
    <w:rsid w:val="007352F1"/>
    <w:rsid w:val="00737B19"/>
    <w:rsid w:val="007424E3"/>
    <w:rsid w:val="007D3444"/>
    <w:rsid w:val="00845252"/>
    <w:rsid w:val="008F090D"/>
    <w:rsid w:val="00976361"/>
    <w:rsid w:val="009814BC"/>
    <w:rsid w:val="009E6AF0"/>
    <w:rsid w:val="00A402CA"/>
    <w:rsid w:val="00AF47AF"/>
    <w:rsid w:val="00B01620"/>
    <w:rsid w:val="00BA75E1"/>
    <w:rsid w:val="00C4422E"/>
    <w:rsid w:val="00C84379"/>
    <w:rsid w:val="00CD24ED"/>
    <w:rsid w:val="00F602CC"/>
    <w:rsid w:val="00FB29D4"/>
    <w:rsid w:val="00FC3E75"/>
    <w:rsid w:val="00FD11C0"/>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FBCAE-23DB-4817-98CE-1FB64E82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74"/>
    <w:rPr>
      <w:rFonts w:ascii="Arial" w:hAnsi="Arial"/>
      <w:sz w:val="24"/>
    </w:rPr>
  </w:style>
  <w:style w:type="paragraph" w:styleId="Heading1">
    <w:name w:val="heading 1"/>
    <w:basedOn w:val="Normal"/>
    <w:next w:val="Normal"/>
    <w:link w:val="Heading1Char"/>
    <w:uiPriority w:val="9"/>
    <w:qFormat/>
    <w:rsid w:val="000935AC"/>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6E4154"/>
    <w:pPr>
      <w:keepNext/>
      <w:keepLines/>
      <w:spacing w:before="40" w:after="0"/>
      <w:outlineLvl w:val="1"/>
    </w:pPr>
    <w:rPr>
      <w:rFonts w:eastAsiaTheme="majorEastAsia" w:cstheme="majorBidi"/>
      <w:color w:val="000000" w:themeColor="text1"/>
      <w:sz w:val="26"/>
      <w:szCs w:val="26"/>
    </w:rPr>
  </w:style>
  <w:style w:type="paragraph" w:styleId="Heading6">
    <w:name w:val="heading 6"/>
    <w:basedOn w:val="Normal"/>
    <w:next w:val="Normal"/>
    <w:link w:val="Heading6Char"/>
    <w:uiPriority w:val="9"/>
    <w:semiHidden/>
    <w:unhideWhenUsed/>
    <w:qFormat/>
    <w:rsid w:val="00A402C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AC"/>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6E4154"/>
    <w:rPr>
      <w:rFonts w:ascii="Arial" w:eastAsiaTheme="majorEastAsia" w:hAnsi="Arial" w:cstheme="majorBidi"/>
      <w:color w:val="000000" w:themeColor="text1"/>
      <w:sz w:val="26"/>
      <w:szCs w:val="26"/>
    </w:rPr>
  </w:style>
  <w:style w:type="character" w:customStyle="1" w:styleId="Heading6Char">
    <w:name w:val="Heading 6 Char"/>
    <w:basedOn w:val="DefaultParagraphFont"/>
    <w:link w:val="Heading6"/>
    <w:uiPriority w:val="9"/>
    <w:semiHidden/>
    <w:rsid w:val="00A402CA"/>
    <w:rPr>
      <w:rFonts w:asciiTheme="majorHAnsi" w:eastAsiaTheme="majorEastAsia" w:hAnsiTheme="majorHAnsi" w:cstheme="majorBidi"/>
      <w:color w:val="243F60" w:themeColor="accent1" w:themeShade="7F"/>
      <w:sz w:val="24"/>
    </w:rPr>
  </w:style>
  <w:style w:type="paragraph" w:styleId="Header">
    <w:name w:val="header"/>
    <w:basedOn w:val="Normal"/>
    <w:link w:val="HeaderChar"/>
    <w:uiPriority w:val="99"/>
    <w:unhideWhenUsed/>
    <w:rsid w:val="00B0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20"/>
    <w:rPr>
      <w:rFonts w:ascii="Arial" w:hAnsi="Arial"/>
      <w:sz w:val="24"/>
    </w:rPr>
  </w:style>
  <w:style w:type="paragraph" w:styleId="Footer">
    <w:name w:val="footer"/>
    <w:basedOn w:val="Normal"/>
    <w:link w:val="FooterChar"/>
    <w:uiPriority w:val="99"/>
    <w:unhideWhenUsed/>
    <w:rsid w:val="00B0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20"/>
    <w:rPr>
      <w:rFonts w:ascii="Arial" w:hAnsi="Arial"/>
      <w:sz w:val="24"/>
    </w:rPr>
  </w:style>
  <w:style w:type="character" w:styleId="Hyperlink">
    <w:name w:val="Hyperlink"/>
    <w:basedOn w:val="DefaultParagraphFont"/>
    <w:uiPriority w:val="99"/>
    <w:unhideWhenUsed/>
    <w:rsid w:val="00B01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0696">
      <w:bodyDiv w:val="1"/>
      <w:marLeft w:val="0"/>
      <w:marRight w:val="0"/>
      <w:marTop w:val="0"/>
      <w:marBottom w:val="0"/>
      <w:divBdr>
        <w:top w:val="none" w:sz="0" w:space="0" w:color="auto"/>
        <w:left w:val="none" w:sz="0" w:space="0" w:color="auto"/>
        <w:bottom w:val="none" w:sz="0" w:space="0" w:color="auto"/>
        <w:right w:val="none" w:sz="0" w:space="0" w:color="auto"/>
      </w:divBdr>
    </w:div>
    <w:div w:id="242180773">
      <w:bodyDiv w:val="1"/>
      <w:marLeft w:val="0"/>
      <w:marRight w:val="0"/>
      <w:marTop w:val="0"/>
      <w:marBottom w:val="0"/>
      <w:divBdr>
        <w:top w:val="none" w:sz="0" w:space="0" w:color="auto"/>
        <w:left w:val="none" w:sz="0" w:space="0" w:color="auto"/>
        <w:bottom w:val="none" w:sz="0" w:space="0" w:color="auto"/>
        <w:right w:val="none" w:sz="0" w:space="0" w:color="auto"/>
      </w:divBdr>
    </w:div>
    <w:div w:id="500122969">
      <w:bodyDiv w:val="1"/>
      <w:marLeft w:val="0"/>
      <w:marRight w:val="0"/>
      <w:marTop w:val="0"/>
      <w:marBottom w:val="0"/>
      <w:divBdr>
        <w:top w:val="none" w:sz="0" w:space="0" w:color="auto"/>
        <w:left w:val="none" w:sz="0" w:space="0" w:color="auto"/>
        <w:bottom w:val="none" w:sz="0" w:space="0" w:color="auto"/>
        <w:right w:val="none" w:sz="0" w:space="0" w:color="auto"/>
      </w:divBdr>
    </w:div>
    <w:div w:id="785005327">
      <w:bodyDiv w:val="1"/>
      <w:marLeft w:val="0"/>
      <w:marRight w:val="0"/>
      <w:marTop w:val="0"/>
      <w:marBottom w:val="0"/>
      <w:divBdr>
        <w:top w:val="none" w:sz="0" w:space="0" w:color="auto"/>
        <w:left w:val="none" w:sz="0" w:space="0" w:color="auto"/>
        <w:bottom w:val="none" w:sz="0" w:space="0" w:color="auto"/>
        <w:right w:val="none" w:sz="0" w:space="0" w:color="auto"/>
      </w:divBdr>
    </w:div>
    <w:div w:id="850296329">
      <w:bodyDiv w:val="1"/>
      <w:marLeft w:val="0"/>
      <w:marRight w:val="0"/>
      <w:marTop w:val="0"/>
      <w:marBottom w:val="0"/>
      <w:divBdr>
        <w:top w:val="none" w:sz="0" w:space="0" w:color="auto"/>
        <w:left w:val="none" w:sz="0" w:space="0" w:color="auto"/>
        <w:bottom w:val="none" w:sz="0" w:space="0" w:color="auto"/>
        <w:right w:val="none" w:sz="0" w:space="0" w:color="auto"/>
      </w:divBdr>
    </w:div>
    <w:div w:id="990400924">
      <w:bodyDiv w:val="1"/>
      <w:marLeft w:val="0"/>
      <w:marRight w:val="0"/>
      <w:marTop w:val="0"/>
      <w:marBottom w:val="0"/>
      <w:divBdr>
        <w:top w:val="none" w:sz="0" w:space="0" w:color="auto"/>
        <w:left w:val="none" w:sz="0" w:space="0" w:color="auto"/>
        <w:bottom w:val="none" w:sz="0" w:space="0" w:color="auto"/>
        <w:right w:val="none" w:sz="0" w:space="0" w:color="auto"/>
      </w:divBdr>
    </w:div>
    <w:div w:id="1209995522">
      <w:bodyDiv w:val="1"/>
      <w:marLeft w:val="0"/>
      <w:marRight w:val="0"/>
      <w:marTop w:val="0"/>
      <w:marBottom w:val="0"/>
      <w:divBdr>
        <w:top w:val="none" w:sz="0" w:space="0" w:color="auto"/>
        <w:left w:val="none" w:sz="0" w:space="0" w:color="auto"/>
        <w:bottom w:val="none" w:sz="0" w:space="0" w:color="auto"/>
        <w:right w:val="none" w:sz="0" w:space="0" w:color="auto"/>
      </w:divBdr>
      <w:divsChild>
        <w:div w:id="1943955852">
          <w:marLeft w:val="0"/>
          <w:marRight w:val="0"/>
          <w:marTop w:val="0"/>
          <w:marBottom w:val="0"/>
          <w:divBdr>
            <w:top w:val="none" w:sz="0" w:space="0" w:color="auto"/>
            <w:left w:val="none" w:sz="0" w:space="0" w:color="auto"/>
            <w:bottom w:val="none" w:sz="0" w:space="0" w:color="auto"/>
            <w:right w:val="none" w:sz="0" w:space="0" w:color="auto"/>
          </w:divBdr>
          <w:divsChild>
            <w:div w:id="681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9994">
      <w:bodyDiv w:val="1"/>
      <w:marLeft w:val="0"/>
      <w:marRight w:val="0"/>
      <w:marTop w:val="0"/>
      <w:marBottom w:val="0"/>
      <w:divBdr>
        <w:top w:val="none" w:sz="0" w:space="0" w:color="auto"/>
        <w:left w:val="none" w:sz="0" w:space="0" w:color="auto"/>
        <w:bottom w:val="none" w:sz="0" w:space="0" w:color="auto"/>
        <w:right w:val="none" w:sz="0" w:space="0" w:color="auto"/>
      </w:divBdr>
    </w:div>
    <w:div w:id="1601912895">
      <w:bodyDiv w:val="1"/>
      <w:marLeft w:val="0"/>
      <w:marRight w:val="0"/>
      <w:marTop w:val="0"/>
      <w:marBottom w:val="0"/>
      <w:divBdr>
        <w:top w:val="none" w:sz="0" w:space="0" w:color="auto"/>
        <w:left w:val="none" w:sz="0" w:space="0" w:color="auto"/>
        <w:bottom w:val="none" w:sz="0" w:space="0" w:color="auto"/>
        <w:right w:val="none" w:sz="0" w:space="0" w:color="auto"/>
      </w:divBdr>
    </w:div>
    <w:div w:id="19301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sectionNum=14985.6.&amp;lawCode=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ginfo.legislature.ca.gov/faces/codes_displaySection.xhtml?sectionNum=14985.4.&amp;lawCode=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leginfo.legislature.ca.gov/faces/codes_displaySection.xhtml?sectionNum=14985.10.&amp;lawCode=GOV" TargetMode="External"/><Relationship Id="rId4" Type="http://schemas.openxmlformats.org/officeDocument/2006/relationships/footnotes" Target="footnotes.xml"/><Relationship Id="rId9" Type="http://schemas.openxmlformats.org/officeDocument/2006/relationships/hyperlink" Target="http://leginfo.legislature.ca.gov/faces/codes_displaySection.xhtml?sectionNum=14985.9.&amp;lawCo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St. Mary, Taylor@DGS</cp:lastModifiedBy>
  <cp:revision>2</cp:revision>
  <dcterms:created xsi:type="dcterms:W3CDTF">2019-09-10T23:10:00Z</dcterms:created>
  <dcterms:modified xsi:type="dcterms:W3CDTF">2019-09-10T23:10:00Z</dcterms:modified>
</cp:coreProperties>
</file>