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00" w:rsidRPr="00354B00" w:rsidRDefault="00354B00" w:rsidP="00354B00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354B00">
        <w:rPr>
          <w:rFonts w:cs="Arial"/>
          <w:b/>
          <w:bCs/>
          <w:color w:val="000000"/>
          <w:sz w:val="28"/>
          <w:szCs w:val="28"/>
        </w:rPr>
        <w:t>CCDA Top Ten</w:t>
      </w:r>
      <w:r w:rsidR="003E5581">
        <w:rPr>
          <w:rFonts w:cs="Arial"/>
          <w:b/>
          <w:bCs/>
          <w:color w:val="000000"/>
          <w:sz w:val="28"/>
          <w:szCs w:val="28"/>
        </w:rPr>
        <w:t xml:space="preserve"> and Complaints Received</w:t>
      </w:r>
      <w:r w:rsidRPr="00354B00">
        <w:rPr>
          <w:rFonts w:cs="Arial"/>
          <w:b/>
          <w:bCs/>
          <w:color w:val="000000"/>
          <w:sz w:val="28"/>
          <w:szCs w:val="28"/>
        </w:rPr>
        <w:t>: January – June 2019</w:t>
      </w:r>
      <w:bookmarkStart w:id="0" w:name="_GoBack"/>
      <w:bookmarkEnd w:id="0"/>
    </w:p>
    <w:p w:rsidR="00354B00" w:rsidRDefault="00354B00" w:rsidP="00354B00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Cs w:val="24"/>
        </w:rPr>
      </w:pPr>
    </w:p>
    <w:p w:rsidR="00354B00" w:rsidRPr="00354B00" w:rsidRDefault="00354B00" w:rsidP="00354B00">
      <w:pPr>
        <w:shd w:val="clear" w:color="auto" w:fill="FFFFFF"/>
        <w:spacing w:after="0" w:line="240" w:lineRule="auto"/>
        <w:jc w:val="center"/>
        <w:rPr>
          <w:rFonts w:cs="Arial"/>
          <w:color w:val="000000"/>
          <w:szCs w:val="24"/>
        </w:rPr>
      </w:pPr>
      <w:r w:rsidRPr="00354B00">
        <w:rPr>
          <w:rFonts w:cs="Arial"/>
          <w:b/>
          <w:bCs/>
          <w:color w:val="000000"/>
          <w:szCs w:val="24"/>
        </w:rPr>
        <w:t>Table 1: Top Ten Alleged Construction-Related ADA Violations January - June 2019</w:t>
      </w:r>
    </w:p>
    <w:tbl>
      <w:tblPr>
        <w:tblStyle w:val="TableGridLight"/>
        <w:tblW w:w="9885" w:type="dxa"/>
        <w:tblLook w:val="04A0" w:firstRow="1" w:lastRow="0" w:firstColumn="1" w:lastColumn="0" w:noHBand="0" w:noVBand="1"/>
        <w:tblCaption w:val="Top Ten Alleged Construction Related ADA Violations Received January - June 2019"/>
        <w:tblDescription w:val="Table outlining the top ten violations organized by ranking, description, number of occurences, and percentage of total."/>
      </w:tblPr>
      <w:tblGrid>
        <w:gridCol w:w="953"/>
        <w:gridCol w:w="5507"/>
        <w:gridCol w:w="1848"/>
        <w:gridCol w:w="1577"/>
      </w:tblGrid>
      <w:tr w:rsidR="00354B00" w:rsidRPr="00354B00" w:rsidTr="00354B00">
        <w:trPr>
          <w:tblHeader/>
        </w:trPr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ascii="Helvetica" w:hAnsi="Helvetica" w:cs="Helvetica"/>
                <w:b/>
                <w:bCs/>
                <w:color w:val="000000"/>
                <w:sz w:val="30"/>
                <w:szCs w:val="30"/>
              </w:rPr>
              <w:t> </w:t>
            </w: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Rank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 Description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 Number of Occurrences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 Percentage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</w:t>
            </w:r>
            <w:r w:rsidRPr="00354B00">
              <w:rPr>
                <w:rFonts w:cs="Arial"/>
                <w:szCs w:val="24"/>
              </w:rPr>
              <w:t>: Routes to and from parking lot or public right of way are not accessible. May include: uneven surfaces or lack of detectable warnings. *Please contact a </w:t>
            </w:r>
            <w:hyperlink r:id="rId4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590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14% 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Access to Goods, Support, Services, and Equipment:</w:t>
            </w:r>
            <w:r w:rsidRPr="00354B00">
              <w:rPr>
                <w:rFonts w:cs="Arial"/>
                <w:szCs w:val="24"/>
              </w:rPr>
              <w:t> Access Height. Heights of surfaces such as counters, bars, or tables are not compliant. *Please contact a </w:t>
            </w:r>
            <w:hyperlink r:id="rId5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488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12%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3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Parking Spaces. Existing parking spaces are not compliant; fading/blue paint or excessive slope. *Please contact a </w:t>
            </w:r>
            <w:hyperlink r:id="rId6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487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12%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4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Number of spaces. Parking lot does not contain minimum number of accessible parking spaces. *Please contact a </w:t>
            </w:r>
            <w:hyperlink r:id="rId7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354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5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Exterior:</w:t>
            </w:r>
            <w:r w:rsidRPr="00354B00">
              <w:rPr>
                <w:rFonts w:cs="Arial"/>
                <w:szCs w:val="24"/>
              </w:rPr>
              <w:t> Ramps. Curb ramps or entrance ramps are not compliant or non-existing. *Please contact a </w:t>
            </w:r>
            <w:hyperlink r:id="rId8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257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6%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6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Parking Signage. Signage in parking lot is not compliant (</w:t>
            </w:r>
            <w:r w:rsidRPr="00354B00">
              <w:rPr>
                <w:rFonts w:cs="Arial"/>
                <w:i/>
                <w:iCs/>
                <w:szCs w:val="24"/>
              </w:rPr>
              <w:t>e.g.,</w:t>
            </w:r>
            <w:r w:rsidRPr="00354B00">
              <w:rPr>
                <w:rFonts w:cs="Arial"/>
                <w:szCs w:val="24"/>
              </w:rPr>
              <w:t> parking spaces need to be designated as reserved by a sign showing the symbol of accessibility). *Please contact a </w:t>
            </w:r>
            <w:hyperlink r:id="rId9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240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6%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lastRenderedPageBreak/>
              <w:t> 7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Loading zones/van access aisles are not compliant or non-existent. *Please contact a </w:t>
            </w:r>
            <w:hyperlink r:id="rId10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specification*.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216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5%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Exterior:</w:t>
            </w:r>
            <w:r w:rsidRPr="00354B00">
              <w:rPr>
                <w:rFonts w:cs="Arial"/>
                <w:szCs w:val="24"/>
              </w:rPr>
              <w:t> Door Hardware. Thresholds, handles, pulls, latches, locks, or other operating devices are not accessible. Kick plates. *Please contact a </w:t>
            </w:r>
            <w:hyperlink r:id="rId11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156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4%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9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 - Interior:</w:t>
            </w:r>
            <w:r w:rsidRPr="00354B00">
              <w:rPr>
                <w:rFonts w:cs="Arial"/>
                <w:szCs w:val="24"/>
              </w:rPr>
              <w:t> Path of travel features not accessible such as non-compliant surfaces, excessive slope/cross-slope, </w:t>
            </w:r>
            <w:r w:rsidRPr="00354B00">
              <w:rPr>
                <w:rFonts w:cs="Arial"/>
                <w:i/>
                <w:iCs/>
                <w:szCs w:val="24"/>
              </w:rPr>
              <w:t>etc...</w:t>
            </w:r>
            <w:r w:rsidRPr="00354B00">
              <w:rPr>
                <w:rFonts w:cs="Arial"/>
                <w:szCs w:val="24"/>
              </w:rPr>
              <w:t> *Please contact a </w:t>
            </w:r>
            <w:hyperlink r:id="rId12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148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3%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10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Access to Goods, Support, Services, and Equipment:</w:t>
            </w:r>
            <w:r w:rsidRPr="00354B00">
              <w:rPr>
                <w:rFonts w:cs="Arial"/>
                <w:szCs w:val="24"/>
              </w:rPr>
              <w:t> point-of-sale machines are non-compliant or not accessible. *Please contact a </w:t>
            </w:r>
            <w:hyperlink r:id="rId13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142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3%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right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Total: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3,078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73%</w:t>
            </w:r>
          </w:p>
        </w:tc>
      </w:tr>
    </w:tbl>
    <w:p w:rsidR="00354B00" w:rsidRPr="00354B00" w:rsidRDefault="00354B00" w:rsidP="00354B00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30"/>
          <w:szCs w:val="30"/>
        </w:rPr>
      </w:pPr>
      <w:r w:rsidRPr="00354B00">
        <w:rPr>
          <w:rFonts w:ascii="Helvetica" w:hAnsi="Helvetica" w:cs="Helvetica"/>
          <w:color w:val="000000"/>
          <w:sz w:val="30"/>
          <w:szCs w:val="30"/>
        </w:rPr>
        <w:t> </w:t>
      </w:r>
    </w:p>
    <w:p w:rsidR="00354B00" w:rsidRDefault="00354B00">
      <w:pPr>
        <w:spacing w:after="200" w:line="276" w:lineRule="auto"/>
        <w:rPr>
          <w:rFonts w:ascii="Helvetica" w:hAnsi="Helvetica" w:cs="Helvetica"/>
          <w:b/>
          <w:bCs/>
          <w:color w:val="000000"/>
          <w:sz w:val="30"/>
          <w:szCs w:val="30"/>
        </w:rPr>
      </w:pPr>
      <w:r>
        <w:rPr>
          <w:rFonts w:ascii="Helvetica" w:hAnsi="Helvetica" w:cs="Helvetica"/>
          <w:b/>
          <w:bCs/>
          <w:color w:val="000000"/>
          <w:sz w:val="30"/>
          <w:szCs w:val="30"/>
        </w:rPr>
        <w:br w:type="page"/>
      </w:r>
    </w:p>
    <w:p w:rsidR="00354B00" w:rsidRPr="0018295B" w:rsidRDefault="00354B00" w:rsidP="00354B00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Cs w:val="24"/>
        </w:rPr>
      </w:pPr>
      <w:r w:rsidRPr="00354B00">
        <w:rPr>
          <w:rFonts w:cs="Arial"/>
          <w:b/>
          <w:bCs/>
          <w:color w:val="000000"/>
          <w:szCs w:val="24"/>
        </w:rPr>
        <w:lastRenderedPageBreak/>
        <w:t xml:space="preserve">Table 2: Top Ten Alleged Construction-Related ADA Violations </w:t>
      </w:r>
    </w:p>
    <w:p w:rsidR="00354B00" w:rsidRPr="00354B00" w:rsidRDefault="00354B00" w:rsidP="00354B00">
      <w:pPr>
        <w:shd w:val="clear" w:color="auto" w:fill="FFFFFF"/>
        <w:spacing w:after="0" w:line="240" w:lineRule="auto"/>
        <w:jc w:val="center"/>
        <w:rPr>
          <w:rFonts w:cs="Arial"/>
          <w:color w:val="000000"/>
          <w:szCs w:val="24"/>
        </w:rPr>
      </w:pPr>
      <w:r w:rsidRPr="00354B00">
        <w:rPr>
          <w:rFonts w:cs="Arial"/>
          <w:b/>
          <w:bCs/>
          <w:color w:val="000000"/>
          <w:szCs w:val="24"/>
        </w:rPr>
        <w:t>(Title II Educational Entities) | January - June 2019</w:t>
      </w:r>
    </w:p>
    <w:tbl>
      <w:tblPr>
        <w:tblStyle w:val="TableGridLight"/>
        <w:tblW w:w="9900" w:type="dxa"/>
        <w:tblLook w:val="04A0" w:firstRow="1" w:lastRow="0" w:firstColumn="1" w:lastColumn="0" w:noHBand="0" w:noVBand="1"/>
        <w:tblCaption w:val="Top Ten Alleged Construction-Related ADA Violations against Title II Educational Entites"/>
        <w:tblDescription w:val="Table outlining the top ten violations received against Title II educational entities January - June 2019 organized by ranking, description, number of occurences, and percentage of total."/>
      </w:tblPr>
      <w:tblGrid>
        <w:gridCol w:w="870"/>
        <w:gridCol w:w="5671"/>
        <w:gridCol w:w="1849"/>
        <w:gridCol w:w="1510"/>
      </w:tblGrid>
      <w:tr w:rsidR="00354B00" w:rsidRPr="00354B00" w:rsidTr="00354B00">
        <w:trPr>
          <w:tblHeader/>
        </w:trPr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Rank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 Description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Number of Occurrences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Percentage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Path of Travel- Exterior</w:t>
            </w:r>
            <w:r w:rsidRPr="00354B00">
              <w:rPr>
                <w:rFonts w:cs="Arial"/>
                <w:szCs w:val="24"/>
              </w:rPr>
              <w:t>: Routes to and from parking lot or public right of way are not accessible. May include: uneven surfaces or lack of detectable warnings. *Please contact a </w:t>
            </w:r>
            <w:hyperlink r:id="rId14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17%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2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Restroom: </w:t>
            </w:r>
            <w:r w:rsidRPr="00354B00">
              <w:rPr>
                <w:rFonts w:cs="Arial"/>
                <w:szCs w:val="24"/>
              </w:rPr>
              <w:t>Main entry doors are note accessible or not on accessible route (</w:t>
            </w:r>
            <w:r w:rsidRPr="00354B00">
              <w:rPr>
                <w:rFonts w:cs="Arial"/>
                <w:i/>
                <w:iCs/>
                <w:szCs w:val="24"/>
              </w:rPr>
              <w:t>e.g.,</w:t>
            </w:r>
            <w:r w:rsidRPr="00354B00">
              <w:rPr>
                <w:rFonts w:cs="Arial"/>
                <w:szCs w:val="24"/>
              </w:rPr>
              <w:t> high thresholds, non-compliant door knobs or locks, </w:t>
            </w:r>
            <w:r w:rsidRPr="00354B00">
              <w:rPr>
                <w:rFonts w:cs="Arial"/>
                <w:i/>
                <w:iCs/>
                <w:szCs w:val="24"/>
              </w:rPr>
              <w:t>etc..</w:t>
            </w:r>
            <w:r w:rsidRPr="00354B00">
              <w:rPr>
                <w:rFonts w:cs="Arial"/>
                <w:szCs w:val="24"/>
              </w:rPr>
              <w:t>). *Please contact a </w:t>
            </w:r>
            <w:hyperlink r:id="rId15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3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Restroom:</w:t>
            </w:r>
            <w:r w:rsidRPr="00354B00">
              <w:rPr>
                <w:rFonts w:cs="Arial"/>
                <w:szCs w:val="24"/>
              </w:rPr>
              <w:t> Clear floor space and turning radius inside toilet stall are insufficient. *Please contact a </w:t>
            </w:r>
            <w:hyperlink r:id="rId16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4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Parking: Number of spaces. </w:t>
            </w:r>
            <w:r w:rsidRPr="00354B00">
              <w:rPr>
                <w:rFonts w:cs="Arial"/>
                <w:szCs w:val="24"/>
              </w:rPr>
              <w:t>Parking lot does not contain minimum number of accessible parking spaces. *Please contact a </w:t>
            </w:r>
            <w:hyperlink r:id="rId17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5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Parking Spaces. Existing parking spaces are not compliant; fading/blue paint or excessive slope. *Please contact a </w:t>
            </w:r>
            <w:hyperlink r:id="rId18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6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Parking:</w:t>
            </w:r>
            <w:r w:rsidRPr="00354B00">
              <w:rPr>
                <w:rFonts w:cs="Arial"/>
                <w:szCs w:val="24"/>
              </w:rPr>
              <w:t> Parking Signage. Signage in parking lot is not compliant (</w:t>
            </w:r>
            <w:r w:rsidRPr="00354B00">
              <w:rPr>
                <w:rFonts w:cs="Arial"/>
                <w:i/>
                <w:iCs/>
                <w:szCs w:val="24"/>
              </w:rPr>
              <w:t>e.g.,</w:t>
            </w:r>
            <w:r w:rsidRPr="00354B00">
              <w:rPr>
                <w:rFonts w:cs="Arial"/>
                <w:szCs w:val="24"/>
              </w:rPr>
              <w:t> parking spaces need to be designated as reserved by a sign showing the symbol of accessibility). *Please contact a </w:t>
            </w:r>
            <w:hyperlink r:id="rId19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7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Exterior:</w:t>
            </w:r>
            <w:r w:rsidRPr="00354B00">
              <w:rPr>
                <w:rFonts w:cs="Arial"/>
                <w:szCs w:val="24"/>
              </w:rPr>
              <w:t> Ramps. Curb ramps or entrance ramps are not compliant or non-existing. *Please contact a </w:t>
            </w:r>
            <w:hyperlink r:id="rId20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lastRenderedPageBreak/>
              <w:t> 8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</w:t>
            </w:r>
            <w:r w:rsidRPr="00354B00">
              <w:rPr>
                <w:rFonts w:cs="Arial"/>
                <w:szCs w:val="24"/>
              </w:rPr>
              <w:t>: Way-finding signs or other directional signage are missing or non-compliant. *Please contact a </w:t>
            </w:r>
            <w:hyperlink r:id="rId21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9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Path of Travel- Exterior:</w:t>
            </w:r>
            <w:r w:rsidRPr="00354B00">
              <w:rPr>
                <w:rFonts w:cs="Arial"/>
                <w:szCs w:val="24"/>
              </w:rPr>
              <w:t> Objects projecting into accessible path of travel. Objects such as a rack, display, or boxes placed in the aisle. *Please contact a </w:t>
            </w:r>
            <w:hyperlink r:id="rId22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10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  <w:r w:rsidRPr="00354B00">
              <w:rPr>
                <w:rFonts w:cs="Arial"/>
                <w:b/>
                <w:bCs/>
                <w:szCs w:val="24"/>
              </w:rPr>
              <w:t>Education Entities Features: </w:t>
            </w:r>
            <w:r w:rsidRPr="00354B00">
              <w:rPr>
                <w:rFonts w:cs="Arial"/>
                <w:szCs w:val="24"/>
              </w:rPr>
              <w:t>Classroom not accessible. Accessible features such line of sight, path of travel, tables and desks clearance are non-compliant. *Please contact a </w:t>
            </w:r>
            <w:hyperlink r:id="rId23" w:history="1">
              <w:r w:rsidRPr="00354B00">
                <w:rPr>
                  <w:rFonts w:cs="Arial"/>
                  <w:color w:val="0066AA"/>
                  <w:szCs w:val="24"/>
                  <w:u w:val="single"/>
                </w:rPr>
                <w:t>Certified Access Specialist (CASp)</w:t>
              </w:r>
            </w:hyperlink>
            <w:r w:rsidRPr="00354B00">
              <w:rPr>
                <w:rFonts w:cs="Arial"/>
                <w:szCs w:val="24"/>
              </w:rPr>
              <w:t> for design specification.*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8%</w:t>
            </w:r>
          </w:p>
        </w:tc>
      </w:tr>
      <w:tr w:rsidR="00354B00" w:rsidRPr="00354B00" w:rsidTr="00354B00"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szCs w:val="24"/>
              </w:rPr>
              <w:t> Total: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11</w:t>
            </w:r>
          </w:p>
        </w:tc>
        <w:tc>
          <w:tcPr>
            <w:tcW w:w="0" w:type="auto"/>
            <w:hideMark/>
          </w:tcPr>
          <w:p w:rsidR="00354B00" w:rsidRPr="00354B00" w:rsidRDefault="00354B00" w:rsidP="00354B00">
            <w:pPr>
              <w:spacing w:after="36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 89%</w:t>
            </w:r>
          </w:p>
        </w:tc>
      </w:tr>
    </w:tbl>
    <w:p w:rsidR="00354B00" w:rsidRDefault="00354B00" w:rsidP="00354B00">
      <w:pPr>
        <w:shd w:val="clear" w:color="auto" w:fill="FFFFFF"/>
        <w:spacing w:after="180" w:line="240" w:lineRule="auto"/>
        <w:rPr>
          <w:rFonts w:ascii="Helvetica" w:hAnsi="Helvetica" w:cs="Helvetica"/>
          <w:color w:val="000000"/>
          <w:sz w:val="30"/>
          <w:szCs w:val="30"/>
        </w:rPr>
      </w:pPr>
      <w:r w:rsidRPr="00354B00">
        <w:rPr>
          <w:rFonts w:ascii="Helvetica" w:hAnsi="Helvetica" w:cs="Helvetica"/>
          <w:color w:val="000000"/>
          <w:sz w:val="30"/>
          <w:szCs w:val="30"/>
        </w:rPr>
        <w:t> </w:t>
      </w:r>
    </w:p>
    <w:p w:rsidR="00354B00" w:rsidRDefault="00354B00">
      <w:pPr>
        <w:spacing w:after="200" w:line="276" w:lineRule="auto"/>
        <w:rPr>
          <w:rFonts w:ascii="Helvetica" w:hAnsi="Helvetica" w:cs="Helvetica"/>
          <w:color w:val="000000"/>
          <w:sz w:val="30"/>
          <w:szCs w:val="30"/>
        </w:rPr>
      </w:pPr>
      <w:r>
        <w:rPr>
          <w:rFonts w:ascii="Helvetica" w:hAnsi="Helvetica" w:cs="Helvetica"/>
          <w:color w:val="000000"/>
          <w:sz w:val="30"/>
          <w:szCs w:val="30"/>
        </w:rPr>
        <w:br w:type="page"/>
      </w:r>
    </w:p>
    <w:p w:rsidR="00354B00" w:rsidRPr="00354B00" w:rsidRDefault="0018295B" w:rsidP="0018295B">
      <w:pPr>
        <w:shd w:val="clear" w:color="auto" w:fill="FFFFFF"/>
        <w:spacing w:after="180" w:line="240" w:lineRule="auto"/>
        <w:jc w:val="center"/>
        <w:rPr>
          <w:rFonts w:ascii="Helvetica" w:hAnsi="Helvetica" w:cs="Helvetica"/>
          <w:color w:val="000000"/>
          <w:sz w:val="30"/>
          <w:szCs w:val="30"/>
        </w:rPr>
      </w:pPr>
      <w:r>
        <w:rPr>
          <w:rFonts w:cs="Arial"/>
          <w:b/>
          <w:bCs/>
          <w:szCs w:val="24"/>
        </w:rPr>
        <w:lastRenderedPageBreak/>
        <w:t xml:space="preserve">Table 3: </w:t>
      </w:r>
      <w:r w:rsidRPr="00354B00">
        <w:rPr>
          <w:rFonts w:cs="Arial"/>
          <w:b/>
          <w:bCs/>
          <w:szCs w:val="24"/>
        </w:rPr>
        <w:t>Total Number and Type of Complaints Received</w:t>
      </w:r>
      <w:r w:rsidRPr="00354B00">
        <w:rPr>
          <w:rFonts w:cs="Arial"/>
          <w:b/>
          <w:bCs/>
          <w:szCs w:val="24"/>
        </w:rPr>
        <w:br/>
        <w:t>January - June 2019</w:t>
      </w:r>
    </w:p>
    <w:tbl>
      <w:tblPr>
        <w:tblStyle w:val="TableGridLight"/>
        <w:tblpPr w:leftFromText="180" w:rightFromText="180" w:bottomFromText="360" w:vertAnchor="text"/>
        <w:tblW w:w="9355" w:type="dxa"/>
        <w:tblLook w:val="04A0" w:firstRow="1" w:lastRow="0" w:firstColumn="1" w:lastColumn="0" w:noHBand="0" w:noVBand="1"/>
        <w:tblCaption w:val="Total Number and Type of Complaints Received from January to June 2019"/>
        <w:tblDescription w:val="This table demonstrates the type of case files (pre-litigation letter, state or federl complaints) received by CCDA from January to June of 2019 by Month. "/>
      </w:tblPr>
      <w:tblGrid>
        <w:gridCol w:w="2610"/>
        <w:gridCol w:w="1710"/>
        <w:gridCol w:w="1710"/>
        <w:gridCol w:w="1620"/>
        <w:gridCol w:w="1705"/>
      </w:tblGrid>
      <w:tr w:rsidR="00354B00" w:rsidRPr="00354B00" w:rsidTr="0018295B">
        <w:trPr>
          <w:trHeight w:val="315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Month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Pre-litigation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State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Federal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Total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January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198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235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February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192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231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March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291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347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April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364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May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356</w:t>
            </w:r>
          </w:p>
        </w:tc>
      </w:tr>
      <w:tr w:rsidR="00354B00" w:rsidRPr="00354B00" w:rsidTr="0018295B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June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359</w:t>
            </w:r>
          </w:p>
        </w:tc>
      </w:tr>
      <w:tr w:rsidR="00354B00" w:rsidRPr="00354B00" w:rsidTr="0018295B">
        <w:trPr>
          <w:trHeight w:val="7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Complaints Alleged Against Title II Education Entities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354B00" w:rsidRPr="00354B00" w:rsidTr="0018295B">
        <w:trPr>
          <w:trHeight w:val="48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b/>
                <w:bCs/>
                <w:color w:val="000000"/>
                <w:szCs w:val="24"/>
              </w:rPr>
              <w:t>Grand 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237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1,641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00" w:rsidRPr="00354B00" w:rsidRDefault="00354B00" w:rsidP="00354B00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354B00">
              <w:rPr>
                <w:rFonts w:cs="Arial"/>
                <w:color w:val="000000"/>
                <w:szCs w:val="24"/>
              </w:rPr>
              <w:t>1,894</w:t>
            </w:r>
          </w:p>
        </w:tc>
      </w:tr>
    </w:tbl>
    <w:p w:rsidR="00354B00" w:rsidRPr="00354B00" w:rsidRDefault="00354B00" w:rsidP="00354B00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00000"/>
          <w:sz w:val="30"/>
          <w:szCs w:val="30"/>
        </w:rPr>
      </w:pPr>
      <w:r w:rsidRPr="00354B00">
        <w:rPr>
          <w:rFonts w:ascii="Helvetica" w:hAnsi="Helvetica" w:cs="Helvetica"/>
          <w:color w:val="000000"/>
          <w:sz w:val="30"/>
          <w:szCs w:val="30"/>
        </w:rPr>
        <w:t> </w:t>
      </w:r>
    </w:p>
    <w:p w:rsidR="000427AD" w:rsidRPr="00BA75E1" w:rsidRDefault="000427AD">
      <w:pPr>
        <w:rPr>
          <w:rFonts w:cs="Arial"/>
          <w:szCs w:val="24"/>
        </w:rPr>
      </w:pPr>
    </w:p>
    <w:sectPr w:rsidR="000427AD" w:rsidRPr="00BA75E1" w:rsidSect="0004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00"/>
    <w:rsid w:val="0000203D"/>
    <w:rsid w:val="000427AD"/>
    <w:rsid w:val="00056059"/>
    <w:rsid w:val="00056206"/>
    <w:rsid w:val="00155AD9"/>
    <w:rsid w:val="00157C92"/>
    <w:rsid w:val="0018295B"/>
    <w:rsid w:val="001E3B8C"/>
    <w:rsid w:val="002A5198"/>
    <w:rsid w:val="002B561F"/>
    <w:rsid w:val="00354B00"/>
    <w:rsid w:val="003E5581"/>
    <w:rsid w:val="00427836"/>
    <w:rsid w:val="004F144D"/>
    <w:rsid w:val="00511971"/>
    <w:rsid w:val="005B4425"/>
    <w:rsid w:val="006D1E0C"/>
    <w:rsid w:val="006E4F7E"/>
    <w:rsid w:val="006F5ADD"/>
    <w:rsid w:val="00737B19"/>
    <w:rsid w:val="007D3444"/>
    <w:rsid w:val="00845252"/>
    <w:rsid w:val="008F090D"/>
    <w:rsid w:val="0093358F"/>
    <w:rsid w:val="009C45C8"/>
    <w:rsid w:val="009E6AF0"/>
    <w:rsid w:val="00BA75E1"/>
    <w:rsid w:val="00C84379"/>
    <w:rsid w:val="00C921BA"/>
    <w:rsid w:val="00F602CC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3B0A"/>
  <w15:chartTrackingRefBased/>
  <w15:docId w15:val="{39D22E48-E210-4444-8FCD-B0E3A36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Light">
    <w:name w:val="Grid Table Light"/>
    <w:basedOn w:val="TableNormal"/>
    <w:uiPriority w:val="40"/>
    <w:rsid w:val="00354B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s2.dgs.ca.gov/DSA/casp/casp_certified_list.aspx" TargetMode="External"/><Relationship Id="rId13" Type="http://schemas.openxmlformats.org/officeDocument/2006/relationships/hyperlink" Target="https://www.apps2.dgs.ca.gov/DSA/casp/casp_certified_list.aspx" TargetMode="External"/><Relationship Id="rId18" Type="http://schemas.openxmlformats.org/officeDocument/2006/relationships/hyperlink" Target="https://www.apps2.dgs.ca.gov/DSA/casp/casp_certified_list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pps2.dgs.ca.gov/DSA/casp/casp_certified_list.aspx" TargetMode="External"/><Relationship Id="rId7" Type="http://schemas.openxmlformats.org/officeDocument/2006/relationships/hyperlink" Target="https://www.apps2.dgs.ca.gov/DSA/casp/casp_certified_list.aspx" TargetMode="External"/><Relationship Id="rId12" Type="http://schemas.openxmlformats.org/officeDocument/2006/relationships/hyperlink" Target="https://www.apps2.dgs.ca.gov/DSA/casp/casp_certified_list.aspx" TargetMode="External"/><Relationship Id="rId17" Type="http://schemas.openxmlformats.org/officeDocument/2006/relationships/hyperlink" Target="https://www.apps2.dgs.ca.gov/DSA/casp/casp_certified_list.asp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pps2.dgs.ca.gov/DSA/casp/casp_certified_list.aspx" TargetMode="External"/><Relationship Id="rId20" Type="http://schemas.openxmlformats.org/officeDocument/2006/relationships/hyperlink" Target="https://www.apps2.dgs.ca.gov/DSA/casp/casp_certified_lis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pps2.dgs.ca.gov/DSA/casp/casp_certified_list.aspx" TargetMode="External"/><Relationship Id="rId11" Type="http://schemas.openxmlformats.org/officeDocument/2006/relationships/hyperlink" Target="https://www.apps2.dgs.ca.gov/DSA/casp/casp_certified_list.asp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pps2.dgs.ca.gov/DSA/casp/casp_certified_list.aspx" TargetMode="External"/><Relationship Id="rId15" Type="http://schemas.openxmlformats.org/officeDocument/2006/relationships/hyperlink" Target="https://www.apps2.dgs.ca.gov/DSA/casp/casp_certified_list.aspx" TargetMode="External"/><Relationship Id="rId23" Type="http://schemas.openxmlformats.org/officeDocument/2006/relationships/hyperlink" Target="https://www.apps2.dgs.ca.gov/DSA/casp/casp_certified_list.aspx" TargetMode="External"/><Relationship Id="rId10" Type="http://schemas.openxmlformats.org/officeDocument/2006/relationships/hyperlink" Target="https://www.apps2.dgs.ca.gov/DSA/casp/casp_certified_list.aspx" TargetMode="External"/><Relationship Id="rId19" Type="http://schemas.openxmlformats.org/officeDocument/2006/relationships/hyperlink" Target="https://www.apps2.dgs.ca.gov/DSA/casp/casp_certified_list.aspx" TargetMode="External"/><Relationship Id="rId4" Type="http://schemas.openxmlformats.org/officeDocument/2006/relationships/hyperlink" Target="https://www.apps2.dgs.ca.gov/DSA/casp/casp_certified_list.aspx" TargetMode="External"/><Relationship Id="rId9" Type="http://schemas.openxmlformats.org/officeDocument/2006/relationships/hyperlink" Target="https://www.apps2.dgs.ca.gov/DSA/casp/casp_certified_list.aspx" TargetMode="External"/><Relationship Id="rId14" Type="http://schemas.openxmlformats.org/officeDocument/2006/relationships/hyperlink" Target="https://www.apps2.dgs.ca.gov/DSA/casp/casp_certified_list.aspx" TargetMode="External"/><Relationship Id="rId22" Type="http://schemas.openxmlformats.org/officeDocument/2006/relationships/hyperlink" Target="https://www.apps2.dgs.ca.gov/DSA/casp/casp_certified_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3</cp:revision>
  <dcterms:created xsi:type="dcterms:W3CDTF">2020-02-20T22:49:00Z</dcterms:created>
  <dcterms:modified xsi:type="dcterms:W3CDTF">2020-02-20T22:57:00Z</dcterms:modified>
</cp:coreProperties>
</file>