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B4" w:rsidRPr="00FA36B4" w:rsidRDefault="00FA36B4" w:rsidP="005D39CB">
      <w:pPr>
        <w:pStyle w:val="Title"/>
        <w:jc w:val="center"/>
        <w:rPr>
          <w:rFonts w:ascii="Arial" w:eastAsia="Times New Roman" w:hAnsi="Arial" w:cs="Arial"/>
          <w:b/>
          <w:sz w:val="24"/>
          <w:szCs w:val="24"/>
        </w:rPr>
      </w:pPr>
      <w:r w:rsidRPr="00FA36B4">
        <w:rPr>
          <w:rFonts w:ascii="Arial" w:eastAsia="Times New Roman" w:hAnsi="Arial" w:cs="Arial"/>
          <w:b/>
          <w:noProof/>
          <w:sz w:val="24"/>
          <w:szCs w:val="24"/>
        </w:rPr>
        <w:drawing>
          <wp:inline distT="0" distB="0" distL="0" distR="0">
            <wp:extent cx="5162550" cy="969633"/>
            <wp:effectExtent l="0" t="0" r="0" b="254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195667" cy="975853"/>
                    </a:xfrm>
                    <a:prstGeom prst="rect">
                      <a:avLst/>
                    </a:prstGeom>
                  </pic:spPr>
                </pic:pic>
              </a:graphicData>
            </a:graphic>
          </wp:inline>
        </w:drawing>
      </w:r>
    </w:p>
    <w:p w:rsidR="005D39CB" w:rsidRPr="00FA36B4" w:rsidRDefault="00426277" w:rsidP="005D39CB">
      <w:pPr>
        <w:pStyle w:val="Title"/>
        <w:jc w:val="center"/>
        <w:rPr>
          <w:rFonts w:ascii="Arial" w:eastAsia="Times New Roman" w:hAnsi="Arial" w:cs="Arial"/>
          <w:b/>
          <w:sz w:val="28"/>
          <w:szCs w:val="28"/>
        </w:rPr>
      </w:pPr>
      <w:r>
        <w:rPr>
          <w:rFonts w:ascii="Arial" w:eastAsia="Times New Roman" w:hAnsi="Arial" w:cs="Arial"/>
          <w:b/>
          <w:sz w:val="28"/>
          <w:szCs w:val="28"/>
        </w:rPr>
        <w:t>CCDA</w:t>
      </w:r>
      <w:r w:rsidR="00FA36B4" w:rsidRPr="00FA36B4">
        <w:rPr>
          <w:rFonts w:ascii="Arial" w:eastAsia="Times New Roman" w:hAnsi="Arial" w:cs="Arial"/>
          <w:b/>
          <w:sz w:val="28"/>
          <w:szCs w:val="28"/>
        </w:rPr>
        <w:t xml:space="preserve"> Government Code Sections to </w:t>
      </w:r>
      <w:r>
        <w:rPr>
          <w:rFonts w:ascii="Arial" w:eastAsia="Times New Roman" w:hAnsi="Arial" w:cs="Arial"/>
          <w:b/>
          <w:sz w:val="28"/>
          <w:szCs w:val="28"/>
        </w:rPr>
        <w:t>R</w:t>
      </w:r>
      <w:r w:rsidR="00FA36B4" w:rsidRPr="00FA36B4">
        <w:rPr>
          <w:rFonts w:ascii="Arial" w:eastAsia="Times New Roman" w:hAnsi="Arial" w:cs="Arial"/>
          <w:b/>
          <w:sz w:val="28"/>
          <w:szCs w:val="28"/>
        </w:rPr>
        <w:t>eview</w:t>
      </w:r>
      <w:r w:rsidR="005D39CB" w:rsidRPr="00FA36B4">
        <w:rPr>
          <w:rFonts w:ascii="Arial" w:eastAsia="Times New Roman" w:hAnsi="Arial" w:cs="Arial"/>
          <w:b/>
          <w:sz w:val="28"/>
          <w:szCs w:val="28"/>
        </w:rPr>
        <w:t xml:space="preserve"> </w:t>
      </w:r>
    </w:p>
    <w:p w:rsidR="00FA36B4" w:rsidRPr="00FA36B4" w:rsidRDefault="00FA36B4" w:rsidP="00FA36B4">
      <w:pPr>
        <w:rPr>
          <w:rFonts w:ascii="Arial" w:hAnsi="Arial" w:cs="Arial"/>
          <w:sz w:val="24"/>
          <w:szCs w:val="24"/>
        </w:rPr>
      </w:pPr>
    </w:p>
    <w:p w:rsidR="005D39CB" w:rsidRPr="00FA36B4" w:rsidRDefault="005D39CB" w:rsidP="005D39CB">
      <w:pPr>
        <w:shd w:val="clear" w:color="auto" w:fill="FFFFFF"/>
        <w:spacing w:after="0" w:line="240" w:lineRule="auto"/>
        <w:textAlignment w:val="baseline"/>
        <w:outlineLvl w:val="2"/>
        <w:rPr>
          <w:rFonts w:ascii="Arial" w:eastAsia="Times New Roman" w:hAnsi="Arial" w:cs="Arial"/>
          <w:b/>
          <w:bCs/>
          <w:caps/>
          <w:sz w:val="24"/>
          <w:szCs w:val="24"/>
        </w:rPr>
      </w:pPr>
      <w:r w:rsidRPr="00FA36B4">
        <w:rPr>
          <w:rFonts w:ascii="Arial" w:eastAsia="Times New Roman" w:hAnsi="Arial" w:cs="Arial"/>
          <w:b/>
          <w:bCs/>
          <w:caps/>
          <w:sz w:val="24"/>
          <w:szCs w:val="24"/>
        </w:rPr>
        <w:t>GOVERNMENT CODE - GOV</w:t>
      </w:r>
    </w:p>
    <w:p w:rsidR="005D39CB" w:rsidRPr="00FA36B4" w:rsidRDefault="005D39CB" w:rsidP="005D39CB">
      <w:pPr>
        <w:shd w:val="clear" w:color="auto" w:fill="FFFFFF"/>
        <w:spacing w:after="0" w:line="240" w:lineRule="auto"/>
        <w:ind w:firstLine="360"/>
        <w:textAlignment w:val="baseline"/>
        <w:outlineLvl w:val="3"/>
        <w:rPr>
          <w:rFonts w:ascii="Arial" w:eastAsia="Times New Roman" w:hAnsi="Arial" w:cs="Arial"/>
          <w:b/>
          <w:bCs/>
          <w:sz w:val="24"/>
          <w:szCs w:val="24"/>
        </w:rPr>
      </w:pPr>
      <w:r w:rsidRPr="00FA36B4">
        <w:rPr>
          <w:rFonts w:ascii="Arial" w:eastAsia="Times New Roman" w:hAnsi="Arial" w:cs="Arial"/>
          <w:b/>
          <w:bCs/>
          <w:sz w:val="24"/>
          <w:szCs w:val="24"/>
        </w:rPr>
        <w:t>TITLE 2. GOVERNMENT OF THE STATE OF CALIFORNIA [8000 - 22980]</w:t>
      </w:r>
    </w:p>
    <w:p w:rsidR="005D39CB" w:rsidRPr="00FA36B4" w:rsidRDefault="005D39CB" w:rsidP="005D39CB">
      <w:pPr>
        <w:shd w:val="clear" w:color="auto" w:fill="FFFFFF"/>
        <w:spacing w:after="0" w:line="240" w:lineRule="auto"/>
        <w:textAlignment w:val="baseline"/>
        <w:rPr>
          <w:rFonts w:ascii="Arial" w:eastAsia="Times New Roman" w:hAnsi="Arial" w:cs="Arial"/>
          <w:sz w:val="24"/>
          <w:szCs w:val="24"/>
          <w:bdr w:val="none" w:sz="0" w:space="0" w:color="auto" w:frame="1"/>
        </w:rPr>
      </w:pPr>
    </w:p>
    <w:p w:rsidR="005D39CB" w:rsidRPr="00FA36B4" w:rsidRDefault="005D39CB" w:rsidP="005D39CB">
      <w:pPr>
        <w:shd w:val="clear" w:color="auto" w:fill="FFFFFF"/>
        <w:spacing w:after="0" w:line="240" w:lineRule="auto"/>
        <w:textAlignment w:val="baseline"/>
        <w:outlineLvl w:val="4"/>
        <w:rPr>
          <w:rFonts w:ascii="Arial" w:eastAsia="Times New Roman" w:hAnsi="Arial" w:cs="Arial"/>
          <w:b/>
          <w:bCs/>
          <w:sz w:val="24"/>
          <w:szCs w:val="24"/>
          <w:bdr w:val="none" w:sz="0" w:space="0" w:color="auto" w:frame="1"/>
        </w:rPr>
      </w:pPr>
      <w:r w:rsidRPr="00FA36B4">
        <w:rPr>
          <w:rFonts w:ascii="Arial" w:eastAsia="Times New Roman" w:hAnsi="Arial" w:cs="Arial"/>
          <w:b/>
          <w:bCs/>
          <w:sz w:val="24"/>
          <w:szCs w:val="24"/>
          <w:bdr w:val="none" w:sz="0" w:space="0" w:color="auto" w:frame="1"/>
        </w:rPr>
        <w:t>CHAPTER 13. California Commission on Disability Access [14985 - 14985.11]</w:t>
      </w:r>
    </w:p>
    <w:p w:rsidR="005D39CB" w:rsidRPr="00FA36B4" w:rsidRDefault="005D39CB" w:rsidP="005D39CB">
      <w:pPr>
        <w:shd w:val="clear" w:color="auto" w:fill="FFFFFF"/>
        <w:spacing w:after="0" w:line="240" w:lineRule="auto"/>
        <w:textAlignment w:val="baseline"/>
        <w:rPr>
          <w:rFonts w:ascii="Arial" w:eastAsia="Times New Roman" w:hAnsi="Arial" w:cs="Arial"/>
          <w:sz w:val="24"/>
          <w:szCs w:val="24"/>
          <w:bdr w:val="none" w:sz="0" w:space="0" w:color="auto" w:frame="1"/>
        </w:rPr>
      </w:pPr>
      <w:r w:rsidRPr="00FA36B4">
        <w:rPr>
          <w:rFonts w:ascii="Arial" w:eastAsia="Times New Roman" w:hAnsi="Arial" w:cs="Arial"/>
          <w:sz w:val="24"/>
          <w:szCs w:val="24"/>
          <w:bdr w:val="none" w:sz="0" w:space="0" w:color="auto" w:frame="1"/>
        </w:rPr>
        <w:t>  </w:t>
      </w:r>
      <w:r w:rsidR="00FA36B4" w:rsidRPr="00FA36B4">
        <w:rPr>
          <w:rFonts w:ascii="Arial" w:eastAsia="Times New Roman" w:hAnsi="Arial" w:cs="Arial"/>
          <w:i/>
          <w:iCs/>
          <w:sz w:val="24"/>
          <w:szCs w:val="24"/>
          <w:bdr w:val="none" w:sz="0" w:space="0" w:color="auto" w:frame="1"/>
        </w:rPr>
        <w:t>(Chapter</w:t>
      </w:r>
      <w:r w:rsidRPr="00FA36B4">
        <w:rPr>
          <w:rFonts w:ascii="Arial" w:eastAsia="Times New Roman" w:hAnsi="Arial" w:cs="Arial"/>
          <w:i/>
          <w:iCs/>
          <w:sz w:val="24"/>
          <w:szCs w:val="24"/>
          <w:bdr w:val="none" w:sz="0" w:space="0" w:color="auto" w:frame="1"/>
        </w:rPr>
        <w:t xml:space="preserve"> 13 added by Stats. 2017, Ch. 19, Sec. 15</w:t>
      </w:r>
      <w:r w:rsidR="00FA36B4" w:rsidRPr="00FA36B4">
        <w:rPr>
          <w:rFonts w:ascii="Arial" w:eastAsia="Times New Roman" w:hAnsi="Arial" w:cs="Arial"/>
          <w:i/>
          <w:iCs/>
          <w:sz w:val="24"/>
          <w:szCs w:val="24"/>
          <w:bdr w:val="none" w:sz="0" w:space="0" w:color="auto" w:frame="1"/>
        </w:rPr>
        <w:t>.)</w:t>
      </w:r>
    </w:p>
    <w:p w:rsidR="005D39CB" w:rsidRPr="00FA36B4" w:rsidRDefault="005D39CB" w:rsidP="005D39CB">
      <w:pPr>
        <w:rPr>
          <w:rFonts w:ascii="Arial" w:hAnsi="Arial" w:cs="Arial"/>
          <w:sz w:val="24"/>
          <w:szCs w:val="24"/>
        </w:rPr>
      </w:pPr>
    </w:p>
    <w:p w:rsidR="00B13BC8" w:rsidRPr="00FA36B4" w:rsidRDefault="00B364E1" w:rsidP="00FA36B4">
      <w:pPr>
        <w:pStyle w:val="NormalWeb"/>
        <w:numPr>
          <w:ilvl w:val="0"/>
          <w:numId w:val="2"/>
        </w:numPr>
        <w:shd w:val="clear" w:color="auto" w:fill="FFFFFF"/>
        <w:spacing w:before="0" w:beforeAutospacing="0" w:after="0" w:afterAutospacing="0"/>
        <w:textAlignment w:val="baseline"/>
        <w:rPr>
          <w:rFonts w:ascii="Arial" w:hAnsi="Arial" w:cs="Arial"/>
        </w:rPr>
      </w:pPr>
      <w:r>
        <w:rPr>
          <w:rFonts w:ascii="Arial" w:hAnsi="Arial" w:cs="Arial"/>
          <w:b/>
        </w:rPr>
        <w:t>149</w:t>
      </w:r>
      <w:r w:rsidR="005D39CB" w:rsidRPr="00FA36B4">
        <w:rPr>
          <w:rFonts w:ascii="Arial" w:hAnsi="Arial" w:cs="Arial"/>
          <w:b/>
        </w:rPr>
        <w:t>85.4</w:t>
      </w:r>
      <w:r w:rsidR="005D39CB" w:rsidRPr="00FA36B4">
        <w:rPr>
          <w:rFonts w:ascii="Arial" w:hAnsi="Arial" w:cs="Arial"/>
        </w:rPr>
        <w:t xml:space="preserve"> </w:t>
      </w:r>
      <w:r w:rsidR="00B13BC8" w:rsidRPr="00FA36B4">
        <w:rPr>
          <w:rFonts w:ascii="Arial" w:hAnsi="Arial" w:cs="Arial"/>
        </w:rPr>
        <w:t>(e) To accept any federal funds granted by an act of Congress or by executive order for any purpose of this chapter.</w:t>
      </w:r>
    </w:p>
    <w:p w:rsidR="00B13BC8" w:rsidRPr="00FA36B4" w:rsidRDefault="00B13BC8" w:rsidP="00B364E1">
      <w:pPr>
        <w:pStyle w:val="NormalWeb"/>
        <w:shd w:val="clear" w:color="auto" w:fill="FFFFFF"/>
        <w:spacing w:before="0" w:beforeAutospacing="0" w:after="0" w:afterAutospacing="0"/>
        <w:ind w:firstLine="360"/>
        <w:textAlignment w:val="baseline"/>
        <w:rPr>
          <w:rFonts w:ascii="Arial" w:hAnsi="Arial" w:cs="Arial"/>
        </w:rPr>
      </w:pPr>
      <w:r w:rsidRPr="00FA36B4">
        <w:rPr>
          <w:rFonts w:ascii="Arial" w:hAnsi="Arial" w:cs="Arial"/>
        </w:rPr>
        <w:t>(f) To accept any gift, donation, grant, or bequest for any purpose of this chapter.</w:t>
      </w:r>
    </w:p>
    <w:p w:rsidR="00B13BC8" w:rsidRPr="00FA36B4" w:rsidRDefault="00B13BC8" w:rsidP="00B364E1">
      <w:pPr>
        <w:pStyle w:val="NormalWeb"/>
        <w:shd w:val="clear" w:color="auto" w:fill="FFFFFF"/>
        <w:spacing w:before="0" w:beforeAutospacing="0" w:after="480" w:afterAutospacing="0"/>
        <w:ind w:left="360"/>
        <w:textAlignment w:val="baseline"/>
        <w:rPr>
          <w:rFonts w:ascii="Arial" w:hAnsi="Arial" w:cs="Arial"/>
          <w:i/>
          <w:iCs/>
        </w:rPr>
      </w:pPr>
      <w:r w:rsidRPr="00FA36B4">
        <w:rPr>
          <w:rFonts w:ascii="Arial" w:hAnsi="Arial" w:cs="Arial"/>
          <w:i/>
          <w:iCs/>
        </w:rPr>
        <w:t>(Added by Stats. 2017, Ch. 19, Sec. 15. (AB 111) Effective June 27, 2017. Pursuant to Section 14985.11, continuing operation is contingent upon funding.)</w:t>
      </w:r>
    </w:p>
    <w:p w:rsidR="005D39CB" w:rsidRPr="002336CA" w:rsidRDefault="00B364E1" w:rsidP="00FA36B4">
      <w:pPr>
        <w:pStyle w:val="ListParagraph"/>
        <w:numPr>
          <w:ilvl w:val="0"/>
          <w:numId w:val="2"/>
        </w:numPr>
        <w:rPr>
          <w:rFonts w:ascii="Arial" w:hAnsi="Arial" w:cs="Arial"/>
          <w:sz w:val="24"/>
          <w:szCs w:val="24"/>
        </w:rPr>
      </w:pPr>
      <w:r>
        <w:rPr>
          <w:rFonts w:ascii="Arial" w:hAnsi="Arial" w:cs="Arial"/>
          <w:b/>
          <w:sz w:val="24"/>
          <w:szCs w:val="24"/>
        </w:rPr>
        <w:t>149</w:t>
      </w:r>
      <w:r w:rsidR="00B13BC8" w:rsidRPr="00FA36B4">
        <w:rPr>
          <w:rFonts w:ascii="Arial" w:hAnsi="Arial" w:cs="Arial"/>
          <w:b/>
          <w:sz w:val="24"/>
          <w:szCs w:val="24"/>
        </w:rPr>
        <w:t>85.5</w:t>
      </w:r>
      <w:r>
        <w:rPr>
          <w:rFonts w:ascii="Arial" w:hAnsi="Arial" w:cs="Arial"/>
          <w:b/>
          <w:sz w:val="24"/>
          <w:szCs w:val="24"/>
        </w:rPr>
        <w:t xml:space="preserve"> </w:t>
      </w:r>
      <w:r w:rsidR="00B13BC8" w:rsidRPr="00FA36B4">
        <w:rPr>
          <w:rFonts w:ascii="Arial" w:hAnsi="Arial" w:cs="Arial"/>
          <w:sz w:val="24"/>
          <w:szCs w:val="24"/>
        </w:rPr>
        <w:t>(</w:t>
      </w:r>
      <w:r w:rsidR="00B13BC8" w:rsidRPr="00FA36B4">
        <w:rPr>
          <w:rFonts w:ascii="Arial" w:hAnsi="Arial" w:cs="Arial"/>
          <w:sz w:val="24"/>
          <w:szCs w:val="24"/>
          <w:shd w:val="clear" w:color="auto" w:fill="FFFFFF"/>
        </w:rPr>
        <w:t xml:space="preserve">a) The commission may recommend, develop, prepare, or coordinate materials, projects, or other activities, as appropriate, relating to any subject </w:t>
      </w:r>
      <w:r w:rsidR="00B13BC8" w:rsidRPr="002336CA">
        <w:rPr>
          <w:rFonts w:ascii="Arial" w:hAnsi="Arial" w:cs="Arial"/>
          <w:sz w:val="24"/>
          <w:szCs w:val="24"/>
          <w:shd w:val="clear" w:color="auto" w:fill="FFFFFF"/>
        </w:rPr>
        <w:t>within its jurisdiction.</w:t>
      </w:r>
    </w:p>
    <w:p w:rsidR="00355A86" w:rsidRPr="00FA36B4" w:rsidRDefault="00355A86" w:rsidP="00FA36B4">
      <w:pPr>
        <w:pStyle w:val="NormalWeb"/>
        <w:numPr>
          <w:ilvl w:val="0"/>
          <w:numId w:val="2"/>
        </w:numPr>
        <w:shd w:val="clear" w:color="auto" w:fill="FFFFFF"/>
        <w:spacing w:before="0" w:beforeAutospacing="0" w:after="0" w:afterAutospacing="0"/>
        <w:textAlignment w:val="baseline"/>
        <w:rPr>
          <w:rFonts w:ascii="Arial" w:hAnsi="Arial" w:cs="Arial"/>
        </w:rPr>
      </w:pPr>
      <w:r w:rsidRPr="00FA36B4">
        <w:rPr>
          <w:rFonts w:ascii="Arial" w:hAnsi="Arial" w:cs="Arial"/>
          <w:b/>
        </w:rPr>
        <w:t>14985.6,</w:t>
      </w:r>
      <w:r w:rsidRPr="00FA36B4">
        <w:rPr>
          <w:rFonts w:ascii="Arial" w:hAnsi="Arial" w:cs="Arial"/>
        </w:rPr>
        <w:t xml:space="preserve"> as amended in the 2011–12 Regular Session.</w:t>
      </w:r>
    </w:p>
    <w:p w:rsidR="00355A86" w:rsidRDefault="00355A86" w:rsidP="008834C3">
      <w:pPr>
        <w:pStyle w:val="NormalWeb"/>
        <w:shd w:val="clear" w:color="auto" w:fill="FFFFFF"/>
        <w:spacing w:before="0" w:beforeAutospacing="0" w:after="0" w:afterAutospacing="0"/>
        <w:ind w:left="180"/>
        <w:textAlignment w:val="baseline"/>
        <w:rPr>
          <w:rFonts w:ascii="Arial" w:hAnsi="Arial" w:cs="Arial"/>
        </w:rPr>
      </w:pPr>
      <w:r w:rsidRPr="00FA36B4">
        <w:rPr>
          <w:rFonts w:ascii="Arial" w:hAnsi="Arial" w:cs="Arial"/>
        </w:rPr>
        <w:t>The commission shall compile the following data with respect to any demand letter or complaint sent to the commission pursuant to Section 55.32 of the Civil Code and post the information on its Internet Web site, pursuant to the following:</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rPr>
      </w:pPr>
    </w:p>
    <w:p w:rsidR="00355A86" w:rsidRDefault="00355A86" w:rsidP="00FA36B4">
      <w:pPr>
        <w:pStyle w:val="NormalWeb"/>
        <w:numPr>
          <w:ilvl w:val="0"/>
          <w:numId w:val="4"/>
        </w:numPr>
        <w:shd w:val="clear" w:color="auto" w:fill="FFFFFF"/>
        <w:spacing w:before="0" w:beforeAutospacing="0" w:after="0" w:afterAutospacing="0"/>
        <w:textAlignment w:val="baseline"/>
        <w:rPr>
          <w:rFonts w:ascii="Arial" w:hAnsi="Arial" w:cs="Arial"/>
        </w:rPr>
      </w:pPr>
      <w:r w:rsidRPr="00FA36B4">
        <w:rPr>
          <w:rFonts w:ascii="Arial" w:hAnsi="Arial" w:cs="Arial"/>
        </w:rPr>
        <w:t>The commission shall identify the various types of construction-related physical access violations alleged in the demand letters and in the complaints, respectively, and shall tabulate the number of claims alleged for each type of violation in the demand letters and complaints, respectively. For purposes of this subdivision, any demand for money letters shall be grouped as demand letters.</w:t>
      </w:r>
    </w:p>
    <w:p w:rsidR="00FA36B4" w:rsidRPr="00FA36B4" w:rsidRDefault="00FA36B4" w:rsidP="00FA36B4">
      <w:pPr>
        <w:pStyle w:val="NormalWeb"/>
        <w:shd w:val="clear" w:color="auto" w:fill="FFFFFF"/>
        <w:spacing w:before="0" w:beforeAutospacing="0" w:after="0" w:afterAutospacing="0"/>
        <w:ind w:left="540"/>
        <w:textAlignment w:val="baseline"/>
        <w:rPr>
          <w:rFonts w:ascii="Arial" w:hAnsi="Arial" w:cs="Arial"/>
        </w:rPr>
      </w:pPr>
    </w:p>
    <w:p w:rsidR="00355A86" w:rsidRDefault="00355A86" w:rsidP="00FA36B4">
      <w:pPr>
        <w:pStyle w:val="NormalWeb"/>
        <w:numPr>
          <w:ilvl w:val="0"/>
          <w:numId w:val="4"/>
        </w:numPr>
        <w:shd w:val="clear" w:color="auto" w:fill="FFFFFF"/>
        <w:spacing w:before="0" w:beforeAutospacing="0" w:after="0" w:afterAutospacing="0"/>
        <w:textAlignment w:val="baseline"/>
        <w:rPr>
          <w:rFonts w:ascii="Arial" w:hAnsi="Arial" w:cs="Arial"/>
        </w:rPr>
      </w:pPr>
      <w:r w:rsidRPr="00FA36B4">
        <w:rPr>
          <w:rFonts w:ascii="Arial" w:hAnsi="Arial" w:cs="Arial"/>
        </w:rPr>
        <w:t>Periodically, but not less than every six months beginning July 31, 2013, the commission shall post on its Internet Web site a list, by type, of the 10 most frequent types of accessibility violations alleged in the demand letters and in the complaints, respectively, and the numbers of alleged violations for each listed type of violation for the prior two quarters.</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rPr>
      </w:pPr>
    </w:p>
    <w:p w:rsidR="00355A86" w:rsidRDefault="00355A86" w:rsidP="00FA36B4">
      <w:pPr>
        <w:pStyle w:val="NormalWeb"/>
        <w:numPr>
          <w:ilvl w:val="0"/>
          <w:numId w:val="4"/>
        </w:numPr>
        <w:shd w:val="clear" w:color="auto" w:fill="FFFFFF"/>
        <w:spacing w:before="0" w:beforeAutospacing="0" w:after="0" w:afterAutospacing="0"/>
        <w:textAlignment w:val="baseline"/>
        <w:rPr>
          <w:rFonts w:ascii="Arial" w:hAnsi="Arial" w:cs="Arial"/>
        </w:rPr>
      </w:pPr>
      <w:r w:rsidRPr="00FA36B4">
        <w:rPr>
          <w:rFonts w:ascii="Arial" w:hAnsi="Arial" w:cs="Arial"/>
        </w:rPr>
        <w:t xml:space="preserve">The commission shall, on a quarterly basis, identify and tabulate the number of demand letters and complaints received by the commission. The commission shall further ascertain whether a complaint was filed in state or federal court and </w:t>
      </w:r>
      <w:r w:rsidRPr="00FA36B4">
        <w:rPr>
          <w:rFonts w:ascii="Arial" w:hAnsi="Arial" w:cs="Arial"/>
        </w:rPr>
        <w:lastRenderedPageBreak/>
        <w:t>tabulate the number of complaints filed in state or federal court, respectively. This data shall be posted on the commission’s Internet Web site periodically, but not less than every six months beginning July 31, 2013.</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rPr>
      </w:pPr>
    </w:p>
    <w:p w:rsidR="00355A86" w:rsidRPr="00FA36B4" w:rsidRDefault="00355A86" w:rsidP="00FA36B4">
      <w:pPr>
        <w:pStyle w:val="NormalWeb"/>
        <w:shd w:val="clear" w:color="auto" w:fill="FFFFFF"/>
        <w:spacing w:before="0" w:beforeAutospacing="0" w:after="0" w:afterAutospacing="0"/>
        <w:ind w:left="180"/>
        <w:textAlignment w:val="baseline"/>
        <w:rPr>
          <w:rFonts w:ascii="Arial" w:hAnsi="Arial" w:cs="Arial"/>
        </w:rPr>
      </w:pPr>
      <w:r w:rsidRPr="00FA36B4">
        <w:rPr>
          <w:rFonts w:ascii="Arial" w:hAnsi="Arial" w:cs="Arial"/>
        </w:rPr>
        <w:t>(d) Commencing in 2014, and notwithstanding Section 10231.5, the commission shall make an annual report to the Legislature and the Chairs of the Senate and Assembly Committees on Judiciary by January 31 of each year of the tabulated data for the preceding calendar year as set forth in subdivisions (a) to (c), inclusive. A report to be submitted pursuant to this subdivision shall be submitted in compliance with Section 9795.</w:t>
      </w:r>
    </w:p>
    <w:p w:rsidR="00355A86" w:rsidRPr="00FA36B4" w:rsidRDefault="00355A86" w:rsidP="00FA36B4">
      <w:pPr>
        <w:pStyle w:val="NormalWeb"/>
        <w:shd w:val="clear" w:color="auto" w:fill="FFFFFF"/>
        <w:spacing w:before="0" w:beforeAutospacing="0" w:after="480" w:afterAutospacing="0"/>
        <w:ind w:left="180"/>
        <w:textAlignment w:val="baseline"/>
        <w:rPr>
          <w:rFonts w:ascii="Arial" w:hAnsi="Arial" w:cs="Arial"/>
        </w:rPr>
      </w:pPr>
      <w:r w:rsidRPr="00FA36B4">
        <w:rPr>
          <w:rFonts w:ascii="Arial" w:hAnsi="Arial" w:cs="Arial"/>
          <w:i/>
          <w:iCs/>
        </w:rPr>
        <w:t>(Added by Stats. 2017, Ch. 19, Sec. 15. (AB 111) Effective June 27, 2017. Pursuant to Section 14985.11, continuing operation is contingent upon funding.)</w:t>
      </w:r>
    </w:p>
    <w:p w:rsidR="00473F43" w:rsidRPr="002336CA" w:rsidRDefault="00355A86"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b/>
        </w:rPr>
        <w:t>14985.7</w:t>
      </w:r>
      <w:r w:rsidR="00473F43" w:rsidRPr="00FA36B4">
        <w:rPr>
          <w:rFonts w:ascii="Arial" w:hAnsi="Arial" w:cs="Arial"/>
        </w:rPr>
        <w:t>(a) On or before April 15, 2013, the commission shall report to the Legislature, and to the Chairs of the Senate and Assembly Committees on Judiciary, of its activities and efforts since the commission was established to implement the predecessors of Sections 14985.5 and 14985.6, including the provisions that were law prior to amendment or repeal in the 2011–12 Regular Session. Commencing in 2014</w:t>
      </w:r>
      <w:r w:rsidR="00473F43" w:rsidRPr="002336CA">
        <w:rPr>
          <w:rFonts w:ascii="Arial" w:hAnsi="Arial" w:cs="Arial"/>
        </w:rPr>
        <w:t>, and notwithstanding Section 10231.5, the commission shall report on or before January 31 and annually thereafter to the Legislature, and to the Chairs of the Senate and Assembly Committees on Judiciary, of its ongoing efforts to implement Sections 14985.5 and 14985.6, as amended in the 2011–12 Regular Session.</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u w:val="single"/>
        </w:rPr>
      </w:pP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(b) A report to be submitted pursuant to subdivision (a) shall be submitted in compliance with Section 9795.</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p>
    <w:p w:rsidR="00EF4C0B" w:rsidRPr="00FA36B4" w:rsidRDefault="00473F43" w:rsidP="00FA36B4">
      <w:pPr>
        <w:pStyle w:val="NormalWeb"/>
        <w:shd w:val="clear" w:color="auto" w:fill="FFFFFF"/>
        <w:spacing w:before="0" w:beforeAutospacing="0" w:after="0" w:afterAutospacing="0"/>
        <w:textAlignment w:val="baseline"/>
        <w:rPr>
          <w:rFonts w:ascii="Arial" w:hAnsi="Arial" w:cs="Arial"/>
          <w:b/>
        </w:rPr>
      </w:pPr>
      <w:r w:rsidRPr="00FA36B4">
        <w:rPr>
          <w:rFonts w:ascii="Arial" w:hAnsi="Arial" w:cs="Arial"/>
          <w:b/>
        </w:rPr>
        <w:t>14985.8.</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 xml:space="preserve">(d) Commencing in 2014, and notwithstanding Section 10231.5, the commission shall make an </w:t>
      </w:r>
      <w:r w:rsidRPr="002336CA">
        <w:rPr>
          <w:rFonts w:ascii="Arial" w:hAnsi="Arial" w:cs="Arial"/>
        </w:rPr>
        <w:t xml:space="preserve">annual report to the Legislature and the Chairs of the Senate and Assembly Committees on Judiciary by January 31 of each year of the tabulated data for the preceding calendar year as set forth in subdivisions (a) to (c), inclusive. </w:t>
      </w:r>
      <w:r w:rsidRPr="00FA36B4">
        <w:rPr>
          <w:rFonts w:ascii="Arial" w:hAnsi="Arial" w:cs="Arial"/>
        </w:rPr>
        <w:t>A report to be submitted pursuant to this subdivision shall be submitted in compliance with Section 9795.</w:t>
      </w:r>
    </w:p>
    <w:p w:rsidR="00FA36B4" w:rsidRDefault="00473F43" w:rsidP="00FA36B4">
      <w:pPr>
        <w:pStyle w:val="NormalWeb"/>
        <w:shd w:val="clear" w:color="auto" w:fill="FFFFFF"/>
        <w:spacing w:before="0" w:beforeAutospacing="0" w:after="480" w:afterAutospacing="0"/>
        <w:textAlignment w:val="baseline"/>
        <w:rPr>
          <w:rFonts w:ascii="Arial" w:hAnsi="Arial" w:cs="Arial"/>
          <w:iCs/>
        </w:rPr>
      </w:pPr>
      <w:r w:rsidRPr="00FA36B4">
        <w:rPr>
          <w:rFonts w:ascii="Arial" w:hAnsi="Arial" w:cs="Arial"/>
          <w:i/>
          <w:iCs/>
        </w:rPr>
        <w:t>(Added by Stats. 2017, Ch. 19, Sec. 15. (AB 111) Effective June 27, 2017. Pursuant to Section 14985.11, continuing operation is contingent upon funding.)</w:t>
      </w:r>
    </w:p>
    <w:p w:rsidR="00473F43" w:rsidRPr="00FA36B4" w:rsidRDefault="00473F43" w:rsidP="00FA36B4">
      <w:pPr>
        <w:spacing w:after="0"/>
        <w:rPr>
          <w:rFonts w:ascii="Arial" w:hAnsi="Arial" w:cs="Arial"/>
          <w:sz w:val="24"/>
          <w:szCs w:val="24"/>
        </w:rPr>
      </w:pPr>
      <w:bookmarkStart w:id="0" w:name="_GoBack"/>
      <w:bookmarkEnd w:id="0"/>
      <w:r w:rsidRPr="00FA36B4">
        <w:rPr>
          <w:rFonts w:ascii="Arial" w:hAnsi="Arial" w:cs="Arial"/>
          <w:b/>
          <w:sz w:val="24"/>
          <w:szCs w:val="24"/>
        </w:rPr>
        <w:t>14985.9.</w:t>
      </w:r>
      <w:r w:rsidRPr="00FA36B4">
        <w:rPr>
          <w:rFonts w:ascii="Arial" w:hAnsi="Arial" w:cs="Arial"/>
          <w:sz w:val="24"/>
          <w:szCs w:val="24"/>
          <w:shd w:val="clear" w:color="auto" w:fill="FFFFFF"/>
        </w:rPr>
        <w:t>  </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2336CA">
        <w:rPr>
          <w:rFonts w:ascii="Arial" w:hAnsi="Arial" w:cs="Arial"/>
        </w:rPr>
        <w:t>With respect to its duties, the commission shall be an advisory commission only,</w:t>
      </w:r>
      <w:r w:rsidRPr="00FA36B4">
        <w:rPr>
          <w:rFonts w:ascii="Arial" w:hAnsi="Arial" w:cs="Arial"/>
        </w:rPr>
        <w:t xml:space="preserve"> and there shall be no right or obligation on the part of the state to implement the findings of the commission without further legislation that specifically authorizes that the evaluations, determinations, and findings of the commission be implemented.</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i/>
          <w:iCs/>
        </w:rPr>
        <w:t>(Added by Stats. 2017, Ch. 19, Sec. 15. (AB 111) Effective June 27, 2017. Pursuant to Section 14985.11, continuing operation is contingent upon funding.)</w:t>
      </w:r>
    </w:p>
    <w:p w:rsidR="00EF4C0B" w:rsidRPr="00FA36B4" w:rsidRDefault="00EF4C0B" w:rsidP="00FA36B4">
      <w:pPr>
        <w:shd w:val="clear" w:color="auto" w:fill="FFFFFF"/>
        <w:ind w:left="180"/>
        <w:textAlignment w:val="baseline"/>
        <w:rPr>
          <w:rFonts w:ascii="Arial" w:hAnsi="Arial" w:cs="Arial"/>
          <w:b/>
          <w:sz w:val="24"/>
          <w:szCs w:val="24"/>
        </w:rPr>
      </w:pPr>
    </w:p>
    <w:p w:rsidR="00EF4C0B" w:rsidRPr="00FA36B4" w:rsidRDefault="00EF4C0B" w:rsidP="00FA36B4">
      <w:pPr>
        <w:shd w:val="clear" w:color="auto" w:fill="FFFFFF"/>
        <w:textAlignment w:val="baseline"/>
        <w:rPr>
          <w:rFonts w:ascii="Arial" w:hAnsi="Arial" w:cs="Arial"/>
          <w:b/>
          <w:sz w:val="24"/>
          <w:szCs w:val="24"/>
        </w:rPr>
      </w:pPr>
      <w:r w:rsidRPr="00FA36B4">
        <w:rPr>
          <w:rFonts w:ascii="Arial" w:hAnsi="Arial" w:cs="Arial"/>
          <w:b/>
          <w:sz w:val="24"/>
          <w:szCs w:val="24"/>
        </w:rPr>
        <w:lastRenderedPageBreak/>
        <w:t>14985.10.</w:t>
      </w:r>
    </w:p>
    <w:p w:rsidR="00EF4C0B" w:rsidRPr="00FA36B4" w:rsidRDefault="00EF4C0B"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 xml:space="preserve">The commission shall hire staff or contract for those experts or technical and professional services that may be required for the completion of any task authorized or study required by this chapter. Staff hired pursuant to this section shall be hired in compliance with the State Civil Service Act (Part 2 (commencing with Section 18500) of Division 5 of Title 2). Contracts awarded pursuant to this section shall be in compliance with Section 19130. </w:t>
      </w:r>
      <w:r w:rsidRPr="002336CA">
        <w:rPr>
          <w:rFonts w:ascii="Arial" w:hAnsi="Arial" w:cs="Arial"/>
        </w:rPr>
        <w:t>The commission is expressly encouraged and authorized to seek the technical and legal assistance of other state agencies and departments in fulfilling its statutory responsibilities.</w:t>
      </w:r>
    </w:p>
    <w:p w:rsidR="00EF4C0B" w:rsidRPr="00FA36B4" w:rsidRDefault="00EF4C0B" w:rsidP="00FA36B4">
      <w:pPr>
        <w:pStyle w:val="NormalWeb"/>
        <w:shd w:val="clear" w:color="auto" w:fill="FFFFFF"/>
        <w:spacing w:before="0" w:beforeAutospacing="0" w:after="480" w:afterAutospacing="0"/>
        <w:textAlignment w:val="baseline"/>
        <w:rPr>
          <w:rFonts w:ascii="Arial" w:hAnsi="Arial" w:cs="Arial"/>
        </w:rPr>
      </w:pPr>
      <w:r w:rsidRPr="00FA36B4">
        <w:rPr>
          <w:rFonts w:ascii="Arial" w:hAnsi="Arial" w:cs="Arial"/>
          <w:i/>
          <w:iCs/>
        </w:rPr>
        <w:t>(Added by Stats. 2017, Ch. 19, Sec. 15. (AB 111) Effective June 27, 2017. Pursuant to Section 14985.11, continuing operation is contingent upon funding.)</w:t>
      </w:r>
    </w:p>
    <w:p w:rsidR="00EF4C0B" w:rsidRPr="00FA36B4" w:rsidRDefault="00EF4C0B" w:rsidP="00FA36B4">
      <w:pPr>
        <w:shd w:val="clear" w:color="auto" w:fill="FFFFFF"/>
        <w:ind w:left="180"/>
        <w:textAlignment w:val="baseline"/>
        <w:rPr>
          <w:rFonts w:ascii="Arial" w:hAnsi="Arial" w:cs="Arial"/>
          <w:b/>
          <w:sz w:val="24"/>
          <w:szCs w:val="24"/>
        </w:rPr>
      </w:pPr>
    </w:p>
    <w:sectPr w:rsidR="00EF4C0B" w:rsidRPr="00FA36B4" w:rsidSect="00FA36B4">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AEB" w:rsidRDefault="006F3AEB" w:rsidP="00EF4C0B">
      <w:pPr>
        <w:spacing w:after="0" w:line="240" w:lineRule="auto"/>
      </w:pPr>
      <w:r>
        <w:separator/>
      </w:r>
    </w:p>
  </w:endnote>
  <w:endnote w:type="continuationSeparator" w:id="0">
    <w:p w:rsidR="006F3AEB" w:rsidRDefault="006F3AEB" w:rsidP="00EF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0B" w:rsidRPr="00FA36B4" w:rsidRDefault="00426277" w:rsidP="00FA36B4">
    <w:pPr>
      <w:pStyle w:val="Footer"/>
      <w:jc w:val="center"/>
      <w:rPr>
        <w:rFonts w:ascii="Arial" w:hAnsi="Arial" w:cs="Arial"/>
        <w:sz w:val="24"/>
        <w:szCs w:val="24"/>
      </w:rPr>
    </w:pPr>
    <w:r>
      <w:rPr>
        <w:rFonts w:ascii="Arial" w:hAnsi="Arial" w:cs="Arial"/>
        <w:sz w:val="24"/>
        <w:szCs w:val="24"/>
      </w:rPr>
      <w:t>July 8, 2020</w:t>
    </w:r>
    <w:r w:rsidR="00FA36B4" w:rsidRPr="00FA36B4">
      <w:rPr>
        <w:rFonts w:ascii="Arial" w:hAnsi="Arial" w:cs="Arial"/>
        <w:sz w:val="24"/>
        <w:szCs w:val="24"/>
      </w:rPr>
      <w:t xml:space="preserve"> – CCDA </w:t>
    </w:r>
    <w:r>
      <w:rPr>
        <w:rFonts w:ascii="Arial" w:hAnsi="Arial" w:cs="Arial"/>
        <w:sz w:val="24"/>
        <w:szCs w:val="24"/>
      </w:rPr>
      <w:t>Joint Executive &amp; Legislative Committee</w:t>
    </w:r>
    <w:r w:rsidR="00FA36B4" w:rsidRPr="00FA36B4">
      <w:rPr>
        <w:rFonts w:ascii="Arial" w:hAnsi="Arial" w:cs="Arial"/>
        <w:sz w:val="24"/>
        <w:szCs w:val="24"/>
      </w:rPr>
      <w:t xml:space="preserve"> Meeting – Support Document</w:t>
    </w:r>
    <w:r w:rsidR="00251555">
      <w:rPr>
        <w:rFonts w:ascii="Arial" w:hAnsi="Arial" w:cs="Arial"/>
        <w:sz w:val="24"/>
        <w:szCs w:val="24"/>
      </w:rPr>
      <w:t xml:space="preserve"> </w:t>
    </w:r>
    <w:r w:rsidR="00FA36B4" w:rsidRPr="00FA36B4">
      <w:rPr>
        <w:rFonts w:ascii="Arial" w:hAnsi="Arial" w:cs="Arial"/>
        <w:sz w:val="24"/>
        <w:szCs w:val="24"/>
      </w:rPr>
      <w:t xml:space="preserve">Page </w:t>
    </w:r>
    <w:r w:rsidR="00FA36B4" w:rsidRPr="00FA36B4">
      <w:rPr>
        <w:rFonts w:ascii="Arial" w:hAnsi="Arial" w:cs="Arial"/>
        <w:bCs/>
        <w:sz w:val="24"/>
        <w:szCs w:val="24"/>
      </w:rPr>
      <w:fldChar w:fldCharType="begin"/>
    </w:r>
    <w:r w:rsidR="00FA36B4" w:rsidRPr="00FA36B4">
      <w:rPr>
        <w:rFonts w:ascii="Arial" w:hAnsi="Arial" w:cs="Arial"/>
        <w:bCs/>
        <w:sz w:val="24"/>
        <w:szCs w:val="24"/>
      </w:rPr>
      <w:instrText xml:space="preserve"> PAGE  \* Arabic  \* MERGEFORMAT </w:instrText>
    </w:r>
    <w:r w:rsidR="00FA36B4" w:rsidRPr="00FA36B4">
      <w:rPr>
        <w:rFonts w:ascii="Arial" w:hAnsi="Arial" w:cs="Arial"/>
        <w:bCs/>
        <w:sz w:val="24"/>
        <w:szCs w:val="24"/>
      </w:rPr>
      <w:fldChar w:fldCharType="separate"/>
    </w:r>
    <w:r w:rsidR="008834C3">
      <w:rPr>
        <w:rFonts w:ascii="Arial" w:hAnsi="Arial" w:cs="Arial"/>
        <w:bCs/>
        <w:noProof/>
        <w:sz w:val="24"/>
        <w:szCs w:val="24"/>
      </w:rPr>
      <w:t>3</w:t>
    </w:r>
    <w:r w:rsidR="00FA36B4" w:rsidRPr="00FA36B4">
      <w:rPr>
        <w:rFonts w:ascii="Arial" w:hAnsi="Arial" w:cs="Arial"/>
        <w:bCs/>
        <w:sz w:val="24"/>
        <w:szCs w:val="24"/>
      </w:rPr>
      <w:fldChar w:fldCharType="end"/>
    </w:r>
    <w:r w:rsidR="00FA36B4" w:rsidRPr="00FA36B4">
      <w:rPr>
        <w:rFonts w:ascii="Arial" w:hAnsi="Arial" w:cs="Arial"/>
        <w:sz w:val="24"/>
        <w:szCs w:val="24"/>
      </w:rPr>
      <w:t xml:space="preserve"> of </w:t>
    </w:r>
    <w:r w:rsidR="00FA36B4" w:rsidRPr="00FA36B4">
      <w:rPr>
        <w:rFonts w:ascii="Arial" w:hAnsi="Arial" w:cs="Arial"/>
        <w:bCs/>
        <w:sz w:val="24"/>
        <w:szCs w:val="24"/>
      </w:rPr>
      <w:fldChar w:fldCharType="begin"/>
    </w:r>
    <w:r w:rsidR="00FA36B4" w:rsidRPr="00FA36B4">
      <w:rPr>
        <w:rFonts w:ascii="Arial" w:hAnsi="Arial" w:cs="Arial"/>
        <w:bCs/>
        <w:sz w:val="24"/>
        <w:szCs w:val="24"/>
      </w:rPr>
      <w:instrText xml:space="preserve"> NUMPAGES  \* Arabic  \* MERGEFORMAT </w:instrText>
    </w:r>
    <w:r w:rsidR="00FA36B4" w:rsidRPr="00FA36B4">
      <w:rPr>
        <w:rFonts w:ascii="Arial" w:hAnsi="Arial" w:cs="Arial"/>
        <w:bCs/>
        <w:sz w:val="24"/>
        <w:szCs w:val="24"/>
      </w:rPr>
      <w:fldChar w:fldCharType="separate"/>
    </w:r>
    <w:r w:rsidR="008834C3">
      <w:rPr>
        <w:rFonts w:ascii="Arial" w:hAnsi="Arial" w:cs="Arial"/>
        <w:bCs/>
        <w:noProof/>
        <w:sz w:val="24"/>
        <w:szCs w:val="24"/>
      </w:rPr>
      <w:t>3</w:t>
    </w:r>
    <w:r w:rsidR="00FA36B4" w:rsidRPr="00FA36B4">
      <w:rPr>
        <w:rFonts w:ascii="Arial" w:hAnsi="Arial" w:cs="Arial"/>
        <w:bCs/>
        <w:sz w:val="24"/>
        <w:szCs w:val="24"/>
      </w:rPr>
      <w:fldChar w:fldCharType="end"/>
    </w:r>
  </w:p>
  <w:p w:rsidR="00EF4C0B" w:rsidRDefault="00EF4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AEB" w:rsidRDefault="006F3AEB" w:rsidP="00EF4C0B">
      <w:pPr>
        <w:spacing w:after="0" w:line="240" w:lineRule="auto"/>
      </w:pPr>
      <w:r>
        <w:separator/>
      </w:r>
    </w:p>
  </w:footnote>
  <w:footnote w:type="continuationSeparator" w:id="0">
    <w:p w:rsidR="006F3AEB" w:rsidRDefault="006F3AEB" w:rsidP="00EF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1CD"/>
    <w:multiLevelType w:val="hybridMultilevel"/>
    <w:tmpl w:val="8D60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8ED"/>
    <w:multiLevelType w:val="hybridMultilevel"/>
    <w:tmpl w:val="37DAF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80E24"/>
    <w:multiLevelType w:val="hybridMultilevel"/>
    <w:tmpl w:val="FED26E14"/>
    <w:lvl w:ilvl="0" w:tplc="22FC640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A004BA5"/>
    <w:multiLevelType w:val="hybridMultilevel"/>
    <w:tmpl w:val="FEF8F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wtjQwsDQyMDU0NTZS0lEKTi0uzszPAykwrAUA05tUKSwAAAA="/>
  </w:docVars>
  <w:rsids>
    <w:rsidRoot w:val="005D39CB"/>
    <w:rsid w:val="00012FA5"/>
    <w:rsid w:val="000427AD"/>
    <w:rsid w:val="00056059"/>
    <w:rsid w:val="00155AD9"/>
    <w:rsid w:val="00157C92"/>
    <w:rsid w:val="002336CA"/>
    <w:rsid w:val="00251555"/>
    <w:rsid w:val="00355A86"/>
    <w:rsid w:val="00426277"/>
    <w:rsid w:val="00473F43"/>
    <w:rsid w:val="005D39CB"/>
    <w:rsid w:val="006D1E0C"/>
    <w:rsid w:val="006E4F7E"/>
    <w:rsid w:val="006F3AEB"/>
    <w:rsid w:val="00737B19"/>
    <w:rsid w:val="00845252"/>
    <w:rsid w:val="008834C3"/>
    <w:rsid w:val="008F090D"/>
    <w:rsid w:val="00B13BC8"/>
    <w:rsid w:val="00B364E1"/>
    <w:rsid w:val="00BA75E1"/>
    <w:rsid w:val="00EF4C0B"/>
    <w:rsid w:val="00FA36B4"/>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BF39"/>
  <w15:chartTrackingRefBased/>
  <w15:docId w15:val="{1289D8F6-4089-4A43-AD67-B0DBBD53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39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D39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355A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39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39C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D39CB"/>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5D39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9C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D39CB"/>
    <w:pPr>
      <w:ind w:left="720"/>
      <w:contextualSpacing/>
    </w:pPr>
  </w:style>
  <w:style w:type="paragraph" w:styleId="NormalWeb">
    <w:name w:val="Normal (Web)"/>
    <w:basedOn w:val="Normal"/>
    <w:uiPriority w:val="99"/>
    <w:semiHidden/>
    <w:unhideWhenUsed/>
    <w:rsid w:val="00B13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355A8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355A86"/>
    <w:rPr>
      <w:color w:val="0000FF"/>
      <w:u w:val="single"/>
    </w:rPr>
  </w:style>
  <w:style w:type="paragraph" w:styleId="Header">
    <w:name w:val="header"/>
    <w:basedOn w:val="Normal"/>
    <w:link w:val="HeaderChar"/>
    <w:uiPriority w:val="99"/>
    <w:unhideWhenUsed/>
    <w:rsid w:val="00EF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0B"/>
  </w:style>
  <w:style w:type="paragraph" w:styleId="Footer">
    <w:name w:val="footer"/>
    <w:basedOn w:val="Normal"/>
    <w:link w:val="FooterChar"/>
    <w:uiPriority w:val="99"/>
    <w:unhideWhenUsed/>
    <w:rsid w:val="00EF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7069">
      <w:bodyDiv w:val="1"/>
      <w:marLeft w:val="0"/>
      <w:marRight w:val="0"/>
      <w:marTop w:val="0"/>
      <w:marBottom w:val="0"/>
      <w:divBdr>
        <w:top w:val="none" w:sz="0" w:space="0" w:color="auto"/>
        <w:left w:val="none" w:sz="0" w:space="0" w:color="auto"/>
        <w:bottom w:val="none" w:sz="0" w:space="0" w:color="auto"/>
        <w:right w:val="none" w:sz="0" w:space="0" w:color="auto"/>
      </w:divBdr>
    </w:div>
    <w:div w:id="177696575">
      <w:bodyDiv w:val="1"/>
      <w:marLeft w:val="0"/>
      <w:marRight w:val="0"/>
      <w:marTop w:val="0"/>
      <w:marBottom w:val="0"/>
      <w:divBdr>
        <w:top w:val="none" w:sz="0" w:space="0" w:color="auto"/>
        <w:left w:val="none" w:sz="0" w:space="0" w:color="auto"/>
        <w:bottom w:val="none" w:sz="0" w:space="0" w:color="auto"/>
        <w:right w:val="none" w:sz="0" w:space="0" w:color="auto"/>
      </w:divBdr>
      <w:divsChild>
        <w:div w:id="1151795901">
          <w:marLeft w:val="0"/>
          <w:marRight w:val="0"/>
          <w:marTop w:val="0"/>
          <w:marBottom w:val="0"/>
          <w:divBdr>
            <w:top w:val="none" w:sz="0" w:space="0" w:color="auto"/>
            <w:left w:val="none" w:sz="0" w:space="0" w:color="auto"/>
            <w:bottom w:val="none" w:sz="0" w:space="0" w:color="auto"/>
            <w:right w:val="none" w:sz="0" w:space="0" w:color="auto"/>
          </w:divBdr>
        </w:div>
      </w:divsChild>
    </w:div>
    <w:div w:id="222913005">
      <w:bodyDiv w:val="1"/>
      <w:marLeft w:val="0"/>
      <w:marRight w:val="0"/>
      <w:marTop w:val="0"/>
      <w:marBottom w:val="0"/>
      <w:divBdr>
        <w:top w:val="none" w:sz="0" w:space="0" w:color="auto"/>
        <w:left w:val="none" w:sz="0" w:space="0" w:color="auto"/>
        <w:bottom w:val="none" w:sz="0" w:space="0" w:color="auto"/>
        <w:right w:val="none" w:sz="0" w:space="0" w:color="auto"/>
      </w:divBdr>
    </w:div>
    <w:div w:id="738097015">
      <w:bodyDiv w:val="1"/>
      <w:marLeft w:val="0"/>
      <w:marRight w:val="0"/>
      <w:marTop w:val="0"/>
      <w:marBottom w:val="0"/>
      <w:divBdr>
        <w:top w:val="none" w:sz="0" w:space="0" w:color="auto"/>
        <w:left w:val="none" w:sz="0" w:space="0" w:color="auto"/>
        <w:bottom w:val="none" w:sz="0" w:space="0" w:color="auto"/>
        <w:right w:val="none" w:sz="0" w:space="0" w:color="auto"/>
      </w:divBdr>
    </w:div>
    <w:div w:id="747731971">
      <w:bodyDiv w:val="1"/>
      <w:marLeft w:val="0"/>
      <w:marRight w:val="0"/>
      <w:marTop w:val="0"/>
      <w:marBottom w:val="0"/>
      <w:divBdr>
        <w:top w:val="none" w:sz="0" w:space="0" w:color="auto"/>
        <w:left w:val="none" w:sz="0" w:space="0" w:color="auto"/>
        <w:bottom w:val="none" w:sz="0" w:space="0" w:color="auto"/>
        <w:right w:val="none" w:sz="0" w:space="0" w:color="auto"/>
      </w:divBdr>
    </w:div>
    <w:div w:id="803356825">
      <w:bodyDiv w:val="1"/>
      <w:marLeft w:val="0"/>
      <w:marRight w:val="0"/>
      <w:marTop w:val="0"/>
      <w:marBottom w:val="0"/>
      <w:divBdr>
        <w:top w:val="none" w:sz="0" w:space="0" w:color="auto"/>
        <w:left w:val="none" w:sz="0" w:space="0" w:color="auto"/>
        <w:bottom w:val="none" w:sz="0" w:space="0" w:color="auto"/>
        <w:right w:val="none" w:sz="0" w:space="0" w:color="auto"/>
      </w:divBdr>
    </w:div>
    <w:div w:id="952444342">
      <w:bodyDiv w:val="1"/>
      <w:marLeft w:val="0"/>
      <w:marRight w:val="0"/>
      <w:marTop w:val="0"/>
      <w:marBottom w:val="0"/>
      <w:divBdr>
        <w:top w:val="none" w:sz="0" w:space="0" w:color="auto"/>
        <w:left w:val="none" w:sz="0" w:space="0" w:color="auto"/>
        <w:bottom w:val="none" w:sz="0" w:space="0" w:color="auto"/>
        <w:right w:val="none" w:sz="0" w:space="0" w:color="auto"/>
      </w:divBdr>
    </w:div>
    <w:div w:id="11390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Jemmott, Angela@DGS</dc:creator>
  <cp:keywords/>
  <dc:description/>
  <cp:lastModifiedBy>Ochoa, LaCandice@DGS</cp:lastModifiedBy>
  <cp:revision>6</cp:revision>
  <dcterms:created xsi:type="dcterms:W3CDTF">2020-06-30T20:46:00Z</dcterms:created>
  <dcterms:modified xsi:type="dcterms:W3CDTF">2020-07-02T22:36:00Z</dcterms:modified>
</cp:coreProperties>
</file>