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B6397" w14:textId="44849DE3" w:rsidR="0062081C" w:rsidRDefault="0062081C" w:rsidP="009A0561">
      <w:pPr>
        <w:pStyle w:val="NormalWeb"/>
        <w:spacing w:after="0"/>
        <w:jc w:val="center"/>
        <w:rPr>
          <w:rFonts w:ascii="Arial" w:hAnsi="Arial" w:cs="Arial"/>
        </w:rPr>
      </w:pPr>
      <w:r w:rsidRPr="00604B8E">
        <w:rPr>
          <w:rFonts w:ascii="Arial" w:hAnsi="Arial" w:cs="Arial"/>
          <w:b/>
          <w:iCs/>
          <w:noProof/>
          <w:color w:val="000000" w:themeColor="text1"/>
        </w:rPr>
        <w:drawing>
          <wp:inline distT="0" distB="0" distL="0" distR="0" wp14:anchorId="3AEFEE18" wp14:editId="7F42F7C4">
            <wp:extent cx="4048125" cy="760321"/>
            <wp:effectExtent l="0" t="0" r="0" b="1905"/>
            <wp:docPr id="1" name="Picture 1" descr="CCDA logo reading: California Commission on Disability Access." title="CC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DA_LOGO_HIGH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7568" cy="773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9DF96" w14:textId="647B6C37" w:rsidR="00512FFE" w:rsidRPr="003E5AD1" w:rsidRDefault="00512FFE" w:rsidP="003E5AD1">
      <w:pPr>
        <w:pStyle w:val="NormalWeb"/>
        <w:spacing w:after="0"/>
        <w:jc w:val="center"/>
        <w:rPr>
          <w:rFonts w:ascii="Arial" w:hAnsi="Arial" w:cs="Arial"/>
          <w:i/>
        </w:rPr>
      </w:pPr>
      <w:r w:rsidRPr="003E5AD1">
        <w:rPr>
          <w:rStyle w:val="SubtleEmphasis"/>
          <w:rFonts w:ascii="Arial" w:hAnsi="Arial" w:cs="Arial"/>
          <w:b/>
          <w:i w:val="0"/>
          <w:color w:val="000000" w:themeColor="text1"/>
          <w:sz w:val="26"/>
          <w:szCs w:val="26"/>
        </w:rPr>
        <w:t>Supporting Education and Outreach Campaign: Accessible Parking</w:t>
      </w:r>
    </w:p>
    <w:p w14:paraId="32E6BAA1" w14:textId="22B3BB41" w:rsidR="008548F3" w:rsidRDefault="00733396" w:rsidP="008548F3">
      <w:pPr>
        <w:pStyle w:val="NormalWeb"/>
        <w:spacing w:after="0"/>
        <w:rPr>
          <w:rFonts w:ascii="Arial" w:hAnsi="Arial" w:cs="Arial"/>
        </w:rPr>
      </w:pPr>
      <w:r w:rsidRPr="00733396">
        <w:rPr>
          <w:rFonts w:ascii="Arial" w:hAnsi="Arial" w:cs="Arial"/>
        </w:rPr>
        <w:t>California Civil Code § 55.3</w:t>
      </w:r>
      <w:r>
        <w:rPr>
          <w:rFonts w:ascii="Arial" w:hAnsi="Arial" w:cs="Arial"/>
        </w:rPr>
        <w:t xml:space="preserve"> </w:t>
      </w:r>
      <w:r w:rsidR="008548F3" w:rsidRPr="004B6F3A">
        <w:rPr>
          <w:rFonts w:ascii="Arial" w:hAnsi="Arial" w:cs="Arial"/>
        </w:rPr>
        <w:t xml:space="preserve">requires attorneys to submit construction-related physical access complaints and prelitigation letters to </w:t>
      </w:r>
      <w:r w:rsidR="008548F3">
        <w:rPr>
          <w:rFonts w:ascii="Arial" w:hAnsi="Arial" w:cs="Arial"/>
        </w:rPr>
        <w:t xml:space="preserve">California Commission on Disability Access (CCDA) </w:t>
      </w:r>
      <w:r w:rsidR="008548F3" w:rsidRPr="004B6F3A">
        <w:rPr>
          <w:rFonts w:ascii="Arial" w:hAnsi="Arial" w:cs="Arial"/>
        </w:rPr>
        <w:t>within five business days of filing</w:t>
      </w:r>
      <w:r w:rsidR="008548F3">
        <w:rPr>
          <w:rFonts w:ascii="Arial" w:hAnsi="Arial" w:cs="Arial"/>
        </w:rPr>
        <w:t xml:space="preserve">. Since 2013, the Commission has received 24,160 access complaints and prelitigation letters </w:t>
      </w:r>
      <w:r w:rsidR="00417153">
        <w:rPr>
          <w:rFonts w:ascii="Arial" w:hAnsi="Arial" w:cs="Arial"/>
        </w:rPr>
        <w:t xml:space="preserve">containing </w:t>
      </w:r>
      <w:r w:rsidR="008548F3" w:rsidRPr="005F3A16">
        <w:rPr>
          <w:rFonts w:ascii="Arial" w:hAnsi="Arial" w:cs="Arial"/>
        </w:rPr>
        <w:t>69,463</w:t>
      </w:r>
      <w:r w:rsidR="008548F3">
        <w:rPr>
          <w:rFonts w:ascii="Arial" w:hAnsi="Arial" w:cs="Arial"/>
        </w:rPr>
        <w:t xml:space="preserve"> </w:t>
      </w:r>
      <w:r w:rsidR="00417153">
        <w:rPr>
          <w:rFonts w:ascii="Arial" w:hAnsi="Arial" w:cs="Arial"/>
        </w:rPr>
        <w:t xml:space="preserve">alleged </w:t>
      </w:r>
      <w:r w:rsidR="008548F3">
        <w:rPr>
          <w:rFonts w:ascii="Arial" w:hAnsi="Arial" w:cs="Arial"/>
        </w:rPr>
        <w:t xml:space="preserve">construction-related access violations </w:t>
      </w:r>
      <w:r w:rsidR="00417153">
        <w:rPr>
          <w:rFonts w:ascii="Arial" w:hAnsi="Arial" w:cs="Arial"/>
        </w:rPr>
        <w:t>encountered by individuals with disabilities</w:t>
      </w:r>
      <w:r w:rsidR="008548F3">
        <w:rPr>
          <w:rFonts w:ascii="Arial" w:hAnsi="Arial" w:cs="Arial"/>
        </w:rPr>
        <w:t xml:space="preserve">. </w:t>
      </w:r>
      <w:r w:rsidR="00417153">
        <w:rPr>
          <w:rFonts w:ascii="Arial" w:hAnsi="Arial" w:cs="Arial"/>
        </w:rPr>
        <w:t>Table 1 outlines the number of alleged violations received by year.</w:t>
      </w:r>
    </w:p>
    <w:p w14:paraId="5892795F" w14:textId="7B31B828" w:rsidR="008548F3" w:rsidRPr="00071F97" w:rsidRDefault="008548F3" w:rsidP="008548F3">
      <w:pPr>
        <w:spacing w:before="240"/>
        <w:contextualSpacing/>
        <w:jc w:val="center"/>
        <w:rPr>
          <w:rFonts w:ascii="Arial" w:eastAsia="Arial" w:hAnsi="Arial" w:cs="Arial"/>
          <w:b/>
          <w:sz w:val="24"/>
          <w:szCs w:val="24"/>
          <w:lang w:val="en"/>
        </w:rPr>
      </w:pPr>
      <w:r w:rsidRPr="00071F97">
        <w:rPr>
          <w:rFonts w:ascii="Arial" w:eastAsia="Arial" w:hAnsi="Arial" w:cs="Arial"/>
          <w:b/>
          <w:sz w:val="24"/>
          <w:szCs w:val="24"/>
          <w:lang w:val="en"/>
        </w:rPr>
        <w:t>Table 1: Total Number of Alleged Construction-Related Physical Violations Received (2013</w:t>
      </w:r>
      <w:r w:rsidR="00ED08B7" w:rsidRPr="009913FF">
        <w:rPr>
          <w:rFonts w:ascii="Arial" w:hAnsi="Arial" w:cs="Arial"/>
        </w:rPr>
        <w:t>–</w:t>
      </w:r>
      <w:r w:rsidRPr="00071F97">
        <w:rPr>
          <w:rFonts w:ascii="Arial" w:eastAsia="Arial" w:hAnsi="Arial" w:cs="Arial"/>
          <w:b/>
          <w:sz w:val="24"/>
          <w:szCs w:val="24"/>
          <w:lang w:val="en"/>
        </w:rPr>
        <w:t xml:space="preserve">2019) </w:t>
      </w:r>
    </w:p>
    <w:tbl>
      <w:tblPr>
        <w:tblStyle w:val="15"/>
        <w:tblW w:w="69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Caption w:val="Table 3"/>
        <w:tblDescription w:val="Total number of alleged construction-related phyiscal violations received (2015-2019)."/>
      </w:tblPr>
      <w:tblGrid>
        <w:gridCol w:w="1845"/>
        <w:gridCol w:w="5115"/>
      </w:tblGrid>
      <w:tr w:rsidR="008548F3" w:rsidRPr="00624EC0" w14:paraId="657C55F0" w14:textId="77777777" w:rsidTr="000F286E">
        <w:trPr>
          <w:trHeight w:val="825"/>
          <w:tblHeader/>
          <w:jc w:val="center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704E9" w14:textId="77777777" w:rsidR="008548F3" w:rsidRPr="005D6855" w:rsidRDefault="008548F3" w:rsidP="005B1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b/>
                <w:sz w:val="24"/>
                <w:szCs w:val="24"/>
              </w:rPr>
            </w:pPr>
            <w:r w:rsidRPr="005D6855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94187D" w14:textId="5C46D2F9" w:rsidR="008548F3" w:rsidRPr="005D6855" w:rsidRDefault="00417153" w:rsidP="005B1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Total </w:t>
            </w:r>
            <w:r w:rsidR="008548F3" w:rsidRPr="005D6855">
              <w:rPr>
                <w:b/>
                <w:sz w:val="24"/>
                <w:szCs w:val="24"/>
              </w:rPr>
              <w:t>Number of Alleged Construction-related Physical Violations</w:t>
            </w:r>
          </w:p>
        </w:tc>
      </w:tr>
      <w:tr w:rsidR="00733396" w:rsidRPr="00624EC0" w14:paraId="068F7F6A" w14:textId="77777777" w:rsidTr="000F286E">
        <w:trPr>
          <w:trHeight w:val="222"/>
          <w:jc w:val="center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9D2FE" w14:textId="30CD5347" w:rsidR="00733396" w:rsidRPr="005D6855" w:rsidRDefault="00733396" w:rsidP="0073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b/>
                <w:sz w:val="24"/>
                <w:szCs w:val="24"/>
              </w:rPr>
            </w:pPr>
            <w:r w:rsidRPr="005D6855">
              <w:rPr>
                <w:b/>
                <w:sz w:val="24"/>
                <w:szCs w:val="24"/>
              </w:rPr>
              <w:t>2013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04F50" w14:textId="5000914D" w:rsidR="00733396" w:rsidRPr="005D6855" w:rsidRDefault="00733396" w:rsidP="0073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sz w:val="24"/>
                <w:szCs w:val="24"/>
              </w:rPr>
            </w:pPr>
            <w:r w:rsidRPr="005D6855">
              <w:rPr>
                <w:sz w:val="24"/>
                <w:szCs w:val="24"/>
              </w:rPr>
              <w:t>8,649</w:t>
            </w:r>
          </w:p>
        </w:tc>
      </w:tr>
      <w:tr w:rsidR="00733396" w:rsidRPr="00624EC0" w14:paraId="4A6088B9" w14:textId="77777777" w:rsidTr="000F286E">
        <w:trPr>
          <w:trHeight w:val="288"/>
          <w:jc w:val="center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7C6B2" w14:textId="1A3ED7E8" w:rsidR="00733396" w:rsidRPr="005D6855" w:rsidRDefault="00733396" w:rsidP="0073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b/>
                <w:sz w:val="24"/>
                <w:szCs w:val="24"/>
              </w:rPr>
            </w:pPr>
            <w:r w:rsidRPr="005D6855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E758E" w14:textId="77EDA8DC" w:rsidR="00733396" w:rsidRPr="005D6855" w:rsidRDefault="00733396" w:rsidP="0073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sz w:val="24"/>
                <w:szCs w:val="24"/>
              </w:rPr>
            </w:pPr>
            <w:r w:rsidRPr="005D6855">
              <w:rPr>
                <w:sz w:val="24"/>
                <w:szCs w:val="24"/>
              </w:rPr>
              <w:t>10,407</w:t>
            </w:r>
          </w:p>
        </w:tc>
      </w:tr>
      <w:tr w:rsidR="00733396" w:rsidRPr="00624EC0" w14:paraId="598D1A54" w14:textId="77777777" w:rsidTr="000F286E">
        <w:trPr>
          <w:trHeight w:val="288"/>
          <w:jc w:val="center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A0DA0" w14:textId="7373E7FF" w:rsidR="00733396" w:rsidRPr="005D6855" w:rsidRDefault="00733396" w:rsidP="0073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b/>
                <w:sz w:val="24"/>
                <w:szCs w:val="24"/>
              </w:rPr>
            </w:pPr>
            <w:r w:rsidRPr="005D6855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9ACF6" w14:textId="40980704" w:rsidR="00733396" w:rsidRPr="005D6855" w:rsidRDefault="00733396" w:rsidP="0073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sz w:val="24"/>
                <w:szCs w:val="24"/>
              </w:rPr>
            </w:pPr>
            <w:r w:rsidRPr="005D6855">
              <w:rPr>
                <w:sz w:val="24"/>
                <w:szCs w:val="24"/>
              </w:rPr>
              <w:t>9,643</w:t>
            </w:r>
          </w:p>
        </w:tc>
      </w:tr>
      <w:tr w:rsidR="008548F3" w:rsidRPr="00624EC0" w14:paraId="4FA7A051" w14:textId="77777777" w:rsidTr="000F286E">
        <w:trPr>
          <w:trHeight w:val="288"/>
          <w:jc w:val="center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7F4DD" w14:textId="77777777" w:rsidR="008548F3" w:rsidRPr="005D6855" w:rsidRDefault="008548F3" w:rsidP="005B1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b/>
                <w:sz w:val="24"/>
                <w:szCs w:val="24"/>
              </w:rPr>
            </w:pPr>
            <w:r w:rsidRPr="005D6855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B98ECA" w14:textId="77777777" w:rsidR="008548F3" w:rsidRPr="005D6855" w:rsidRDefault="008548F3" w:rsidP="005B1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sz w:val="24"/>
                <w:szCs w:val="24"/>
              </w:rPr>
            </w:pPr>
            <w:r w:rsidRPr="005D6855">
              <w:rPr>
                <w:sz w:val="24"/>
                <w:szCs w:val="24"/>
              </w:rPr>
              <w:t>11,468</w:t>
            </w:r>
          </w:p>
        </w:tc>
      </w:tr>
      <w:tr w:rsidR="00733396" w:rsidRPr="00624EC0" w14:paraId="5BD7E54A" w14:textId="77777777" w:rsidTr="000F286E">
        <w:trPr>
          <w:trHeight w:val="288"/>
          <w:jc w:val="center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E2175" w14:textId="2351F527" w:rsidR="00733396" w:rsidRPr="005D6855" w:rsidRDefault="00733396" w:rsidP="0073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b/>
                <w:sz w:val="24"/>
                <w:szCs w:val="24"/>
              </w:rPr>
            </w:pPr>
            <w:r w:rsidRPr="005D6855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68422" w14:textId="1A36A4B3" w:rsidR="00733396" w:rsidRPr="005D6855" w:rsidRDefault="00733396" w:rsidP="0073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sz w:val="24"/>
                <w:szCs w:val="24"/>
              </w:rPr>
            </w:pPr>
            <w:r w:rsidRPr="005D6855">
              <w:rPr>
                <w:sz w:val="24"/>
                <w:szCs w:val="24"/>
              </w:rPr>
              <w:t>10,608</w:t>
            </w:r>
          </w:p>
        </w:tc>
      </w:tr>
      <w:tr w:rsidR="00733396" w:rsidRPr="00624EC0" w14:paraId="2C0A4020" w14:textId="77777777" w:rsidTr="000F286E">
        <w:trPr>
          <w:trHeight w:val="288"/>
          <w:jc w:val="center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43907" w14:textId="3D591E1A" w:rsidR="00733396" w:rsidRPr="005D6855" w:rsidRDefault="00733396" w:rsidP="0073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b/>
                <w:sz w:val="24"/>
                <w:szCs w:val="24"/>
              </w:rPr>
            </w:pPr>
            <w:r w:rsidRPr="005D6855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C7FA8" w14:textId="1EE49254" w:rsidR="00733396" w:rsidRPr="005D6855" w:rsidRDefault="00733396" w:rsidP="0073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sz w:val="24"/>
                <w:szCs w:val="24"/>
              </w:rPr>
            </w:pPr>
            <w:r w:rsidRPr="005D6855">
              <w:rPr>
                <w:sz w:val="24"/>
                <w:szCs w:val="24"/>
              </w:rPr>
              <w:t>11,197</w:t>
            </w:r>
          </w:p>
        </w:tc>
      </w:tr>
      <w:tr w:rsidR="00733396" w:rsidRPr="00624EC0" w14:paraId="6D6C512D" w14:textId="77777777" w:rsidTr="000F286E">
        <w:trPr>
          <w:trHeight w:val="285"/>
          <w:jc w:val="center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ADB47" w14:textId="41CE73E9" w:rsidR="00733396" w:rsidRPr="005D6855" w:rsidRDefault="00733396" w:rsidP="0073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b/>
                <w:sz w:val="24"/>
                <w:szCs w:val="24"/>
              </w:rPr>
            </w:pPr>
            <w:r w:rsidRPr="005D6855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AE97D" w14:textId="284191DB" w:rsidR="00733396" w:rsidRPr="005D6855" w:rsidRDefault="00733396" w:rsidP="0073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sz w:val="24"/>
                <w:szCs w:val="24"/>
              </w:rPr>
            </w:pPr>
            <w:r w:rsidRPr="005D6855">
              <w:rPr>
                <w:sz w:val="24"/>
                <w:szCs w:val="24"/>
              </w:rPr>
              <w:t>7,507</w:t>
            </w:r>
          </w:p>
        </w:tc>
      </w:tr>
      <w:tr w:rsidR="008548F3" w:rsidRPr="00624EC0" w14:paraId="690D86BB" w14:textId="77777777" w:rsidTr="000F286E">
        <w:trPr>
          <w:trHeight w:val="288"/>
          <w:jc w:val="center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3136C" w14:textId="77777777" w:rsidR="008548F3" w:rsidRPr="005D6855" w:rsidRDefault="008548F3" w:rsidP="005B1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b/>
                <w:sz w:val="24"/>
                <w:szCs w:val="24"/>
              </w:rPr>
            </w:pPr>
            <w:r w:rsidRPr="005D6855">
              <w:rPr>
                <w:b/>
                <w:sz w:val="24"/>
                <w:szCs w:val="24"/>
              </w:rPr>
              <w:t>Total: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CFB9D" w14:textId="77777777" w:rsidR="008548F3" w:rsidRPr="005D6855" w:rsidRDefault="008548F3" w:rsidP="005B1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b/>
                <w:sz w:val="24"/>
                <w:szCs w:val="24"/>
              </w:rPr>
            </w:pPr>
            <w:r w:rsidRPr="005D6855">
              <w:rPr>
                <w:b/>
                <w:sz w:val="24"/>
              </w:rPr>
              <w:t>69,463</w:t>
            </w:r>
          </w:p>
        </w:tc>
      </w:tr>
    </w:tbl>
    <w:p w14:paraId="07460852" w14:textId="77777777" w:rsidR="00417153" w:rsidRDefault="00417153" w:rsidP="00512FFE">
      <w:pPr>
        <w:pStyle w:val="NormalWeb"/>
        <w:spacing w:after="0"/>
        <w:rPr>
          <w:rFonts w:ascii="Arial" w:hAnsi="Arial" w:cs="Arial"/>
          <w:color w:val="000000"/>
        </w:rPr>
      </w:pPr>
    </w:p>
    <w:p w14:paraId="09D6DC4D" w14:textId="409C4642" w:rsidR="00417153" w:rsidRDefault="00417153">
      <w:pPr>
        <w:spacing w:after="160" w:line="259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br w:type="page"/>
      </w:r>
    </w:p>
    <w:p w14:paraId="4AB0657C" w14:textId="75BD3EC7" w:rsidR="00417153" w:rsidRDefault="008548F3" w:rsidP="00512FFE">
      <w:pPr>
        <w:pStyle w:val="NormalWeb"/>
        <w:spacing w:after="0"/>
        <w:rPr>
          <w:rFonts w:ascii="Arial" w:hAnsi="Arial" w:cs="Arial"/>
          <w:color w:val="000000"/>
        </w:rPr>
      </w:pPr>
      <w:r w:rsidRPr="00012450">
        <w:rPr>
          <w:rFonts w:ascii="Arial" w:hAnsi="Arial" w:cs="Arial"/>
          <w:color w:val="000000"/>
        </w:rPr>
        <w:lastRenderedPageBreak/>
        <w:t xml:space="preserve">The </w:t>
      </w:r>
      <w:r w:rsidR="001A0F6D">
        <w:rPr>
          <w:rFonts w:ascii="Arial" w:hAnsi="Arial" w:cs="Arial"/>
          <w:color w:val="000000"/>
        </w:rPr>
        <w:t>t</w:t>
      </w:r>
      <w:r w:rsidR="002E6020">
        <w:rPr>
          <w:rFonts w:ascii="Arial" w:hAnsi="Arial" w:cs="Arial"/>
          <w:color w:val="000000"/>
        </w:rPr>
        <w:t>op ten</w:t>
      </w:r>
      <w:r>
        <w:rPr>
          <w:rFonts w:ascii="Arial" w:hAnsi="Arial" w:cs="Arial"/>
          <w:color w:val="000000"/>
        </w:rPr>
        <w:t xml:space="preserve"> most</w:t>
      </w:r>
      <w:r w:rsidRPr="00012450">
        <w:rPr>
          <w:rFonts w:ascii="Arial" w:hAnsi="Arial" w:cs="Arial"/>
          <w:color w:val="000000"/>
        </w:rPr>
        <w:t xml:space="preserve"> frequently alleged construction-related physical access v</w:t>
      </w:r>
      <w:r>
        <w:rPr>
          <w:rFonts w:ascii="Arial" w:hAnsi="Arial" w:cs="Arial"/>
          <w:color w:val="000000"/>
        </w:rPr>
        <w:t xml:space="preserve">iolations comprised </w:t>
      </w:r>
      <w:r w:rsidRPr="00380FDD">
        <w:rPr>
          <w:rFonts w:ascii="Arial" w:hAnsi="Arial" w:cs="Arial"/>
          <w:color w:val="000000"/>
        </w:rPr>
        <w:t>49</w:t>
      </w:r>
      <w:r>
        <w:rPr>
          <w:rFonts w:ascii="Arial" w:hAnsi="Arial" w:cs="Arial"/>
          <w:color w:val="000000"/>
        </w:rPr>
        <w:t>,</w:t>
      </w:r>
      <w:r w:rsidRPr="00380FDD">
        <w:rPr>
          <w:rFonts w:ascii="Arial" w:hAnsi="Arial" w:cs="Arial"/>
          <w:color w:val="000000"/>
        </w:rPr>
        <w:t>388</w:t>
      </w:r>
      <w:r>
        <w:rPr>
          <w:rFonts w:ascii="Arial" w:hAnsi="Arial" w:cs="Arial"/>
          <w:color w:val="000000"/>
        </w:rPr>
        <w:t xml:space="preserve"> count (or 71 percent</w:t>
      </w:r>
      <w:r w:rsidRPr="00012450">
        <w:rPr>
          <w:rFonts w:ascii="Arial" w:hAnsi="Arial" w:cs="Arial"/>
          <w:color w:val="000000"/>
        </w:rPr>
        <w:t xml:space="preserve">) of the total alleged violations received by the Commission </w:t>
      </w:r>
      <w:r>
        <w:rPr>
          <w:rFonts w:ascii="Arial" w:hAnsi="Arial" w:cs="Arial"/>
          <w:color w:val="000000"/>
        </w:rPr>
        <w:t>from 2013-2019</w:t>
      </w:r>
      <w:r w:rsidRPr="00012450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P</w:t>
      </w:r>
      <w:r w:rsidRPr="00012450">
        <w:rPr>
          <w:rFonts w:ascii="Arial" w:hAnsi="Arial" w:cs="Arial"/>
          <w:color w:val="000000"/>
        </w:rPr>
        <w:t xml:space="preserve">arking violations </w:t>
      </w:r>
      <w:r w:rsidR="00417153">
        <w:rPr>
          <w:rFonts w:ascii="Arial" w:hAnsi="Arial" w:cs="Arial"/>
          <w:color w:val="000000"/>
        </w:rPr>
        <w:t xml:space="preserve">have </w:t>
      </w:r>
      <w:r w:rsidRPr="00012450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ncompassed the majority of the </w:t>
      </w:r>
      <w:r w:rsidR="000F4B36">
        <w:rPr>
          <w:rFonts w:ascii="Arial" w:hAnsi="Arial" w:cs="Arial"/>
          <w:color w:val="000000"/>
        </w:rPr>
        <w:t>top ten</w:t>
      </w:r>
      <w:r>
        <w:rPr>
          <w:rFonts w:ascii="Arial" w:hAnsi="Arial" w:cs="Arial"/>
          <w:color w:val="000000"/>
        </w:rPr>
        <w:t xml:space="preserve"> violations alleged</w:t>
      </w:r>
      <w:r w:rsidR="00417153">
        <w:rPr>
          <w:rFonts w:ascii="Arial" w:hAnsi="Arial" w:cs="Arial"/>
          <w:color w:val="000000"/>
        </w:rPr>
        <w:t xml:space="preserve"> over seven years as follows</w:t>
      </w:r>
      <w:r w:rsidR="00B25B20">
        <w:rPr>
          <w:rFonts w:ascii="Arial" w:hAnsi="Arial" w:cs="Arial"/>
          <w:color w:val="000000"/>
        </w:rPr>
        <w:t xml:space="preserve">: </w:t>
      </w:r>
    </w:p>
    <w:p w14:paraId="3CFEE040" w14:textId="77777777" w:rsidR="00417153" w:rsidRPr="00417153" w:rsidRDefault="00BE66A5" w:rsidP="009A0561">
      <w:pPr>
        <w:pStyle w:val="NormalWeb"/>
        <w:numPr>
          <w:ilvl w:val="0"/>
          <w:numId w:val="1"/>
        </w:numPr>
        <w:spacing w:after="0"/>
        <w:rPr>
          <w:rFonts w:ascii="Arial" w:hAnsi="Arial" w:cs="Arial"/>
          <w:b/>
          <w:color w:val="000000"/>
        </w:rPr>
      </w:pPr>
      <w:r w:rsidRPr="00BE66A5">
        <w:rPr>
          <w:rFonts w:ascii="Arial" w:hAnsi="Arial" w:cs="Arial"/>
          <w:color w:val="000000"/>
        </w:rPr>
        <w:t>7,296</w:t>
      </w:r>
      <w:r w:rsidR="008647BF">
        <w:rPr>
          <w:rFonts w:ascii="Arial" w:hAnsi="Arial" w:cs="Arial"/>
          <w:color w:val="000000"/>
        </w:rPr>
        <w:t xml:space="preserve"> claims (</w:t>
      </w:r>
      <w:r>
        <w:rPr>
          <w:rFonts w:ascii="Arial" w:hAnsi="Arial" w:cs="Arial"/>
          <w:color w:val="000000"/>
        </w:rPr>
        <w:t>11</w:t>
      </w:r>
      <w:r w:rsidR="008548F3" w:rsidRPr="00012450">
        <w:rPr>
          <w:rFonts w:ascii="Arial" w:hAnsi="Arial" w:cs="Arial"/>
          <w:color w:val="000000"/>
        </w:rPr>
        <w:t xml:space="preserve"> percent) of parking spaces w</w:t>
      </w:r>
      <w:r w:rsidR="00D144EE">
        <w:rPr>
          <w:rFonts w:ascii="Arial" w:hAnsi="Arial" w:cs="Arial"/>
          <w:color w:val="000000"/>
        </w:rPr>
        <w:t>ere non-</w:t>
      </w:r>
      <w:proofErr w:type="gramStart"/>
      <w:r w:rsidR="00D144EE">
        <w:rPr>
          <w:rFonts w:ascii="Arial" w:hAnsi="Arial" w:cs="Arial"/>
          <w:color w:val="000000"/>
        </w:rPr>
        <w:t>compliant;</w:t>
      </w:r>
      <w:proofErr w:type="gramEnd"/>
      <w:r w:rsidR="008548F3" w:rsidRPr="00012450">
        <w:rPr>
          <w:rFonts w:ascii="Arial" w:hAnsi="Arial" w:cs="Arial"/>
          <w:color w:val="000000"/>
        </w:rPr>
        <w:t xml:space="preserve"> </w:t>
      </w:r>
    </w:p>
    <w:p w14:paraId="032105BE" w14:textId="77777777" w:rsidR="00417153" w:rsidRPr="00417153" w:rsidRDefault="00BE66A5" w:rsidP="009A0561">
      <w:pPr>
        <w:pStyle w:val="NormalWeb"/>
        <w:numPr>
          <w:ilvl w:val="0"/>
          <w:numId w:val="1"/>
        </w:numPr>
        <w:spacing w:after="0"/>
        <w:rPr>
          <w:rFonts w:ascii="Arial" w:hAnsi="Arial" w:cs="Arial"/>
          <w:b/>
          <w:color w:val="000000"/>
        </w:rPr>
      </w:pPr>
      <w:r w:rsidRPr="00BE66A5">
        <w:rPr>
          <w:rFonts w:ascii="Arial" w:hAnsi="Arial" w:cs="Arial"/>
          <w:color w:val="000000"/>
        </w:rPr>
        <w:t>7,282</w:t>
      </w:r>
      <w:r w:rsidR="008647BF">
        <w:rPr>
          <w:rFonts w:ascii="Arial" w:hAnsi="Arial" w:cs="Arial"/>
          <w:color w:val="000000"/>
        </w:rPr>
        <w:t xml:space="preserve"> claims (</w:t>
      </w:r>
      <w:r w:rsidR="001D1FE4">
        <w:rPr>
          <w:rFonts w:ascii="Arial" w:hAnsi="Arial" w:cs="Arial"/>
          <w:color w:val="000000"/>
        </w:rPr>
        <w:t>11</w:t>
      </w:r>
      <w:r w:rsidR="00483A83">
        <w:rPr>
          <w:rFonts w:ascii="Arial" w:hAnsi="Arial" w:cs="Arial"/>
          <w:color w:val="000000"/>
        </w:rPr>
        <w:t xml:space="preserve"> </w:t>
      </w:r>
      <w:r w:rsidR="008548F3" w:rsidRPr="00012450">
        <w:rPr>
          <w:rFonts w:ascii="Arial" w:hAnsi="Arial" w:cs="Arial"/>
          <w:color w:val="000000"/>
        </w:rPr>
        <w:t xml:space="preserve">percent) of parking lots did not contain minimum number of accessible parking </w:t>
      </w:r>
      <w:proofErr w:type="gramStart"/>
      <w:r w:rsidR="008548F3" w:rsidRPr="00012450">
        <w:rPr>
          <w:rFonts w:ascii="Arial" w:hAnsi="Arial" w:cs="Arial"/>
          <w:color w:val="000000"/>
        </w:rPr>
        <w:t>spaces</w:t>
      </w:r>
      <w:r w:rsidR="00D144EE">
        <w:rPr>
          <w:rFonts w:ascii="Arial" w:hAnsi="Arial" w:cs="Arial"/>
          <w:color w:val="000000"/>
        </w:rPr>
        <w:t>;</w:t>
      </w:r>
      <w:proofErr w:type="gramEnd"/>
      <w:r w:rsidR="008548F3" w:rsidRPr="00012450">
        <w:rPr>
          <w:rFonts w:ascii="Arial" w:hAnsi="Arial" w:cs="Arial"/>
          <w:color w:val="000000"/>
        </w:rPr>
        <w:t xml:space="preserve"> </w:t>
      </w:r>
    </w:p>
    <w:p w14:paraId="74AD5817" w14:textId="08CEE325" w:rsidR="00417153" w:rsidRPr="00417153" w:rsidRDefault="00E43D78" w:rsidP="009A0561">
      <w:pPr>
        <w:pStyle w:val="NormalWeb"/>
        <w:numPr>
          <w:ilvl w:val="0"/>
          <w:numId w:val="1"/>
        </w:numPr>
        <w:spacing w:after="0"/>
        <w:rPr>
          <w:rFonts w:ascii="Arial" w:hAnsi="Arial" w:cs="Arial"/>
          <w:b/>
          <w:color w:val="000000"/>
        </w:rPr>
      </w:pPr>
      <w:r w:rsidRPr="00E43D78">
        <w:rPr>
          <w:rFonts w:ascii="Arial" w:hAnsi="Arial" w:cs="Arial"/>
          <w:color w:val="000000"/>
        </w:rPr>
        <w:t>6,890</w:t>
      </w:r>
      <w:r>
        <w:rPr>
          <w:rFonts w:ascii="Arial" w:hAnsi="Arial" w:cs="Arial"/>
          <w:color w:val="000000"/>
        </w:rPr>
        <w:t xml:space="preserve"> claims (10 percent)</w:t>
      </w:r>
      <w:r w:rsidR="00D144EE">
        <w:rPr>
          <w:rFonts w:ascii="Arial" w:hAnsi="Arial" w:cs="Arial"/>
          <w:color w:val="000000"/>
        </w:rPr>
        <w:t xml:space="preserve"> of incompliant van access aisles or loading zones;</w:t>
      </w:r>
      <w:r>
        <w:rPr>
          <w:rFonts w:ascii="Arial" w:hAnsi="Arial" w:cs="Arial"/>
          <w:color w:val="000000"/>
        </w:rPr>
        <w:t xml:space="preserve"> </w:t>
      </w:r>
      <w:r w:rsidR="008548F3" w:rsidRPr="00012450">
        <w:rPr>
          <w:rFonts w:ascii="Arial" w:hAnsi="Arial" w:cs="Arial"/>
          <w:color w:val="000000"/>
        </w:rPr>
        <w:t xml:space="preserve">and </w:t>
      </w:r>
      <w:r w:rsidR="003341CD" w:rsidRPr="003341CD">
        <w:rPr>
          <w:rFonts w:ascii="Arial" w:hAnsi="Arial" w:cs="Arial"/>
          <w:color w:val="000000"/>
        </w:rPr>
        <w:t>5,657</w:t>
      </w:r>
      <w:r w:rsidR="008647BF">
        <w:rPr>
          <w:rFonts w:ascii="Arial" w:hAnsi="Arial" w:cs="Arial"/>
          <w:color w:val="000000"/>
        </w:rPr>
        <w:t xml:space="preserve"> claims (</w:t>
      </w:r>
      <w:r w:rsidR="00400C8F">
        <w:rPr>
          <w:rFonts w:ascii="Arial" w:hAnsi="Arial" w:cs="Arial"/>
          <w:color w:val="000000"/>
        </w:rPr>
        <w:t>8</w:t>
      </w:r>
      <w:r w:rsidR="008548F3" w:rsidRPr="00012450">
        <w:rPr>
          <w:rFonts w:ascii="Arial" w:hAnsi="Arial" w:cs="Arial"/>
          <w:color w:val="000000"/>
        </w:rPr>
        <w:t xml:space="preserve"> percent) of accessible parking signage were non-compliant.</w:t>
      </w:r>
      <w:r w:rsidR="008548F3">
        <w:rPr>
          <w:rFonts w:ascii="Arial" w:hAnsi="Arial" w:cs="Arial"/>
          <w:color w:val="000000"/>
        </w:rPr>
        <w:t xml:space="preserve"> </w:t>
      </w:r>
    </w:p>
    <w:p w14:paraId="10E213B3" w14:textId="26359B95" w:rsidR="00417153" w:rsidRDefault="008548F3" w:rsidP="00417153">
      <w:pPr>
        <w:pStyle w:val="NormalWeb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Table 2 </w:t>
      </w:r>
      <w:r w:rsidR="001A0F6D">
        <w:rPr>
          <w:rFonts w:ascii="Arial" w:hAnsi="Arial" w:cs="Arial"/>
          <w:color w:val="000000"/>
        </w:rPr>
        <w:t>further details the t</w:t>
      </w:r>
      <w:r w:rsidR="002E6020">
        <w:rPr>
          <w:rFonts w:ascii="Arial" w:hAnsi="Arial" w:cs="Arial"/>
          <w:color w:val="000000"/>
        </w:rPr>
        <w:t>op ten</w:t>
      </w:r>
      <w:r w:rsidRPr="00D07E34">
        <w:rPr>
          <w:rFonts w:ascii="Arial" w:hAnsi="Arial" w:cs="Arial"/>
          <w:color w:val="000000"/>
        </w:rPr>
        <w:t xml:space="preserve"> alleged violations received</w:t>
      </w:r>
      <w:r w:rsidR="00F97851">
        <w:rPr>
          <w:rFonts w:ascii="Arial" w:hAnsi="Arial" w:cs="Arial"/>
          <w:color w:val="000000"/>
        </w:rPr>
        <w:t xml:space="preserve"> from 2013</w:t>
      </w:r>
      <w:r w:rsidR="00ED08B7" w:rsidRPr="009913FF">
        <w:rPr>
          <w:rFonts w:ascii="Arial" w:hAnsi="Arial" w:cs="Arial"/>
          <w:sz w:val="22"/>
          <w:szCs w:val="22"/>
        </w:rPr>
        <w:t>–</w:t>
      </w:r>
      <w:r w:rsidR="00F97851">
        <w:rPr>
          <w:rFonts w:ascii="Arial" w:hAnsi="Arial" w:cs="Arial"/>
          <w:color w:val="000000"/>
        </w:rPr>
        <w:t>2019.</w:t>
      </w:r>
    </w:p>
    <w:p w14:paraId="20008ADC" w14:textId="69B5D5DA" w:rsidR="00417153" w:rsidRDefault="00417153" w:rsidP="009A0561">
      <w:pPr>
        <w:pStyle w:val="NormalWeb"/>
        <w:spacing w:after="0"/>
        <w:jc w:val="center"/>
        <w:rPr>
          <w:rFonts w:ascii="Arial" w:hAnsi="Arial" w:cs="Arial"/>
          <w:b/>
          <w:color w:val="000000"/>
        </w:rPr>
      </w:pPr>
      <w:r w:rsidRPr="00417153">
        <w:rPr>
          <w:rFonts w:ascii="Arial" w:hAnsi="Arial" w:cs="Arial"/>
          <w:b/>
          <w:color w:val="000000"/>
        </w:rPr>
        <w:t>Conclusion/Reason for Campaign</w:t>
      </w:r>
    </w:p>
    <w:p w14:paraId="7A5D5BA6" w14:textId="2EE2546E" w:rsidR="00FE01EA" w:rsidRDefault="00126F61" w:rsidP="00126F61">
      <w:pPr>
        <w:spacing w:after="160" w:line="259" w:lineRule="auto"/>
        <w:rPr>
          <w:rFonts w:ascii="Arial" w:hAnsi="Arial" w:cs="Arial"/>
          <w:color w:val="000000"/>
          <w:sz w:val="24"/>
        </w:rPr>
      </w:pPr>
      <w:r w:rsidRPr="000E0021">
        <w:rPr>
          <w:rFonts w:ascii="Arial" w:hAnsi="Arial" w:cs="Arial"/>
          <w:color w:val="000000"/>
          <w:sz w:val="24"/>
        </w:rPr>
        <w:t>A</w:t>
      </w:r>
      <w:r w:rsidRPr="00515C23">
        <w:rPr>
          <w:rFonts w:ascii="Arial" w:hAnsi="Arial" w:cs="Arial"/>
          <w:color w:val="000000"/>
          <w:sz w:val="24"/>
        </w:rPr>
        <w:t xml:space="preserve">ccording to the </w:t>
      </w:r>
      <w:r>
        <w:rPr>
          <w:rFonts w:ascii="Arial" w:hAnsi="Arial" w:cs="Arial"/>
          <w:color w:val="000000"/>
          <w:sz w:val="24"/>
        </w:rPr>
        <w:t xml:space="preserve">Commission’s data, parking barriers are the most frequently encountered violations at a public accommodation. The Commission is proposing this outreach campaign as an opportunity to educate businesses on </w:t>
      </w:r>
      <w:r w:rsidRPr="00246B29">
        <w:rPr>
          <w:rFonts w:ascii="Arial" w:hAnsi="Arial" w:cs="Arial"/>
          <w:color w:val="000000"/>
          <w:sz w:val="24"/>
        </w:rPr>
        <w:t>disability laws and policies</w:t>
      </w:r>
      <w:r>
        <w:rPr>
          <w:rFonts w:ascii="Arial" w:hAnsi="Arial" w:cs="Arial"/>
          <w:color w:val="000000"/>
          <w:sz w:val="24"/>
        </w:rPr>
        <w:t xml:space="preserve">. The </w:t>
      </w:r>
      <w:r w:rsidR="00FC6E8C">
        <w:rPr>
          <w:rFonts w:ascii="Arial" w:hAnsi="Arial" w:cs="Arial"/>
          <w:color w:val="000000"/>
          <w:sz w:val="24"/>
        </w:rPr>
        <w:t>goal</w:t>
      </w:r>
      <w:r>
        <w:rPr>
          <w:rFonts w:ascii="Arial" w:hAnsi="Arial" w:cs="Arial"/>
          <w:color w:val="000000"/>
          <w:sz w:val="24"/>
        </w:rPr>
        <w:t xml:space="preserve"> is to address the most frequently encountered barriers which will </w:t>
      </w:r>
      <w:r w:rsidRPr="00CB6FE9">
        <w:rPr>
          <w:rFonts w:ascii="Arial" w:hAnsi="Arial" w:cs="Arial"/>
          <w:color w:val="000000"/>
          <w:sz w:val="24"/>
        </w:rPr>
        <w:t xml:space="preserve">increase statewide </w:t>
      </w:r>
      <w:r>
        <w:rPr>
          <w:rFonts w:ascii="Arial" w:hAnsi="Arial" w:cs="Arial"/>
          <w:color w:val="000000"/>
          <w:sz w:val="24"/>
        </w:rPr>
        <w:t xml:space="preserve">compliance and help the residents of California </w:t>
      </w:r>
      <w:r w:rsidR="00BE47F1">
        <w:rPr>
          <w:rFonts w:ascii="Arial" w:hAnsi="Arial" w:cs="Arial"/>
          <w:color w:val="000000"/>
          <w:sz w:val="24"/>
        </w:rPr>
        <w:t>realize</w:t>
      </w:r>
      <w:r w:rsidRPr="00CB6FE9">
        <w:rPr>
          <w:rFonts w:ascii="Arial" w:hAnsi="Arial" w:cs="Arial"/>
          <w:color w:val="000000"/>
          <w:sz w:val="24"/>
        </w:rPr>
        <w:t xml:space="preserve"> our vision for </w:t>
      </w:r>
      <w:r w:rsidR="00BE47F1">
        <w:rPr>
          <w:rFonts w:ascii="Arial" w:hAnsi="Arial" w:cs="Arial"/>
          <w:color w:val="000000"/>
          <w:sz w:val="24"/>
        </w:rPr>
        <w:t>a state that is accessible to all</w:t>
      </w:r>
      <w:r>
        <w:rPr>
          <w:rFonts w:ascii="Arial" w:hAnsi="Arial" w:cs="Arial"/>
          <w:color w:val="000000"/>
          <w:sz w:val="24"/>
        </w:rPr>
        <w:t xml:space="preserve">. </w:t>
      </w:r>
      <w:r w:rsidRPr="009A0561">
        <w:rPr>
          <w:rFonts w:ascii="Arial" w:hAnsi="Arial" w:cs="Arial"/>
          <w:color w:val="000000"/>
          <w:sz w:val="24"/>
        </w:rPr>
        <w:t>This campaign will also engage businesses with disabled communities</w:t>
      </w:r>
      <w:r w:rsidRPr="00FE01EA">
        <w:rPr>
          <w:rFonts w:ascii="Arial" w:hAnsi="Arial" w:cs="Arial"/>
          <w:color w:val="000000"/>
          <w:sz w:val="24"/>
        </w:rPr>
        <w:t xml:space="preserve"> </w:t>
      </w:r>
      <w:r w:rsidRPr="00C74E2F">
        <w:rPr>
          <w:rFonts w:ascii="Arial" w:hAnsi="Arial" w:cs="Arial"/>
          <w:color w:val="000000"/>
          <w:sz w:val="24"/>
        </w:rPr>
        <w:t xml:space="preserve">and </w:t>
      </w:r>
      <w:r>
        <w:rPr>
          <w:rFonts w:ascii="Arial" w:hAnsi="Arial" w:cs="Arial"/>
          <w:color w:val="000000"/>
          <w:sz w:val="24"/>
        </w:rPr>
        <w:t xml:space="preserve">help them </w:t>
      </w:r>
      <w:r w:rsidRPr="00C74E2F">
        <w:rPr>
          <w:rFonts w:ascii="Arial" w:hAnsi="Arial" w:cs="Arial"/>
          <w:color w:val="000000"/>
          <w:sz w:val="24"/>
        </w:rPr>
        <w:t xml:space="preserve">find </w:t>
      </w:r>
      <w:r>
        <w:rPr>
          <w:rFonts w:ascii="Arial" w:hAnsi="Arial" w:cs="Arial"/>
          <w:color w:val="000000"/>
          <w:sz w:val="24"/>
        </w:rPr>
        <w:t xml:space="preserve">resources to </w:t>
      </w:r>
      <w:r w:rsidRPr="00C74E2F">
        <w:rPr>
          <w:rFonts w:ascii="Arial" w:hAnsi="Arial" w:cs="Arial"/>
          <w:color w:val="000000"/>
          <w:sz w:val="24"/>
        </w:rPr>
        <w:t>make accommodation modifications</w:t>
      </w:r>
      <w:r w:rsidR="00FE01EA">
        <w:rPr>
          <w:rFonts w:ascii="Arial" w:hAnsi="Arial" w:cs="Arial"/>
          <w:color w:val="000000"/>
          <w:sz w:val="24"/>
        </w:rPr>
        <w:t xml:space="preserve">. The envisioned outcomes would </w:t>
      </w:r>
      <w:r w:rsidR="009A0561">
        <w:rPr>
          <w:rFonts w:ascii="Arial" w:hAnsi="Arial" w:cs="Arial"/>
          <w:color w:val="000000"/>
          <w:sz w:val="24"/>
        </w:rPr>
        <w:t xml:space="preserve">also </w:t>
      </w:r>
      <w:r w:rsidR="00FE01EA">
        <w:rPr>
          <w:rFonts w:ascii="Arial" w:hAnsi="Arial" w:cs="Arial"/>
          <w:color w:val="000000"/>
          <w:sz w:val="24"/>
        </w:rPr>
        <w:t>benefit businesses by increasing their customer base once access barriers have been removed.</w:t>
      </w:r>
      <w:r w:rsidR="00BE47F1">
        <w:rPr>
          <w:rFonts w:ascii="Arial" w:hAnsi="Arial" w:cs="Arial"/>
          <w:color w:val="000000"/>
          <w:sz w:val="24"/>
        </w:rPr>
        <w:t xml:space="preserve"> </w:t>
      </w:r>
    </w:p>
    <w:p w14:paraId="056B6173" w14:textId="0C27D1E3" w:rsidR="00FE01EA" w:rsidRDefault="00FE01EA" w:rsidP="00126F61">
      <w:pPr>
        <w:spacing w:after="160" w:line="259" w:lineRule="auto"/>
        <w:rPr>
          <w:rFonts w:ascii="Arial" w:hAnsi="Arial" w:cs="Arial"/>
          <w:color w:val="000000"/>
          <w:sz w:val="24"/>
        </w:rPr>
      </w:pPr>
    </w:p>
    <w:p w14:paraId="7FD9F9A9" w14:textId="77777777" w:rsidR="00126F61" w:rsidRDefault="00126F61" w:rsidP="00417153">
      <w:pPr>
        <w:pStyle w:val="NormalWeb"/>
        <w:spacing w:after="0"/>
        <w:rPr>
          <w:rFonts w:ascii="Arial" w:hAnsi="Arial" w:cs="Arial"/>
          <w:b/>
          <w:color w:val="000000"/>
        </w:rPr>
      </w:pPr>
    </w:p>
    <w:p w14:paraId="1AF594D8" w14:textId="77777777" w:rsidR="0076690F" w:rsidRDefault="0076690F">
      <w:pPr>
        <w:spacing w:after="160" w:line="259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br w:type="page"/>
      </w:r>
    </w:p>
    <w:p w14:paraId="7F446D16" w14:textId="29E6A8AF" w:rsidR="008548F3" w:rsidRPr="001E2F88" w:rsidRDefault="002E6020" w:rsidP="00417153">
      <w:pPr>
        <w:pStyle w:val="NormalWeb"/>
        <w:spacing w:after="0"/>
        <w:ind w:left="36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Table 2: Top Ten</w:t>
      </w:r>
      <w:r w:rsidR="008548F3" w:rsidRPr="001E2F88">
        <w:rPr>
          <w:rFonts w:ascii="Arial" w:hAnsi="Arial" w:cs="Arial"/>
          <w:b/>
          <w:color w:val="000000"/>
        </w:rPr>
        <w:t xml:space="preserve"> Alleged Violations (2013</w:t>
      </w:r>
      <w:r w:rsidR="00ED08B7" w:rsidRPr="009913FF">
        <w:rPr>
          <w:rFonts w:ascii="Arial" w:hAnsi="Arial" w:cs="Arial"/>
          <w:sz w:val="22"/>
          <w:szCs w:val="22"/>
        </w:rPr>
        <w:t>–</w:t>
      </w:r>
      <w:r w:rsidR="008548F3" w:rsidRPr="001E2F88">
        <w:rPr>
          <w:rFonts w:ascii="Arial" w:hAnsi="Arial" w:cs="Arial"/>
          <w:b/>
          <w:color w:val="000000"/>
        </w:rPr>
        <w:t>2019)</w:t>
      </w:r>
    </w:p>
    <w:tbl>
      <w:tblPr>
        <w:tblStyle w:val="7"/>
        <w:tblW w:w="1008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  <w:tblCaption w:val="Table 2: Top 10 Alleged Violation from 2013-2019"/>
        <w:tblDescription w:val="Parking violations emcompases a large portion of the top 10 violations: incompliant spaces 11%, insufficient number of accessible parking 11%, van accessible parking 10%, and parking signange 8%. "/>
      </w:tblPr>
      <w:tblGrid>
        <w:gridCol w:w="1138"/>
        <w:gridCol w:w="6104"/>
        <w:gridCol w:w="1419"/>
        <w:gridCol w:w="1419"/>
      </w:tblGrid>
      <w:tr w:rsidR="008548F3" w:rsidRPr="00425201" w14:paraId="26D9BC76" w14:textId="77777777" w:rsidTr="000F286E">
        <w:trPr>
          <w:trHeight w:val="815"/>
          <w:tblHeader/>
          <w:jc w:val="center"/>
        </w:trPr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9D23C" w14:textId="77777777" w:rsidR="008548F3" w:rsidRPr="00425201" w:rsidRDefault="008548F3" w:rsidP="005B1613">
            <w:pPr>
              <w:spacing w:before="240"/>
              <w:contextualSpacing/>
              <w:jc w:val="center"/>
              <w:rPr>
                <w:b/>
              </w:rPr>
            </w:pPr>
            <w:r w:rsidRPr="00425201">
              <w:rPr>
                <w:b/>
              </w:rPr>
              <w:t>Rank #</w:t>
            </w:r>
          </w:p>
        </w:tc>
        <w:tc>
          <w:tcPr>
            <w:tcW w:w="62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341B5" w14:textId="77777777" w:rsidR="008548F3" w:rsidRPr="00425201" w:rsidRDefault="008548F3" w:rsidP="005B1613">
            <w:pPr>
              <w:spacing w:before="240"/>
              <w:contextualSpacing/>
              <w:jc w:val="center"/>
              <w:rPr>
                <w:b/>
              </w:rPr>
            </w:pPr>
            <w:r w:rsidRPr="00425201">
              <w:rPr>
                <w:b/>
              </w:rPr>
              <w:t>Violation Description</w:t>
            </w:r>
          </w:p>
        </w:tc>
        <w:tc>
          <w:tcPr>
            <w:tcW w:w="14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1C849C" w14:textId="77777777" w:rsidR="008548F3" w:rsidRPr="00425201" w:rsidRDefault="008548F3" w:rsidP="005B1613">
            <w:pPr>
              <w:spacing w:before="240"/>
              <w:contextualSpacing/>
              <w:jc w:val="center"/>
              <w:rPr>
                <w:b/>
              </w:rPr>
            </w:pPr>
            <w:r w:rsidRPr="00425201">
              <w:rPr>
                <w:b/>
              </w:rPr>
              <w:t>Total Number of Violations</w:t>
            </w:r>
          </w:p>
        </w:tc>
        <w:tc>
          <w:tcPr>
            <w:tcW w:w="14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835ED" w14:textId="77777777" w:rsidR="008548F3" w:rsidRPr="00425201" w:rsidRDefault="008548F3" w:rsidP="005B1613">
            <w:pPr>
              <w:spacing w:before="240"/>
              <w:contextualSpacing/>
              <w:jc w:val="center"/>
              <w:rPr>
                <w:b/>
              </w:rPr>
            </w:pPr>
            <w:r w:rsidRPr="00425201">
              <w:rPr>
                <w:b/>
              </w:rPr>
              <w:t>Percent of Total</w:t>
            </w:r>
          </w:p>
        </w:tc>
      </w:tr>
      <w:tr w:rsidR="005B70C4" w:rsidRPr="00425201" w14:paraId="0A151226" w14:textId="77777777" w:rsidTr="000F286E">
        <w:trPr>
          <w:trHeight w:val="620"/>
          <w:jc w:val="center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FBBE9" w14:textId="68E7B976" w:rsidR="005B70C4" w:rsidRPr="002953E2" w:rsidRDefault="005B70C4" w:rsidP="005B70C4">
            <w:pPr>
              <w:spacing w:before="240"/>
              <w:contextualSpacing/>
              <w:jc w:val="center"/>
              <w:rPr>
                <w:b/>
                <w:color w:val="1F4E79" w:themeColor="accent1" w:themeShade="80"/>
              </w:rPr>
            </w:pPr>
            <w:r w:rsidRPr="002953E2">
              <w:rPr>
                <w:b/>
                <w:color w:val="1F4E79" w:themeColor="accent1" w:themeShade="80"/>
              </w:rPr>
              <w:t>1.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8803B" w14:textId="3AD38966" w:rsidR="005B70C4" w:rsidRPr="002953E2" w:rsidRDefault="00CB5BEC" w:rsidP="005B70C4">
            <w:pPr>
              <w:spacing w:before="240"/>
              <w:contextualSpacing/>
              <w:rPr>
                <w:b/>
                <w:color w:val="1F4E79" w:themeColor="accent1" w:themeShade="80"/>
              </w:rPr>
            </w:pPr>
            <w:r w:rsidRPr="002953E2">
              <w:rPr>
                <w:b/>
                <w:color w:val="1F4E79" w:themeColor="accent1" w:themeShade="80"/>
              </w:rPr>
              <w:t>Parking</w:t>
            </w:r>
            <w:r w:rsidR="009678A9" w:rsidRPr="002953E2">
              <w:rPr>
                <w:b/>
                <w:color w:val="1F4E79" w:themeColor="accent1" w:themeShade="80"/>
              </w:rPr>
              <w:t>: e</w:t>
            </w:r>
            <w:r w:rsidRPr="002953E2">
              <w:rPr>
                <w:b/>
                <w:color w:val="1F4E79" w:themeColor="accent1" w:themeShade="80"/>
              </w:rPr>
              <w:t>xisting parking spaces are not compliant; fading/blue paint or excessive slope.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C462D" w14:textId="242DD942" w:rsidR="005B70C4" w:rsidRPr="002953E2" w:rsidRDefault="005B70C4" w:rsidP="005B70C4">
            <w:pPr>
              <w:spacing w:before="240"/>
              <w:contextualSpacing/>
              <w:jc w:val="center"/>
              <w:rPr>
                <w:b/>
                <w:color w:val="1F4E79" w:themeColor="accent1" w:themeShade="80"/>
              </w:rPr>
            </w:pPr>
            <w:r w:rsidRPr="002953E2">
              <w:rPr>
                <w:b/>
                <w:color w:val="1F4E79" w:themeColor="accent1" w:themeShade="80"/>
              </w:rPr>
              <w:t>7</w:t>
            </w:r>
            <w:r w:rsidR="00BE7DFD" w:rsidRPr="002953E2">
              <w:rPr>
                <w:b/>
                <w:color w:val="1F4E79" w:themeColor="accent1" w:themeShade="80"/>
              </w:rPr>
              <w:t>,</w:t>
            </w:r>
            <w:r w:rsidRPr="002953E2">
              <w:rPr>
                <w:b/>
                <w:color w:val="1F4E79" w:themeColor="accent1" w:themeShade="80"/>
              </w:rPr>
              <w:t>296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D182B" w14:textId="795FBD22" w:rsidR="005B70C4" w:rsidRPr="002953E2" w:rsidRDefault="005B70C4" w:rsidP="005B70C4">
            <w:pPr>
              <w:spacing w:before="240"/>
              <w:contextualSpacing/>
              <w:jc w:val="center"/>
              <w:rPr>
                <w:b/>
                <w:color w:val="1F4E79" w:themeColor="accent1" w:themeShade="80"/>
              </w:rPr>
            </w:pPr>
            <w:r w:rsidRPr="002953E2">
              <w:rPr>
                <w:b/>
                <w:color w:val="1F4E79" w:themeColor="accent1" w:themeShade="80"/>
              </w:rPr>
              <w:t>11%</w:t>
            </w:r>
          </w:p>
        </w:tc>
      </w:tr>
      <w:tr w:rsidR="005B70C4" w:rsidRPr="00425201" w14:paraId="667AE247" w14:textId="77777777" w:rsidTr="000F286E">
        <w:trPr>
          <w:trHeight w:val="485"/>
          <w:jc w:val="center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5FE44" w14:textId="608214AB" w:rsidR="005B70C4" w:rsidRPr="002953E2" w:rsidRDefault="005B70C4" w:rsidP="005B70C4">
            <w:pPr>
              <w:spacing w:before="240"/>
              <w:contextualSpacing/>
              <w:jc w:val="center"/>
              <w:rPr>
                <w:b/>
                <w:color w:val="1F4E79" w:themeColor="accent1" w:themeShade="80"/>
              </w:rPr>
            </w:pPr>
            <w:r w:rsidRPr="002953E2">
              <w:rPr>
                <w:b/>
                <w:color w:val="1F4E79" w:themeColor="accent1" w:themeShade="80"/>
              </w:rPr>
              <w:t>2.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854F7" w14:textId="3750E99B" w:rsidR="005B70C4" w:rsidRPr="002953E2" w:rsidRDefault="00CB5BEC" w:rsidP="005B70C4">
            <w:pPr>
              <w:spacing w:before="240"/>
              <w:contextualSpacing/>
              <w:rPr>
                <w:b/>
                <w:color w:val="1F4E79" w:themeColor="accent1" w:themeShade="80"/>
              </w:rPr>
            </w:pPr>
            <w:r w:rsidRPr="002953E2">
              <w:rPr>
                <w:b/>
                <w:color w:val="1F4E79" w:themeColor="accent1" w:themeShade="80"/>
              </w:rPr>
              <w:t>Parking:</w:t>
            </w:r>
            <w:r w:rsidR="009678A9" w:rsidRPr="002953E2">
              <w:rPr>
                <w:b/>
                <w:color w:val="1F4E79" w:themeColor="accent1" w:themeShade="80"/>
              </w:rPr>
              <w:t xml:space="preserve"> p</w:t>
            </w:r>
            <w:r w:rsidRPr="002953E2">
              <w:rPr>
                <w:b/>
                <w:color w:val="1F4E79" w:themeColor="accent1" w:themeShade="80"/>
              </w:rPr>
              <w:t>arking lot does not contain minimum number of accessible parking spaces.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04E8A" w14:textId="6F423C03" w:rsidR="005B70C4" w:rsidRPr="002953E2" w:rsidRDefault="005B70C4" w:rsidP="005B70C4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  <w:r w:rsidRPr="002953E2">
              <w:rPr>
                <w:b/>
                <w:color w:val="1F4E79" w:themeColor="accent1" w:themeShade="80"/>
              </w:rPr>
              <w:t>7</w:t>
            </w:r>
            <w:r w:rsidR="00BE7DFD" w:rsidRPr="002953E2">
              <w:rPr>
                <w:b/>
                <w:color w:val="1F4E79" w:themeColor="accent1" w:themeShade="80"/>
              </w:rPr>
              <w:t>,</w:t>
            </w:r>
            <w:r w:rsidRPr="002953E2">
              <w:rPr>
                <w:b/>
                <w:color w:val="1F4E79" w:themeColor="accent1" w:themeShade="80"/>
              </w:rPr>
              <w:t>282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1D090" w14:textId="09C52FD7" w:rsidR="005B70C4" w:rsidRPr="002953E2" w:rsidRDefault="00E43D78" w:rsidP="005B70C4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  <w:r w:rsidRPr="002953E2">
              <w:rPr>
                <w:b/>
                <w:color w:val="1F4E79" w:themeColor="accent1" w:themeShade="80"/>
              </w:rPr>
              <w:t>11</w:t>
            </w:r>
            <w:r w:rsidR="005B70C4" w:rsidRPr="002953E2">
              <w:rPr>
                <w:b/>
                <w:color w:val="1F4E79" w:themeColor="accent1" w:themeShade="80"/>
              </w:rPr>
              <w:t>%</w:t>
            </w:r>
          </w:p>
        </w:tc>
      </w:tr>
      <w:tr w:rsidR="005B70C4" w:rsidRPr="00425201" w14:paraId="00C6A9FE" w14:textId="77777777" w:rsidTr="000F286E">
        <w:trPr>
          <w:trHeight w:val="575"/>
          <w:jc w:val="center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79FF4" w14:textId="54D1E575" w:rsidR="005B70C4" w:rsidRPr="00425201" w:rsidRDefault="005B70C4" w:rsidP="005B70C4">
            <w:pPr>
              <w:spacing w:before="240"/>
              <w:contextualSpacing/>
              <w:jc w:val="center"/>
              <w:rPr>
                <w:b/>
              </w:rPr>
            </w:pPr>
            <w:r w:rsidRPr="00425201">
              <w:rPr>
                <w:b/>
              </w:rPr>
              <w:t>3.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0052B" w14:textId="487F5190" w:rsidR="005B70C4" w:rsidRPr="00417153" w:rsidRDefault="00CB5BEC" w:rsidP="005B70C4">
            <w:pPr>
              <w:spacing w:before="240"/>
              <w:contextualSpacing/>
              <w:rPr>
                <w:b/>
                <w:color w:val="1F4E79" w:themeColor="accent1" w:themeShade="80"/>
                <w:highlight w:val="yellow"/>
              </w:rPr>
            </w:pPr>
            <w:r w:rsidRPr="00417153">
              <w:rPr>
                <w:b/>
                <w:color w:val="1F4E79" w:themeColor="accent1" w:themeShade="80"/>
              </w:rPr>
              <w:t xml:space="preserve">Parking: </w:t>
            </w:r>
            <w:r w:rsidR="009678A9" w:rsidRPr="00417153">
              <w:rPr>
                <w:b/>
                <w:color w:val="1F4E79" w:themeColor="accent1" w:themeShade="80"/>
              </w:rPr>
              <w:t>l</w:t>
            </w:r>
            <w:r w:rsidRPr="00417153">
              <w:rPr>
                <w:b/>
                <w:color w:val="1F4E79" w:themeColor="accent1" w:themeShade="80"/>
              </w:rPr>
              <w:t>oading zones/van access aisles are not compliant or non-existent.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31EEE" w14:textId="0FCC3ECB" w:rsidR="005B70C4" w:rsidRPr="00417153" w:rsidRDefault="005B70C4" w:rsidP="005B70C4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  <w:r w:rsidRPr="00417153">
              <w:rPr>
                <w:b/>
                <w:color w:val="1F4E79" w:themeColor="accent1" w:themeShade="80"/>
              </w:rPr>
              <w:t>6</w:t>
            </w:r>
            <w:r w:rsidR="00BE7DFD" w:rsidRPr="00417153">
              <w:rPr>
                <w:b/>
                <w:color w:val="1F4E79" w:themeColor="accent1" w:themeShade="80"/>
              </w:rPr>
              <w:t>,</w:t>
            </w:r>
            <w:r w:rsidRPr="00417153">
              <w:rPr>
                <w:b/>
                <w:color w:val="1F4E79" w:themeColor="accent1" w:themeShade="80"/>
              </w:rPr>
              <w:t>890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A68846" w14:textId="07189327" w:rsidR="005B70C4" w:rsidRPr="00417153" w:rsidRDefault="005B70C4" w:rsidP="005B70C4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  <w:r w:rsidRPr="00417153">
              <w:rPr>
                <w:b/>
                <w:color w:val="1F4E79" w:themeColor="accent1" w:themeShade="80"/>
              </w:rPr>
              <w:t>10%</w:t>
            </w:r>
          </w:p>
        </w:tc>
      </w:tr>
      <w:tr w:rsidR="005B70C4" w:rsidRPr="00425201" w14:paraId="265AC3BA" w14:textId="77777777" w:rsidTr="000F286E">
        <w:trPr>
          <w:trHeight w:val="908"/>
          <w:jc w:val="center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43077" w14:textId="4DA67D0F" w:rsidR="005B70C4" w:rsidRPr="00425201" w:rsidRDefault="005B70C4" w:rsidP="005B70C4">
            <w:pPr>
              <w:spacing w:before="240"/>
              <w:contextualSpacing/>
              <w:jc w:val="center"/>
              <w:rPr>
                <w:b/>
              </w:rPr>
            </w:pPr>
            <w:r w:rsidRPr="00425201">
              <w:rPr>
                <w:b/>
              </w:rPr>
              <w:t>4.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4321A" w14:textId="55E065B6" w:rsidR="005B70C4" w:rsidRPr="00425201" w:rsidRDefault="00BF0985" w:rsidP="005B70C4">
            <w:pPr>
              <w:spacing w:before="240"/>
              <w:contextualSpacing/>
            </w:pPr>
            <w:r>
              <w:rPr>
                <w:b/>
              </w:rPr>
              <w:t>Path of Travel - Exterior</w:t>
            </w:r>
            <w:r w:rsidR="009678A9">
              <w:rPr>
                <w:b/>
              </w:rPr>
              <w:t xml:space="preserve">: </w:t>
            </w:r>
            <w:r w:rsidR="009678A9">
              <w:t>p</w:t>
            </w:r>
            <w:r w:rsidR="00CB5BEC" w:rsidRPr="00425201">
              <w:t>ath of travel is not accessible (</w:t>
            </w:r>
            <w:r w:rsidR="00CB5BEC" w:rsidRPr="00425201">
              <w:rPr>
                <w:i/>
              </w:rPr>
              <w:t>e.g.</w:t>
            </w:r>
            <w:r w:rsidR="00CB5BEC" w:rsidRPr="00425201">
              <w:t xml:space="preserve">, non-compliant surfaces, excessive slope/cross-slope, </w:t>
            </w:r>
            <w:proofErr w:type="spellStart"/>
            <w:r w:rsidR="00CB5BEC" w:rsidRPr="00425201">
              <w:rPr>
                <w:i/>
              </w:rPr>
              <w:t>etc</w:t>
            </w:r>
            <w:proofErr w:type="spellEnd"/>
            <w:r w:rsidR="00CB5BEC" w:rsidRPr="00425201">
              <w:rPr>
                <w:i/>
              </w:rPr>
              <w:t>…</w:t>
            </w:r>
            <w:r w:rsidR="00CB5BEC" w:rsidRPr="00425201">
              <w:t>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2F1D3" w14:textId="6CB0445F" w:rsidR="005B70C4" w:rsidRPr="0050043C" w:rsidRDefault="005B70C4" w:rsidP="005B70C4">
            <w:pPr>
              <w:jc w:val="center"/>
              <w:rPr>
                <w:sz w:val="24"/>
                <w:szCs w:val="24"/>
              </w:rPr>
            </w:pPr>
            <w:r w:rsidRPr="00C8490D">
              <w:t>5</w:t>
            </w:r>
            <w:r w:rsidR="00BE7DFD">
              <w:t>,</w:t>
            </w:r>
            <w:r w:rsidRPr="00C8490D">
              <w:t>881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F41872" w14:textId="0BE0E464" w:rsidR="005B70C4" w:rsidRPr="0050043C" w:rsidRDefault="005B70C4" w:rsidP="005B70C4">
            <w:pPr>
              <w:jc w:val="center"/>
              <w:rPr>
                <w:sz w:val="24"/>
                <w:szCs w:val="24"/>
              </w:rPr>
            </w:pPr>
            <w:r w:rsidRPr="00CC098B">
              <w:t>8%</w:t>
            </w:r>
          </w:p>
        </w:tc>
      </w:tr>
      <w:tr w:rsidR="005B70C4" w:rsidRPr="00425201" w14:paraId="1C8850ED" w14:textId="77777777" w:rsidTr="000F286E">
        <w:trPr>
          <w:trHeight w:val="863"/>
          <w:jc w:val="center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138925" w14:textId="4D31D5B8" w:rsidR="005B70C4" w:rsidRPr="00425201" w:rsidRDefault="005B70C4" w:rsidP="005B70C4">
            <w:pPr>
              <w:spacing w:before="240"/>
              <w:contextualSpacing/>
              <w:jc w:val="center"/>
              <w:rPr>
                <w:b/>
              </w:rPr>
            </w:pPr>
            <w:bookmarkStart w:id="0" w:name="_Hlk43202320"/>
            <w:bookmarkStart w:id="1" w:name="_GoBack" w:colFirst="1" w:colLast="4"/>
            <w:r w:rsidRPr="000F286E">
              <w:rPr>
                <w:b/>
                <w:color w:val="1F3864" w:themeColor="accent5" w:themeShade="80"/>
              </w:rPr>
              <w:t>5.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10A5D" w14:textId="28CAAA41" w:rsidR="005B70C4" w:rsidRPr="00417153" w:rsidRDefault="005B70C4" w:rsidP="00BF0985">
            <w:pPr>
              <w:spacing w:before="240"/>
              <w:contextualSpacing/>
              <w:rPr>
                <w:b/>
                <w:color w:val="1F4E79" w:themeColor="accent1" w:themeShade="80"/>
              </w:rPr>
            </w:pPr>
            <w:r w:rsidRPr="00417153">
              <w:rPr>
                <w:b/>
                <w:color w:val="1F4E79" w:themeColor="accent1" w:themeShade="80"/>
              </w:rPr>
              <w:t xml:space="preserve">Parking: </w:t>
            </w:r>
            <w:r w:rsidR="00BF0985" w:rsidRPr="00417153">
              <w:rPr>
                <w:b/>
                <w:color w:val="1F4E79" w:themeColor="accent1" w:themeShade="80"/>
              </w:rPr>
              <w:t>signage</w:t>
            </w:r>
            <w:r w:rsidRPr="00417153">
              <w:rPr>
                <w:b/>
                <w:color w:val="1F4E79" w:themeColor="accent1" w:themeShade="80"/>
              </w:rPr>
              <w:t xml:space="preserve"> in parking lot is not compliant (</w:t>
            </w:r>
            <w:r w:rsidRPr="00417153">
              <w:rPr>
                <w:b/>
                <w:i/>
                <w:color w:val="1F4E79" w:themeColor="accent1" w:themeShade="80"/>
              </w:rPr>
              <w:t>e.g.</w:t>
            </w:r>
            <w:r w:rsidRPr="00417153">
              <w:rPr>
                <w:b/>
                <w:color w:val="1F4E79" w:themeColor="accent1" w:themeShade="80"/>
              </w:rPr>
              <w:t xml:space="preserve"> parking spaces need to be designated as reserved by a sign showing the symbol of accessibility).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754ED" w14:textId="7450DE42" w:rsidR="005B70C4" w:rsidRPr="00417153" w:rsidRDefault="005B70C4" w:rsidP="005B70C4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  <w:r w:rsidRPr="00417153">
              <w:rPr>
                <w:b/>
                <w:color w:val="1F4E79" w:themeColor="accent1" w:themeShade="80"/>
              </w:rPr>
              <w:t>5</w:t>
            </w:r>
            <w:r w:rsidR="00BE7DFD" w:rsidRPr="00417153">
              <w:rPr>
                <w:b/>
                <w:color w:val="1F4E79" w:themeColor="accent1" w:themeShade="80"/>
              </w:rPr>
              <w:t>,</w:t>
            </w:r>
            <w:r w:rsidRPr="00417153">
              <w:rPr>
                <w:b/>
                <w:color w:val="1F4E79" w:themeColor="accent1" w:themeShade="80"/>
              </w:rPr>
              <w:t>657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1C8FC" w14:textId="56170BF0" w:rsidR="005B70C4" w:rsidRPr="00417153" w:rsidRDefault="005B70C4" w:rsidP="005B70C4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  <w:r w:rsidRPr="00417153">
              <w:rPr>
                <w:b/>
                <w:color w:val="1F4E79" w:themeColor="accent1" w:themeShade="80"/>
              </w:rPr>
              <w:t>8%</w:t>
            </w:r>
          </w:p>
        </w:tc>
      </w:tr>
      <w:bookmarkEnd w:id="0"/>
      <w:bookmarkEnd w:id="1"/>
      <w:tr w:rsidR="005B70C4" w:rsidRPr="00425201" w14:paraId="34472540" w14:textId="77777777" w:rsidTr="000F286E">
        <w:trPr>
          <w:trHeight w:val="548"/>
          <w:jc w:val="center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564B9" w14:textId="5A49A3A0" w:rsidR="005B70C4" w:rsidRPr="00425201" w:rsidRDefault="005B70C4" w:rsidP="005B70C4">
            <w:pPr>
              <w:spacing w:before="240"/>
              <w:contextualSpacing/>
              <w:jc w:val="center"/>
              <w:rPr>
                <w:b/>
              </w:rPr>
            </w:pPr>
            <w:r w:rsidRPr="00425201">
              <w:rPr>
                <w:b/>
              </w:rPr>
              <w:t>6.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5D1C4" w14:textId="173FA90A" w:rsidR="005B70C4" w:rsidRPr="00425201" w:rsidRDefault="00BF0985" w:rsidP="005B70C4">
            <w:pPr>
              <w:spacing w:before="240"/>
              <w:contextualSpacing/>
            </w:pPr>
            <w:r>
              <w:rPr>
                <w:b/>
              </w:rPr>
              <w:t>Path of Travel - Exterior</w:t>
            </w:r>
            <w:r w:rsidR="005B70C4" w:rsidRPr="00425201">
              <w:rPr>
                <w:b/>
              </w:rPr>
              <w:t>:</w:t>
            </w:r>
            <w:r w:rsidR="00A6509A">
              <w:t xml:space="preserve"> ramps, c</w:t>
            </w:r>
            <w:r w:rsidR="005B70C4" w:rsidRPr="00425201">
              <w:t>urb ramps or entrance ramps are not compliant or nonexistent.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D2DC3" w14:textId="30D7D551" w:rsidR="005B70C4" w:rsidRPr="0050043C" w:rsidRDefault="005B70C4" w:rsidP="005B70C4">
            <w:pPr>
              <w:jc w:val="center"/>
              <w:rPr>
                <w:sz w:val="24"/>
                <w:szCs w:val="24"/>
              </w:rPr>
            </w:pPr>
            <w:r w:rsidRPr="00C8490D">
              <w:t>5</w:t>
            </w:r>
            <w:r w:rsidR="00BE7DFD">
              <w:t>,</w:t>
            </w:r>
            <w:r w:rsidRPr="00C8490D">
              <w:t>196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15858" w14:textId="46057440" w:rsidR="005B70C4" w:rsidRPr="0050043C" w:rsidRDefault="005B70C4" w:rsidP="005B70C4">
            <w:pPr>
              <w:jc w:val="center"/>
              <w:rPr>
                <w:sz w:val="24"/>
                <w:szCs w:val="24"/>
              </w:rPr>
            </w:pPr>
            <w:r w:rsidRPr="00CC098B">
              <w:t>7%</w:t>
            </w:r>
          </w:p>
        </w:tc>
      </w:tr>
      <w:tr w:rsidR="005B70C4" w:rsidRPr="00425201" w14:paraId="77132441" w14:textId="77777777" w:rsidTr="000F286E">
        <w:trPr>
          <w:trHeight w:val="332"/>
          <w:jc w:val="center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CD6B4" w14:textId="79FBA568" w:rsidR="005B70C4" w:rsidRPr="00425201" w:rsidRDefault="005B70C4" w:rsidP="005B70C4">
            <w:pPr>
              <w:spacing w:before="240"/>
              <w:contextualSpacing/>
              <w:jc w:val="center"/>
              <w:rPr>
                <w:b/>
              </w:rPr>
            </w:pPr>
            <w:r w:rsidRPr="00425201">
              <w:rPr>
                <w:b/>
              </w:rPr>
              <w:t>7.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571AF" w14:textId="5264123F" w:rsidR="005B70C4" w:rsidRPr="00425201" w:rsidRDefault="00CB5BEC" w:rsidP="005B70C4">
            <w:pPr>
              <w:spacing w:before="240"/>
              <w:contextualSpacing/>
            </w:pPr>
            <w:r w:rsidRPr="00CB5BEC">
              <w:rPr>
                <w:b/>
              </w:rPr>
              <w:t xml:space="preserve">Access within Public Facility: </w:t>
            </w:r>
            <w:r w:rsidRPr="00DA7873">
              <w:t>heights of surfaces such as counters, bars, and tables, for example, are non-compliant.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972C8E" w14:textId="4F7CCD93" w:rsidR="005B70C4" w:rsidRPr="0050043C" w:rsidRDefault="005B70C4" w:rsidP="005B70C4">
            <w:pPr>
              <w:jc w:val="center"/>
              <w:rPr>
                <w:sz w:val="24"/>
                <w:szCs w:val="24"/>
              </w:rPr>
            </w:pPr>
            <w:r w:rsidRPr="00C8490D">
              <w:t>5</w:t>
            </w:r>
            <w:r w:rsidR="00BE7DFD">
              <w:t>,</w:t>
            </w:r>
            <w:r w:rsidRPr="00C8490D">
              <w:t>055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94FF4E" w14:textId="637E291A" w:rsidR="005B70C4" w:rsidRPr="0050043C" w:rsidRDefault="005B70C4" w:rsidP="005B70C4">
            <w:pPr>
              <w:jc w:val="center"/>
              <w:rPr>
                <w:sz w:val="24"/>
                <w:szCs w:val="24"/>
              </w:rPr>
            </w:pPr>
            <w:r w:rsidRPr="00CC098B">
              <w:t>7%</w:t>
            </w:r>
          </w:p>
        </w:tc>
      </w:tr>
      <w:tr w:rsidR="005B70C4" w:rsidRPr="00425201" w14:paraId="2CA30A14" w14:textId="77777777" w:rsidTr="000F286E">
        <w:trPr>
          <w:trHeight w:val="737"/>
          <w:jc w:val="center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2D869" w14:textId="111165E1" w:rsidR="005B70C4" w:rsidRPr="00425201" w:rsidRDefault="005B70C4" w:rsidP="005B70C4">
            <w:pPr>
              <w:spacing w:before="240"/>
              <w:contextualSpacing/>
              <w:jc w:val="center"/>
              <w:rPr>
                <w:b/>
              </w:rPr>
            </w:pPr>
            <w:r w:rsidRPr="00425201">
              <w:rPr>
                <w:b/>
              </w:rPr>
              <w:t>8.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5054B" w14:textId="0B5C7218" w:rsidR="005B70C4" w:rsidRPr="00425201" w:rsidRDefault="00BF0985" w:rsidP="005B70C4">
            <w:pPr>
              <w:spacing w:before="240"/>
              <w:contextualSpacing/>
            </w:pPr>
            <w:r>
              <w:rPr>
                <w:b/>
              </w:rPr>
              <w:t>Path of Travel - Exterior</w:t>
            </w:r>
            <w:r w:rsidR="00A6509A">
              <w:rPr>
                <w:b/>
              </w:rPr>
              <w:t xml:space="preserve">: </w:t>
            </w:r>
            <w:r w:rsidR="00A6509A">
              <w:t>p</w:t>
            </w:r>
            <w:r w:rsidR="005B70C4" w:rsidRPr="00425201">
              <w:t>ath of travel is not accessible (</w:t>
            </w:r>
            <w:r w:rsidR="005B70C4" w:rsidRPr="00425201">
              <w:rPr>
                <w:i/>
              </w:rPr>
              <w:t>e.g.</w:t>
            </w:r>
            <w:r w:rsidR="005B70C4" w:rsidRPr="00425201">
              <w:t xml:space="preserve">, non-compliant surfaces, excessive slope/cross-slope, </w:t>
            </w:r>
            <w:proofErr w:type="spellStart"/>
            <w:r w:rsidR="005B70C4" w:rsidRPr="00425201">
              <w:rPr>
                <w:i/>
              </w:rPr>
              <w:t>etc</w:t>
            </w:r>
            <w:proofErr w:type="spellEnd"/>
            <w:r w:rsidR="005B70C4" w:rsidRPr="00425201">
              <w:rPr>
                <w:i/>
              </w:rPr>
              <w:t>…</w:t>
            </w:r>
            <w:r w:rsidR="005B70C4" w:rsidRPr="00425201">
              <w:t>).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78DD38" w14:textId="1C0D0716" w:rsidR="005B70C4" w:rsidRPr="0050043C" w:rsidRDefault="005B70C4" w:rsidP="005B70C4">
            <w:pPr>
              <w:jc w:val="center"/>
              <w:rPr>
                <w:sz w:val="24"/>
                <w:szCs w:val="24"/>
              </w:rPr>
            </w:pPr>
            <w:r w:rsidRPr="00C8490D">
              <w:t>2</w:t>
            </w:r>
            <w:r w:rsidR="00BE7DFD">
              <w:t>,</w:t>
            </w:r>
            <w:r w:rsidRPr="00C8490D">
              <w:t>132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CB986A" w14:textId="53B00B46" w:rsidR="005B70C4" w:rsidRPr="0050043C" w:rsidRDefault="00E43D78" w:rsidP="005B70C4">
            <w:pPr>
              <w:jc w:val="center"/>
              <w:rPr>
                <w:sz w:val="24"/>
                <w:szCs w:val="24"/>
              </w:rPr>
            </w:pPr>
            <w:r>
              <w:t>3</w:t>
            </w:r>
            <w:r w:rsidR="005B70C4" w:rsidRPr="00CC098B">
              <w:t>%</w:t>
            </w:r>
          </w:p>
        </w:tc>
      </w:tr>
      <w:tr w:rsidR="005B70C4" w:rsidRPr="00425201" w14:paraId="0CFF5245" w14:textId="77777777" w:rsidTr="000F286E">
        <w:trPr>
          <w:trHeight w:val="432"/>
          <w:jc w:val="center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66681" w14:textId="48F84307" w:rsidR="005B70C4" w:rsidRPr="00425201" w:rsidRDefault="005B70C4" w:rsidP="005B70C4">
            <w:pPr>
              <w:spacing w:before="240"/>
              <w:contextualSpacing/>
              <w:jc w:val="center"/>
              <w:rPr>
                <w:b/>
              </w:rPr>
            </w:pPr>
            <w:r w:rsidRPr="00425201">
              <w:rPr>
                <w:b/>
              </w:rPr>
              <w:t>9.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7100C" w14:textId="5E2EC0EC" w:rsidR="005B70C4" w:rsidRPr="00425201" w:rsidRDefault="00BF0985" w:rsidP="0046012E">
            <w:pPr>
              <w:spacing w:before="240"/>
              <w:contextualSpacing/>
            </w:pPr>
            <w:r>
              <w:rPr>
                <w:b/>
              </w:rPr>
              <w:t>Path of Travel - Exterior</w:t>
            </w:r>
            <w:r w:rsidR="00A6509A">
              <w:rPr>
                <w:b/>
              </w:rPr>
              <w:t>:</w:t>
            </w:r>
            <w:r w:rsidR="00EC072D">
              <w:rPr>
                <w:b/>
              </w:rPr>
              <w:t xml:space="preserve"> </w:t>
            </w:r>
            <w:r w:rsidR="00EC072D" w:rsidRPr="00EC072D">
              <w:t>directional signage</w:t>
            </w:r>
            <w:r w:rsidR="00EC072D">
              <w:t xml:space="preserve"> or symbol are missing or not visible. </w:t>
            </w:r>
            <w:r w:rsidR="00A6509A">
              <w:rPr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F6424" w14:textId="5808A40C" w:rsidR="005B70C4" w:rsidRPr="0050043C" w:rsidRDefault="005B70C4" w:rsidP="005B70C4">
            <w:pPr>
              <w:jc w:val="center"/>
              <w:rPr>
                <w:sz w:val="24"/>
                <w:szCs w:val="24"/>
              </w:rPr>
            </w:pPr>
            <w:r w:rsidRPr="00C8490D">
              <w:t>2</w:t>
            </w:r>
            <w:r w:rsidR="00BE7DFD">
              <w:t>,</w:t>
            </w:r>
            <w:r w:rsidRPr="00C8490D">
              <w:t>024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1935E" w14:textId="126D9AB7" w:rsidR="005B70C4" w:rsidRPr="0050043C" w:rsidRDefault="00281D2E" w:rsidP="005B70C4">
            <w:pPr>
              <w:jc w:val="center"/>
              <w:rPr>
                <w:sz w:val="24"/>
                <w:szCs w:val="24"/>
              </w:rPr>
            </w:pPr>
            <w:r>
              <w:t>3</w:t>
            </w:r>
            <w:r w:rsidR="005B70C4" w:rsidRPr="00CC098B">
              <w:t>%</w:t>
            </w:r>
          </w:p>
        </w:tc>
      </w:tr>
      <w:tr w:rsidR="005B70C4" w:rsidRPr="00425201" w14:paraId="756CD21E" w14:textId="77777777" w:rsidTr="000F286E">
        <w:trPr>
          <w:trHeight w:val="800"/>
          <w:jc w:val="center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3E1BB" w14:textId="2A427CBA" w:rsidR="005B70C4" w:rsidRPr="00425201" w:rsidRDefault="005B70C4" w:rsidP="005B70C4">
            <w:pPr>
              <w:spacing w:before="240"/>
              <w:contextualSpacing/>
              <w:jc w:val="center"/>
              <w:rPr>
                <w:b/>
              </w:rPr>
            </w:pPr>
            <w:r w:rsidRPr="00425201">
              <w:rPr>
                <w:b/>
              </w:rPr>
              <w:t>10.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79368" w14:textId="53F71ACC" w:rsidR="005B70C4" w:rsidRPr="00425201" w:rsidRDefault="0046012E" w:rsidP="00BD1563">
            <w:pPr>
              <w:spacing w:before="240"/>
              <w:contextualSpacing/>
            </w:pPr>
            <w:r>
              <w:rPr>
                <w:b/>
              </w:rPr>
              <w:t>Toilet, Lavatory, and Bathing Facilities</w:t>
            </w:r>
            <w:r w:rsidR="005B70C4" w:rsidRPr="00425201">
              <w:rPr>
                <w:b/>
              </w:rPr>
              <w:t xml:space="preserve">:  </w:t>
            </w:r>
            <w:r>
              <w:rPr>
                <w:sz w:val="24"/>
                <w:szCs w:val="24"/>
                <w:lang w:eastAsia="ja-JP"/>
              </w:rPr>
              <w:t>entry doors are not accessible or not on an accessible route.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ED9C4" w14:textId="4CA5ABA6" w:rsidR="005B70C4" w:rsidRPr="0050043C" w:rsidRDefault="005B70C4" w:rsidP="005B70C4">
            <w:pPr>
              <w:jc w:val="center"/>
              <w:rPr>
                <w:sz w:val="24"/>
                <w:szCs w:val="24"/>
              </w:rPr>
            </w:pPr>
            <w:r w:rsidRPr="00C8490D">
              <w:t>1</w:t>
            </w:r>
            <w:r w:rsidR="00BE7DFD">
              <w:t>,</w:t>
            </w:r>
            <w:r w:rsidRPr="00C8490D">
              <w:t>975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51E00" w14:textId="2171EA9E" w:rsidR="005B70C4" w:rsidRPr="0050043C" w:rsidRDefault="005B70C4" w:rsidP="005B70C4">
            <w:pPr>
              <w:jc w:val="center"/>
              <w:rPr>
                <w:sz w:val="24"/>
                <w:szCs w:val="24"/>
              </w:rPr>
            </w:pPr>
            <w:r w:rsidRPr="00CC098B">
              <w:t>3%</w:t>
            </w:r>
          </w:p>
        </w:tc>
      </w:tr>
      <w:tr w:rsidR="00F03E90" w:rsidRPr="00425201" w14:paraId="491D8801" w14:textId="77777777" w:rsidTr="000F286E">
        <w:trPr>
          <w:trHeight w:val="800"/>
          <w:jc w:val="center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DA380" w14:textId="3D6F0627" w:rsidR="00F03E90" w:rsidRPr="00425201" w:rsidRDefault="00B96DEA" w:rsidP="005B1613">
            <w:pPr>
              <w:spacing w:before="240"/>
              <w:contextualSpacing/>
              <w:jc w:val="center"/>
              <w:rPr>
                <w:b/>
              </w:rPr>
            </w:pPr>
            <w:r w:rsidRPr="00B96DEA">
              <w:rPr>
                <w:b/>
                <w:color w:val="FFFFFF" w:themeColor="background1"/>
              </w:rPr>
              <w:t>N/A</w:t>
            </w:r>
          </w:p>
        </w:tc>
        <w:tc>
          <w:tcPr>
            <w:tcW w:w="6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62A95" w14:textId="288C8A66" w:rsidR="00F03E90" w:rsidRPr="00B96DEA" w:rsidRDefault="00B96DEA" w:rsidP="0053440C">
            <w:pPr>
              <w:spacing w:before="240"/>
              <w:contextualSpacing/>
              <w:jc w:val="right"/>
              <w:rPr>
                <w:b/>
                <w:sz w:val="24"/>
              </w:rPr>
            </w:pPr>
            <w:r w:rsidRPr="00B96DEA">
              <w:rPr>
                <w:b/>
                <w:sz w:val="24"/>
              </w:rPr>
              <w:t>Total: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4C8219" w14:textId="759AF332" w:rsidR="00F03E90" w:rsidRPr="0053440C" w:rsidRDefault="0053440C" w:rsidP="0053440C">
            <w:pPr>
              <w:jc w:val="center"/>
              <w:rPr>
                <w:sz w:val="24"/>
                <w:szCs w:val="24"/>
              </w:rPr>
            </w:pPr>
            <w:r w:rsidRPr="0053440C">
              <w:rPr>
                <w:sz w:val="24"/>
                <w:szCs w:val="24"/>
              </w:rPr>
              <w:t>49,388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7EF8B" w14:textId="43DAC85A" w:rsidR="00F03E90" w:rsidRPr="0053440C" w:rsidRDefault="00CB0437" w:rsidP="005B1613">
            <w:pPr>
              <w:jc w:val="center"/>
              <w:rPr>
                <w:sz w:val="24"/>
                <w:szCs w:val="24"/>
              </w:rPr>
            </w:pPr>
            <w:r w:rsidRPr="0053440C">
              <w:rPr>
                <w:sz w:val="24"/>
                <w:szCs w:val="24"/>
              </w:rPr>
              <w:t>71%</w:t>
            </w:r>
          </w:p>
        </w:tc>
      </w:tr>
    </w:tbl>
    <w:p w14:paraId="4161B4F3" w14:textId="77777777" w:rsidR="003259A0" w:rsidRDefault="00C06F5B"/>
    <w:sectPr w:rsidR="003259A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40CC6" w14:textId="77777777" w:rsidR="00AE4D9F" w:rsidRDefault="00AE4D9F" w:rsidP="009913FF">
      <w:pPr>
        <w:spacing w:after="0" w:line="240" w:lineRule="auto"/>
      </w:pPr>
      <w:r>
        <w:separator/>
      </w:r>
    </w:p>
  </w:endnote>
  <w:endnote w:type="continuationSeparator" w:id="0">
    <w:p w14:paraId="5EDA6FB7" w14:textId="77777777" w:rsidR="00AE4D9F" w:rsidRDefault="00AE4D9F" w:rsidP="00991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E6DF5" w14:textId="1CB464B8" w:rsidR="009913FF" w:rsidRPr="009913FF" w:rsidRDefault="002953E2" w:rsidP="002953E2">
    <w:pPr>
      <w:pStyle w:val="Footer"/>
    </w:pPr>
    <w:r>
      <w:rPr>
        <w:rFonts w:ascii="Arial" w:hAnsi="Arial" w:cs="Arial"/>
      </w:rPr>
      <w:t>June 23</w:t>
    </w:r>
    <w:r w:rsidR="009913FF">
      <w:rPr>
        <w:rFonts w:ascii="Arial" w:hAnsi="Arial" w:cs="Arial"/>
      </w:rPr>
      <w:t>, 2020</w:t>
    </w:r>
    <w:r w:rsidR="009913FF" w:rsidRPr="009913FF">
      <w:rPr>
        <w:rFonts w:ascii="Arial" w:hAnsi="Arial" w:cs="Arial"/>
      </w:rPr>
      <w:t xml:space="preserve"> – CCDA </w:t>
    </w:r>
    <w:r>
      <w:rPr>
        <w:rFonts w:ascii="Arial" w:hAnsi="Arial" w:cs="Arial"/>
      </w:rPr>
      <w:t>Education &amp; Outreach</w:t>
    </w:r>
    <w:r w:rsidR="009913FF" w:rsidRPr="009913FF">
      <w:rPr>
        <w:rFonts w:ascii="Arial" w:hAnsi="Arial" w:cs="Arial"/>
      </w:rPr>
      <w:t xml:space="preserve"> Committee – Support Document </w:t>
    </w:r>
    <w:r>
      <w:rPr>
        <w:rFonts w:ascii="Arial" w:hAnsi="Arial" w:cs="Arial"/>
      </w:rPr>
      <w:tab/>
    </w:r>
    <w:r w:rsidR="009913FF" w:rsidRPr="009913FF">
      <w:rPr>
        <w:rFonts w:ascii="Arial" w:hAnsi="Arial" w:cs="Arial"/>
      </w:rPr>
      <w:t xml:space="preserve"> </w:t>
    </w:r>
    <w:sdt>
      <w:sdtPr>
        <w:rPr>
          <w:rFonts w:ascii="Arial" w:hAnsi="Arial" w:cs="Arial"/>
        </w:rPr>
        <w:id w:val="-189157498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</w:rPr>
      </w:sdtEndPr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 w:cstheme="minorBidi"/>
            </w:rPr>
          </w:sdtEndPr>
          <w:sdtContent>
            <w:r w:rsidR="009913FF" w:rsidRPr="009913FF">
              <w:rPr>
                <w:rFonts w:ascii="Arial" w:hAnsi="Arial" w:cs="Arial"/>
              </w:rPr>
              <w:t xml:space="preserve">Page </w:t>
            </w:r>
            <w:r w:rsidR="009913FF" w:rsidRPr="009913FF">
              <w:rPr>
                <w:rFonts w:ascii="Arial" w:hAnsi="Arial" w:cs="Arial"/>
                <w:b/>
                <w:bCs/>
              </w:rPr>
              <w:fldChar w:fldCharType="begin"/>
            </w:r>
            <w:r w:rsidR="009913FF" w:rsidRPr="009913FF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9913FF" w:rsidRPr="009913FF">
              <w:rPr>
                <w:rFonts w:ascii="Arial" w:hAnsi="Arial" w:cs="Arial"/>
                <w:b/>
                <w:bCs/>
              </w:rPr>
              <w:fldChar w:fldCharType="separate"/>
            </w:r>
            <w:r w:rsidR="0075341C">
              <w:rPr>
                <w:rFonts w:ascii="Arial" w:hAnsi="Arial" w:cs="Arial"/>
                <w:b/>
                <w:bCs/>
                <w:noProof/>
              </w:rPr>
              <w:t>3</w:t>
            </w:r>
            <w:r w:rsidR="009913FF" w:rsidRPr="009913FF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9913FF" w:rsidRPr="009913FF">
              <w:rPr>
                <w:rFonts w:ascii="Arial" w:hAnsi="Arial" w:cs="Arial"/>
              </w:rPr>
              <w:t xml:space="preserve">of </w:t>
            </w:r>
            <w:r w:rsidR="009913FF" w:rsidRPr="009913FF">
              <w:rPr>
                <w:rFonts w:ascii="Arial" w:hAnsi="Arial" w:cs="Arial"/>
                <w:b/>
                <w:bCs/>
              </w:rPr>
              <w:fldChar w:fldCharType="begin"/>
            </w:r>
            <w:r w:rsidR="009913FF" w:rsidRPr="009913FF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9913FF" w:rsidRPr="009913FF">
              <w:rPr>
                <w:rFonts w:ascii="Arial" w:hAnsi="Arial" w:cs="Arial"/>
                <w:b/>
                <w:bCs/>
              </w:rPr>
              <w:fldChar w:fldCharType="separate"/>
            </w:r>
            <w:r w:rsidR="0075341C">
              <w:rPr>
                <w:rFonts w:ascii="Arial" w:hAnsi="Arial" w:cs="Arial"/>
                <w:b/>
                <w:bCs/>
                <w:noProof/>
              </w:rPr>
              <w:t>3</w:t>
            </w:r>
            <w:r w:rsidR="009913FF" w:rsidRPr="009913FF">
              <w:rPr>
                <w:rFonts w:ascii="Arial" w:hAnsi="Arial" w:cs="Arial"/>
                <w:b/>
                <w:bCs/>
              </w:rPr>
              <w:fldChar w:fldCharType="end"/>
            </w:r>
          </w:sdtContent>
        </w:sdt>
      </w:sdtContent>
    </w:sdt>
  </w:p>
  <w:p w14:paraId="261B25FB" w14:textId="207C1C82" w:rsidR="009913FF" w:rsidRPr="009913FF" w:rsidRDefault="009913FF" w:rsidP="00991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CE74C" w14:textId="77777777" w:rsidR="00AE4D9F" w:rsidRDefault="00AE4D9F" w:rsidP="009913FF">
      <w:pPr>
        <w:spacing w:after="0" w:line="240" w:lineRule="auto"/>
      </w:pPr>
      <w:r>
        <w:separator/>
      </w:r>
    </w:p>
  </w:footnote>
  <w:footnote w:type="continuationSeparator" w:id="0">
    <w:p w14:paraId="7CD29D9C" w14:textId="77777777" w:rsidR="00AE4D9F" w:rsidRDefault="00AE4D9F" w:rsidP="00991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150D3"/>
    <w:multiLevelType w:val="hybridMultilevel"/>
    <w:tmpl w:val="DB92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8F3"/>
    <w:rsid w:val="000753CF"/>
    <w:rsid w:val="00076A98"/>
    <w:rsid w:val="000C1D77"/>
    <w:rsid w:val="000F286E"/>
    <w:rsid w:val="000F4B36"/>
    <w:rsid w:val="00126F61"/>
    <w:rsid w:val="0015094C"/>
    <w:rsid w:val="001A0F6D"/>
    <w:rsid w:val="001D1FE4"/>
    <w:rsid w:val="001D7D16"/>
    <w:rsid w:val="001F7E4C"/>
    <w:rsid w:val="002073C8"/>
    <w:rsid w:val="002169CE"/>
    <w:rsid w:val="00254507"/>
    <w:rsid w:val="00281D2E"/>
    <w:rsid w:val="002953E2"/>
    <w:rsid w:val="002E2747"/>
    <w:rsid w:val="002E6020"/>
    <w:rsid w:val="00321081"/>
    <w:rsid w:val="003341CD"/>
    <w:rsid w:val="00371BC4"/>
    <w:rsid w:val="003E5AD1"/>
    <w:rsid w:val="00400C8F"/>
    <w:rsid w:val="00417153"/>
    <w:rsid w:val="0044418D"/>
    <w:rsid w:val="0046012E"/>
    <w:rsid w:val="00467D41"/>
    <w:rsid w:val="00480699"/>
    <w:rsid w:val="00483A83"/>
    <w:rsid w:val="004B7903"/>
    <w:rsid w:val="005038C4"/>
    <w:rsid w:val="00512FFE"/>
    <w:rsid w:val="00515C23"/>
    <w:rsid w:val="0053440C"/>
    <w:rsid w:val="00542F1F"/>
    <w:rsid w:val="00545B26"/>
    <w:rsid w:val="00547E82"/>
    <w:rsid w:val="005B70C4"/>
    <w:rsid w:val="005D6855"/>
    <w:rsid w:val="00605D9B"/>
    <w:rsid w:val="0062081C"/>
    <w:rsid w:val="006B6CF9"/>
    <w:rsid w:val="006C787F"/>
    <w:rsid w:val="006F7C98"/>
    <w:rsid w:val="0072364A"/>
    <w:rsid w:val="00733396"/>
    <w:rsid w:val="0075341C"/>
    <w:rsid w:val="0076690F"/>
    <w:rsid w:val="00786447"/>
    <w:rsid w:val="008300D9"/>
    <w:rsid w:val="008548F3"/>
    <w:rsid w:val="008647BF"/>
    <w:rsid w:val="00923982"/>
    <w:rsid w:val="009303CF"/>
    <w:rsid w:val="009678A9"/>
    <w:rsid w:val="009913FF"/>
    <w:rsid w:val="009A0561"/>
    <w:rsid w:val="00A37D82"/>
    <w:rsid w:val="00A47774"/>
    <w:rsid w:val="00A6509A"/>
    <w:rsid w:val="00A65A80"/>
    <w:rsid w:val="00A66C83"/>
    <w:rsid w:val="00AE4679"/>
    <w:rsid w:val="00AE4D9F"/>
    <w:rsid w:val="00AF09FB"/>
    <w:rsid w:val="00B010F7"/>
    <w:rsid w:val="00B25B20"/>
    <w:rsid w:val="00B31EC7"/>
    <w:rsid w:val="00B36F5B"/>
    <w:rsid w:val="00B96DEA"/>
    <w:rsid w:val="00BD1563"/>
    <w:rsid w:val="00BE04CA"/>
    <w:rsid w:val="00BE47F1"/>
    <w:rsid w:val="00BE66A5"/>
    <w:rsid w:val="00BE7DFD"/>
    <w:rsid w:val="00BF0985"/>
    <w:rsid w:val="00C06F5B"/>
    <w:rsid w:val="00C51874"/>
    <w:rsid w:val="00C60C36"/>
    <w:rsid w:val="00C74E2F"/>
    <w:rsid w:val="00C80C7B"/>
    <w:rsid w:val="00C9571F"/>
    <w:rsid w:val="00CB0437"/>
    <w:rsid w:val="00CB5BEC"/>
    <w:rsid w:val="00D11AE7"/>
    <w:rsid w:val="00D144EE"/>
    <w:rsid w:val="00D27B14"/>
    <w:rsid w:val="00D67C90"/>
    <w:rsid w:val="00D7700B"/>
    <w:rsid w:val="00DA47C0"/>
    <w:rsid w:val="00DA7873"/>
    <w:rsid w:val="00E43D78"/>
    <w:rsid w:val="00EC072D"/>
    <w:rsid w:val="00ED08B7"/>
    <w:rsid w:val="00ED2B70"/>
    <w:rsid w:val="00EE6317"/>
    <w:rsid w:val="00F03E90"/>
    <w:rsid w:val="00F11E5E"/>
    <w:rsid w:val="00F23DA0"/>
    <w:rsid w:val="00F46A35"/>
    <w:rsid w:val="00F62A7B"/>
    <w:rsid w:val="00F97851"/>
    <w:rsid w:val="00FC6E8C"/>
    <w:rsid w:val="00FE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DD46EBC"/>
  <w15:chartTrackingRefBased/>
  <w15:docId w15:val="{434E4E94-9075-4CAC-91A4-22145CAE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548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5">
    <w:name w:val="15"/>
    <w:basedOn w:val="TableNormal"/>
    <w:rsid w:val="008548F3"/>
    <w:pPr>
      <w:spacing w:after="0" w:line="276" w:lineRule="auto"/>
    </w:pPr>
    <w:rPr>
      <w:rFonts w:ascii="Arial" w:eastAsia="Arial" w:hAnsi="Arial" w:cs="Arial"/>
      <w:lang w:val="e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rsid w:val="008548F3"/>
    <w:pPr>
      <w:spacing w:after="0" w:line="276" w:lineRule="auto"/>
    </w:pPr>
    <w:rPr>
      <w:rFonts w:ascii="Arial" w:eastAsia="Arial" w:hAnsi="Arial" w:cs="Arial"/>
      <w:lang w:val="e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1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3FF"/>
  </w:style>
  <w:style w:type="paragraph" w:styleId="Footer">
    <w:name w:val="footer"/>
    <w:basedOn w:val="Normal"/>
    <w:link w:val="FooterChar"/>
    <w:uiPriority w:val="99"/>
    <w:unhideWhenUsed/>
    <w:rsid w:val="00991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3FF"/>
  </w:style>
  <w:style w:type="character" w:styleId="SubtleEmphasis">
    <w:name w:val="Subtle Emphasis"/>
    <w:basedOn w:val="DefaultParagraphFont"/>
    <w:uiPriority w:val="19"/>
    <w:qFormat/>
    <w:rsid w:val="00512FFE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417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1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1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1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98D196EF74A418226EE9EA042D955" ma:contentTypeVersion="13" ma:contentTypeDescription="Create a new document." ma:contentTypeScope="" ma:versionID="af07902d864539d5a59fbe3ab332e9e3">
  <xsd:schema xmlns:xsd="http://www.w3.org/2001/XMLSchema" xmlns:xs="http://www.w3.org/2001/XMLSchema" xmlns:p="http://schemas.microsoft.com/office/2006/metadata/properties" xmlns:ns3="d8b798bb-dd03-435f-8cdc-499acc8e0aad" xmlns:ns4="fe204f7f-0ba1-4671-aecd-92f378570d38" targetNamespace="http://schemas.microsoft.com/office/2006/metadata/properties" ma:root="true" ma:fieldsID="c20d20779e552dc708dd9f00ffa939c0" ns3:_="" ns4:_="">
    <xsd:import namespace="d8b798bb-dd03-435f-8cdc-499acc8e0aad"/>
    <xsd:import namespace="fe204f7f-0ba1-4671-aecd-92f378570d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798bb-dd03-435f-8cdc-499acc8e0a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04f7f-0ba1-4671-aecd-92f378570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2557EE-7C7D-4943-9170-BC2E8498D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798bb-dd03-435f-8cdc-499acc8e0aad"/>
    <ds:schemaRef ds:uri="fe204f7f-0ba1-4671-aecd-92f378570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878248-059E-44E8-B089-53888679C4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76721B-E056-4C5E-9768-D229374916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Chung, Dave@DGS</dc:creator>
  <cp:keywords/>
  <dc:description/>
  <cp:lastModifiedBy>Saenz, Davina@DGS</cp:lastModifiedBy>
  <cp:revision>2</cp:revision>
  <dcterms:created xsi:type="dcterms:W3CDTF">2020-06-16T19:46:00Z</dcterms:created>
  <dcterms:modified xsi:type="dcterms:W3CDTF">2020-06-16T19:46:00Z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0x0101005A898D196EF74A418226EE9EA042D955</vt:lpwstr>
  </property>
</Properties>
</file>