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63" w:rsidRPr="00067D12" w:rsidRDefault="00EB2B63" w:rsidP="00EB2B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bidi="en-US"/>
        </w:rPr>
      </w:pPr>
      <w:r w:rsidRPr="00067D12">
        <w:rPr>
          <w:rFonts w:ascii="Arial" w:hAnsi="Arial" w:cs="Arial"/>
          <w:b/>
          <w:sz w:val="28"/>
          <w:szCs w:val="28"/>
          <w:lang w:bidi="en-US"/>
        </w:rPr>
        <w:t>CALIFORNIA COMMISSION ON DISABILITY ACCESS</w:t>
      </w:r>
    </w:p>
    <w:p w:rsidR="00EB2B63" w:rsidRPr="00067D12" w:rsidRDefault="00EB2B63" w:rsidP="00EB2B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bidi="en-US"/>
        </w:rPr>
      </w:pPr>
    </w:p>
    <w:p w:rsidR="00EB2B63" w:rsidRPr="00067D12" w:rsidRDefault="00E541FA" w:rsidP="00EB2B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bidi="en-US"/>
        </w:rPr>
      </w:pPr>
      <w:r w:rsidRPr="00067D12">
        <w:rPr>
          <w:rFonts w:ascii="Arial" w:hAnsi="Arial" w:cs="Arial"/>
          <w:b/>
          <w:sz w:val="28"/>
          <w:szCs w:val="28"/>
          <w:lang w:bidi="en-US"/>
        </w:rPr>
        <w:t>CENTRAL VALLEY COMMUNITY GATHERING:</w:t>
      </w:r>
    </w:p>
    <w:p w:rsidR="00EB2B63" w:rsidRPr="00067D12" w:rsidRDefault="00E541FA" w:rsidP="00EB2B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bidi="en-US"/>
        </w:rPr>
      </w:pPr>
      <w:r w:rsidRPr="00067D12">
        <w:rPr>
          <w:rFonts w:ascii="Arial" w:hAnsi="Arial" w:cs="Arial"/>
          <w:b/>
          <w:sz w:val="28"/>
          <w:szCs w:val="28"/>
          <w:lang w:bidi="en-US"/>
        </w:rPr>
        <w:t>ADA ACCESS IN THE RESTAURANT INDUSTRY</w:t>
      </w:r>
    </w:p>
    <w:p w:rsidR="00EB2B63" w:rsidRPr="00067D12" w:rsidRDefault="00EB2B63" w:rsidP="00EB2B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bidi="en-US"/>
        </w:rPr>
      </w:pPr>
    </w:p>
    <w:p w:rsidR="00EB2B63" w:rsidRPr="00067D12" w:rsidRDefault="00B27651" w:rsidP="00EB2B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bidi="en-US"/>
        </w:rPr>
      </w:pPr>
      <w:r w:rsidRPr="00067D12">
        <w:rPr>
          <w:rFonts w:ascii="Arial" w:hAnsi="Arial" w:cs="Arial"/>
          <w:b/>
          <w:sz w:val="28"/>
          <w:szCs w:val="28"/>
          <w:lang w:bidi="en-US"/>
        </w:rPr>
        <w:t>November 14</w:t>
      </w:r>
      <w:r w:rsidR="00EB2B63" w:rsidRPr="00067D12">
        <w:rPr>
          <w:rFonts w:ascii="Arial" w:hAnsi="Arial" w:cs="Arial"/>
          <w:b/>
          <w:sz w:val="28"/>
          <w:szCs w:val="28"/>
          <w:lang w:bidi="en-US"/>
        </w:rPr>
        <w:t>, 201</w:t>
      </w:r>
      <w:r w:rsidRPr="00067D12">
        <w:rPr>
          <w:rFonts w:ascii="Arial" w:hAnsi="Arial" w:cs="Arial"/>
          <w:b/>
          <w:sz w:val="28"/>
          <w:szCs w:val="28"/>
          <w:lang w:bidi="en-US"/>
        </w:rPr>
        <w:t>8</w:t>
      </w:r>
    </w:p>
    <w:p w:rsidR="004E4FA7" w:rsidRPr="00067D12" w:rsidRDefault="004E4FA7" w:rsidP="00EB2B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bidi="en-US"/>
        </w:rPr>
      </w:pPr>
      <w:r w:rsidRPr="00067D12">
        <w:rPr>
          <w:rFonts w:ascii="Arial" w:hAnsi="Arial" w:cs="Arial"/>
          <w:b/>
          <w:sz w:val="28"/>
          <w:szCs w:val="28"/>
          <w:lang w:bidi="en-US"/>
        </w:rPr>
        <w:t>8:00 a.m. – 1:00 p.m.</w:t>
      </w:r>
    </w:p>
    <w:p w:rsidR="00EB2B63" w:rsidRPr="00067D12" w:rsidRDefault="00EB2B63" w:rsidP="00EB2B63">
      <w:p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</w:p>
    <w:p w:rsidR="003872FE" w:rsidRPr="00067D12" w:rsidRDefault="003872FE" w:rsidP="00EB2B63">
      <w:p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</w:p>
    <w:p w:rsidR="00EB2B63" w:rsidRPr="00067D12" w:rsidRDefault="00EB2B63" w:rsidP="00EB2B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067D12">
        <w:rPr>
          <w:rFonts w:ascii="Arial" w:hAnsi="Arial" w:cs="Arial"/>
          <w:b/>
          <w:sz w:val="24"/>
          <w:szCs w:val="24"/>
          <w:lang w:bidi="en-US"/>
        </w:rPr>
        <w:t xml:space="preserve">The </w:t>
      </w:r>
      <w:r w:rsidR="00B27651" w:rsidRPr="00067D12">
        <w:rPr>
          <w:rFonts w:ascii="Arial" w:hAnsi="Arial" w:cs="Arial"/>
          <w:b/>
          <w:sz w:val="24"/>
          <w:szCs w:val="24"/>
          <w:lang w:bidi="en-US"/>
        </w:rPr>
        <w:t>Falls Event Center</w:t>
      </w:r>
    </w:p>
    <w:p w:rsidR="00EB2B63" w:rsidRPr="00067D12" w:rsidRDefault="006861D5" w:rsidP="00EB2B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067D12">
        <w:rPr>
          <w:rFonts w:ascii="Arial" w:hAnsi="Arial" w:cs="Arial"/>
          <w:b/>
          <w:sz w:val="24"/>
          <w:szCs w:val="24"/>
          <w:lang w:bidi="en-US"/>
        </w:rPr>
        <w:t>4105 W Figarden Drive</w:t>
      </w:r>
    </w:p>
    <w:p w:rsidR="00EB2B63" w:rsidRDefault="006861D5" w:rsidP="00EB2B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067D12">
        <w:rPr>
          <w:rFonts w:ascii="Arial" w:hAnsi="Arial" w:cs="Arial"/>
          <w:b/>
          <w:sz w:val="24"/>
          <w:szCs w:val="24"/>
          <w:lang w:bidi="en-US"/>
        </w:rPr>
        <w:t>Fresno</w:t>
      </w:r>
      <w:r w:rsidR="00865390" w:rsidRPr="00067D12">
        <w:rPr>
          <w:rFonts w:ascii="Arial" w:hAnsi="Arial" w:cs="Arial"/>
          <w:b/>
          <w:sz w:val="24"/>
          <w:szCs w:val="24"/>
          <w:lang w:bidi="en-US"/>
        </w:rPr>
        <w:t>, CA</w:t>
      </w:r>
      <w:r w:rsidR="00EB2B63" w:rsidRPr="00067D12">
        <w:rPr>
          <w:rFonts w:ascii="Arial" w:hAnsi="Arial" w:cs="Arial"/>
          <w:b/>
          <w:sz w:val="24"/>
          <w:szCs w:val="24"/>
          <w:lang w:bidi="en-US"/>
        </w:rPr>
        <w:t xml:space="preserve"> 9</w:t>
      </w:r>
      <w:r w:rsidRPr="00067D12">
        <w:rPr>
          <w:rFonts w:ascii="Arial" w:hAnsi="Arial" w:cs="Arial"/>
          <w:b/>
          <w:sz w:val="24"/>
          <w:szCs w:val="24"/>
          <w:lang w:bidi="en-US"/>
        </w:rPr>
        <w:t>3722</w:t>
      </w:r>
    </w:p>
    <w:p w:rsidR="006436DB" w:rsidRPr="00067D12" w:rsidRDefault="006436DB" w:rsidP="00EB2B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p w:rsidR="00EB2B63" w:rsidRPr="00067D12" w:rsidRDefault="00EB2B63" w:rsidP="00EB2B63">
      <w:p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</w:p>
    <w:tbl>
      <w:tblPr>
        <w:tblStyle w:val="TableGrid"/>
        <w:tblW w:w="9990" w:type="dxa"/>
        <w:tblInd w:w="1435" w:type="dxa"/>
        <w:tblLook w:val="04A0" w:firstRow="1" w:lastRow="0" w:firstColumn="1" w:lastColumn="0" w:noHBand="0" w:noVBand="1"/>
        <w:tblCaption w:val="Attendees"/>
      </w:tblPr>
      <w:tblGrid>
        <w:gridCol w:w="5040"/>
        <w:gridCol w:w="4950"/>
      </w:tblGrid>
      <w:tr w:rsidR="006436DB" w:rsidTr="00CC52D3">
        <w:trPr>
          <w:tblHeader/>
        </w:trPr>
        <w:tc>
          <w:tcPr>
            <w:tcW w:w="5040" w:type="dxa"/>
          </w:tcPr>
          <w:p w:rsidR="006436DB" w:rsidRPr="006436DB" w:rsidRDefault="006436DB" w:rsidP="006436D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Commissioners Present:</w:t>
            </w:r>
          </w:p>
        </w:tc>
        <w:tc>
          <w:tcPr>
            <w:tcW w:w="4950" w:type="dxa"/>
          </w:tcPr>
          <w:p w:rsidR="006436DB" w:rsidRPr="006436DB" w:rsidRDefault="006436DB" w:rsidP="006436D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Staff Present:</w:t>
            </w:r>
          </w:p>
        </w:tc>
      </w:tr>
      <w:tr w:rsidR="006436DB" w:rsidTr="00CC52D3">
        <w:trPr>
          <w:tblHeader/>
        </w:trPr>
        <w:tc>
          <w:tcPr>
            <w:tcW w:w="5040" w:type="dxa"/>
          </w:tcPr>
          <w:p w:rsidR="006436DB" w:rsidRPr="00067D12" w:rsidRDefault="006436DB" w:rsidP="006436D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67D12">
              <w:rPr>
                <w:rFonts w:ascii="Arial" w:hAnsi="Arial" w:cs="Arial"/>
                <w:sz w:val="24"/>
                <w:szCs w:val="24"/>
                <w:lang w:bidi="en-US"/>
              </w:rPr>
              <w:t>Brian Holloway</w:t>
            </w:r>
          </w:p>
        </w:tc>
        <w:tc>
          <w:tcPr>
            <w:tcW w:w="4950" w:type="dxa"/>
          </w:tcPr>
          <w:p w:rsidR="006436DB" w:rsidRPr="00067D12" w:rsidRDefault="006436DB" w:rsidP="006436D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67D12">
              <w:rPr>
                <w:rFonts w:ascii="Arial" w:hAnsi="Arial" w:cs="Arial"/>
                <w:sz w:val="24"/>
                <w:szCs w:val="24"/>
                <w:lang w:bidi="en-US"/>
              </w:rPr>
              <w:t>Angela Jemmott, Executive Director</w:t>
            </w:r>
          </w:p>
        </w:tc>
      </w:tr>
      <w:tr w:rsidR="006436DB" w:rsidTr="00CC52D3">
        <w:trPr>
          <w:trHeight w:val="395"/>
          <w:tblHeader/>
        </w:trPr>
        <w:tc>
          <w:tcPr>
            <w:tcW w:w="5040" w:type="dxa"/>
          </w:tcPr>
          <w:p w:rsidR="006436DB" w:rsidRPr="00067D12" w:rsidRDefault="006436DB" w:rsidP="006436D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67D12">
              <w:rPr>
                <w:rFonts w:ascii="Arial" w:hAnsi="Arial" w:cs="Arial"/>
                <w:sz w:val="24"/>
                <w:szCs w:val="24"/>
                <w:lang w:bidi="en-US"/>
              </w:rPr>
              <w:t>Scott Lillibridge</w:t>
            </w:r>
          </w:p>
        </w:tc>
        <w:tc>
          <w:tcPr>
            <w:tcW w:w="4950" w:type="dxa"/>
          </w:tcPr>
          <w:p w:rsidR="006436DB" w:rsidRPr="00067D12" w:rsidRDefault="006436DB" w:rsidP="006436D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67D12">
              <w:rPr>
                <w:rFonts w:ascii="Arial" w:hAnsi="Arial" w:cs="Arial"/>
                <w:sz w:val="24"/>
                <w:szCs w:val="24"/>
                <w:lang w:bidi="en-US"/>
              </w:rPr>
              <w:t>LaCandice Ochoa, Operations Manager</w:t>
            </w:r>
          </w:p>
        </w:tc>
      </w:tr>
      <w:tr w:rsidR="006436DB" w:rsidTr="00CC52D3">
        <w:trPr>
          <w:tblHeader/>
        </w:trPr>
        <w:tc>
          <w:tcPr>
            <w:tcW w:w="5040" w:type="dxa"/>
          </w:tcPr>
          <w:p w:rsidR="006436DB" w:rsidRPr="00067D12" w:rsidRDefault="006436DB" w:rsidP="006436D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67D12">
              <w:rPr>
                <w:rFonts w:ascii="Arial" w:hAnsi="Arial" w:cs="Arial"/>
                <w:sz w:val="24"/>
                <w:szCs w:val="24"/>
                <w:lang w:bidi="en-US"/>
              </w:rPr>
              <w:t>Celia McGuinness</w:t>
            </w:r>
          </w:p>
        </w:tc>
        <w:tc>
          <w:tcPr>
            <w:tcW w:w="4950" w:type="dxa"/>
          </w:tcPr>
          <w:p w:rsidR="006436DB" w:rsidRDefault="006436DB" w:rsidP="006436D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67D12">
              <w:rPr>
                <w:rFonts w:ascii="Arial" w:hAnsi="Arial" w:cs="Arial"/>
                <w:sz w:val="24"/>
                <w:szCs w:val="24"/>
                <w:lang w:bidi="en-US"/>
              </w:rPr>
              <w:t>Taylor St. Mary, Marketing and Outreach Analyst</w:t>
            </w:r>
          </w:p>
          <w:p w:rsidR="006436DB" w:rsidRPr="00067D12" w:rsidRDefault="006436DB" w:rsidP="006436D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  <w:tr w:rsidR="006436DB" w:rsidTr="00CC52D3">
        <w:trPr>
          <w:tblHeader/>
        </w:trPr>
        <w:tc>
          <w:tcPr>
            <w:tcW w:w="5040" w:type="dxa"/>
          </w:tcPr>
          <w:p w:rsidR="006436DB" w:rsidRPr="00067D12" w:rsidRDefault="006436DB" w:rsidP="006436D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67D12">
              <w:rPr>
                <w:rFonts w:ascii="Arial" w:hAnsi="Arial" w:cs="Arial"/>
                <w:sz w:val="24"/>
                <w:szCs w:val="24"/>
                <w:lang w:bidi="en-US"/>
              </w:rPr>
              <w:t>Michael Paravagna</w:t>
            </w:r>
          </w:p>
        </w:tc>
        <w:tc>
          <w:tcPr>
            <w:tcW w:w="4950" w:type="dxa"/>
          </w:tcPr>
          <w:p w:rsidR="006436DB" w:rsidRDefault="006436DB" w:rsidP="006436D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67D12">
              <w:rPr>
                <w:rFonts w:ascii="Arial" w:hAnsi="Arial" w:cs="Arial"/>
                <w:sz w:val="24"/>
                <w:szCs w:val="24"/>
                <w:lang w:bidi="en-US"/>
              </w:rPr>
              <w:t>Dave Chung, Data and Research Analyst</w:t>
            </w:r>
          </w:p>
          <w:p w:rsidR="006436DB" w:rsidRPr="00067D12" w:rsidRDefault="006436DB" w:rsidP="006436D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  <w:tr w:rsidR="006436DB" w:rsidTr="00CC52D3">
        <w:trPr>
          <w:tblHeader/>
        </w:trPr>
        <w:tc>
          <w:tcPr>
            <w:tcW w:w="5040" w:type="dxa"/>
          </w:tcPr>
          <w:p w:rsidR="006436DB" w:rsidRPr="00067D12" w:rsidRDefault="006436DB" w:rsidP="006436D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067D12">
              <w:rPr>
                <w:rFonts w:ascii="Arial" w:hAnsi="Arial" w:cs="Arial"/>
                <w:sz w:val="24"/>
                <w:szCs w:val="24"/>
                <w:lang w:bidi="en-US"/>
              </w:rPr>
              <w:t>Karla Prieto</w:t>
            </w:r>
          </w:p>
        </w:tc>
        <w:tc>
          <w:tcPr>
            <w:tcW w:w="4950" w:type="dxa"/>
          </w:tcPr>
          <w:p w:rsidR="006436DB" w:rsidRPr="00067D12" w:rsidRDefault="006436DB" w:rsidP="006436D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</w:tbl>
    <w:p w:rsidR="006436DB" w:rsidRDefault="006436DB" w:rsidP="004E4FA7">
      <w:pPr>
        <w:spacing w:after="120" w:line="240" w:lineRule="auto"/>
        <w:rPr>
          <w:rFonts w:ascii="Arial" w:hAnsi="Arial" w:cs="Arial"/>
          <w:sz w:val="24"/>
          <w:szCs w:val="24"/>
          <w:lang w:bidi="en-US"/>
        </w:rPr>
      </w:pPr>
    </w:p>
    <w:p w:rsidR="006436DB" w:rsidRPr="00067D12" w:rsidRDefault="006436DB" w:rsidP="006436DB">
      <w:p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sz w:val="24"/>
          <w:szCs w:val="24"/>
          <w:lang w:bidi="en-US"/>
        </w:rPr>
        <w:br w:type="page"/>
      </w:r>
    </w:p>
    <w:p w:rsidR="00D1589C" w:rsidRDefault="00D1589C" w:rsidP="004E4FA7">
      <w:pPr>
        <w:spacing w:after="120" w:line="240" w:lineRule="auto"/>
        <w:rPr>
          <w:rFonts w:ascii="Arial" w:hAnsi="Arial" w:cs="Arial"/>
          <w:sz w:val="24"/>
          <w:szCs w:val="24"/>
          <w:lang w:bidi="en-US"/>
        </w:rPr>
      </w:pPr>
      <w:r w:rsidRPr="00067D12">
        <w:rPr>
          <w:rFonts w:ascii="Arial" w:hAnsi="Arial" w:cs="Arial"/>
          <w:sz w:val="24"/>
          <w:szCs w:val="24"/>
          <w:lang w:bidi="en-US"/>
        </w:rPr>
        <w:lastRenderedPageBreak/>
        <w:t>Table 1 outlines the participants represented at the Central Valley Community Gathering event by organization type</w:t>
      </w:r>
      <w:r w:rsidR="009714FC">
        <w:rPr>
          <w:rFonts w:ascii="Arial" w:hAnsi="Arial" w:cs="Arial"/>
          <w:sz w:val="24"/>
          <w:szCs w:val="24"/>
          <w:lang w:bidi="en-US"/>
        </w:rPr>
        <w:t xml:space="preserve"> and number</w:t>
      </w:r>
      <w:r w:rsidRPr="00067D12">
        <w:rPr>
          <w:rFonts w:ascii="Arial" w:hAnsi="Arial" w:cs="Arial"/>
          <w:sz w:val="24"/>
          <w:szCs w:val="24"/>
          <w:lang w:bidi="en-US"/>
        </w:rPr>
        <w:t>. The table also includes remote participants from the event live stream and the City of Porterville.</w:t>
      </w:r>
    </w:p>
    <w:p w:rsidR="006436DB" w:rsidRPr="006436DB" w:rsidRDefault="006436DB" w:rsidP="004E4FA7">
      <w:pPr>
        <w:spacing w:after="120" w:line="240" w:lineRule="auto"/>
        <w:rPr>
          <w:rFonts w:ascii="Arial" w:hAnsi="Arial" w:cs="Arial"/>
          <w:sz w:val="24"/>
          <w:szCs w:val="24"/>
          <w:lang w:bidi="en-US"/>
        </w:rPr>
      </w:pPr>
    </w:p>
    <w:p w:rsidR="006436DB" w:rsidRPr="006436DB" w:rsidRDefault="00D1589C" w:rsidP="006436D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6436DB">
        <w:rPr>
          <w:rFonts w:ascii="Arial" w:hAnsi="Arial" w:cs="Arial"/>
          <w:b/>
          <w:sz w:val="24"/>
          <w:szCs w:val="24"/>
          <w:lang w:bidi="en-US"/>
        </w:rPr>
        <w:t>Table 1: CCDA Central Valley Community Gathering Participants</w:t>
      </w:r>
    </w:p>
    <w:tbl>
      <w:tblPr>
        <w:tblStyle w:val="TableGrid"/>
        <w:tblW w:w="13675" w:type="dxa"/>
        <w:jc w:val="center"/>
        <w:tblLook w:val="04A0" w:firstRow="1" w:lastRow="0" w:firstColumn="1" w:lastColumn="0" w:noHBand="0" w:noVBand="1"/>
        <w:tblCaption w:val="CCDA Central Valley Community Gathering Participants"/>
      </w:tblPr>
      <w:tblGrid>
        <w:gridCol w:w="1605"/>
        <w:gridCol w:w="1809"/>
        <w:gridCol w:w="3445"/>
        <w:gridCol w:w="2137"/>
        <w:gridCol w:w="2831"/>
        <w:gridCol w:w="1848"/>
      </w:tblGrid>
      <w:tr w:rsidR="00CC52D3" w:rsidRPr="006436DB" w:rsidTr="00CC52D3">
        <w:trPr>
          <w:tblHeader/>
          <w:jc w:val="center"/>
        </w:trPr>
        <w:tc>
          <w:tcPr>
            <w:tcW w:w="1605" w:type="dxa"/>
            <w:vAlign w:val="center"/>
          </w:tcPr>
          <w:p w:rsidR="006436DB" w:rsidRPr="006436DB" w:rsidRDefault="006436DB" w:rsidP="006436D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 w:rsidRPr="006436DB">
              <w:rPr>
                <w:rFonts w:ascii="Arial" w:hAnsi="Arial" w:cs="Arial"/>
                <w:b/>
                <w:sz w:val="24"/>
                <w:szCs w:val="24"/>
                <w:lang w:bidi="en-US"/>
              </w:rPr>
              <w:t>Business</w:t>
            </w:r>
          </w:p>
        </w:tc>
        <w:tc>
          <w:tcPr>
            <w:tcW w:w="1810" w:type="dxa"/>
            <w:vAlign w:val="center"/>
          </w:tcPr>
          <w:p w:rsidR="006436DB" w:rsidRPr="006436DB" w:rsidRDefault="006436DB" w:rsidP="006436D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 w:rsidRPr="006436DB">
              <w:rPr>
                <w:rFonts w:ascii="Arial" w:hAnsi="Arial" w:cs="Arial"/>
                <w:b/>
                <w:sz w:val="24"/>
                <w:szCs w:val="24"/>
                <w:lang w:bidi="en-US"/>
              </w:rPr>
              <w:t>Disability</w:t>
            </w:r>
          </w:p>
        </w:tc>
        <w:tc>
          <w:tcPr>
            <w:tcW w:w="3780" w:type="dxa"/>
            <w:vAlign w:val="center"/>
          </w:tcPr>
          <w:p w:rsidR="006436DB" w:rsidRPr="006436DB" w:rsidRDefault="006436DB" w:rsidP="006436D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 w:rsidRPr="006436DB">
              <w:rPr>
                <w:rFonts w:ascii="Arial" w:hAnsi="Arial" w:cs="Arial"/>
                <w:b/>
                <w:sz w:val="24"/>
                <w:szCs w:val="24"/>
                <w:lang w:bidi="en-US"/>
              </w:rPr>
              <w:t>G</w:t>
            </w:r>
            <w:r w:rsidRPr="006436DB">
              <w:rPr>
                <w:rFonts w:ascii="Arial" w:hAnsi="Arial" w:cs="Arial"/>
                <w:b/>
                <w:sz w:val="24"/>
                <w:szCs w:val="24"/>
                <w:lang w:bidi="en-US"/>
              </w:rPr>
              <w:t>overnment</w:t>
            </w:r>
          </w:p>
        </w:tc>
        <w:tc>
          <w:tcPr>
            <w:tcW w:w="2340" w:type="dxa"/>
            <w:vAlign w:val="center"/>
          </w:tcPr>
          <w:p w:rsidR="006436DB" w:rsidRPr="006436DB" w:rsidRDefault="006436DB" w:rsidP="006436D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 w:rsidRPr="006436DB">
              <w:rPr>
                <w:rFonts w:ascii="Arial" w:hAnsi="Arial" w:cs="Arial"/>
                <w:b/>
                <w:sz w:val="24"/>
                <w:szCs w:val="24"/>
                <w:lang w:bidi="en-US"/>
              </w:rPr>
              <w:t>Legal</w:t>
            </w:r>
          </w:p>
        </w:tc>
        <w:tc>
          <w:tcPr>
            <w:tcW w:w="2216" w:type="dxa"/>
            <w:vAlign w:val="center"/>
          </w:tcPr>
          <w:p w:rsidR="006436DB" w:rsidRPr="006436DB" w:rsidRDefault="006436DB" w:rsidP="006436D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 w:rsidRPr="006436DB">
              <w:rPr>
                <w:rFonts w:ascii="Arial" w:hAnsi="Arial" w:cs="Arial"/>
                <w:b/>
                <w:sz w:val="24"/>
                <w:szCs w:val="24"/>
                <w:lang w:bidi="en-US"/>
              </w:rPr>
              <w:t>Professional/Technical</w:t>
            </w:r>
          </w:p>
        </w:tc>
        <w:tc>
          <w:tcPr>
            <w:tcW w:w="1924" w:type="dxa"/>
            <w:vAlign w:val="center"/>
          </w:tcPr>
          <w:p w:rsidR="006436DB" w:rsidRPr="006436DB" w:rsidRDefault="006436DB" w:rsidP="006436D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 w:rsidRPr="006436DB">
              <w:rPr>
                <w:rFonts w:ascii="Arial" w:hAnsi="Arial" w:cs="Arial"/>
                <w:b/>
                <w:sz w:val="24"/>
                <w:szCs w:val="24"/>
                <w:lang w:bidi="en-US"/>
              </w:rPr>
              <w:t>Remote</w:t>
            </w:r>
          </w:p>
        </w:tc>
      </w:tr>
      <w:tr w:rsidR="00CC52D3" w:rsidRPr="006436DB" w:rsidTr="00CC52D3">
        <w:trPr>
          <w:tblHeader/>
          <w:jc w:val="center"/>
        </w:trPr>
        <w:tc>
          <w:tcPr>
            <w:tcW w:w="1605" w:type="dxa"/>
          </w:tcPr>
          <w:p w:rsidR="006436DB" w:rsidRPr="006436DB" w:rsidRDefault="006436DB" w:rsidP="006436DB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Access Capital (1)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Benaddiction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(2),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Hotel Piccadilly (1)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Sabores Mexican Cocina (2)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Sal’s Mexican Restaurant (2)</w:t>
            </w:r>
          </w:p>
          <w:p w:rsidR="006436DB" w:rsidRPr="006436DB" w:rsidRDefault="006436DB" w:rsidP="006436D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</w:p>
        </w:tc>
        <w:tc>
          <w:tcPr>
            <w:tcW w:w="1810" w:type="dxa"/>
          </w:tcPr>
          <w:p w:rsidR="006436DB" w:rsidRPr="006436DB" w:rsidRDefault="006436DB" w:rsidP="006436DB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Deaf and Hard of Hearing Service Center (2)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 xml:space="preserve">Disability Advisory Commission (DAC)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(1),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Resources for Independence, Central Valley (2)</w:t>
            </w:r>
          </w:p>
          <w:p w:rsidR="006436DB" w:rsidRPr="006436DB" w:rsidRDefault="006436DB" w:rsidP="006436D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</w:p>
        </w:tc>
        <w:tc>
          <w:tcPr>
            <w:tcW w:w="3780" w:type="dxa"/>
          </w:tcPr>
          <w:p w:rsidR="006436DB" w:rsidRPr="006436DB" w:rsidRDefault="006436DB" w:rsidP="006436DB">
            <w:pPr>
              <w:spacing w:after="120" w:line="240" w:lineRule="auto"/>
              <w:ind w:left="166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California Pollution Control Financing Authority (3)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City of Avenal (2)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City of Dinuba (2)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City of Fresno (2)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City of Reedly (1)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City of Selma (1)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City of Visalia (2)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County of Fresno (1)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Department of General Services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(2),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Department of General Services - Division of the State Architect (1)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Department of Rehabilitation (1)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Office of Assemblymember Arambula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(1),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Office of Assemblymember Mathis (2)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Office of Assemblymember Jim Patterson (1)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Office of Senator Tom Berryhill (1)</w:t>
            </w:r>
          </w:p>
        </w:tc>
        <w:tc>
          <w:tcPr>
            <w:tcW w:w="2340" w:type="dxa"/>
          </w:tcPr>
          <w:p w:rsidR="006436DB" w:rsidRPr="006436DB" w:rsidRDefault="006436DB" w:rsidP="006436DB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Berlin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er Coh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en, LLP (2)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Gibbens &amp; Associates, LLC (1)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Hatmaker Law Group (1)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Robina Wright Architect &amp; Associates (2)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Vaughn and Associates Law Offices (1)</w:t>
            </w:r>
          </w:p>
          <w:p w:rsidR="006436DB" w:rsidRPr="006436DB" w:rsidRDefault="006436DB" w:rsidP="006436D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bookmarkStart w:id="0" w:name="_GoBack"/>
            <w:bookmarkEnd w:id="0"/>
          </w:p>
        </w:tc>
        <w:tc>
          <w:tcPr>
            <w:tcW w:w="2216" w:type="dxa"/>
          </w:tcPr>
          <w:p w:rsidR="006436DB" w:rsidRPr="006436DB" w:rsidRDefault="006436DB" w:rsidP="006436DB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Certified Access Specialist Institute (CASI) (1)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 xml:space="preserve">Disability Access Specialists, Inc.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(1),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Jensen Hughes (2)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Kelly Bray CASp Services (1)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Ramp Co., USA (1)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SZS Engineering Access Inc. (1)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The Taylor Group Architects (1)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W.W. Enterprises (1)</w:t>
            </w:r>
          </w:p>
          <w:p w:rsidR="006436DB" w:rsidRPr="006436DB" w:rsidRDefault="006436DB" w:rsidP="006436D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</w:p>
        </w:tc>
        <w:tc>
          <w:tcPr>
            <w:tcW w:w="1924" w:type="dxa"/>
          </w:tcPr>
          <w:p w:rsidR="006436DB" w:rsidRPr="006436DB" w:rsidRDefault="006436DB" w:rsidP="006436DB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City of Porterville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(13 participants), </w:t>
            </w:r>
            <w:r w:rsidRPr="006436DB">
              <w:rPr>
                <w:rFonts w:ascii="Arial" w:hAnsi="Arial" w:cs="Arial"/>
                <w:sz w:val="24"/>
                <w:szCs w:val="24"/>
                <w:lang w:bidi="en-US"/>
              </w:rPr>
              <w:t>Livestream (11 participants)</w:t>
            </w:r>
          </w:p>
          <w:p w:rsidR="006436DB" w:rsidRPr="006436DB" w:rsidRDefault="006436DB" w:rsidP="006436D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</w:p>
        </w:tc>
      </w:tr>
    </w:tbl>
    <w:p w:rsidR="004E4FA7" w:rsidRPr="006436DB" w:rsidRDefault="004E4FA7" w:rsidP="00BD0B31">
      <w:pPr>
        <w:spacing w:after="120" w:line="240" w:lineRule="auto"/>
        <w:rPr>
          <w:rFonts w:ascii="Arial" w:hAnsi="Arial" w:cs="Arial"/>
          <w:sz w:val="24"/>
          <w:szCs w:val="24"/>
          <w:lang w:bidi="en-US"/>
        </w:rPr>
      </w:pPr>
    </w:p>
    <w:sectPr w:rsidR="004E4FA7" w:rsidRPr="006436DB" w:rsidSect="00072B00">
      <w:headerReference w:type="default" r:id="rId7"/>
      <w:footerReference w:type="default" r:id="rId8"/>
      <w:footerReference w:type="first" r:id="rId9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508" w:rsidRDefault="001C6508" w:rsidP="00EB2B63">
      <w:pPr>
        <w:spacing w:after="0" w:line="240" w:lineRule="auto"/>
      </w:pPr>
      <w:r>
        <w:separator/>
      </w:r>
    </w:p>
  </w:endnote>
  <w:endnote w:type="continuationSeparator" w:id="0">
    <w:p w:rsidR="001C6508" w:rsidRDefault="001C6508" w:rsidP="00EB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20" w:rsidRPr="003A2A1D" w:rsidRDefault="00072B00" w:rsidP="003A2A1D">
    <w:pPr>
      <w:pStyle w:val="Footer"/>
      <w:tabs>
        <w:tab w:val="left" w:pos="10065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December 10, 2018 – CCDA Education and Outreach Committee Meeting – Support Document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3A2A1D">
      <w:rPr>
        <w:rFonts w:ascii="Arial" w:hAnsi="Arial" w:cs="Arial"/>
        <w:lang w:val="en-US"/>
      </w:rPr>
      <w:tab/>
    </w:r>
    <w:r w:rsidRPr="00072B00">
      <w:rPr>
        <w:rFonts w:ascii="Arial" w:hAnsi="Arial" w:cs="Arial"/>
        <w:lang w:val="en-US"/>
      </w:rPr>
      <w:t xml:space="preserve">Page </w:t>
    </w:r>
    <w:r w:rsidRPr="00072B00">
      <w:rPr>
        <w:rFonts w:ascii="Arial" w:hAnsi="Arial" w:cs="Arial"/>
        <w:bCs/>
        <w:lang w:val="en-US"/>
      </w:rPr>
      <w:fldChar w:fldCharType="begin"/>
    </w:r>
    <w:r w:rsidRPr="00072B00">
      <w:rPr>
        <w:rFonts w:ascii="Arial" w:hAnsi="Arial" w:cs="Arial"/>
        <w:bCs/>
        <w:lang w:val="en-US"/>
      </w:rPr>
      <w:instrText xml:space="preserve"> PAGE  \* Arabic  \* MERGEFORMAT </w:instrText>
    </w:r>
    <w:r w:rsidRPr="00072B00">
      <w:rPr>
        <w:rFonts w:ascii="Arial" w:hAnsi="Arial" w:cs="Arial"/>
        <w:bCs/>
        <w:lang w:val="en-US"/>
      </w:rPr>
      <w:fldChar w:fldCharType="separate"/>
    </w:r>
    <w:r w:rsidR="001C6508">
      <w:rPr>
        <w:rFonts w:ascii="Arial" w:hAnsi="Arial" w:cs="Arial"/>
        <w:bCs/>
        <w:noProof/>
        <w:lang w:val="en-US"/>
      </w:rPr>
      <w:t>1</w:t>
    </w:r>
    <w:r w:rsidRPr="00072B00">
      <w:rPr>
        <w:rFonts w:ascii="Arial" w:hAnsi="Arial" w:cs="Arial"/>
        <w:bCs/>
        <w:lang w:val="en-US"/>
      </w:rPr>
      <w:fldChar w:fldCharType="end"/>
    </w:r>
    <w:r w:rsidRPr="00072B00">
      <w:rPr>
        <w:rFonts w:ascii="Arial" w:hAnsi="Arial" w:cs="Arial"/>
        <w:lang w:val="en-US"/>
      </w:rPr>
      <w:t xml:space="preserve"> of </w:t>
    </w:r>
    <w:r w:rsidRPr="00072B00">
      <w:rPr>
        <w:rFonts w:ascii="Arial" w:hAnsi="Arial" w:cs="Arial"/>
        <w:bCs/>
        <w:lang w:val="en-US"/>
      </w:rPr>
      <w:fldChar w:fldCharType="begin"/>
    </w:r>
    <w:r w:rsidRPr="00072B00">
      <w:rPr>
        <w:rFonts w:ascii="Arial" w:hAnsi="Arial" w:cs="Arial"/>
        <w:bCs/>
        <w:lang w:val="en-US"/>
      </w:rPr>
      <w:instrText xml:space="preserve"> NUMPAGES  \* Arabic  \* MERGEFORMAT </w:instrText>
    </w:r>
    <w:r w:rsidRPr="00072B00">
      <w:rPr>
        <w:rFonts w:ascii="Arial" w:hAnsi="Arial" w:cs="Arial"/>
        <w:bCs/>
        <w:lang w:val="en-US"/>
      </w:rPr>
      <w:fldChar w:fldCharType="separate"/>
    </w:r>
    <w:r w:rsidR="001C6508">
      <w:rPr>
        <w:rFonts w:ascii="Arial" w:hAnsi="Arial" w:cs="Arial"/>
        <w:bCs/>
        <w:noProof/>
        <w:lang w:val="en-US"/>
      </w:rPr>
      <w:t>1</w:t>
    </w:r>
    <w:r w:rsidRPr="00072B00">
      <w:rPr>
        <w:rFonts w:ascii="Arial" w:hAnsi="Arial" w:cs="Arial"/>
        <w:bCs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B00" w:rsidRPr="003A2A1D" w:rsidRDefault="00072B00">
    <w:pPr>
      <w:pStyle w:val="Foo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December 10, 2018 – CCDA Education and Outreach Committee Meeting – Support Document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072B00">
      <w:rPr>
        <w:rFonts w:ascii="Arial" w:hAnsi="Arial" w:cs="Arial"/>
        <w:lang w:val="en-US"/>
      </w:rPr>
      <w:t xml:space="preserve">Page </w:t>
    </w:r>
    <w:r w:rsidRPr="003A2A1D">
      <w:rPr>
        <w:rFonts w:ascii="Arial" w:hAnsi="Arial" w:cs="Arial"/>
        <w:bCs/>
        <w:lang w:val="en-US"/>
      </w:rPr>
      <w:fldChar w:fldCharType="begin"/>
    </w:r>
    <w:r w:rsidRPr="003A2A1D">
      <w:rPr>
        <w:rFonts w:ascii="Arial" w:hAnsi="Arial" w:cs="Arial"/>
        <w:bCs/>
        <w:lang w:val="en-US"/>
      </w:rPr>
      <w:instrText xml:space="preserve"> PAGE  \* Arabic  \* MERGEFORMAT </w:instrText>
    </w:r>
    <w:r w:rsidRPr="003A2A1D">
      <w:rPr>
        <w:rFonts w:ascii="Arial" w:hAnsi="Arial" w:cs="Arial"/>
        <w:bCs/>
        <w:lang w:val="en-US"/>
      </w:rPr>
      <w:fldChar w:fldCharType="separate"/>
    </w:r>
    <w:r>
      <w:rPr>
        <w:rFonts w:ascii="Arial" w:hAnsi="Arial" w:cs="Arial"/>
        <w:bCs/>
        <w:noProof/>
        <w:lang w:val="en-US"/>
      </w:rPr>
      <w:t>1</w:t>
    </w:r>
    <w:r w:rsidRPr="003A2A1D">
      <w:rPr>
        <w:rFonts w:ascii="Arial" w:hAnsi="Arial" w:cs="Arial"/>
        <w:bCs/>
        <w:lang w:val="en-US"/>
      </w:rPr>
      <w:fldChar w:fldCharType="end"/>
    </w:r>
    <w:r w:rsidRPr="00072B00">
      <w:rPr>
        <w:rFonts w:ascii="Arial" w:hAnsi="Arial" w:cs="Arial"/>
        <w:lang w:val="en-US"/>
      </w:rPr>
      <w:t xml:space="preserve"> of </w:t>
    </w:r>
    <w:r w:rsidRPr="00072B00">
      <w:rPr>
        <w:rFonts w:ascii="Arial" w:hAnsi="Arial" w:cs="Arial"/>
        <w:bCs/>
        <w:lang w:val="en-US"/>
      </w:rPr>
      <w:fldChar w:fldCharType="begin"/>
    </w:r>
    <w:r w:rsidRPr="00072B00">
      <w:rPr>
        <w:rFonts w:ascii="Arial" w:hAnsi="Arial" w:cs="Arial"/>
        <w:bCs/>
        <w:lang w:val="en-US"/>
      </w:rPr>
      <w:instrText xml:space="preserve"> NUMPAGES  \* Arabic  \* MERGEFORMAT </w:instrText>
    </w:r>
    <w:r w:rsidRPr="00072B00">
      <w:rPr>
        <w:rFonts w:ascii="Arial" w:hAnsi="Arial" w:cs="Arial"/>
        <w:bCs/>
        <w:lang w:val="en-US"/>
      </w:rPr>
      <w:fldChar w:fldCharType="separate"/>
    </w:r>
    <w:r>
      <w:rPr>
        <w:rFonts w:ascii="Arial" w:hAnsi="Arial" w:cs="Arial"/>
        <w:bCs/>
        <w:noProof/>
        <w:lang w:val="en-US"/>
      </w:rPr>
      <w:t>3</w:t>
    </w:r>
    <w:r w:rsidRPr="00072B00">
      <w:rPr>
        <w:rFonts w:ascii="Arial" w:hAnsi="Arial" w:cs="Arial"/>
        <w:bCs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508" w:rsidRDefault="001C6508" w:rsidP="00EB2B63">
      <w:pPr>
        <w:spacing w:after="0" w:line="240" w:lineRule="auto"/>
      </w:pPr>
      <w:r>
        <w:separator/>
      </w:r>
    </w:p>
  </w:footnote>
  <w:footnote w:type="continuationSeparator" w:id="0">
    <w:p w:rsidR="001C6508" w:rsidRDefault="001C6508" w:rsidP="00EB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B63" w:rsidRPr="00EB2B63" w:rsidRDefault="00E63D54" w:rsidP="00EB2B63">
    <w:pPr>
      <w:tabs>
        <w:tab w:val="center" w:pos="4680"/>
        <w:tab w:val="right" w:pos="9360"/>
      </w:tabs>
      <w:spacing w:after="0" w:line="240" w:lineRule="auto"/>
      <w:jc w:val="center"/>
      <w:rPr>
        <w:rFonts w:ascii="Tahoma" w:hAnsi="Tahoma" w:cs="Tahoma"/>
        <w:b/>
        <w:sz w:val="24"/>
        <w:szCs w:val="24"/>
        <w:lang w:bidi="en-US"/>
      </w:rPr>
    </w:pPr>
    <w:r w:rsidRPr="00EB2B63">
      <w:rPr>
        <w:rFonts w:ascii="Tahoma" w:hAnsi="Tahoma" w:cs="Tahoma"/>
        <w:b/>
        <w:sz w:val="24"/>
        <w:szCs w:val="24"/>
        <w:lang w:bidi="en-US"/>
      </w:rPr>
      <w:t xml:space="preserve">California Commission </w:t>
    </w:r>
    <w:r>
      <w:rPr>
        <w:rFonts w:ascii="Tahoma" w:hAnsi="Tahoma" w:cs="Tahoma"/>
        <w:b/>
        <w:sz w:val="24"/>
        <w:szCs w:val="24"/>
        <w:lang w:bidi="en-US"/>
      </w:rPr>
      <w:t>o</w:t>
    </w:r>
    <w:r w:rsidRPr="00EB2B63">
      <w:rPr>
        <w:rFonts w:ascii="Tahoma" w:hAnsi="Tahoma" w:cs="Tahoma"/>
        <w:b/>
        <w:sz w:val="24"/>
        <w:szCs w:val="24"/>
        <w:lang w:bidi="en-US"/>
      </w:rPr>
      <w:t>n Disability Access</w:t>
    </w:r>
  </w:p>
  <w:p w:rsidR="003E62C4" w:rsidRPr="003E62C4" w:rsidRDefault="003E62C4" w:rsidP="003E62C4">
    <w:pPr>
      <w:tabs>
        <w:tab w:val="center" w:pos="4680"/>
        <w:tab w:val="right" w:pos="9360"/>
      </w:tabs>
      <w:spacing w:after="0" w:line="240" w:lineRule="auto"/>
      <w:jc w:val="center"/>
      <w:rPr>
        <w:rFonts w:ascii="Tahoma" w:hAnsi="Tahoma" w:cs="Tahoma"/>
        <w:b/>
        <w:sz w:val="24"/>
        <w:szCs w:val="24"/>
        <w:lang w:bidi="en-US"/>
      </w:rPr>
    </w:pPr>
    <w:r>
      <w:rPr>
        <w:rFonts w:ascii="Tahoma" w:hAnsi="Tahoma" w:cs="Tahoma"/>
        <w:b/>
        <w:sz w:val="24"/>
        <w:szCs w:val="24"/>
        <w:lang w:bidi="en-US"/>
      </w:rPr>
      <w:t>Central Valley Community Gathering:</w:t>
    </w:r>
    <w:r w:rsidR="004173A4">
      <w:rPr>
        <w:rFonts w:ascii="Tahoma" w:hAnsi="Tahoma" w:cs="Tahoma"/>
        <w:b/>
        <w:sz w:val="24"/>
        <w:szCs w:val="24"/>
        <w:lang w:bidi="en-US"/>
      </w:rPr>
      <w:t xml:space="preserve"> </w:t>
    </w:r>
    <w:r w:rsidR="0041249F">
      <w:rPr>
        <w:rFonts w:ascii="Tahoma" w:hAnsi="Tahoma" w:cs="Tahoma"/>
        <w:b/>
        <w:sz w:val="24"/>
        <w:szCs w:val="24"/>
        <w:lang w:bidi="en-US"/>
      </w:rPr>
      <w:t>ADA</w:t>
    </w:r>
    <w:r w:rsidRPr="003E62C4">
      <w:rPr>
        <w:rFonts w:ascii="Tahoma" w:hAnsi="Tahoma" w:cs="Tahoma"/>
        <w:b/>
        <w:sz w:val="24"/>
        <w:szCs w:val="24"/>
        <w:lang w:bidi="en-US"/>
      </w:rPr>
      <w:t xml:space="preserve"> Access in the Restaurant Industry</w:t>
    </w:r>
  </w:p>
  <w:p w:rsidR="00EB2B63" w:rsidRPr="00EB2B63" w:rsidRDefault="00E63D54" w:rsidP="00EB2B63">
    <w:pPr>
      <w:tabs>
        <w:tab w:val="center" w:pos="4680"/>
        <w:tab w:val="right" w:pos="9360"/>
      </w:tabs>
      <w:spacing w:after="0" w:line="240" w:lineRule="auto"/>
      <w:jc w:val="center"/>
      <w:rPr>
        <w:rFonts w:ascii="Tahoma" w:hAnsi="Tahoma" w:cs="Tahoma"/>
        <w:b/>
        <w:sz w:val="24"/>
        <w:szCs w:val="24"/>
        <w:lang w:bidi="en-US"/>
      </w:rPr>
    </w:pPr>
    <w:r>
      <w:rPr>
        <w:rFonts w:ascii="Tahoma" w:hAnsi="Tahoma" w:cs="Tahoma"/>
        <w:b/>
        <w:sz w:val="24"/>
        <w:szCs w:val="24"/>
        <w:lang w:bidi="en-US"/>
      </w:rPr>
      <w:t>November</w:t>
    </w:r>
    <w:r w:rsidRPr="00EB2B63">
      <w:rPr>
        <w:rFonts w:ascii="Tahoma" w:hAnsi="Tahoma" w:cs="Tahoma"/>
        <w:b/>
        <w:sz w:val="24"/>
        <w:szCs w:val="24"/>
        <w:lang w:bidi="en-US"/>
      </w:rPr>
      <w:t xml:space="preserve"> 1</w:t>
    </w:r>
    <w:r>
      <w:rPr>
        <w:rFonts w:ascii="Tahoma" w:hAnsi="Tahoma" w:cs="Tahoma"/>
        <w:b/>
        <w:sz w:val="24"/>
        <w:szCs w:val="24"/>
        <w:lang w:bidi="en-US"/>
      </w:rPr>
      <w:t>4</w:t>
    </w:r>
    <w:r w:rsidRPr="00EB2B63">
      <w:rPr>
        <w:rFonts w:ascii="Tahoma" w:hAnsi="Tahoma" w:cs="Tahoma"/>
        <w:b/>
        <w:sz w:val="24"/>
        <w:szCs w:val="24"/>
        <w:lang w:bidi="en-US"/>
      </w:rPr>
      <w:t>, 201</w:t>
    </w:r>
    <w:r>
      <w:rPr>
        <w:rFonts w:ascii="Tahoma" w:hAnsi="Tahoma" w:cs="Tahoma"/>
        <w:b/>
        <w:sz w:val="24"/>
        <w:szCs w:val="24"/>
        <w:lang w:bidi="en-US"/>
      </w:rPr>
      <w:t>8</w:t>
    </w:r>
    <w:r w:rsidRPr="00EB2B63">
      <w:rPr>
        <w:rFonts w:ascii="Tahoma" w:hAnsi="Tahoma" w:cs="Tahoma"/>
        <w:b/>
        <w:sz w:val="24"/>
        <w:szCs w:val="24"/>
        <w:lang w:bidi="en-US"/>
      </w:rPr>
      <w:t xml:space="preserve">, </w:t>
    </w:r>
    <w:r>
      <w:rPr>
        <w:rFonts w:ascii="Tahoma" w:hAnsi="Tahoma" w:cs="Tahoma"/>
        <w:b/>
        <w:sz w:val="24"/>
        <w:szCs w:val="24"/>
        <w:lang w:bidi="en-US"/>
      </w:rPr>
      <w:t>Summary</w:t>
    </w:r>
  </w:p>
  <w:p w:rsidR="00EB2B63" w:rsidRDefault="00EB2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D32"/>
    <w:multiLevelType w:val="hybridMultilevel"/>
    <w:tmpl w:val="1A965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4F6CD7"/>
    <w:multiLevelType w:val="hybridMultilevel"/>
    <w:tmpl w:val="7960C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1028"/>
    <w:multiLevelType w:val="hybridMultilevel"/>
    <w:tmpl w:val="EDCE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B5B7F"/>
    <w:multiLevelType w:val="hybridMultilevel"/>
    <w:tmpl w:val="924A84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B87B89"/>
    <w:multiLevelType w:val="hybridMultilevel"/>
    <w:tmpl w:val="06F2B26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291F53A9"/>
    <w:multiLevelType w:val="hybridMultilevel"/>
    <w:tmpl w:val="9FAC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E7E0D"/>
    <w:multiLevelType w:val="hybridMultilevel"/>
    <w:tmpl w:val="37588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492936"/>
    <w:multiLevelType w:val="hybridMultilevel"/>
    <w:tmpl w:val="2052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5412C"/>
    <w:multiLevelType w:val="hybridMultilevel"/>
    <w:tmpl w:val="D58AA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83141"/>
    <w:multiLevelType w:val="hybridMultilevel"/>
    <w:tmpl w:val="83D0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94531"/>
    <w:multiLevelType w:val="hybridMultilevel"/>
    <w:tmpl w:val="5C1AB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1C11B2"/>
    <w:multiLevelType w:val="hybridMultilevel"/>
    <w:tmpl w:val="2E40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0558C"/>
    <w:multiLevelType w:val="hybridMultilevel"/>
    <w:tmpl w:val="4400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939F3"/>
    <w:multiLevelType w:val="hybridMultilevel"/>
    <w:tmpl w:val="EDCA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E7851"/>
    <w:multiLevelType w:val="hybridMultilevel"/>
    <w:tmpl w:val="23562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46616"/>
    <w:multiLevelType w:val="hybridMultilevel"/>
    <w:tmpl w:val="71A2C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C570C8"/>
    <w:multiLevelType w:val="hybridMultilevel"/>
    <w:tmpl w:val="E0604D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51080"/>
    <w:multiLevelType w:val="hybridMultilevel"/>
    <w:tmpl w:val="3FAC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B3AF6"/>
    <w:multiLevelType w:val="hybridMultilevel"/>
    <w:tmpl w:val="42B2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54CE7"/>
    <w:multiLevelType w:val="hybridMultilevel"/>
    <w:tmpl w:val="1896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10"/>
  </w:num>
  <w:num w:numId="9">
    <w:abstractNumId w:val="18"/>
  </w:num>
  <w:num w:numId="10">
    <w:abstractNumId w:val="12"/>
  </w:num>
  <w:num w:numId="11">
    <w:abstractNumId w:val="5"/>
  </w:num>
  <w:num w:numId="12">
    <w:abstractNumId w:val="2"/>
  </w:num>
  <w:num w:numId="13">
    <w:abstractNumId w:val="16"/>
  </w:num>
  <w:num w:numId="14">
    <w:abstractNumId w:val="13"/>
  </w:num>
  <w:num w:numId="15">
    <w:abstractNumId w:val="8"/>
  </w:num>
  <w:num w:numId="16">
    <w:abstractNumId w:val="9"/>
  </w:num>
  <w:num w:numId="17">
    <w:abstractNumId w:val="17"/>
  </w:num>
  <w:num w:numId="18">
    <w:abstractNumId w:val="15"/>
  </w:num>
  <w:num w:numId="19">
    <w:abstractNumId w:val="14"/>
  </w:num>
  <w:num w:numId="20">
    <w:abstractNumId w:val="1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0MrE0NjKyMDQ2NrVQ0lEKTi0uzszPAykwrgUAEFN+xiwAAAA="/>
  </w:docVars>
  <w:rsids>
    <w:rsidRoot w:val="00EB2B63"/>
    <w:rsid w:val="000013EF"/>
    <w:rsid w:val="00001B75"/>
    <w:rsid w:val="00002F52"/>
    <w:rsid w:val="000040BF"/>
    <w:rsid w:val="00004E82"/>
    <w:rsid w:val="00005160"/>
    <w:rsid w:val="000058C3"/>
    <w:rsid w:val="00007CAA"/>
    <w:rsid w:val="000108B7"/>
    <w:rsid w:val="0001161C"/>
    <w:rsid w:val="000124A2"/>
    <w:rsid w:val="000126A0"/>
    <w:rsid w:val="000167F7"/>
    <w:rsid w:val="00026746"/>
    <w:rsid w:val="00034146"/>
    <w:rsid w:val="0003550D"/>
    <w:rsid w:val="00046393"/>
    <w:rsid w:val="00047F1F"/>
    <w:rsid w:val="0005144D"/>
    <w:rsid w:val="00053D99"/>
    <w:rsid w:val="000545B1"/>
    <w:rsid w:val="00055C55"/>
    <w:rsid w:val="00057203"/>
    <w:rsid w:val="000572FD"/>
    <w:rsid w:val="00062180"/>
    <w:rsid w:val="00063E25"/>
    <w:rsid w:val="000642C5"/>
    <w:rsid w:val="000654BC"/>
    <w:rsid w:val="000678C8"/>
    <w:rsid w:val="00067D12"/>
    <w:rsid w:val="00072456"/>
    <w:rsid w:val="00072B00"/>
    <w:rsid w:val="0007343F"/>
    <w:rsid w:val="0007383C"/>
    <w:rsid w:val="00073C07"/>
    <w:rsid w:val="00076381"/>
    <w:rsid w:val="00084E1F"/>
    <w:rsid w:val="00085D83"/>
    <w:rsid w:val="00091990"/>
    <w:rsid w:val="00094F7F"/>
    <w:rsid w:val="000A0140"/>
    <w:rsid w:val="000A0D0B"/>
    <w:rsid w:val="000A2586"/>
    <w:rsid w:val="000A262C"/>
    <w:rsid w:val="000A4B0A"/>
    <w:rsid w:val="000A53FB"/>
    <w:rsid w:val="000A5513"/>
    <w:rsid w:val="000A747B"/>
    <w:rsid w:val="000B09D3"/>
    <w:rsid w:val="000B13DE"/>
    <w:rsid w:val="000B1582"/>
    <w:rsid w:val="000B5DBB"/>
    <w:rsid w:val="000C20B5"/>
    <w:rsid w:val="000C36DB"/>
    <w:rsid w:val="000D1D7E"/>
    <w:rsid w:val="000D1FF3"/>
    <w:rsid w:val="000D2421"/>
    <w:rsid w:val="000D3EC3"/>
    <w:rsid w:val="000D7924"/>
    <w:rsid w:val="000E0850"/>
    <w:rsid w:val="000E5050"/>
    <w:rsid w:val="000E67D0"/>
    <w:rsid w:val="000F0D82"/>
    <w:rsid w:val="000F2332"/>
    <w:rsid w:val="000F2E5E"/>
    <w:rsid w:val="000F7724"/>
    <w:rsid w:val="000F7DDA"/>
    <w:rsid w:val="00105C49"/>
    <w:rsid w:val="00107524"/>
    <w:rsid w:val="00111795"/>
    <w:rsid w:val="00121D57"/>
    <w:rsid w:val="00122300"/>
    <w:rsid w:val="00132C6F"/>
    <w:rsid w:val="00133292"/>
    <w:rsid w:val="00134E78"/>
    <w:rsid w:val="00136889"/>
    <w:rsid w:val="001411C8"/>
    <w:rsid w:val="001514DC"/>
    <w:rsid w:val="001519BF"/>
    <w:rsid w:val="00154664"/>
    <w:rsid w:val="00157A46"/>
    <w:rsid w:val="00162FF5"/>
    <w:rsid w:val="00164ED6"/>
    <w:rsid w:val="00170640"/>
    <w:rsid w:val="00172AC7"/>
    <w:rsid w:val="001736D1"/>
    <w:rsid w:val="00175EC9"/>
    <w:rsid w:val="0018070E"/>
    <w:rsid w:val="00182B3C"/>
    <w:rsid w:val="0018336D"/>
    <w:rsid w:val="00184386"/>
    <w:rsid w:val="00185213"/>
    <w:rsid w:val="00186439"/>
    <w:rsid w:val="0019259B"/>
    <w:rsid w:val="00192DB5"/>
    <w:rsid w:val="00194468"/>
    <w:rsid w:val="00194711"/>
    <w:rsid w:val="001A360D"/>
    <w:rsid w:val="001A41C7"/>
    <w:rsid w:val="001A4A27"/>
    <w:rsid w:val="001A4C46"/>
    <w:rsid w:val="001A5166"/>
    <w:rsid w:val="001A67B7"/>
    <w:rsid w:val="001B0233"/>
    <w:rsid w:val="001B065F"/>
    <w:rsid w:val="001B4E3B"/>
    <w:rsid w:val="001C2423"/>
    <w:rsid w:val="001C338B"/>
    <w:rsid w:val="001C431F"/>
    <w:rsid w:val="001C45B3"/>
    <w:rsid w:val="001C49C5"/>
    <w:rsid w:val="001C6508"/>
    <w:rsid w:val="001C7575"/>
    <w:rsid w:val="001D0860"/>
    <w:rsid w:val="001D101A"/>
    <w:rsid w:val="001D1ED1"/>
    <w:rsid w:val="001D2AEB"/>
    <w:rsid w:val="001E0CE8"/>
    <w:rsid w:val="001E1D13"/>
    <w:rsid w:val="001E410A"/>
    <w:rsid w:val="001E4FCE"/>
    <w:rsid w:val="001E6CF6"/>
    <w:rsid w:val="001F17B2"/>
    <w:rsid w:val="001F2165"/>
    <w:rsid w:val="001F5587"/>
    <w:rsid w:val="00200B88"/>
    <w:rsid w:val="0020775F"/>
    <w:rsid w:val="002078D4"/>
    <w:rsid w:val="00207CE4"/>
    <w:rsid w:val="00211EC2"/>
    <w:rsid w:val="00215A31"/>
    <w:rsid w:val="00216144"/>
    <w:rsid w:val="00220FA7"/>
    <w:rsid w:val="00226399"/>
    <w:rsid w:val="00227C97"/>
    <w:rsid w:val="00232159"/>
    <w:rsid w:val="0023370D"/>
    <w:rsid w:val="00235D35"/>
    <w:rsid w:val="00237B3A"/>
    <w:rsid w:val="00240FEF"/>
    <w:rsid w:val="00244873"/>
    <w:rsid w:val="00245123"/>
    <w:rsid w:val="00245D33"/>
    <w:rsid w:val="00245F50"/>
    <w:rsid w:val="00250834"/>
    <w:rsid w:val="00257373"/>
    <w:rsid w:val="00266FEF"/>
    <w:rsid w:val="00275073"/>
    <w:rsid w:val="00277BE1"/>
    <w:rsid w:val="00282AC1"/>
    <w:rsid w:val="00282B86"/>
    <w:rsid w:val="00284D6D"/>
    <w:rsid w:val="002872D9"/>
    <w:rsid w:val="002924B3"/>
    <w:rsid w:val="00292ACC"/>
    <w:rsid w:val="00292E9D"/>
    <w:rsid w:val="00293CE2"/>
    <w:rsid w:val="00294C0E"/>
    <w:rsid w:val="002955A1"/>
    <w:rsid w:val="00296366"/>
    <w:rsid w:val="002A474F"/>
    <w:rsid w:val="002A4B03"/>
    <w:rsid w:val="002B77D5"/>
    <w:rsid w:val="002C0531"/>
    <w:rsid w:val="002D47D6"/>
    <w:rsid w:val="002D48E3"/>
    <w:rsid w:val="002D5F4C"/>
    <w:rsid w:val="002D608D"/>
    <w:rsid w:val="002E4D3D"/>
    <w:rsid w:val="002E68E7"/>
    <w:rsid w:val="002E6F3A"/>
    <w:rsid w:val="002F0063"/>
    <w:rsid w:val="002F04E6"/>
    <w:rsid w:val="002F08B3"/>
    <w:rsid w:val="002F5957"/>
    <w:rsid w:val="002F7F7A"/>
    <w:rsid w:val="00316586"/>
    <w:rsid w:val="00321C39"/>
    <w:rsid w:val="003324D4"/>
    <w:rsid w:val="00332E14"/>
    <w:rsid w:val="00336A87"/>
    <w:rsid w:val="00336B10"/>
    <w:rsid w:val="003409AA"/>
    <w:rsid w:val="00344A82"/>
    <w:rsid w:val="003465A2"/>
    <w:rsid w:val="00347232"/>
    <w:rsid w:val="00350868"/>
    <w:rsid w:val="00354305"/>
    <w:rsid w:val="0036076C"/>
    <w:rsid w:val="003634B3"/>
    <w:rsid w:val="00364612"/>
    <w:rsid w:val="0036535B"/>
    <w:rsid w:val="00370056"/>
    <w:rsid w:val="00374BE3"/>
    <w:rsid w:val="003779CB"/>
    <w:rsid w:val="00377AA7"/>
    <w:rsid w:val="0038397D"/>
    <w:rsid w:val="00383E27"/>
    <w:rsid w:val="00384AEF"/>
    <w:rsid w:val="00385C6A"/>
    <w:rsid w:val="003872FE"/>
    <w:rsid w:val="00394981"/>
    <w:rsid w:val="003A1CCC"/>
    <w:rsid w:val="003A2A1D"/>
    <w:rsid w:val="003A3197"/>
    <w:rsid w:val="003A4093"/>
    <w:rsid w:val="003A4982"/>
    <w:rsid w:val="003A65AD"/>
    <w:rsid w:val="003B1C24"/>
    <w:rsid w:val="003B3C28"/>
    <w:rsid w:val="003B4A37"/>
    <w:rsid w:val="003B59F1"/>
    <w:rsid w:val="003C0713"/>
    <w:rsid w:val="003C1C16"/>
    <w:rsid w:val="003C7118"/>
    <w:rsid w:val="003D141D"/>
    <w:rsid w:val="003D26CC"/>
    <w:rsid w:val="003D501F"/>
    <w:rsid w:val="003E006F"/>
    <w:rsid w:val="003E5493"/>
    <w:rsid w:val="003E577E"/>
    <w:rsid w:val="003E62C4"/>
    <w:rsid w:val="003E69F0"/>
    <w:rsid w:val="004008F1"/>
    <w:rsid w:val="00403956"/>
    <w:rsid w:val="00404525"/>
    <w:rsid w:val="004049A2"/>
    <w:rsid w:val="00406B1D"/>
    <w:rsid w:val="00407750"/>
    <w:rsid w:val="004122CF"/>
    <w:rsid w:val="0041249F"/>
    <w:rsid w:val="004137FB"/>
    <w:rsid w:val="0041432D"/>
    <w:rsid w:val="004173A4"/>
    <w:rsid w:val="004263ED"/>
    <w:rsid w:val="00427F56"/>
    <w:rsid w:val="00430324"/>
    <w:rsid w:val="004362CB"/>
    <w:rsid w:val="004372E0"/>
    <w:rsid w:val="00440DD0"/>
    <w:rsid w:val="004420E0"/>
    <w:rsid w:val="004430D5"/>
    <w:rsid w:val="00444A6A"/>
    <w:rsid w:val="004452D3"/>
    <w:rsid w:val="0045003E"/>
    <w:rsid w:val="004523BD"/>
    <w:rsid w:val="0045356C"/>
    <w:rsid w:val="00456335"/>
    <w:rsid w:val="00465081"/>
    <w:rsid w:val="00467EA7"/>
    <w:rsid w:val="0047640B"/>
    <w:rsid w:val="00476C05"/>
    <w:rsid w:val="004924E6"/>
    <w:rsid w:val="004A2D6F"/>
    <w:rsid w:val="004B485C"/>
    <w:rsid w:val="004B5992"/>
    <w:rsid w:val="004C0D07"/>
    <w:rsid w:val="004C122B"/>
    <w:rsid w:val="004C153D"/>
    <w:rsid w:val="004C285A"/>
    <w:rsid w:val="004D474A"/>
    <w:rsid w:val="004E4FA7"/>
    <w:rsid w:val="004E5D58"/>
    <w:rsid w:val="004E79EA"/>
    <w:rsid w:val="004F1BEC"/>
    <w:rsid w:val="004F40BD"/>
    <w:rsid w:val="004F4121"/>
    <w:rsid w:val="004F621A"/>
    <w:rsid w:val="0050552D"/>
    <w:rsid w:val="00514140"/>
    <w:rsid w:val="00516ECA"/>
    <w:rsid w:val="00521272"/>
    <w:rsid w:val="0052173F"/>
    <w:rsid w:val="00527190"/>
    <w:rsid w:val="00533248"/>
    <w:rsid w:val="0053402F"/>
    <w:rsid w:val="00534DD2"/>
    <w:rsid w:val="00535351"/>
    <w:rsid w:val="005354B7"/>
    <w:rsid w:val="00541F16"/>
    <w:rsid w:val="005435C3"/>
    <w:rsid w:val="00545688"/>
    <w:rsid w:val="00546546"/>
    <w:rsid w:val="00551E5F"/>
    <w:rsid w:val="00554512"/>
    <w:rsid w:val="00561AE7"/>
    <w:rsid w:val="00564B86"/>
    <w:rsid w:val="00566C63"/>
    <w:rsid w:val="005729BC"/>
    <w:rsid w:val="0057356D"/>
    <w:rsid w:val="0057565C"/>
    <w:rsid w:val="005764DC"/>
    <w:rsid w:val="005771E3"/>
    <w:rsid w:val="00577550"/>
    <w:rsid w:val="0058752B"/>
    <w:rsid w:val="00593330"/>
    <w:rsid w:val="005A01BB"/>
    <w:rsid w:val="005B3671"/>
    <w:rsid w:val="005B3FA0"/>
    <w:rsid w:val="005B5A00"/>
    <w:rsid w:val="005B5D33"/>
    <w:rsid w:val="005B77DB"/>
    <w:rsid w:val="005C2C74"/>
    <w:rsid w:val="005C2F90"/>
    <w:rsid w:val="005C307F"/>
    <w:rsid w:val="005C54F6"/>
    <w:rsid w:val="005D0AF9"/>
    <w:rsid w:val="005D15C5"/>
    <w:rsid w:val="005D55AA"/>
    <w:rsid w:val="005D56E6"/>
    <w:rsid w:val="005D666B"/>
    <w:rsid w:val="005E4F61"/>
    <w:rsid w:val="005F28D6"/>
    <w:rsid w:val="005F55FF"/>
    <w:rsid w:val="005F69F0"/>
    <w:rsid w:val="006010E2"/>
    <w:rsid w:val="00601654"/>
    <w:rsid w:val="00606409"/>
    <w:rsid w:val="006066C1"/>
    <w:rsid w:val="00607D0D"/>
    <w:rsid w:val="00610595"/>
    <w:rsid w:val="00612B32"/>
    <w:rsid w:val="00616847"/>
    <w:rsid w:val="00616BAF"/>
    <w:rsid w:val="00620023"/>
    <w:rsid w:val="00623794"/>
    <w:rsid w:val="00625460"/>
    <w:rsid w:val="0063411B"/>
    <w:rsid w:val="00636835"/>
    <w:rsid w:val="006368C6"/>
    <w:rsid w:val="00640646"/>
    <w:rsid w:val="00640E3B"/>
    <w:rsid w:val="00640F4F"/>
    <w:rsid w:val="00642C27"/>
    <w:rsid w:val="006436DB"/>
    <w:rsid w:val="0064413D"/>
    <w:rsid w:val="00647380"/>
    <w:rsid w:val="00647A87"/>
    <w:rsid w:val="006551CD"/>
    <w:rsid w:val="00657C05"/>
    <w:rsid w:val="006603C7"/>
    <w:rsid w:val="00661766"/>
    <w:rsid w:val="006631F9"/>
    <w:rsid w:val="00665037"/>
    <w:rsid w:val="00665280"/>
    <w:rsid w:val="00667EE5"/>
    <w:rsid w:val="006810A6"/>
    <w:rsid w:val="00682E3C"/>
    <w:rsid w:val="00683CC4"/>
    <w:rsid w:val="006861D5"/>
    <w:rsid w:val="006900E3"/>
    <w:rsid w:val="00696903"/>
    <w:rsid w:val="006A02C3"/>
    <w:rsid w:val="006A3D0C"/>
    <w:rsid w:val="006A3D80"/>
    <w:rsid w:val="006A728C"/>
    <w:rsid w:val="006B266B"/>
    <w:rsid w:val="006B75BB"/>
    <w:rsid w:val="006B7E65"/>
    <w:rsid w:val="006C1621"/>
    <w:rsid w:val="006C3E7C"/>
    <w:rsid w:val="006C7DD7"/>
    <w:rsid w:val="006D5D5A"/>
    <w:rsid w:val="006D6685"/>
    <w:rsid w:val="006E0710"/>
    <w:rsid w:val="006E0AD1"/>
    <w:rsid w:val="006E7CD7"/>
    <w:rsid w:val="006F19E4"/>
    <w:rsid w:val="006F59D5"/>
    <w:rsid w:val="00701356"/>
    <w:rsid w:val="007052A2"/>
    <w:rsid w:val="007072BE"/>
    <w:rsid w:val="007107FE"/>
    <w:rsid w:val="00714368"/>
    <w:rsid w:val="00716620"/>
    <w:rsid w:val="007169B2"/>
    <w:rsid w:val="007171DF"/>
    <w:rsid w:val="00726B04"/>
    <w:rsid w:val="00731EB8"/>
    <w:rsid w:val="007338DB"/>
    <w:rsid w:val="007358BC"/>
    <w:rsid w:val="007359D2"/>
    <w:rsid w:val="00737CDA"/>
    <w:rsid w:val="0074115B"/>
    <w:rsid w:val="007448B4"/>
    <w:rsid w:val="00744A47"/>
    <w:rsid w:val="00745148"/>
    <w:rsid w:val="007467E1"/>
    <w:rsid w:val="007504DB"/>
    <w:rsid w:val="007510A5"/>
    <w:rsid w:val="007545DE"/>
    <w:rsid w:val="0075565C"/>
    <w:rsid w:val="00756A25"/>
    <w:rsid w:val="00757231"/>
    <w:rsid w:val="00760F4E"/>
    <w:rsid w:val="00766867"/>
    <w:rsid w:val="007677C3"/>
    <w:rsid w:val="00770131"/>
    <w:rsid w:val="00770435"/>
    <w:rsid w:val="00772BA7"/>
    <w:rsid w:val="00773E2A"/>
    <w:rsid w:val="00776147"/>
    <w:rsid w:val="00782F3F"/>
    <w:rsid w:val="00785807"/>
    <w:rsid w:val="00792E18"/>
    <w:rsid w:val="00795D94"/>
    <w:rsid w:val="0079716B"/>
    <w:rsid w:val="007A2643"/>
    <w:rsid w:val="007A5134"/>
    <w:rsid w:val="007B5B6F"/>
    <w:rsid w:val="007C5A07"/>
    <w:rsid w:val="007C6ED4"/>
    <w:rsid w:val="007C6F72"/>
    <w:rsid w:val="007D0D0C"/>
    <w:rsid w:val="007D2480"/>
    <w:rsid w:val="007D28F2"/>
    <w:rsid w:val="007D3E0D"/>
    <w:rsid w:val="007F2EE6"/>
    <w:rsid w:val="007F4005"/>
    <w:rsid w:val="007F78F2"/>
    <w:rsid w:val="008048E3"/>
    <w:rsid w:val="00805046"/>
    <w:rsid w:val="00805275"/>
    <w:rsid w:val="00806D83"/>
    <w:rsid w:val="00810DE9"/>
    <w:rsid w:val="0081570E"/>
    <w:rsid w:val="00816926"/>
    <w:rsid w:val="008179FD"/>
    <w:rsid w:val="00817CBB"/>
    <w:rsid w:val="00825C50"/>
    <w:rsid w:val="0083614D"/>
    <w:rsid w:val="00837B57"/>
    <w:rsid w:val="0084226E"/>
    <w:rsid w:val="00842736"/>
    <w:rsid w:val="00843F45"/>
    <w:rsid w:val="00845B27"/>
    <w:rsid w:val="00850100"/>
    <w:rsid w:val="00851C5A"/>
    <w:rsid w:val="00855E81"/>
    <w:rsid w:val="0086258C"/>
    <w:rsid w:val="00862DEF"/>
    <w:rsid w:val="00863A1C"/>
    <w:rsid w:val="00864682"/>
    <w:rsid w:val="00865390"/>
    <w:rsid w:val="00867574"/>
    <w:rsid w:val="00877CD1"/>
    <w:rsid w:val="00881C80"/>
    <w:rsid w:val="008866A1"/>
    <w:rsid w:val="008870DA"/>
    <w:rsid w:val="00890CDD"/>
    <w:rsid w:val="00892133"/>
    <w:rsid w:val="00895490"/>
    <w:rsid w:val="008A6493"/>
    <w:rsid w:val="008A6CA5"/>
    <w:rsid w:val="008B3697"/>
    <w:rsid w:val="008B6EF2"/>
    <w:rsid w:val="008C1E95"/>
    <w:rsid w:val="008C265E"/>
    <w:rsid w:val="008D3475"/>
    <w:rsid w:val="008D3B70"/>
    <w:rsid w:val="008E03EB"/>
    <w:rsid w:val="008E1965"/>
    <w:rsid w:val="008E4415"/>
    <w:rsid w:val="008F1E18"/>
    <w:rsid w:val="008F2D8F"/>
    <w:rsid w:val="008F347D"/>
    <w:rsid w:val="008F34DA"/>
    <w:rsid w:val="008F4CAA"/>
    <w:rsid w:val="008F7147"/>
    <w:rsid w:val="00900A9C"/>
    <w:rsid w:val="00900DCC"/>
    <w:rsid w:val="0090140B"/>
    <w:rsid w:val="00904D03"/>
    <w:rsid w:val="00907C84"/>
    <w:rsid w:val="009118B6"/>
    <w:rsid w:val="0091532B"/>
    <w:rsid w:val="009232DB"/>
    <w:rsid w:val="0092461B"/>
    <w:rsid w:val="00927B2D"/>
    <w:rsid w:val="0093199C"/>
    <w:rsid w:val="0093429B"/>
    <w:rsid w:val="00936E25"/>
    <w:rsid w:val="009370AA"/>
    <w:rsid w:val="00941FF3"/>
    <w:rsid w:val="009467CC"/>
    <w:rsid w:val="00946DB2"/>
    <w:rsid w:val="00947F72"/>
    <w:rsid w:val="009576F5"/>
    <w:rsid w:val="00961319"/>
    <w:rsid w:val="009645B9"/>
    <w:rsid w:val="00965F02"/>
    <w:rsid w:val="00970B55"/>
    <w:rsid w:val="009714FC"/>
    <w:rsid w:val="009720C6"/>
    <w:rsid w:val="00981F92"/>
    <w:rsid w:val="00985E77"/>
    <w:rsid w:val="00986043"/>
    <w:rsid w:val="00986B3C"/>
    <w:rsid w:val="00990B7F"/>
    <w:rsid w:val="00993920"/>
    <w:rsid w:val="00993A3C"/>
    <w:rsid w:val="00996F06"/>
    <w:rsid w:val="009A1702"/>
    <w:rsid w:val="009A22EA"/>
    <w:rsid w:val="009A6808"/>
    <w:rsid w:val="009A7585"/>
    <w:rsid w:val="009B17E0"/>
    <w:rsid w:val="009B48C6"/>
    <w:rsid w:val="009B635B"/>
    <w:rsid w:val="009C4BEA"/>
    <w:rsid w:val="009D035A"/>
    <w:rsid w:val="009D1EA6"/>
    <w:rsid w:val="009D3914"/>
    <w:rsid w:val="009E514C"/>
    <w:rsid w:val="009E6602"/>
    <w:rsid w:val="009F034B"/>
    <w:rsid w:val="009F07C8"/>
    <w:rsid w:val="009F2809"/>
    <w:rsid w:val="00A00A08"/>
    <w:rsid w:val="00A00FE7"/>
    <w:rsid w:val="00A01197"/>
    <w:rsid w:val="00A03916"/>
    <w:rsid w:val="00A03B5F"/>
    <w:rsid w:val="00A1340F"/>
    <w:rsid w:val="00A26DDB"/>
    <w:rsid w:val="00A27A95"/>
    <w:rsid w:val="00A33290"/>
    <w:rsid w:val="00A40F07"/>
    <w:rsid w:val="00A44248"/>
    <w:rsid w:val="00A50237"/>
    <w:rsid w:val="00A61FA8"/>
    <w:rsid w:val="00A64CBB"/>
    <w:rsid w:val="00A65BEA"/>
    <w:rsid w:val="00A72BEF"/>
    <w:rsid w:val="00A72E1D"/>
    <w:rsid w:val="00A73DF3"/>
    <w:rsid w:val="00A74835"/>
    <w:rsid w:val="00A84792"/>
    <w:rsid w:val="00A929BB"/>
    <w:rsid w:val="00A94B3B"/>
    <w:rsid w:val="00AA192B"/>
    <w:rsid w:val="00AA2426"/>
    <w:rsid w:val="00AA272A"/>
    <w:rsid w:val="00AA37C0"/>
    <w:rsid w:val="00AA5BBE"/>
    <w:rsid w:val="00AA7C4F"/>
    <w:rsid w:val="00AB0E40"/>
    <w:rsid w:val="00AC219E"/>
    <w:rsid w:val="00AC594A"/>
    <w:rsid w:val="00AD226F"/>
    <w:rsid w:val="00AD3489"/>
    <w:rsid w:val="00AD452B"/>
    <w:rsid w:val="00AD4D3B"/>
    <w:rsid w:val="00AD5DFD"/>
    <w:rsid w:val="00AE0E24"/>
    <w:rsid w:val="00AE305D"/>
    <w:rsid w:val="00AE5061"/>
    <w:rsid w:val="00AE5F49"/>
    <w:rsid w:val="00AF0453"/>
    <w:rsid w:val="00AF0D5A"/>
    <w:rsid w:val="00AF577C"/>
    <w:rsid w:val="00AF6C7A"/>
    <w:rsid w:val="00B01692"/>
    <w:rsid w:val="00B03DFF"/>
    <w:rsid w:val="00B06C0A"/>
    <w:rsid w:val="00B07423"/>
    <w:rsid w:val="00B07E59"/>
    <w:rsid w:val="00B12EA0"/>
    <w:rsid w:val="00B17E42"/>
    <w:rsid w:val="00B20227"/>
    <w:rsid w:val="00B20C53"/>
    <w:rsid w:val="00B22168"/>
    <w:rsid w:val="00B23513"/>
    <w:rsid w:val="00B27346"/>
    <w:rsid w:val="00B27644"/>
    <w:rsid w:val="00B27651"/>
    <w:rsid w:val="00B32058"/>
    <w:rsid w:val="00B409BC"/>
    <w:rsid w:val="00B46E4F"/>
    <w:rsid w:val="00B55360"/>
    <w:rsid w:val="00B565BC"/>
    <w:rsid w:val="00B67117"/>
    <w:rsid w:val="00B67253"/>
    <w:rsid w:val="00B70711"/>
    <w:rsid w:val="00B71DCC"/>
    <w:rsid w:val="00B758B7"/>
    <w:rsid w:val="00B77D9D"/>
    <w:rsid w:val="00B85769"/>
    <w:rsid w:val="00B85B1B"/>
    <w:rsid w:val="00B87CF1"/>
    <w:rsid w:val="00BA0BC6"/>
    <w:rsid w:val="00BA3E61"/>
    <w:rsid w:val="00BA6C77"/>
    <w:rsid w:val="00BB2048"/>
    <w:rsid w:val="00BB352D"/>
    <w:rsid w:val="00BB69B1"/>
    <w:rsid w:val="00BC11C5"/>
    <w:rsid w:val="00BC20FB"/>
    <w:rsid w:val="00BC3B56"/>
    <w:rsid w:val="00BD0B31"/>
    <w:rsid w:val="00BD4EA7"/>
    <w:rsid w:val="00BE099C"/>
    <w:rsid w:val="00BE531D"/>
    <w:rsid w:val="00BF21E8"/>
    <w:rsid w:val="00BF65DF"/>
    <w:rsid w:val="00C01DC7"/>
    <w:rsid w:val="00C0224E"/>
    <w:rsid w:val="00C11C64"/>
    <w:rsid w:val="00C12B4C"/>
    <w:rsid w:val="00C1476B"/>
    <w:rsid w:val="00C14F6A"/>
    <w:rsid w:val="00C231DC"/>
    <w:rsid w:val="00C3221C"/>
    <w:rsid w:val="00C34ECB"/>
    <w:rsid w:val="00C363CF"/>
    <w:rsid w:val="00C424E3"/>
    <w:rsid w:val="00C449A4"/>
    <w:rsid w:val="00C47549"/>
    <w:rsid w:val="00C53DAA"/>
    <w:rsid w:val="00C543B4"/>
    <w:rsid w:val="00C56659"/>
    <w:rsid w:val="00C56667"/>
    <w:rsid w:val="00C62E6C"/>
    <w:rsid w:val="00C656AA"/>
    <w:rsid w:val="00C65C70"/>
    <w:rsid w:val="00C66295"/>
    <w:rsid w:val="00C70B1C"/>
    <w:rsid w:val="00C71CA1"/>
    <w:rsid w:val="00C7388B"/>
    <w:rsid w:val="00C83A34"/>
    <w:rsid w:val="00C95FB6"/>
    <w:rsid w:val="00CA498D"/>
    <w:rsid w:val="00CA5AA0"/>
    <w:rsid w:val="00CB2574"/>
    <w:rsid w:val="00CC0389"/>
    <w:rsid w:val="00CC2394"/>
    <w:rsid w:val="00CC52D3"/>
    <w:rsid w:val="00CC5320"/>
    <w:rsid w:val="00CD02D3"/>
    <w:rsid w:val="00CD1C17"/>
    <w:rsid w:val="00CD3E50"/>
    <w:rsid w:val="00CD7974"/>
    <w:rsid w:val="00CE3CDC"/>
    <w:rsid w:val="00CE523F"/>
    <w:rsid w:val="00CE5B5F"/>
    <w:rsid w:val="00CF7259"/>
    <w:rsid w:val="00D1589C"/>
    <w:rsid w:val="00D15C4F"/>
    <w:rsid w:val="00D17D48"/>
    <w:rsid w:val="00D26387"/>
    <w:rsid w:val="00D26CEC"/>
    <w:rsid w:val="00D334EB"/>
    <w:rsid w:val="00D407FE"/>
    <w:rsid w:val="00D412BE"/>
    <w:rsid w:val="00D42898"/>
    <w:rsid w:val="00D47992"/>
    <w:rsid w:val="00D5393C"/>
    <w:rsid w:val="00D53946"/>
    <w:rsid w:val="00D61553"/>
    <w:rsid w:val="00D62C19"/>
    <w:rsid w:val="00D643C1"/>
    <w:rsid w:val="00D70E29"/>
    <w:rsid w:val="00D71F66"/>
    <w:rsid w:val="00D75153"/>
    <w:rsid w:val="00D844CE"/>
    <w:rsid w:val="00D8508B"/>
    <w:rsid w:val="00D85193"/>
    <w:rsid w:val="00D87108"/>
    <w:rsid w:val="00D90EC2"/>
    <w:rsid w:val="00D95B0C"/>
    <w:rsid w:val="00D95BC6"/>
    <w:rsid w:val="00D96D34"/>
    <w:rsid w:val="00D9786F"/>
    <w:rsid w:val="00DA2C06"/>
    <w:rsid w:val="00DA4F1D"/>
    <w:rsid w:val="00DA5FA1"/>
    <w:rsid w:val="00DB2A31"/>
    <w:rsid w:val="00DB5CEE"/>
    <w:rsid w:val="00DC05EF"/>
    <w:rsid w:val="00DC26EE"/>
    <w:rsid w:val="00DC36CC"/>
    <w:rsid w:val="00DC7DA7"/>
    <w:rsid w:val="00DD7487"/>
    <w:rsid w:val="00DE1AE3"/>
    <w:rsid w:val="00DE2A11"/>
    <w:rsid w:val="00DE71C4"/>
    <w:rsid w:val="00DE7F2C"/>
    <w:rsid w:val="00E076EB"/>
    <w:rsid w:val="00E1441C"/>
    <w:rsid w:val="00E15D54"/>
    <w:rsid w:val="00E17846"/>
    <w:rsid w:val="00E21114"/>
    <w:rsid w:val="00E217DF"/>
    <w:rsid w:val="00E232C2"/>
    <w:rsid w:val="00E2351E"/>
    <w:rsid w:val="00E249A4"/>
    <w:rsid w:val="00E25DBD"/>
    <w:rsid w:val="00E25E6E"/>
    <w:rsid w:val="00E34299"/>
    <w:rsid w:val="00E36ED2"/>
    <w:rsid w:val="00E370A7"/>
    <w:rsid w:val="00E3759E"/>
    <w:rsid w:val="00E37C02"/>
    <w:rsid w:val="00E429A4"/>
    <w:rsid w:val="00E4377F"/>
    <w:rsid w:val="00E43FA2"/>
    <w:rsid w:val="00E45AE0"/>
    <w:rsid w:val="00E4615A"/>
    <w:rsid w:val="00E463EB"/>
    <w:rsid w:val="00E500F7"/>
    <w:rsid w:val="00E541FA"/>
    <w:rsid w:val="00E54EB7"/>
    <w:rsid w:val="00E56ACB"/>
    <w:rsid w:val="00E56DFC"/>
    <w:rsid w:val="00E619F6"/>
    <w:rsid w:val="00E63D54"/>
    <w:rsid w:val="00E65420"/>
    <w:rsid w:val="00E72320"/>
    <w:rsid w:val="00E76D11"/>
    <w:rsid w:val="00E802A6"/>
    <w:rsid w:val="00E817A3"/>
    <w:rsid w:val="00E83072"/>
    <w:rsid w:val="00E84FBE"/>
    <w:rsid w:val="00E92C26"/>
    <w:rsid w:val="00E938D2"/>
    <w:rsid w:val="00EA040D"/>
    <w:rsid w:val="00EA160F"/>
    <w:rsid w:val="00EA1A6B"/>
    <w:rsid w:val="00EB17D1"/>
    <w:rsid w:val="00EB2B63"/>
    <w:rsid w:val="00EB2C61"/>
    <w:rsid w:val="00EB5EA3"/>
    <w:rsid w:val="00EB7746"/>
    <w:rsid w:val="00EC187C"/>
    <w:rsid w:val="00EC310A"/>
    <w:rsid w:val="00EC44BC"/>
    <w:rsid w:val="00ED0ED6"/>
    <w:rsid w:val="00EE1040"/>
    <w:rsid w:val="00EE663B"/>
    <w:rsid w:val="00EF1184"/>
    <w:rsid w:val="00EF1407"/>
    <w:rsid w:val="00EF300B"/>
    <w:rsid w:val="00EF68A4"/>
    <w:rsid w:val="00EF70AB"/>
    <w:rsid w:val="00F032DE"/>
    <w:rsid w:val="00F04E06"/>
    <w:rsid w:val="00F078CE"/>
    <w:rsid w:val="00F142DA"/>
    <w:rsid w:val="00F1564D"/>
    <w:rsid w:val="00F1684B"/>
    <w:rsid w:val="00F200EF"/>
    <w:rsid w:val="00F22276"/>
    <w:rsid w:val="00F2404D"/>
    <w:rsid w:val="00F25157"/>
    <w:rsid w:val="00F25F09"/>
    <w:rsid w:val="00F323A4"/>
    <w:rsid w:val="00F360E0"/>
    <w:rsid w:val="00F46AB7"/>
    <w:rsid w:val="00F50EB0"/>
    <w:rsid w:val="00F64100"/>
    <w:rsid w:val="00F64211"/>
    <w:rsid w:val="00F66862"/>
    <w:rsid w:val="00F7244C"/>
    <w:rsid w:val="00F7375F"/>
    <w:rsid w:val="00F754FA"/>
    <w:rsid w:val="00F77F20"/>
    <w:rsid w:val="00F83D6B"/>
    <w:rsid w:val="00F84869"/>
    <w:rsid w:val="00F86503"/>
    <w:rsid w:val="00F9067F"/>
    <w:rsid w:val="00F94FCC"/>
    <w:rsid w:val="00FA14C3"/>
    <w:rsid w:val="00FA45AC"/>
    <w:rsid w:val="00FB336F"/>
    <w:rsid w:val="00FB4211"/>
    <w:rsid w:val="00FC2BCB"/>
    <w:rsid w:val="00FC6ED9"/>
    <w:rsid w:val="00FC714B"/>
    <w:rsid w:val="00FD2705"/>
    <w:rsid w:val="00FD34CE"/>
    <w:rsid w:val="00FD3CC7"/>
    <w:rsid w:val="00FE1648"/>
    <w:rsid w:val="00FE74D4"/>
    <w:rsid w:val="00FF3AEA"/>
    <w:rsid w:val="00FF4B0D"/>
    <w:rsid w:val="00FF4D59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9A516"/>
  <w15:chartTrackingRefBased/>
  <w15:docId w15:val="{798A2A7A-588D-4459-8CE9-8DA0F7F5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3C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B6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B2B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2B6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B2B63"/>
    <w:rPr>
      <w:sz w:val="22"/>
      <w:szCs w:val="22"/>
    </w:rPr>
  </w:style>
  <w:style w:type="character" w:styleId="PageNumber">
    <w:name w:val="page number"/>
    <w:semiHidden/>
    <w:unhideWhenUsed/>
    <w:rsid w:val="00E72320"/>
  </w:style>
  <w:style w:type="paragraph" w:styleId="BalloonText">
    <w:name w:val="Balloon Text"/>
    <w:basedOn w:val="Normal"/>
    <w:link w:val="BalloonTextChar"/>
    <w:uiPriority w:val="99"/>
    <w:semiHidden/>
    <w:unhideWhenUsed/>
    <w:rsid w:val="00904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4D0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15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8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8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589C"/>
    <w:rPr>
      <w:b/>
      <w:bCs/>
    </w:rPr>
  </w:style>
  <w:style w:type="paragraph" w:styleId="ListParagraph">
    <w:name w:val="List Paragraph"/>
    <w:basedOn w:val="Normal"/>
    <w:uiPriority w:val="34"/>
    <w:qFormat/>
    <w:rsid w:val="00643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Hudson</dc:creator>
  <cp:keywords/>
  <dc:description/>
  <cp:lastModifiedBy>St. Mary, Taylor@DGS</cp:lastModifiedBy>
  <cp:revision>2</cp:revision>
  <cp:lastPrinted>2018-12-07T19:52:00Z</cp:lastPrinted>
  <dcterms:created xsi:type="dcterms:W3CDTF">2019-09-11T23:36:00Z</dcterms:created>
  <dcterms:modified xsi:type="dcterms:W3CDTF">2019-09-11T23:36:00Z</dcterms:modified>
</cp:coreProperties>
</file>