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5B" w:rsidRDefault="00006A5B" w:rsidP="00BC35F5">
      <w:pPr>
        <w:pStyle w:val="Title"/>
        <w:jc w:val="center"/>
      </w:pPr>
      <w:r>
        <w:rPr>
          <w:noProof/>
        </w:rPr>
        <w:drawing>
          <wp:inline distT="0" distB="0" distL="0" distR="0">
            <wp:extent cx="3408045" cy="633730"/>
            <wp:effectExtent l="0" t="0" r="1905" b="0"/>
            <wp:docPr id="2" name="Picture 2" descr="CCDA Logo reading: California Commission on Disability Access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B2D" w:rsidRPr="00B933BD" w:rsidRDefault="002A1A60" w:rsidP="00BC35F5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B933BD">
        <w:rPr>
          <w:rFonts w:ascii="Arial" w:hAnsi="Arial" w:cs="Arial"/>
          <w:sz w:val="32"/>
          <w:szCs w:val="32"/>
        </w:rPr>
        <w:t xml:space="preserve">FY </w:t>
      </w:r>
      <w:r w:rsidR="000C1809">
        <w:rPr>
          <w:rFonts w:ascii="Arial" w:hAnsi="Arial" w:cs="Arial"/>
          <w:sz w:val="32"/>
          <w:szCs w:val="32"/>
        </w:rPr>
        <w:t>20-21</w:t>
      </w:r>
      <w:r w:rsidR="00AC1BC0" w:rsidRPr="00B933BD">
        <w:rPr>
          <w:rFonts w:ascii="Arial" w:hAnsi="Arial" w:cs="Arial"/>
          <w:sz w:val="32"/>
          <w:szCs w:val="32"/>
        </w:rPr>
        <w:t xml:space="preserve"> </w:t>
      </w:r>
      <w:r w:rsidR="000C1809">
        <w:rPr>
          <w:rFonts w:ascii="Arial" w:hAnsi="Arial" w:cs="Arial"/>
          <w:sz w:val="32"/>
          <w:szCs w:val="32"/>
        </w:rPr>
        <w:t>BUDGET</w:t>
      </w:r>
      <w:r w:rsidR="00B22649">
        <w:rPr>
          <w:rFonts w:ascii="Arial" w:hAnsi="Arial" w:cs="Arial"/>
          <w:sz w:val="32"/>
          <w:szCs w:val="32"/>
        </w:rPr>
        <w:t xml:space="preserve"> SUMMARY</w:t>
      </w:r>
    </w:p>
    <w:p w:rsidR="000427AD" w:rsidRPr="00277087" w:rsidRDefault="00690B2D" w:rsidP="00BC35F5">
      <w:pPr>
        <w:pStyle w:val="Title"/>
        <w:jc w:val="center"/>
        <w:rPr>
          <w:rFonts w:ascii="Arial" w:hAnsi="Arial" w:cs="Arial"/>
          <w:sz w:val="22"/>
          <w:szCs w:val="22"/>
        </w:rPr>
      </w:pPr>
      <w:r w:rsidRPr="00277087">
        <w:rPr>
          <w:rFonts w:ascii="Arial" w:hAnsi="Arial" w:cs="Arial"/>
          <w:sz w:val="22"/>
          <w:szCs w:val="22"/>
        </w:rPr>
        <w:t xml:space="preserve"> </w:t>
      </w:r>
      <w:r w:rsidR="007230DF" w:rsidRPr="00277087">
        <w:rPr>
          <w:rFonts w:ascii="Arial" w:hAnsi="Arial" w:cs="Arial"/>
          <w:sz w:val="22"/>
          <w:szCs w:val="22"/>
        </w:rPr>
        <w:t>(</w:t>
      </w:r>
      <w:r w:rsidR="00116FA7">
        <w:rPr>
          <w:rFonts w:ascii="Arial" w:hAnsi="Arial" w:cs="Arial"/>
          <w:sz w:val="22"/>
          <w:szCs w:val="22"/>
        </w:rPr>
        <w:t>July 20</w:t>
      </w:r>
      <w:r w:rsidR="000C1809">
        <w:rPr>
          <w:rFonts w:ascii="Arial" w:hAnsi="Arial" w:cs="Arial"/>
          <w:sz w:val="22"/>
          <w:szCs w:val="22"/>
        </w:rPr>
        <w:t>20</w:t>
      </w:r>
      <w:r w:rsidR="00116FA7">
        <w:rPr>
          <w:rFonts w:ascii="Arial" w:hAnsi="Arial" w:cs="Arial"/>
          <w:sz w:val="22"/>
          <w:szCs w:val="22"/>
        </w:rPr>
        <w:t xml:space="preserve"> – </w:t>
      </w:r>
      <w:r w:rsidR="00B22649">
        <w:rPr>
          <w:rFonts w:ascii="Arial" w:hAnsi="Arial" w:cs="Arial"/>
          <w:sz w:val="22"/>
          <w:szCs w:val="22"/>
        </w:rPr>
        <w:t xml:space="preserve">June </w:t>
      </w:r>
      <w:r w:rsidR="000C1809">
        <w:rPr>
          <w:rFonts w:ascii="Arial" w:hAnsi="Arial" w:cs="Arial"/>
          <w:sz w:val="22"/>
          <w:szCs w:val="22"/>
        </w:rPr>
        <w:t>2021</w:t>
      </w:r>
      <w:r w:rsidR="007230DF" w:rsidRPr="00277087">
        <w:rPr>
          <w:rFonts w:ascii="Arial" w:hAnsi="Arial" w:cs="Arial"/>
          <w:sz w:val="22"/>
          <w:szCs w:val="22"/>
        </w:rPr>
        <w:t>)</w:t>
      </w:r>
    </w:p>
    <w:p w:rsidR="00277087" w:rsidRPr="00FB0681" w:rsidRDefault="00FB0681" w:rsidP="00FB068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Expenditure Authority</w:t>
      </w:r>
    </w:p>
    <w:p w:rsidR="004A4C06" w:rsidRDefault="004A4C06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  <w:r w:rsidRPr="006A20A4">
        <w:rPr>
          <w:rFonts w:ascii="Arial" w:hAnsi="Arial" w:cs="Arial"/>
          <w:sz w:val="24"/>
          <w:szCs w:val="24"/>
        </w:rPr>
        <w:t>Authorized Positions (PYs)</w:t>
      </w:r>
      <w:r w:rsidRPr="006A20A4">
        <w:rPr>
          <w:rFonts w:ascii="Arial" w:hAnsi="Arial" w:cs="Arial"/>
          <w:sz w:val="24"/>
          <w:szCs w:val="24"/>
        </w:rPr>
        <w:tab/>
        <w:t>5.0</w:t>
      </w:r>
    </w:p>
    <w:p w:rsidR="000C1809" w:rsidRDefault="000C1809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Positions Gained from Budget Change Proposal (BCP)</w:t>
      </w:r>
      <w:r>
        <w:rPr>
          <w:rFonts w:ascii="Arial" w:hAnsi="Arial" w:cs="Arial"/>
          <w:sz w:val="24"/>
          <w:szCs w:val="24"/>
        </w:rPr>
        <w:tab/>
        <w:t>2.0</w:t>
      </w:r>
    </w:p>
    <w:p w:rsidR="000C1809" w:rsidRDefault="000C1809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Authorized Positions (PYs)</w:t>
      </w:r>
      <w:r>
        <w:rPr>
          <w:rFonts w:ascii="Arial" w:hAnsi="Arial" w:cs="Arial"/>
          <w:sz w:val="24"/>
          <w:szCs w:val="24"/>
        </w:rPr>
        <w:tab/>
        <w:t>7.0</w:t>
      </w:r>
    </w:p>
    <w:p w:rsidR="004A4C06" w:rsidRPr="006A20A4" w:rsidRDefault="004A4C06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</w:p>
    <w:p w:rsidR="00787AD6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Services (Wages &amp; Staff Benefits)</w:t>
      </w:r>
      <w:r w:rsidR="0052411F">
        <w:rPr>
          <w:rFonts w:ascii="Arial" w:hAnsi="Arial" w:cs="Arial"/>
          <w:sz w:val="24"/>
          <w:szCs w:val="24"/>
        </w:rPr>
        <w:tab/>
      </w:r>
      <w:r w:rsidR="00951BC1">
        <w:rPr>
          <w:rFonts w:ascii="Arial" w:hAnsi="Arial" w:cs="Arial"/>
          <w:sz w:val="24"/>
          <w:szCs w:val="24"/>
        </w:rPr>
        <w:t xml:space="preserve">$ </w:t>
      </w:r>
      <w:r w:rsidR="006339F1">
        <w:rPr>
          <w:rFonts w:ascii="Arial" w:hAnsi="Arial" w:cs="Arial"/>
          <w:sz w:val="24"/>
          <w:szCs w:val="24"/>
        </w:rPr>
        <w:t>769,000</w:t>
      </w:r>
    </w:p>
    <w:p w:rsidR="002A1A60" w:rsidRPr="002A1A60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A1A60">
        <w:rPr>
          <w:rFonts w:ascii="Arial" w:hAnsi="Arial" w:cs="Arial"/>
          <w:sz w:val="24"/>
          <w:szCs w:val="24"/>
        </w:rPr>
        <w:t>Operating Expense</w:t>
      </w:r>
      <w:r w:rsidR="006339F1">
        <w:rPr>
          <w:rFonts w:ascii="Arial" w:hAnsi="Arial" w:cs="Arial"/>
          <w:sz w:val="24"/>
          <w:szCs w:val="24"/>
        </w:rPr>
        <w:t>s</w:t>
      </w:r>
      <w:r w:rsidR="0052411F">
        <w:rPr>
          <w:rFonts w:ascii="Arial" w:hAnsi="Arial" w:cs="Arial"/>
          <w:sz w:val="24"/>
          <w:szCs w:val="24"/>
        </w:rPr>
        <w:tab/>
      </w:r>
      <w:r w:rsidR="00951BC1">
        <w:rPr>
          <w:rFonts w:ascii="Arial" w:hAnsi="Arial" w:cs="Arial"/>
          <w:sz w:val="24"/>
          <w:szCs w:val="24"/>
        </w:rPr>
        <w:t xml:space="preserve">$ </w:t>
      </w:r>
      <w:r w:rsidR="006339F1">
        <w:rPr>
          <w:rFonts w:ascii="Arial" w:hAnsi="Arial" w:cs="Arial"/>
          <w:sz w:val="24"/>
          <w:szCs w:val="24"/>
          <w:u w:val="single"/>
        </w:rPr>
        <w:t>739,000</w:t>
      </w:r>
    </w:p>
    <w:p w:rsidR="00B22649" w:rsidRPr="000371EB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71EB">
        <w:rPr>
          <w:rFonts w:ascii="Arial" w:hAnsi="Arial" w:cs="Arial"/>
          <w:b/>
          <w:sz w:val="24"/>
          <w:szCs w:val="24"/>
        </w:rPr>
        <w:t>Total Authorized Budget</w:t>
      </w:r>
      <w:r w:rsidRPr="000371EB">
        <w:rPr>
          <w:rFonts w:ascii="Arial" w:hAnsi="Arial" w:cs="Arial"/>
          <w:b/>
          <w:sz w:val="24"/>
          <w:szCs w:val="24"/>
        </w:rPr>
        <w:tab/>
        <w:t>$</w:t>
      </w:r>
      <w:r w:rsidR="00951BC1" w:rsidRPr="000371EB">
        <w:rPr>
          <w:rFonts w:ascii="Arial" w:hAnsi="Arial" w:cs="Arial"/>
          <w:b/>
          <w:sz w:val="24"/>
          <w:szCs w:val="24"/>
        </w:rPr>
        <w:t xml:space="preserve"> </w:t>
      </w:r>
      <w:r w:rsidR="006339F1">
        <w:rPr>
          <w:rFonts w:ascii="Arial" w:hAnsi="Arial" w:cs="Arial"/>
          <w:b/>
          <w:sz w:val="24"/>
          <w:szCs w:val="24"/>
        </w:rPr>
        <w:t>1,508,000</w:t>
      </w:r>
    </w:p>
    <w:p w:rsidR="00BC35F5" w:rsidRPr="004A4C06" w:rsidRDefault="00FB0681" w:rsidP="004A4C06">
      <w:pPr>
        <w:pStyle w:val="IntenseQuote"/>
        <w:pBdr>
          <w:bottom w:val="single" w:sz="4" w:space="1" w:color="auto"/>
        </w:pBdr>
        <w:spacing w:after="0" w:line="240" w:lineRule="auto"/>
        <w:ind w:left="0" w:right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PERSONAL</w:t>
      </w:r>
      <w:r w:rsidR="00BC35F5" w:rsidRPr="004A4C06">
        <w:rPr>
          <w:rFonts w:ascii="Arial" w:hAnsi="Arial" w:cs="Arial"/>
          <w:i w:val="0"/>
          <w:sz w:val="24"/>
          <w:szCs w:val="24"/>
        </w:rPr>
        <w:t xml:space="preserve"> S</w:t>
      </w:r>
      <w:r w:rsidR="00006A5B" w:rsidRPr="004A4C06">
        <w:rPr>
          <w:rFonts w:ascii="Arial" w:hAnsi="Arial" w:cs="Arial"/>
          <w:i w:val="0"/>
          <w:sz w:val="24"/>
          <w:szCs w:val="24"/>
        </w:rPr>
        <w:t>E</w:t>
      </w:r>
      <w:r w:rsidR="00BC35F5" w:rsidRPr="004A4C06">
        <w:rPr>
          <w:rFonts w:ascii="Arial" w:hAnsi="Arial" w:cs="Arial"/>
          <w:i w:val="0"/>
          <w:sz w:val="24"/>
          <w:szCs w:val="24"/>
        </w:rPr>
        <w:t>RVICES</w:t>
      </w:r>
    </w:p>
    <w:p w:rsidR="00ED7431" w:rsidRDefault="00ED7431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Authorized </w:t>
      </w:r>
      <w:r w:rsidR="006339F1">
        <w:rPr>
          <w:rFonts w:ascii="Arial" w:hAnsi="Arial" w:cs="Arial"/>
          <w:sz w:val="24"/>
          <w:szCs w:val="24"/>
        </w:rPr>
        <w:t xml:space="preserve">Budget </w:t>
      </w:r>
      <w:r w:rsidR="006339F1">
        <w:rPr>
          <w:rFonts w:ascii="Arial" w:hAnsi="Arial" w:cs="Arial"/>
          <w:sz w:val="24"/>
          <w:szCs w:val="24"/>
        </w:rPr>
        <w:tab/>
        <w:t>$ 540,000</w:t>
      </w:r>
    </w:p>
    <w:p w:rsidR="00B41E4B" w:rsidRDefault="002E130F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</w:t>
      </w:r>
      <w:r w:rsidR="006339F1">
        <w:rPr>
          <w:rFonts w:ascii="Arial" w:hAnsi="Arial" w:cs="Arial"/>
          <w:sz w:val="24"/>
          <w:szCs w:val="24"/>
        </w:rPr>
        <w:t xml:space="preserve">Funding from BCP </w:t>
      </w:r>
      <w:r w:rsidR="00787AD6" w:rsidRPr="00B41E4B">
        <w:rPr>
          <w:rFonts w:ascii="Arial" w:hAnsi="Arial" w:cs="Arial"/>
          <w:sz w:val="24"/>
          <w:szCs w:val="24"/>
        </w:rPr>
        <w:tab/>
      </w:r>
      <w:r w:rsidR="00067DF3">
        <w:rPr>
          <w:rFonts w:ascii="Arial" w:hAnsi="Arial" w:cs="Arial"/>
          <w:sz w:val="24"/>
          <w:szCs w:val="24"/>
        </w:rPr>
        <w:t xml:space="preserve">$ </w:t>
      </w:r>
      <w:r w:rsidR="006339F1">
        <w:rPr>
          <w:rFonts w:ascii="Arial" w:hAnsi="Arial" w:cs="Arial"/>
          <w:sz w:val="24"/>
          <w:szCs w:val="24"/>
        </w:rPr>
        <w:t>229,000</w:t>
      </w:r>
    </w:p>
    <w:p w:rsidR="00787AD6" w:rsidRPr="006339F1" w:rsidRDefault="006339F1" w:rsidP="004A4C06">
      <w:pPr>
        <w:tabs>
          <w:tab w:val="right" w:pos="9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FY 2020-21 Budget (Wages &amp; Staff Benefits)</w:t>
      </w:r>
      <w:r w:rsidR="00BD0F23" w:rsidRPr="000371EB">
        <w:rPr>
          <w:rFonts w:ascii="Arial" w:hAnsi="Arial" w:cs="Arial"/>
          <w:b/>
          <w:sz w:val="24"/>
          <w:szCs w:val="24"/>
        </w:rPr>
        <w:tab/>
      </w:r>
      <w:r w:rsidR="00BD0F23" w:rsidRPr="006339F1">
        <w:rPr>
          <w:rFonts w:ascii="Arial" w:hAnsi="Arial" w:cs="Arial"/>
          <w:b/>
          <w:sz w:val="24"/>
          <w:szCs w:val="24"/>
        </w:rPr>
        <w:t>$</w:t>
      </w:r>
      <w:r>
        <w:rPr>
          <w:rFonts w:ascii="Arial" w:hAnsi="Arial" w:cs="Arial"/>
          <w:b/>
          <w:sz w:val="24"/>
          <w:szCs w:val="24"/>
        </w:rPr>
        <w:t>769,000</w:t>
      </w:r>
      <w:r w:rsidR="00BD0F23" w:rsidRPr="006339F1">
        <w:rPr>
          <w:rFonts w:ascii="Arial" w:hAnsi="Arial" w:cs="Arial"/>
          <w:b/>
          <w:sz w:val="24"/>
          <w:szCs w:val="24"/>
        </w:rPr>
        <w:t xml:space="preserve"> </w:t>
      </w:r>
    </w:p>
    <w:p w:rsidR="00787AD6" w:rsidRPr="00787AD6" w:rsidRDefault="00787AD6" w:rsidP="004A4C06">
      <w:pPr>
        <w:pStyle w:val="ListParagraph"/>
        <w:tabs>
          <w:tab w:val="right" w:pos="9900"/>
        </w:tabs>
        <w:ind w:left="360"/>
        <w:rPr>
          <w:rFonts w:ascii="Arial" w:hAnsi="Arial" w:cs="Arial"/>
          <w:sz w:val="24"/>
          <w:szCs w:val="24"/>
        </w:rPr>
      </w:pPr>
    </w:p>
    <w:p w:rsidR="00067DF3" w:rsidRDefault="006339F1" w:rsidP="00067DF3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FY 2020 – 21 budget will support all 5.0 positions: </w:t>
      </w:r>
      <w:r w:rsidR="002D1DA5">
        <w:rPr>
          <w:rFonts w:ascii="Arial" w:hAnsi="Arial" w:cs="Arial"/>
          <w:bCs/>
          <w:iCs/>
          <w:sz w:val="24"/>
          <w:szCs w:val="24"/>
        </w:rPr>
        <w:t xml:space="preserve">one </w:t>
      </w:r>
      <w:r>
        <w:rPr>
          <w:rFonts w:ascii="Arial" w:hAnsi="Arial" w:cs="Arial"/>
          <w:bCs/>
          <w:iCs/>
          <w:sz w:val="24"/>
          <w:szCs w:val="24"/>
        </w:rPr>
        <w:t xml:space="preserve">Executive Director, </w:t>
      </w:r>
      <w:r w:rsidR="002D1DA5">
        <w:rPr>
          <w:rFonts w:ascii="Arial" w:hAnsi="Arial" w:cs="Arial"/>
          <w:bCs/>
          <w:iCs/>
          <w:sz w:val="24"/>
          <w:szCs w:val="24"/>
        </w:rPr>
        <w:t xml:space="preserve">one </w:t>
      </w:r>
      <w:r>
        <w:rPr>
          <w:rFonts w:ascii="Arial" w:hAnsi="Arial" w:cs="Arial"/>
          <w:bCs/>
          <w:iCs/>
          <w:sz w:val="24"/>
          <w:szCs w:val="24"/>
        </w:rPr>
        <w:t>Staff Services Manager I, and three Staff Services Analysts.</w:t>
      </w:r>
    </w:p>
    <w:p w:rsidR="00116FA7" w:rsidRDefault="006339F1" w:rsidP="00116FA7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BCP added 2.0 positions, including associated wages and benefits</w:t>
      </w:r>
      <w:r w:rsidR="002D1DA5">
        <w:rPr>
          <w:rFonts w:ascii="Arial" w:hAnsi="Arial" w:cs="Arial"/>
          <w:bCs/>
          <w:iCs/>
          <w:sz w:val="24"/>
          <w:szCs w:val="24"/>
        </w:rPr>
        <w:t xml:space="preserve"> for </w:t>
      </w:r>
      <w:r>
        <w:rPr>
          <w:rFonts w:ascii="Arial" w:hAnsi="Arial" w:cs="Arial"/>
          <w:bCs/>
          <w:iCs/>
          <w:sz w:val="24"/>
          <w:szCs w:val="24"/>
        </w:rPr>
        <w:t>one Program Technician (PT) and one Associate Governmental Program Analyst (AGPA).</w:t>
      </w:r>
    </w:p>
    <w:p w:rsidR="00B675BB" w:rsidRPr="00B675BB" w:rsidRDefault="006339F1" w:rsidP="00B675BB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PT will support data collection and processing workload. AGPA will lead </w:t>
      </w:r>
      <w:r w:rsidR="00B675BB">
        <w:rPr>
          <w:rFonts w:ascii="Arial" w:hAnsi="Arial" w:cs="Arial"/>
          <w:bCs/>
          <w:iCs/>
          <w:sz w:val="24"/>
          <w:szCs w:val="24"/>
        </w:rPr>
        <w:t>outreach efforts.</w:t>
      </w:r>
      <w:r w:rsidR="00B675BB" w:rsidRPr="00B675BB">
        <w:rPr>
          <w:rFonts w:ascii="Arial" w:hAnsi="Arial" w:cs="Arial"/>
          <w:bCs/>
          <w:iCs/>
          <w:sz w:val="24"/>
          <w:szCs w:val="24"/>
        </w:rPr>
        <w:t xml:space="preserve"> These additional positions will remove CCDA’s reliance on the volunteer work base currently supporting ongoing</w:t>
      </w:r>
      <w:r w:rsidR="002D1DA5">
        <w:rPr>
          <w:rFonts w:ascii="Arial" w:hAnsi="Arial" w:cs="Arial"/>
          <w:bCs/>
          <w:iCs/>
          <w:sz w:val="24"/>
          <w:szCs w:val="24"/>
        </w:rPr>
        <w:t xml:space="preserve"> data processing</w:t>
      </w:r>
      <w:r w:rsidR="00B675BB" w:rsidRPr="00B675BB">
        <w:rPr>
          <w:rFonts w:ascii="Arial" w:hAnsi="Arial" w:cs="Arial"/>
          <w:bCs/>
          <w:iCs/>
          <w:sz w:val="24"/>
          <w:szCs w:val="24"/>
        </w:rPr>
        <w:t xml:space="preserve"> workload and strengthen the staffing configuration to deliver sustainable, </w:t>
      </w:r>
      <w:bookmarkStart w:id="0" w:name="_GoBack"/>
      <w:bookmarkEnd w:id="0"/>
      <w:r w:rsidR="00B675BB" w:rsidRPr="00B675BB">
        <w:rPr>
          <w:rFonts w:ascii="Arial" w:hAnsi="Arial" w:cs="Arial"/>
          <w:bCs/>
          <w:iCs/>
          <w:sz w:val="24"/>
          <w:szCs w:val="24"/>
        </w:rPr>
        <w:t>outreach services.</w:t>
      </w:r>
    </w:p>
    <w:p w:rsidR="00B22649" w:rsidRPr="00116FA7" w:rsidRDefault="00B22649" w:rsidP="00B22649">
      <w:pPr>
        <w:pStyle w:val="ListParagraph"/>
        <w:ind w:left="360"/>
        <w:rPr>
          <w:rFonts w:ascii="Arial" w:hAnsi="Arial" w:cs="Arial"/>
          <w:bCs/>
          <w:iCs/>
          <w:sz w:val="24"/>
          <w:szCs w:val="24"/>
        </w:rPr>
      </w:pPr>
    </w:p>
    <w:p w:rsidR="00DE1CB8" w:rsidRPr="004A4C06" w:rsidRDefault="0052411F" w:rsidP="004A4C06">
      <w:pPr>
        <w:pStyle w:val="IntenseQuote"/>
        <w:spacing w:after="0" w:line="240" w:lineRule="auto"/>
        <w:ind w:right="0" w:hanging="936"/>
        <w:rPr>
          <w:rFonts w:ascii="Arial" w:hAnsi="Arial" w:cs="Arial"/>
          <w:i w:val="0"/>
          <w:sz w:val="24"/>
          <w:szCs w:val="24"/>
        </w:rPr>
      </w:pPr>
      <w:r w:rsidRPr="004A4C06">
        <w:rPr>
          <w:rFonts w:ascii="Arial" w:hAnsi="Arial" w:cs="Arial"/>
          <w:i w:val="0"/>
          <w:sz w:val="24"/>
          <w:szCs w:val="24"/>
        </w:rPr>
        <w:t xml:space="preserve">OPERATING </w:t>
      </w:r>
      <w:r w:rsidR="00645E26" w:rsidRPr="004A4C06">
        <w:rPr>
          <w:rFonts w:ascii="Arial" w:hAnsi="Arial" w:cs="Arial"/>
          <w:i w:val="0"/>
          <w:sz w:val="24"/>
          <w:szCs w:val="24"/>
        </w:rPr>
        <w:t xml:space="preserve">EXPENSES </w:t>
      </w:r>
    </w:p>
    <w:p w:rsidR="00B41E4B" w:rsidRPr="00B41E4B" w:rsidRDefault="002E130F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Budget</w:t>
      </w:r>
      <w:r w:rsidR="00E0544D">
        <w:rPr>
          <w:rFonts w:ascii="Arial" w:hAnsi="Arial" w:cs="Arial"/>
          <w:sz w:val="24"/>
          <w:szCs w:val="24"/>
        </w:rPr>
        <w:tab/>
        <w:t>$268,000</w:t>
      </w:r>
    </w:p>
    <w:p w:rsidR="00E0544D" w:rsidRDefault="002E130F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Funding from BCP</w:t>
      </w:r>
      <w:r w:rsidR="00E0544D"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>471,000</w:t>
      </w:r>
    </w:p>
    <w:p w:rsidR="002E130F" w:rsidRDefault="002E130F" w:rsidP="002E130F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FY 2020-21 Budget (Operating Expenses)</w:t>
      </w:r>
      <w:r w:rsidR="0026188F">
        <w:rPr>
          <w:rFonts w:ascii="Arial" w:hAnsi="Arial" w:cs="Arial"/>
          <w:b/>
          <w:sz w:val="24"/>
          <w:szCs w:val="24"/>
        </w:rPr>
        <w:tab/>
      </w:r>
      <w:r w:rsidR="00B73475" w:rsidRPr="002E13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$739,000</w:t>
      </w:r>
    </w:p>
    <w:p w:rsidR="002E130F" w:rsidRDefault="002E130F" w:rsidP="002E130F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130F" w:rsidRDefault="002E130F" w:rsidP="002E130F">
      <w:pPr>
        <w:pStyle w:val="ListParagraph"/>
        <w:numPr>
          <w:ilvl w:val="0"/>
          <w:numId w:val="10"/>
        </w:numPr>
        <w:tabs>
          <w:tab w:val="right" w:pos="9900"/>
        </w:tabs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 2020 – 21 budget will support increased lease and facility operations; program funding for regional outreach services and educational tool development; and contracted services for accessible public meetings.</w:t>
      </w:r>
    </w:p>
    <w:p w:rsidR="000371EB" w:rsidRPr="00DC5A1A" w:rsidRDefault="002E130F" w:rsidP="006573B9">
      <w:pPr>
        <w:pStyle w:val="ListParagraph"/>
        <w:numPr>
          <w:ilvl w:val="0"/>
          <w:numId w:val="10"/>
        </w:numPr>
        <w:tabs>
          <w:tab w:val="right" w:pos="9900"/>
        </w:tabs>
        <w:spacing w:after="0" w:line="240" w:lineRule="auto"/>
        <w:ind w:left="450"/>
      </w:pPr>
      <w:r>
        <w:rPr>
          <w:rFonts w:ascii="Arial" w:hAnsi="Arial" w:cs="Arial"/>
          <w:sz w:val="24"/>
          <w:szCs w:val="24"/>
        </w:rPr>
        <w:t>CCDA was approved for a $700,000 BCP ongoing starting FY 2020-21 to make Commission operationally whole.</w:t>
      </w:r>
    </w:p>
    <w:sectPr w:rsidR="000371EB" w:rsidRPr="00DC5A1A" w:rsidSect="00C34BD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A3" w:rsidRDefault="00163DA3" w:rsidP="00DE1CB8">
      <w:pPr>
        <w:spacing w:after="0" w:line="240" w:lineRule="auto"/>
      </w:pPr>
      <w:r>
        <w:separator/>
      </w:r>
    </w:p>
  </w:endnote>
  <w:endnote w:type="continuationSeparator" w:id="0">
    <w:p w:rsidR="00163DA3" w:rsidRDefault="00163DA3" w:rsidP="00DE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B8" w:rsidRPr="00ED7431" w:rsidRDefault="00ED7431" w:rsidP="006A20A4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July 8, 2020</w:t>
    </w:r>
    <w:r w:rsidR="000371EB" w:rsidRPr="00277087">
      <w:rPr>
        <w:rFonts w:ascii="Arial" w:hAnsi="Arial" w:cs="Arial"/>
      </w:rPr>
      <w:t xml:space="preserve"> </w:t>
    </w:r>
    <w:r>
      <w:rPr>
        <w:rFonts w:ascii="Arial" w:hAnsi="Arial" w:cs="Arial"/>
      </w:rPr>
      <w:t>–</w:t>
    </w:r>
    <w:r w:rsidR="000371EB" w:rsidRPr="00277087">
      <w:rPr>
        <w:rFonts w:ascii="Arial" w:hAnsi="Arial" w:cs="Arial"/>
      </w:rPr>
      <w:t xml:space="preserve"> </w:t>
    </w:r>
    <w:r>
      <w:rPr>
        <w:rFonts w:ascii="Arial" w:hAnsi="Arial" w:cs="Arial"/>
      </w:rPr>
      <w:t>CCDA Joint Executive and Legislative Committee</w:t>
    </w:r>
    <w:r w:rsidR="000371EB" w:rsidRPr="00277087">
      <w:rPr>
        <w:rFonts w:ascii="Arial" w:hAnsi="Arial" w:cs="Arial"/>
      </w:rPr>
      <w:t xml:space="preserve"> </w:t>
    </w:r>
    <w:r>
      <w:rPr>
        <w:rFonts w:ascii="Arial" w:hAnsi="Arial" w:cs="Arial"/>
      </w:rPr>
      <w:t>–</w:t>
    </w:r>
    <w:r w:rsidR="00277087">
      <w:rPr>
        <w:rFonts w:ascii="Arial" w:hAnsi="Arial" w:cs="Arial"/>
      </w:rPr>
      <w:t xml:space="preserve"> </w:t>
    </w:r>
    <w:r>
      <w:rPr>
        <w:rFonts w:ascii="Arial" w:hAnsi="Arial" w:cs="Arial"/>
      </w:rPr>
      <w:t>Support Document</w:t>
    </w:r>
    <w:r>
      <w:rPr>
        <w:rFonts w:ascii="Arial" w:hAnsi="Arial" w:cs="Arial"/>
      </w:rPr>
      <w:tab/>
    </w:r>
    <w:r w:rsidR="00DC5A1A">
      <w:rPr>
        <w:rFonts w:ascii="Arial" w:hAnsi="Arial" w:cs="Arial"/>
      </w:rPr>
      <w:tab/>
    </w:r>
    <w:r w:rsidR="00DC5A1A">
      <w:rPr>
        <w:rFonts w:ascii="Arial" w:hAnsi="Arial" w:cs="Arial"/>
      </w:rPr>
      <w:br/>
    </w:r>
    <w:r w:rsidRPr="00ED7431">
      <w:rPr>
        <w:rFonts w:ascii="Arial" w:hAnsi="Arial" w:cs="Arial"/>
      </w:rPr>
      <w:t xml:space="preserve">Page </w:t>
    </w:r>
    <w:r w:rsidRPr="00ED7431">
      <w:rPr>
        <w:rFonts w:ascii="Arial" w:hAnsi="Arial" w:cs="Arial"/>
        <w:bCs/>
      </w:rPr>
      <w:fldChar w:fldCharType="begin"/>
    </w:r>
    <w:r w:rsidRPr="00ED7431">
      <w:rPr>
        <w:rFonts w:ascii="Arial" w:hAnsi="Arial" w:cs="Arial"/>
        <w:bCs/>
      </w:rPr>
      <w:instrText xml:space="preserve"> PAGE  \* Arabic  \* MERGEFORMAT </w:instrText>
    </w:r>
    <w:r w:rsidRPr="00ED7431">
      <w:rPr>
        <w:rFonts w:ascii="Arial" w:hAnsi="Arial" w:cs="Arial"/>
        <w:bCs/>
      </w:rPr>
      <w:fldChar w:fldCharType="separate"/>
    </w:r>
    <w:r w:rsidR="00E17C88">
      <w:rPr>
        <w:rFonts w:ascii="Arial" w:hAnsi="Arial" w:cs="Arial"/>
        <w:bCs/>
        <w:noProof/>
      </w:rPr>
      <w:t>1</w:t>
    </w:r>
    <w:r w:rsidRPr="00ED7431">
      <w:rPr>
        <w:rFonts w:ascii="Arial" w:hAnsi="Arial" w:cs="Arial"/>
        <w:bCs/>
      </w:rPr>
      <w:fldChar w:fldCharType="end"/>
    </w:r>
    <w:r w:rsidRPr="00ED7431">
      <w:rPr>
        <w:rFonts w:ascii="Arial" w:hAnsi="Arial" w:cs="Arial"/>
      </w:rPr>
      <w:t xml:space="preserve"> of </w:t>
    </w:r>
    <w:r w:rsidRPr="00ED7431">
      <w:rPr>
        <w:rFonts w:ascii="Arial" w:hAnsi="Arial" w:cs="Arial"/>
        <w:bCs/>
      </w:rPr>
      <w:fldChar w:fldCharType="begin"/>
    </w:r>
    <w:r w:rsidRPr="00ED7431">
      <w:rPr>
        <w:rFonts w:ascii="Arial" w:hAnsi="Arial" w:cs="Arial"/>
        <w:bCs/>
      </w:rPr>
      <w:instrText xml:space="preserve"> NUMPAGES  \* Arabic  \* MERGEFORMAT </w:instrText>
    </w:r>
    <w:r w:rsidRPr="00ED7431">
      <w:rPr>
        <w:rFonts w:ascii="Arial" w:hAnsi="Arial" w:cs="Arial"/>
        <w:bCs/>
      </w:rPr>
      <w:fldChar w:fldCharType="separate"/>
    </w:r>
    <w:r w:rsidR="00E17C88">
      <w:rPr>
        <w:rFonts w:ascii="Arial" w:hAnsi="Arial" w:cs="Arial"/>
        <w:bCs/>
        <w:noProof/>
      </w:rPr>
      <w:t>1</w:t>
    </w:r>
    <w:r w:rsidRPr="00ED7431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A3" w:rsidRDefault="00163DA3" w:rsidP="00DE1CB8">
      <w:pPr>
        <w:spacing w:after="0" w:line="240" w:lineRule="auto"/>
      </w:pPr>
      <w:r>
        <w:separator/>
      </w:r>
    </w:p>
  </w:footnote>
  <w:footnote w:type="continuationSeparator" w:id="0">
    <w:p w:rsidR="00163DA3" w:rsidRDefault="00163DA3" w:rsidP="00DE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671"/>
    <w:multiLevelType w:val="hybridMultilevel"/>
    <w:tmpl w:val="2A8C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4A7"/>
    <w:multiLevelType w:val="hybridMultilevel"/>
    <w:tmpl w:val="97727BBC"/>
    <w:lvl w:ilvl="0" w:tplc="413897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BE3"/>
    <w:multiLevelType w:val="hybridMultilevel"/>
    <w:tmpl w:val="451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135A"/>
    <w:multiLevelType w:val="hybridMultilevel"/>
    <w:tmpl w:val="0598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EC0"/>
    <w:multiLevelType w:val="hybridMultilevel"/>
    <w:tmpl w:val="3408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51768"/>
    <w:multiLevelType w:val="hybridMultilevel"/>
    <w:tmpl w:val="4E8A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638DA"/>
    <w:multiLevelType w:val="hybridMultilevel"/>
    <w:tmpl w:val="A52E6A0C"/>
    <w:lvl w:ilvl="0" w:tplc="5D10C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50CD7"/>
    <w:multiLevelType w:val="hybridMultilevel"/>
    <w:tmpl w:val="CA082B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FEB3A06"/>
    <w:multiLevelType w:val="hybridMultilevel"/>
    <w:tmpl w:val="1812DA84"/>
    <w:lvl w:ilvl="0" w:tplc="A6581340">
      <w:start w:val="1"/>
      <w:numFmt w:val="upperLetter"/>
      <w:lvlText w:val="%1."/>
      <w:lvlJc w:val="left"/>
      <w:pPr>
        <w:ind w:left="76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154B3A"/>
    <w:multiLevelType w:val="hybridMultilevel"/>
    <w:tmpl w:val="A1BC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F5"/>
    <w:rsid w:val="00001004"/>
    <w:rsid w:val="00006A5B"/>
    <w:rsid w:val="00021335"/>
    <w:rsid w:val="000267E3"/>
    <w:rsid w:val="00030983"/>
    <w:rsid w:val="000367B9"/>
    <w:rsid w:val="000371EB"/>
    <w:rsid w:val="000427AD"/>
    <w:rsid w:val="00043EC2"/>
    <w:rsid w:val="00056059"/>
    <w:rsid w:val="00056514"/>
    <w:rsid w:val="000629ED"/>
    <w:rsid w:val="00063FB7"/>
    <w:rsid w:val="00067DF3"/>
    <w:rsid w:val="00073841"/>
    <w:rsid w:val="00075013"/>
    <w:rsid w:val="00076138"/>
    <w:rsid w:val="000C1809"/>
    <w:rsid w:val="000E02CE"/>
    <w:rsid w:val="000E1030"/>
    <w:rsid w:val="000E2436"/>
    <w:rsid w:val="000E306C"/>
    <w:rsid w:val="00101EA8"/>
    <w:rsid w:val="00113BF9"/>
    <w:rsid w:val="00115DEB"/>
    <w:rsid w:val="00116FA7"/>
    <w:rsid w:val="001272EF"/>
    <w:rsid w:val="001301E2"/>
    <w:rsid w:val="001410CA"/>
    <w:rsid w:val="00147242"/>
    <w:rsid w:val="00155AD9"/>
    <w:rsid w:val="00157C92"/>
    <w:rsid w:val="00163DA3"/>
    <w:rsid w:val="00173E93"/>
    <w:rsid w:val="001877B7"/>
    <w:rsid w:val="00193EC5"/>
    <w:rsid w:val="0019441F"/>
    <w:rsid w:val="001B42EA"/>
    <w:rsid w:val="001D5936"/>
    <w:rsid w:val="001E3FAC"/>
    <w:rsid w:val="001E5956"/>
    <w:rsid w:val="001F59A8"/>
    <w:rsid w:val="00207D3A"/>
    <w:rsid w:val="00224EB8"/>
    <w:rsid w:val="00227FF3"/>
    <w:rsid w:val="0024119F"/>
    <w:rsid w:val="00244EFD"/>
    <w:rsid w:val="00255651"/>
    <w:rsid w:val="00257E28"/>
    <w:rsid w:val="0026188F"/>
    <w:rsid w:val="00277087"/>
    <w:rsid w:val="00282066"/>
    <w:rsid w:val="00282584"/>
    <w:rsid w:val="00285B76"/>
    <w:rsid w:val="00291675"/>
    <w:rsid w:val="002A1A60"/>
    <w:rsid w:val="002A606A"/>
    <w:rsid w:val="002C0847"/>
    <w:rsid w:val="002D1DA5"/>
    <w:rsid w:val="002E130F"/>
    <w:rsid w:val="002E1A64"/>
    <w:rsid w:val="002F77A7"/>
    <w:rsid w:val="00321F7D"/>
    <w:rsid w:val="0033512C"/>
    <w:rsid w:val="003A464E"/>
    <w:rsid w:val="003B2157"/>
    <w:rsid w:val="003C5E9B"/>
    <w:rsid w:val="00403BE2"/>
    <w:rsid w:val="004112CC"/>
    <w:rsid w:val="00422455"/>
    <w:rsid w:val="0044004E"/>
    <w:rsid w:val="00440EAD"/>
    <w:rsid w:val="00441161"/>
    <w:rsid w:val="00461139"/>
    <w:rsid w:val="004661AF"/>
    <w:rsid w:val="004679E6"/>
    <w:rsid w:val="004968F2"/>
    <w:rsid w:val="004A4C06"/>
    <w:rsid w:val="004B10DC"/>
    <w:rsid w:val="004D527E"/>
    <w:rsid w:val="004E0D8B"/>
    <w:rsid w:val="00512F05"/>
    <w:rsid w:val="00523319"/>
    <w:rsid w:val="0052411F"/>
    <w:rsid w:val="00524B34"/>
    <w:rsid w:val="00531282"/>
    <w:rsid w:val="005357B9"/>
    <w:rsid w:val="00536B50"/>
    <w:rsid w:val="00544C6F"/>
    <w:rsid w:val="00565722"/>
    <w:rsid w:val="00577837"/>
    <w:rsid w:val="0058290A"/>
    <w:rsid w:val="00587C26"/>
    <w:rsid w:val="005C0034"/>
    <w:rsid w:val="005C6B70"/>
    <w:rsid w:val="005F5005"/>
    <w:rsid w:val="005F64D8"/>
    <w:rsid w:val="00605729"/>
    <w:rsid w:val="00616AEF"/>
    <w:rsid w:val="0062163F"/>
    <w:rsid w:val="006339F1"/>
    <w:rsid w:val="006368DA"/>
    <w:rsid w:val="00636C0F"/>
    <w:rsid w:val="00645E26"/>
    <w:rsid w:val="006573B9"/>
    <w:rsid w:val="00661210"/>
    <w:rsid w:val="00662C00"/>
    <w:rsid w:val="00663044"/>
    <w:rsid w:val="00671538"/>
    <w:rsid w:val="006715E3"/>
    <w:rsid w:val="006734F1"/>
    <w:rsid w:val="00690B2D"/>
    <w:rsid w:val="006A20A4"/>
    <w:rsid w:val="006A5A29"/>
    <w:rsid w:val="006C0EFA"/>
    <w:rsid w:val="006D1E0C"/>
    <w:rsid w:val="006E4F7E"/>
    <w:rsid w:val="006F055A"/>
    <w:rsid w:val="00714453"/>
    <w:rsid w:val="007230DF"/>
    <w:rsid w:val="007327D0"/>
    <w:rsid w:val="0073522C"/>
    <w:rsid w:val="00737B19"/>
    <w:rsid w:val="00747A25"/>
    <w:rsid w:val="00762048"/>
    <w:rsid w:val="0077087E"/>
    <w:rsid w:val="007851B3"/>
    <w:rsid w:val="00787AD6"/>
    <w:rsid w:val="007A4676"/>
    <w:rsid w:val="007E6177"/>
    <w:rsid w:val="007F1547"/>
    <w:rsid w:val="00807F54"/>
    <w:rsid w:val="00830422"/>
    <w:rsid w:val="0084234F"/>
    <w:rsid w:val="00845252"/>
    <w:rsid w:val="008510E2"/>
    <w:rsid w:val="00856715"/>
    <w:rsid w:val="0086117A"/>
    <w:rsid w:val="00862990"/>
    <w:rsid w:val="00863E36"/>
    <w:rsid w:val="0086426A"/>
    <w:rsid w:val="008715BB"/>
    <w:rsid w:val="00874208"/>
    <w:rsid w:val="008952D4"/>
    <w:rsid w:val="00895D4C"/>
    <w:rsid w:val="008C0E9D"/>
    <w:rsid w:val="008C5A33"/>
    <w:rsid w:val="008F090D"/>
    <w:rsid w:val="00910C03"/>
    <w:rsid w:val="0091637C"/>
    <w:rsid w:val="009176DF"/>
    <w:rsid w:val="00922626"/>
    <w:rsid w:val="00931D53"/>
    <w:rsid w:val="00935255"/>
    <w:rsid w:val="00943173"/>
    <w:rsid w:val="00951BC1"/>
    <w:rsid w:val="00956A9D"/>
    <w:rsid w:val="00960FA0"/>
    <w:rsid w:val="00986981"/>
    <w:rsid w:val="00987C93"/>
    <w:rsid w:val="009D3270"/>
    <w:rsid w:val="009D7125"/>
    <w:rsid w:val="009E03D8"/>
    <w:rsid w:val="00A06DF2"/>
    <w:rsid w:val="00A136B3"/>
    <w:rsid w:val="00A2116A"/>
    <w:rsid w:val="00A23E84"/>
    <w:rsid w:val="00A326A2"/>
    <w:rsid w:val="00A527E6"/>
    <w:rsid w:val="00A5780D"/>
    <w:rsid w:val="00A6052C"/>
    <w:rsid w:val="00A60BC4"/>
    <w:rsid w:val="00A7083B"/>
    <w:rsid w:val="00A70FDF"/>
    <w:rsid w:val="00A72F1E"/>
    <w:rsid w:val="00A877FC"/>
    <w:rsid w:val="00A94917"/>
    <w:rsid w:val="00AA3375"/>
    <w:rsid w:val="00AA41D8"/>
    <w:rsid w:val="00AB04B8"/>
    <w:rsid w:val="00AC1BC0"/>
    <w:rsid w:val="00AD335E"/>
    <w:rsid w:val="00AF6958"/>
    <w:rsid w:val="00B01CA1"/>
    <w:rsid w:val="00B10788"/>
    <w:rsid w:val="00B22649"/>
    <w:rsid w:val="00B41E4B"/>
    <w:rsid w:val="00B533DF"/>
    <w:rsid w:val="00B675BB"/>
    <w:rsid w:val="00B7034B"/>
    <w:rsid w:val="00B73475"/>
    <w:rsid w:val="00B83F3C"/>
    <w:rsid w:val="00B933BD"/>
    <w:rsid w:val="00B961D7"/>
    <w:rsid w:val="00B962C3"/>
    <w:rsid w:val="00BA75E1"/>
    <w:rsid w:val="00BC35F5"/>
    <w:rsid w:val="00BC4F8B"/>
    <w:rsid w:val="00BD0F23"/>
    <w:rsid w:val="00BE1DBD"/>
    <w:rsid w:val="00BE20BC"/>
    <w:rsid w:val="00BE3280"/>
    <w:rsid w:val="00BF3DC8"/>
    <w:rsid w:val="00C0248E"/>
    <w:rsid w:val="00C0252C"/>
    <w:rsid w:val="00C1285B"/>
    <w:rsid w:val="00C15D7B"/>
    <w:rsid w:val="00C23C5B"/>
    <w:rsid w:val="00C26B96"/>
    <w:rsid w:val="00C34BD4"/>
    <w:rsid w:val="00C34BEE"/>
    <w:rsid w:val="00C37FF6"/>
    <w:rsid w:val="00C71360"/>
    <w:rsid w:val="00C73634"/>
    <w:rsid w:val="00C74117"/>
    <w:rsid w:val="00C8124A"/>
    <w:rsid w:val="00C87BBA"/>
    <w:rsid w:val="00CA0B32"/>
    <w:rsid w:val="00CC30D7"/>
    <w:rsid w:val="00CD2D74"/>
    <w:rsid w:val="00CF17B6"/>
    <w:rsid w:val="00D13B35"/>
    <w:rsid w:val="00D24FC3"/>
    <w:rsid w:val="00D454EC"/>
    <w:rsid w:val="00D740DB"/>
    <w:rsid w:val="00D75A97"/>
    <w:rsid w:val="00D81853"/>
    <w:rsid w:val="00D848FD"/>
    <w:rsid w:val="00D90524"/>
    <w:rsid w:val="00D97BE1"/>
    <w:rsid w:val="00DA0E63"/>
    <w:rsid w:val="00DB7C81"/>
    <w:rsid w:val="00DC5A1A"/>
    <w:rsid w:val="00DC6717"/>
    <w:rsid w:val="00DD5A61"/>
    <w:rsid w:val="00DE1CB8"/>
    <w:rsid w:val="00DE544A"/>
    <w:rsid w:val="00DE6FA6"/>
    <w:rsid w:val="00E0076E"/>
    <w:rsid w:val="00E0544D"/>
    <w:rsid w:val="00E057C7"/>
    <w:rsid w:val="00E17C88"/>
    <w:rsid w:val="00E204E3"/>
    <w:rsid w:val="00E51A70"/>
    <w:rsid w:val="00E52755"/>
    <w:rsid w:val="00E643F5"/>
    <w:rsid w:val="00E64722"/>
    <w:rsid w:val="00E820FC"/>
    <w:rsid w:val="00E83F58"/>
    <w:rsid w:val="00EC40DB"/>
    <w:rsid w:val="00ED2F7A"/>
    <w:rsid w:val="00ED7431"/>
    <w:rsid w:val="00EE69A3"/>
    <w:rsid w:val="00EF1CA4"/>
    <w:rsid w:val="00EF45D6"/>
    <w:rsid w:val="00EF6A64"/>
    <w:rsid w:val="00F01750"/>
    <w:rsid w:val="00F10A8E"/>
    <w:rsid w:val="00F123ED"/>
    <w:rsid w:val="00F1305E"/>
    <w:rsid w:val="00F2420C"/>
    <w:rsid w:val="00F30A23"/>
    <w:rsid w:val="00F451FD"/>
    <w:rsid w:val="00F5027C"/>
    <w:rsid w:val="00F6234A"/>
    <w:rsid w:val="00F66A4C"/>
    <w:rsid w:val="00F7542F"/>
    <w:rsid w:val="00F86F7A"/>
    <w:rsid w:val="00F936C0"/>
    <w:rsid w:val="00F9610D"/>
    <w:rsid w:val="00FA5674"/>
    <w:rsid w:val="00FB0681"/>
    <w:rsid w:val="00FB6E77"/>
    <w:rsid w:val="00FC2136"/>
    <w:rsid w:val="00FC3E75"/>
    <w:rsid w:val="00FC6E9F"/>
    <w:rsid w:val="00FE1B57"/>
    <w:rsid w:val="00FE40BC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B0CF999-D7DB-490F-84AA-A6E8F87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3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35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C3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B8"/>
  </w:style>
  <w:style w:type="paragraph" w:styleId="Footer">
    <w:name w:val="footer"/>
    <w:basedOn w:val="Normal"/>
    <w:link w:val="FooterChar"/>
    <w:uiPriority w:val="99"/>
    <w:unhideWhenUsed/>
    <w:rsid w:val="00DE1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B8"/>
  </w:style>
  <w:style w:type="paragraph" w:styleId="BalloonText">
    <w:name w:val="Balloon Text"/>
    <w:basedOn w:val="Normal"/>
    <w:link w:val="BalloonTextChar"/>
    <w:uiPriority w:val="99"/>
    <w:semiHidden/>
    <w:unhideWhenUsed/>
    <w:rsid w:val="00DE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B8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A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A5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31D53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931D53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B0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D013-86C2-4B32-9A59-BD7B9D46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Embrey, Addison@CCDA</dc:creator>
  <cp:lastModifiedBy>Ochoa, LaCandice@DGS</cp:lastModifiedBy>
  <cp:revision>7</cp:revision>
  <cp:lastPrinted>2017-05-09T18:39:00Z</cp:lastPrinted>
  <dcterms:created xsi:type="dcterms:W3CDTF">2020-07-01T17:19:00Z</dcterms:created>
  <dcterms:modified xsi:type="dcterms:W3CDTF">2020-07-02T22:25:00Z</dcterms:modified>
</cp:coreProperties>
</file>