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AD" w:rsidRDefault="00173074" w:rsidP="00173074">
      <w:pPr>
        <w:jc w:val="center"/>
        <w:rPr>
          <w:rFonts w:cs="Arial"/>
          <w:szCs w:val="24"/>
        </w:rPr>
      </w:pPr>
      <w:r>
        <w:rPr>
          <w:rFonts w:cs="Arial"/>
          <w:noProof/>
          <w:szCs w:val="24"/>
        </w:rPr>
        <w:drawing>
          <wp:inline distT="0" distB="0" distL="0" distR="0">
            <wp:extent cx="4648200" cy="873028"/>
            <wp:effectExtent l="0" t="0" r="0" b="381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6">
                      <a:extLst>
                        <a:ext uri="{28A0092B-C50C-407E-A947-70E740481C1C}">
                          <a14:useLocalDpi xmlns:a14="http://schemas.microsoft.com/office/drawing/2010/main" val="0"/>
                        </a:ext>
                      </a:extLst>
                    </a:blip>
                    <a:stretch>
                      <a:fillRect/>
                    </a:stretch>
                  </pic:blipFill>
                  <pic:spPr>
                    <a:xfrm>
                      <a:off x="0" y="0"/>
                      <a:ext cx="4764276" cy="894829"/>
                    </a:xfrm>
                    <a:prstGeom prst="rect">
                      <a:avLst/>
                    </a:prstGeom>
                  </pic:spPr>
                </pic:pic>
              </a:graphicData>
            </a:graphic>
          </wp:inline>
        </w:drawing>
      </w:r>
    </w:p>
    <w:p w:rsidR="00173074" w:rsidRPr="00F25FAC" w:rsidRDefault="00173074" w:rsidP="00F25FAC">
      <w:pPr>
        <w:jc w:val="center"/>
        <w:rPr>
          <w:b/>
          <w:sz w:val="28"/>
          <w:szCs w:val="28"/>
        </w:rPr>
      </w:pPr>
      <w:r w:rsidRPr="00F25FAC">
        <w:rPr>
          <w:b/>
          <w:sz w:val="28"/>
          <w:szCs w:val="28"/>
        </w:rPr>
        <w:t>Current Five-Year Strategic Plan Goals Evaluated using Governing Statutes</w:t>
      </w:r>
    </w:p>
    <w:p w:rsidR="00173074" w:rsidRDefault="00173074" w:rsidP="00173074"/>
    <w:p w:rsidR="00173074" w:rsidRDefault="00173074" w:rsidP="00F25FAC">
      <w:pPr>
        <w:pStyle w:val="Heading1"/>
        <w:jc w:val="center"/>
      </w:pPr>
      <w:r w:rsidRPr="00173074">
        <w:t>Goals to Delete/Discontinue in 2019</w:t>
      </w:r>
    </w:p>
    <w:p w:rsidR="00F25FAC" w:rsidRDefault="00173074" w:rsidP="00F25FAC">
      <w:pPr>
        <w:pStyle w:val="Heading2"/>
      </w:pPr>
      <w:r w:rsidRPr="007352F1">
        <w:t>Goal 1:</w:t>
      </w:r>
      <w:r>
        <w:t xml:space="preserve"> </w:t>
      </w:r>
      <w:bookmarkStart w:id="0" w:name="_GoBack"/>
      <w:bookmarkEnd w:id="0"/>
    </w:p>
    <w:p w:rsidR="00173074" w:rsidRDefault="00173074" w:rsidP="00173074">
      <w:r w:rsidRPr="007352F1">
        <w:rPr>
          <w:b/>
        </w:rPr>
        <w:t>Advocate for access curricula for all school programs.</w:t>
      </w:r>
    </w:p>
    <w:p w:rsidR="00173074" w:rsidRDefault="00173074" w:rsidP="00173074">
      <w:r>
        <w:t>Correspon</w:t>
      </w:r>
      <w:r w:rsidR="00734556">
        <w:t>ding governing statute(s): None tangible enough to support goal.</w:t>
      </w:r>
    </w:p>
    <w:p w:rsidR="00173074" w:rsidRDefault="00173074" w:rsidP="00173074">
      <w:r>
        <w:t>Staff Recommendation: CCDA staff recommends to discontinue efforts on this goal in 2019. There are no corresponding governing statutes, and CCDA does not have the resources to continue this goal.</w:t>
      </w:r>
    </w:p>
    <w:p w:rsidR="00F25FAC" w:rsidRDefault="007352F1" w:rsidP="00F25FAC">
      <w:pPr>
        <w:pStyle w:val="Heading2"/>
      </w:pPr>
      <w:r w:rsidRPr="007352F1">
        <w:t xml:space="preserve">Goal 5: </w:t>
      </w:r>
    </w:p>
    <w:p w:rsidR="00173074" w:rsidRDefault="007352F1" w:rsidP="00173074">
      <w:pPr>
        <w:rPr>
          <w:b/>
        </w:rPr>
      </w:pPr>
      <w:r w:rsidRPr="007352F1">
        <w:rPr>
          <w:b/>
        </w:rPr>
        <w:t>Create financial and other incentives for access compliance.</w:t>
      </w:r>
    </w:p>
    <w:p w:rsidR="007352F1" w:rsidRDefault="007352F1" w:rsidP="00173074">
      <w:r>
        <w:t xml:space="preserve">Corresponding governing </w:t>
      </w:r>
      <w:r w:rsidR="00734556">
        <w:t>statute(s): None tangible enough to support goal.</w:t>
      </w:r>
    </w:p>
    <w:p w:rsidR="00734556" w:rsidRDefault="007352F1" w:rsidP="007352F1">
      <w:r>
        <w:t xml:space="preserve">Staff Recommendation: </w:t>
      </w:r>
      <w:r w:rsidRPr="007352F1">
        <w:t xml:space="preserve">CCDA staff recommends to discontinue efforts on this goal in 2019. </w:t>
      </w:r>
      <w:r w:rsidR="00734556" w:rsidRPr="00734556">
        <w:t>CCDA has in the past p</w:t>
      </w:r>
      <w:r w:rsidR="00734556">
        <w:t>artnered with other state agencies and the Legislature</w:t>
      </w:r>
      <w:r w:rsidR="00734556" w:rsidRPr="00734556">
        <w:t xml:space="preserve"> in support of financial access projects (California Capital Access Program (</w:t>
      </w:r>
      <w:proofErr w:type="spellStart"/>
      <w:r w:rsidR="00734556" w:rsidRPr="00734556">
        <w:t>CalCAP</w:t>
      </w:r>
      <w:proofErr w:type="spellEnd"/>
      <w:r w:rsidR="00734556" w:rsidRPr="00734556">
        <w:t xml:space="preserve">) Americans With Disabilities Act (ADA) Financing Program and </w:t>
      </w:r>
      <w:r w:rsidR="00734556">
        <w:t xml:space="preserve">Assemblymember Thurmond on </w:t>
      </w:r>
      <w:hyperlink r:id="rId7" w:history="1">
        <w:r w:rsidR="00734556" w:rsidRPr="00734556">
          <w:rPr>
            <w:rStyle w:val="Hyperlink"/>
          </w:rPr>
          <w:t>AB 1379, Chapter 667, Statutes of 2017</w:t>
        </w:r>
      </w:hyperlink>
      <w:r w:rsidR="00734556">
        <w:t>.</w:t>
      </w:r>
      <w:r w:rsidR="00734556" w:rsidRPr="00734556">
        <w:t>)</w:t>
      </w:r>
    </w:p>
    <w:p w:rsidR="007352F1" w:rsidRDefault="007352F1" w:rsidP="007352F1">
      <w:r w:rsidRPr="007352F1">
        <w:t>There are no corresponding governing statutes,</w:t>
      </w:r>
      <w:r>
        <w:t xml:space="preserve"> and CCDA does not have the legislative authority to create financial and other incentive programs.</w:t>
      </w:r>
    </w:p>
    <w:p w:rsidR="00F25FAC" w:rsidRDefault="007352F1" w:rsidP="00F25FAC">
      <w:pPr>
        <w:pStyle w:val="Heading2"/>
      </w:pPr>
      <w:r w:rsidRPr="007352F1">
        <w:t xml:space="preserve">Goal 7: </w:t>
      </w:r>
    </w:p>
    <w:p w:rsidR="007352F1" w:rsidRDefault="007352F1" w:rsidP="007352F1">
      <w:pPr>
        <w:rPr>
          <w:b/>
        </w:rPr>
      </w:pPr>
      <w:r w:rsidRPr="007352F1">
        <w:rPr>
          <w:b/>
        </w:rPr>
        <w:t>Advocate to hold authorities having jurisdiction accountable for the built environment (both public and private) to avoid passive non-compliance for architectural and program access.</w:t>
      </w:r>
    </w:p>
    <w:p w:rsidR="007352F1" w:rsidRDefault="007352F1" w:rsidP="007352F1">
      <w:r>
        <w:t>Corresponding governing statute(s): None</w:t>
      </w:r>
      <w:r w:rsidR="00734556">
        <w:t xml:space="preserve"> tangible enough to support goal</w:t>
      </w:r>
      <w:r>
        <w:t>.</w:t>
      </w:r>
    </w:p>
    <w:p w:rsidR="007352F1" w:rsidRDefault="007352F1" w:rsidP="007352F1">
      <w:r>
        <w:t>Staff Recommendation: CCDA staff recommends to discontinue efforts on this goal in 2019. There are no corresponding governing statutes, and CCDA does not have the resources to continue this goal in examining policy issues.</w:t>
      </w:r>
    </w:p>
    <w:p w:rsidR="00F25FAC" w:rsidRDefault="007352F1" w:rsidP="00F25FAC">
      <w:pPr>
        <w:pStyle w:val="Heading2"/>
      </w:pPr>
      <w:r>
        <w:t>Goal 9:</w:t>
      </w:r>
      <w:r w:rsidRPr="007352F1">
        <w:t xml:space="preserve"> </w:t>
      </w:r>
    </w:p>
    <w:p w:rsidR="007352F1" w:rsidRDefault="007352F1" w:rsidP="007352F1">
      <w:pPr>
        <w:rPr>
          <w:b/>
        </w:rPr>
      </w:pPr>
      <w:r w:rsidRPr="007352F1">
        <w:rPr>
          <w:b/>
        </w:rPr>
        <w:t>Expand methods of identification, obligation, and enforcement of barrier removal in the built environment</w:t>
      </w:r>
      <w:r>
        <w:rPr>
          <w:b/>
        </w:rPr>
        <w:t>.</w:t>
      </w:r>
    </w:p>
    <w:p w:rsidR="007352F1" w:rsidRDefault="007352F1" w:rsidP="007352F1">
      <w:r>
        <w:t>Corresponding governing statute(s): None</w:t>
      </w:r>
      <w:r w:rsidR="00734556">
        <w:t xml:space="preserve"> tangible enough to support goal</w:t>
      </w:r>
      <w:r>
        <w:t>.</w:t>
      </w:r>
    </w:p>
    <w:p w:rsidR="00C4422E" w:rsidRDefault="007352F1" w:rsidP="007352F1">
      <w:r>
        <w:lastRenderedPageBreak/>
        <w:t xml:space="preserve">Staff Recommendation: CCDA staff recommends to discontinue efforts on this goal in 2019. There are no corresponding governing statutes, and the Certified Access Specialist (CASp) program is managed by the Division of the State Architect (DSA). State legislation has also been passed in recent years to address this goal (e.g. </w:t>
      </w:r>
      <w:hyperlink r:id="rId8" w:history="1">
        <w:r w:rsidRPr="00734556">
          <w:rPr>
            <w:rStyle w:val="Hyperlink"/>
          </w:rPr>
          <w:t>AB 2093, Chapter 379, Statutes of 2016</w:t>
        </w:r>
      </w:hyperlink>
      <w:r>
        <w:t xml:space="preserve"> and </w:t>
      </w:r>
      <w:hyperlink r:id="rId9" w:history="1">
        <w:r w:rsidRPr="00734556">
          <w:rPr>
            <w:rStyle w:val="Hyperlink"/>
          </w:rPr>
          <w:t>AB 1148, Chapter 87, Statutes of 2017</w:t>
        </w:r>
      </w:hyperlink>
      <w:r>
        <w:t>).</w:t>
      </w:r>
    </w:p>
    <w:p w:rsidR="00173074" w:rsidRDefault="00AF47AF" w:rsidP="00F25FAC">
      <w:pPr>
        <w:pStyle w:val="Heading1"/>
        <w:jc w:val="center"/>
      </w:pPr>
      <w:r w:rsidRPr="00AF47AF">
        <w:t>Goals to Continue in 2019/Move Forward to New Strategic Plan</w:t>
      </w:r>
    </w:p>
    <w:p w:rsidR="00F25FAC" w:rsidRDefault="00A402CA" w:rsidP="00F25FAC">
      <w:pPr>
        <w:pStyle w:val="Heading2"/>
      </w:pPr>
      <w:r w:rsidRPr="00A402CA">
        <w:t xml:space="preserve">Goal 2: </w:t>
      </w:r>
    </w:p>
    <w:p w:rsidR="00AF47AF" w:rsidRPr="00A402CA" w:rsidRDefault="00A402CA" w:rsidP="00AF47AF">
      <w:pPr>
        <w:rPr>
          <w:b/>
        </w:rPr>
      </w:pPr>
      <w:r w:rsidRPr="00A402CA">
        <w:rPr>
          <w:b/>
        </w:rPr>
        <w:t>Increase disability access awareness.</w:t>
      </w:r>
    </w:p>
    <w:p w:rsidR="00A402CA" w:rsidRDefault="00A402CA" w:rsidP="00AF47AF">
      <w:r>
        <w:t>Corresponding governing statute(s): Government Code</w:t>
      </w:r>
      <w:r w:rsidR="00CD24ED">
        <w:t xml:space="preserve"> section</w:t>
      </w:r>
      <w:r>
        <w:t xml:space="preserve"> </w:t>
      </w:r>
      <w:hyperlink r:id="rId10" w:history="1">
        <w:r w:rsidRPr="00B01620">
          <w:rPr>
            <w:rStyle w:val="Hyperlink"/>
          </w:rPr>
          <w:t>14985.5</w:t>
        </w:r>
      </w:hyperlink>
    </w:p>
    <w:p w:rsidR="00A402CA" w:rsidRPr="00A402CA" w:rsidRDefault="00A402CA" w:rsidP="00F25FAC">
      <w:pPr>
        <w:pStyle w:val="Heading2"/>
        <w:rPr>
          <w:rFonts w:eastAsia="Times New Roman"/>
          <w:color w:val="000000"/>
        </w:rPr>
      </w:pPr>
      <w:r w:rsidRPr="00A402CA">
        <w:rPr>
          <w:rFonts w:eastAsia="Times New Roman"/>
        </w:rPr>
        <w:t>14985.5.  </w:t>
      </w:r>
    </w:p>
    <w:p w:rsidR="00A402CA" w:rsidRPr="00A402CA" w:rsidRDefault="00A402CA" w:rsidP="00A402CA">
      <w:pPr>
        <w:shd w:val="clear" w:color="auto" w:fill="FFFFFF"/>
        <w:spacing w:after="120" w:line="240" w:lineRule="auto"/>
        <w:textAlignment w:val="baseline"/>
        <w:rPr>
          <w:rFonts w:ascii="Verdana" w:eastAsia="Times New Roman" w:hAnsi="Verdana" w:cs="Times New Roman"/>
          <w:i/>
          <w:color w:val="333333"/>
          <w:sz w:val="22"/>
        </w:rPr>
      </w:pPr>
      <w:r w:rsidRPr="00A402CA">
        <w:rPr>
          <w:rFonts w:ascii="Verdana" w:eastAsia="Times New Roman" w:hAnsi="Verdana" w:cs="Times New Roman"/>
          <w:i/>
          <w:color w:val="333333"/>
          <w:sz w:val="22"/>
        </w:rPr>
        <w:t>(a) The commission may recommend, develop, prepare, or coordinate materials, projects, or other activities, as appropriate, relating to any subject within its jurisdiction.</w:t>
      </w:r>
    </w:p>
    <w:p w:rsidR="00A402CA" w:rsidRPr="00A402CA" w:rsidRDefault="00A402CA" w:rsidP="00A402CA">
      <w:pPr>
        <w:shd w:val="clear" w:color="auto" w:fill="FFFFFF"/>
        <w:spacing w:after="120" w:line="240" w:lineRule="auto"/>
        <w:textAlignment w:val="baseline"/>
        <w:rPr>
          <w:rFonts w:ascii="Verdana" w:eastAsia="Times New Roman" w:hAnsi="Verdana" w:cs="Times New Roman"/>
          <w:i/>
          <w:color w:val="333333"/>
          <w:sz w:val="22"/>
        </w:rPr>
      </w:pPr>
      <w:r w:rsidRPr="00A402CA">
        <w:rPr>
          <w:rFonts w:ascii="Verdana" w:eastAsia="Times New Roman" w:hAnsi="Verdana" w:cs="Times New Roman"/>
          <w:i/>
          <w:color w:val="333333"/>
          <w:sz w:val="22"/>
        </w:rPr>
        <w:t>(b) The commission shall provide, within its resources, information regarding any of the following:</w:t>
      </w:r>
    </w:p>
    <w:p w:rsidR="00A402CA" w:rsidRPr="00A402CA" w:rsidRDefault="00A402CA" w:rsidP="00A402CA">
      <w:pPr>
        <w:shd w:val="clear" w:color="auto" w:fill="FFFFFF"/>
        <w:spacing w:after="120" w:line="240" w:lineRule="auto"/>
        <w:textAlignment w:val="baseline"/>
        <w:rPr>
          <w:rFonts w:ascii="Verdana" w:eastAsia="Times New Roman" w:hAnsi="Verdana" w:cs="Times New Roman"/>
          <w:i/>
          <w:color w:val="333333"/>
          <w:sz w:val="22"/>
        </w:rPr>
      </w:pPr>
      <w:r w:rsidRPr="00A402CA">
        <w:rPr>
          <w:rFonts w:ascii="Verdana" w:eastAsia="Times New Roman" w:hAnsi="Verdana" w:cs="Times New Roman"/>
          <w:i/>
          <w:color w:val="333333"/>
          <w:sz w:val="22"/>
        </w:rPr>
        <w:t>(1) Preventing or minimizing problems of compliance by California businesses by providing educational services, including outreach efforts, and by preparing and hosting on its Internet Web site a Guide to Compliance with State Laws and Regulations Regarding Disability Access Requirements.</w:t>
      </w:r>
    </w:p>
    <w:p w:rsidR="00A402CA" w:rsidRPr="00A402CA" w:rsidRDefault="00A402CA" w:rsidP="00A402CA">
      <w:pPr>
        <w:shd w:val="clear" w:color="auto" w:fill="FFFFFF"/>
        <w:spacing w:after="120" w:line="240" w:lineRule="auto"/>
        <w:textAlignment w:val="baseline"/>
        <w:rPr>
          <w:rFonts w:ascii="Verdana" w:eastAsia="Times New Roman" w:hAnsi="Verdana" w:cs="Times New Roman"/>
          <w:i/>
          <w:color w:val="333333"/>
          <w:sz w:val="22"/>
        </w:rPr>
      </w:pPr>
      <w:r w:rsidRPr="00A402CA">
        <w:rPr>
          <w:rFonts w:ascii="Verdana" w:eastAsia="Times New Roman" w:hAnsi="Verdana" w:cs="Times New Roman"/>
          <w:i/>
          <w:color w:val="333333"/>
          <w:sz w:val="22"/>
        </w:rPr>
        <w:t>(2) Recommending programs to enable persons with disabilities to obtain full and equal access to public facilities.</w:t>
      </w:r>
    </w:p>
    <w:p w:rsidR="00A402CA" w:rsidRPr="00A402CA" w:rsidRDefault="00A402CA" w:rsidP="00A402CA">
      <w:pPr>
        <w:shd w:val="clear" w:color="auto" w:fill="FFFFFF"/>
        <w:spacing w:after="120" w:line="240" w:lineRule="auto"/>
        <w:textAlignment w:val="baseline"/>
        <w:rPr>
          <w:rFonts w:ascii="Verdana" w:eastAsia="Times New Roman" w:hAnsi="Verdana" w:cs="Times New Roman"/>
          <w:i/>
          <w:color w:val="333333"/>
          <w:sz w:val="22"/>
        </w:rPr>
      </w:pPr>
      <w:r w:rsidRPr="00A402CA">
        <w:rPr>
          <w:rFonts w:ascii="Verdana" w:eastAsia="Times New Roman" w:hAnsi="Verdana" w:cs="Times New Roman"/>
          <w:i/>
          <w:color w:val="333333"/>
          <w:sz w:val="22"/>
        </w:rPr>
        <w:t>(3) Providing information as requested by the Legislature on disability access issues and compliance.</w:t>
      </w:r>
    </w:p>
    <w:p w:rsidR="00A402CA" w:rsidRDefault="00A402CA" w:rsidP="00A402CA">
      <w:pPr>
        <w:rPr>
          <w:rFonts w:ascii="Verdana" w:eastAsia="Times New Roman" w:hAnsi="Verdana" w:cs="Times New Roman"/>
          <w:i/>
          <w:iCs/>
          <w:color w:val="333333"/>
          <w:sz w:val="22"/>
          <w:shd w:val="clear" w:color="auto" w:fill="FFFFFF"/>
        </w:rPr>
      </w:pPr>
      <w:r w:rsidRPr="00A402CA">
        <w:rPr>
          <w:rFonts w:ascii="Verdana" w:eastAsia="Times New Roman" w:hAnsi="Verdana" w:cs="Times New Roman"/>
          <w:i/>
          <w:iCs/>
          <w:color w:val="333333"/>
          <w:sz w:val="22"/>
          <w:shd w:val="clear" w:color="auto" w:fill="FFFFFF"/>
        </w:rPr>
        <w:t>(Added by Stats. 2017, Ch. 19, Sec. 15. (AB 111) Effective June 27, 2017. Pursuant to Section 14985.11, continuing operation is contingent upon funding.)</w:t>
      </w:r>
    </w:p>
    <w:p w:rsidR="00A402CA" w:rsidRDefault="00A402CA" w:rsidP="00A402CA">
      <w:r>
        <w:t>Staff Recommendation: CCDA staff recommends the Commission continue this goal in 2019 and carry it forward to a new strategic plan.</w:t>
      </w:r>
    </w:p>
    <w:p w:rsidR="00A402CA" w:rsidRDefault="00A402CA" w:rsidP="00A402CA">
      <w:r>
        <w:t>Who: CCDA would fulfill this goal through its staffing, membership, and subcommittee resources.</w:t>
      </w:r>
    </w:p>
    <w:p w:rsidR="00A402CA" w:rsidRDefault="00A402CA" w:rsidP="00A402CA">
      <w:r>
        <w:t>Implementation Methods and Frequency: CCDA staff is seeking guidance from Commissioners on how often material coordination, projects, and other activities should occur. The Legislative, Checklist, and Education &amp; Outreach subcommittee currently have activities planned in support of Goal 1.</w:t>
      </w:r>
    </w:p>
    <w:p w:rsidR="00C4422E" w:rsidRDefault="00A402CA" w:rsidP="00A402CA">
      <w:r>
        <w:t>Why: CCDA staff is seeking feedback from Commissioners on the statewide impact(s) of this goal</w:t>
      </w:r>
      <w:r w:rsidR="00734556">
        <w:t xml:space="preserve"> and specific measurable objectives</w:t>
      </w:r>
      <w:r>
        <w:t>.</w:t>
      </w:r>
      <w:r w:rsidR="00734556">
        <w:t xml:space="preserve"> While we recommend this goal to remain, there is opportunity to remove this goal as it is an overarching goal for every effort of CCDA.</w:t>
      </w:r>
    </w:p>
    <w:p w:rsidR="00F25FAC" w:rsidRDefault="00A402CA" w:rsidP="00F25FAC">
      <w:pPr>
        <w:pStyle w:val="Heading2"/>
      </w:pPr>
      <w:r w:rsidRPr="00A402CA">
        <w:t xml:space="preserve">Goal 3: </w:t>
      </w:r>
    </w:p>
    <w:p w:rsidR="00A402CA" w:rsidRDefault="00A402CA" w:rsidP="00A402CA">
      <w:pPr>
        <w:rPr>
          <w:b/>
        </w:rPr>
      </w:pPr>
      <w:r w:rsidRPr="00A402CA">
        <w:rPr>
          <w:b/>
        </w:rPr>
        <w:t>Create training programs for targeted constituencies.</w:t>
      </w:r>
    </w:p>
    <w:p w:rsidR="00734556" w:rsidRDefault="00A402CA" w:rsidP="00A402CA">
      <w:pPr>
        <w:rPr>
          <w:rStyle w:val="Hyperlink"/>
        </w:rPr>
      </w:pPr>
      <w:r>
        <w:t xml:space="preserve">Corresponding governing statute(s): </w:t>
      </w:r>
      <w:r w:rsidR="00FB29D4">
        <w:t>Government Code</w:t>
      </w:r>
      <w:r w:rsidR="00CD24ED">
        <w:t xml:space="preserve"> section</w:t>
      </w:r>
      <w:r w:rsidR="00FB29D4">
        <w:t xml:space="preserve"> </w:t>
      </w:r>
      <w:hyperlink r:id="rId11" w:history="1">
        <w:r w:rsidRPr="00B01620">
          <w:rPr>
            <w:rStyle w:val="Hyperlink"/>
          </w:rPr>
          <w:t>14985.6</w:t>
        </w:r>
      </w:hyperlink>
    </w:p>
    <w:p w:rsidR="00A402CA" w:rsidRPr="00A402CA" w:rsidRDefault="00A402CA" w:rsidP="00F25FAC">
      <w:pPr>
        <w:pStyle w:val="Heading2"/>
        <w:rPr>
          <w:rFonts w:eastAsia="Times New Roman"/>
          <w:color w:val="000000"/>
        </w:rPr>
      </w:pPr>
      <w:r w:rsidRPr="00A402CA">
        <w:rPr>
          <w:rFonts w:eastAsia="Times New Roman"/>
        </w:rPr>
        <w:lastRenderedPageBreak/>
        <w:t>14985.6.  </w:t>
      </w:r>
    </w:p>
    <w:p w:rsidR="00A402CA" w:rsidRPr="00A402CA" w:rsidRDefault="00A402CA" w:rsidP="00A402CA">
      <w:pPr>
        <w:shd w:val="clear" w:color="auto" w:fill="FFFFFF"/>
        <w:spacing w:after="120" w:line="240" w:lineRule="auto"/>
        <w:textAlignment w:val="baseline"/>
        <w:rPr>
          <w:rFonts w:ascii="Verdana" w:eastAsia="Times New Roman" w:hAnsi="Verdana" w:cs="Times New Roman"/>
          <w:i/>
          <w:color w:val="333333"/>
          <w:sz w:val="22"/>
        </w:rPr>
      </w:pPr>
      <w:r w:rsidRPr="00A402CA">
        <w:rPr>
          <w:rFonts w:ascii="Verdana" w:eastAsia="Times New Roman" w:hAnsi="Verdana" w:cs="Times New Roman"/>
          <w:i/>
          <w:color w:val="333333"/>
          <w:sz w:val="22"/>
        </w:rPr>
        <w:t>(a) A priority of the commission shall be the development and dissemination of educational materials and information to promote and facilitate disability access compliance.</w:t>
      </w:r>
    </w:p>
    <w:p w:rsidR="00A402CA" w:rsidRPr="00A402CA" w:rsidRDefault="00A402CA" w:rsidP="00A402CA">
      <w:pPr>
        <w:shd w:val="clear" w:color="auto" w:fill="FFFFFF"/>
        <w:spacing w:after="120" w:line="240" w:lineRule="auto"/>
        <w:textAlignment w:val="baseline"/>
        <w:rPr>
          <w:rFonts w:ascii="Verdana" w:eastAsia="Times New Roman" w:hAnsi="Verdana" w:cs="Times New Roman"/>
          <w:i/>
          <w:color w:val="333333"/>
          <w:sz w:val="22"/>
        </w:rPr>
      </w:pPr>
      <w:r w:rsidRPr="00A402CA">
        <w:rPr>
          <w:rFonts w:ascii="Verdana" w:eastAsia="Times New Roman" w:hAnsi="Verdana" w:cs="Times New Roman"/>
          <w:i/>
          <w:color w:val="333333"/>
          <w:sz w:val="22"/>
        </w:rPr>
        <w:t>(b) The commission shall work with other state agencies, including the Division of the State Architect and the Department of Rehabilitation, to develop educational materials and information for use by businesses to understand its obligations to provide disability access and to facilitate compliance with construction-related accessibility standards.</w:t>
      </w:r>
    </w:p>
    <w:p w:rsidR="00A402CA" w:rsidRPr="00A402CA" w:rsidRDefault="00A402CA" w:rsidP="00A402CA">
      <w:pPr>
        <w:shd w:val="clear" w:color="auto" w:fill="FFFFFF"/>
        <w:spacing w:after="120" w:line="240" w:lineRule="auto"/>
        <w:textAlignment w:val="baseline"/>
        <w:rPr>
          <w:rFonts w:ascii="Verdana" w:eastAsia="Times New Roman" w:hAnsi="Verdana" w:cs="Times New Roman"/>
          <w:i/>
          <w:color w:val="333333"/>
          <w:sz w:val="22"/>
        </w:rPr>
      </w:pPr>
      <w:r w:rsidRPr="00A402CA">
        <w:rPr>
          <w:rFonts w:ascii="Verdana" w:eastAsia="Times New Roman" w:hAnsi="Verdana" w:cs="Times New Roman"/>
          <w:i/>
          <w:color w:val="333333"/>
          <w:sz w:val="22"/>
        </w:rPr>
        <w:t>(c) The commission shall develop and make available on its Internet Web site, or make available on its Internet Web site if developed by another governmental agency, including Americans with Disabilities Act centers, toolkits or educational modules to assist a California business to understand its obligations under the law and to facilitate compliance with respect to the top 10 alleged construction-related violations, by type, as specified in subdivision (a) of Section 14985.8. Upon completion of this requirement, the commission shall develop and make available on its Internet Web site, or work with another agency to develop, other toolkits or educational modules that would educate businesses of the accessibility requirements and to facilitate compliance with that requirement.</w:t>
      </w:r>
    </w:p>
    <w:p w:rsidR="00A402CA" w:rsidRPr="00A402CA" w:rsidRDefault="00A402CA" w:rsidP="00A402CA">
      <w:pPr>
        <w:shd w:val="clear" w:color="auto" w:fill="FFFFFF"/>
        <w:spacing w:after="120" w:line="240" w:lineRule="auto"/>
        <w:textAlignment w:val="baseline"/>
        <w:rPr>
          <w:rFonts w:ascii="Verdana" w:eastAsia="Times New Roman" w:hAnsi="Verdana" w:cs="Times New Roman"/>
          <w:i/>
          <w:color w:val="333333"/>
          <w:sz w:val="22"/>
        </w:rPr>
      </w:pPr>
      <w:r w:rsidRPr="00A402CA">
        <w:rPr>
          <w:rFonts w:ascii="Verdana" w:eastAsia="Times New Roman" w:hAnsi="Verdana" w:cs="Times New Roman"/>
          <w:i/>
          <w:color w:val="333333"/>
          <w:sz w:val="22"/>
        </w:rPr>
        <w:t>(d) The commission shall post the following on its Internet Web site:</w:t>
      </w:r>
    </w:p>
    <w:p w:rsidR="00A402CA" w:rsidRPr="00A402CA" w:rsidRDefault="00A402CA" w:rsidP="00A402CA">
      <w:pPr>
        <w:shd w:val="clear" w:color="auto" w:fill="FFFFFF"/>
        <w:spacing w:after="120" w:line="240" w:lineRule="auto"/>
        <w:textAlignment w:val="baseline"/>
        <w:rPr>
          <w:rFonts w:ascii="Verdana" w:eastAsia="Times New Roman" w:hAnsi="Verdana" w:cs="Times New Roman"/>
          <w:i/>
          <w:color w:val="333333"/>
          <w:sz w:val="22"/>
        </w:rPr>
      </w:pPr>
      <w:r w:rsidRPr="00A402CA">
        <w:rPr>
          <w:rFonts w:ascii="Verdana" w:eastAsia="Times New Roman" w:hAnsi="Verdana" w:cs="Times New Roman"/>
          <w:i/>
          <w:color w:val="333333"/>
          <w:sz w:val="22"/>
        </w:rPr>
        <w:t>(1) Educational materials and information that will assist building owners, tenants, building officials, and building inspectors to understand the disability accessibility requirements and to facilitate compliance with disability access laws. The commission shall at least annually review the educational materials and information on disability access requirements and compliance available on the Internet Web site of other local, state, or federal agencies, including Americans with Disabilities Act centers, to augment the educational materials and information developed by the commission.</w:t>
      </w:r>
    </w:p>
    <w:p w:rsidR="00A402CA" w:rsidRPr="00A402CA" w:rsidRDefault="00A402CA" w:rsidP="00A402CA">
      <w:pPr>
        <w:shd w:val="clear" w:color="auto" w:fill="FFFFFF"/>
        <w:spacing w:after="120" w:line="240" w:lineRule="auto"/>
        <w:textAlignment w:val="baseline"/>
        <w:rPr>
          <w:rFonts w:ascii="Verdana" w:eastAsia="Times New Roman" w:hAnsi="Verdana" w:cs="Times New Roman"/>
          <w:i/>
          <w:color w:val="333333"/>
          <w:sz w:val="22"/>
        </w:rPr>
      </w:pPr>
      <w:r w:rsidRPr="00A402CA">
        <w:rPr>
          <w:rFonts w:ascii="Verdana" w:eastAsia="Times New Roman" w:hAnsi="Verdana" w:cs="Times New Roman"/>
          <w:i/>
          <w:color w:val="333333"/>
          <w:sz w:val="22"/>
        </w:rPr>
        <w:t>(2) A link to the Internet Web site of the Division of the State Architect’s certified access specialist (CASp) program to assist building owners and tenants in locating or hiring a CASp.</w:t>
      </w:r>
    </w:p>
    <w:p w:rsidR="00A402CA" w:rsidRPr="00A402CA" w:rsidRDefault="00A402CA" w:rsidP="00A402CA">
      <w:pPr>
        <w:shd w:val="clear" w:color="auto" w:fill="FFFFFF"/>
        <w:spacing w:after="120" w:line="240" w:lineRule="auto"/>
        <w:textAlignment w:val="baseline"/>
        <w:rPr>
          <w:rFonts w:ascii="Verdana" w:eastAsia="Times New Roman" w:hAnsi="Verdana" w:cs="Times New Roman"/>
          <w:i/>
          <w:color w:val="333333"/>
          <w:sz w:val="22"/>
        </w:rPr>
      </w:pPr>
      <w:r w:rsidRPr="00A402CA">
        <w:rPr>
          <w:rFonts w:ascii="Verdana" w:eastAsia="Times New Roman" w:hAnsi="Verdana" w:cs="Times New Roman"/>
          <w:i/>
          <w:color w:val="333333"/>
          <w:sz w:val="22"/>
        </w:rPr>
        <w:t>(e) The commission shall, to the extent feasible, coordinate with other state agencies and local building departments to ensure that information provided to the public on disability access requirements is uniform and complete, and make its educational materials and information available to those agencies and departments.</w:t>
      </w:r>
    </w:p>
    <w:p w:rsidR="00A402CA" w:rsidRDefault="00A402CA" w:rsidP="00A402CA">
      <w:pPr>
        <w:rPr>
          <w:rFonts w:ascii="Verdana" w:eastAsia="Times New Roman" w:hAnsi="Verdana" w:cs="Times New Roman"/>
          <w:i/>
          <w:iCs/>
          <w:color w:val="333333"/>
          <w:sz w:val="22"/>
          <w:shd w:val="clear" w:color="auto" w:fill="FFFFFF"/>
        </w:rPr>
      </w:pPr>
      <w:r w:rsidRPr="00A402CA">
        <w:rPr>
          <w:rFonts w:ascii="Verdana" w:eastAsia="Times New Roman" w:hAnsi="Verdana" w:cs="Times New Roman"/>
          <w:i/>
          <w:iCs/>
          <w:color w:val="333333"/>
          <w:sz w:val="22"/>
          <w:shd w:val="clear" w:color="auto" w:fill="FFFFFF"/>
        </w:rPr>
        <w:t>(Added by Stats. 2017, Ch. 19, Sec. 15. (AB 111) Effective June 27, 2017. Pursuant to Section 14985.11, continuing operation is contingent upon funding.)</w:t>
      </w:r>
    </w:p>
    <w:p w:rsidR="00A402CA" w:rsidRDefault="00A402CA" w:rsidP="00A402CA">
      <w:r>
        <w:t>Staff Recommendation: CCDA staff recommends the Commission continue this goal in 2019 and carry it forward to a new strategic plan.</w:t>
      </w:r>
    </w:p>
    <w:p w:rsidR="00A402CA" w:rsidRDefault="00A402CA" w:rsidP="00A402CA">
      <w:r>
        <w:t>Who: CCDA would fulfill this goal through its staffing, membership, and subcommittee resources</w:t>
      </w:r>
      <w:r w:rsidR="00FB29D4">
        <w:t xml:space="preserve"> with technical expertise needed to develop educational modules and toolkits</w:t>
      </w:r>
      <w:r>
        <w:t>.</w:t>
      </w:r>
    </w:p>
    <w:p w:rsidR="00A402CA" w:rsidRDefault="00A402CA" w:rsidP="00A402CA">
      <w:r>
        <w:t xml:space="preserve">Implementation Methods and Frequency: CCDA staff is seeking guidance from Commissioners on how often </w:t>
      </w:r>
      <w:r w:rsidR="00FB29D4">
        <w:t>educational materials will be developed and how often the Commission will coordinate with other state agencies and local building departments</w:t>
      </w:r>
      <w:r>
        <w:t>.</w:t>
      </w:r>
      <w:r w:rsidR="00FB29D4">
        <w:t xml:space="preserve"> Statute requires educational materials posted on CCDA’s website to be reviewed annually.</w:t>
      </w:r>
    </w:p>
    <w:p w:rsidR="00F25FAC" w:rsidRDefault="00A402CA" w:rsidP="00A402CA">
      <w:r>
        <w:t>Why: CCDA staff is seeking feedback from Commissioners on the statewide impact(s) of this goal.</w:t>
      </w:r>
    </w:p>
    <w:p w:rsidR="00F25FAC" w:rsidRDefault="00F25FAC">
      <w:r>
        <w:br w:type="page"/>
      </w:r>
    </w:p>
    <w:p w:rsidR="00A402CA" w:rsidRDefault="00A402CA" w:rsidP="00A402CA"/>
    <w:p w:rsidR="00F25FAC" w:rsidRDefault="00F25FAC" w:rsidP="00F25FAC">
      <w:pPr>
        <w:pStyle w:val="Heading1"/>
      </w:pPr>
      <w:r>
        <w:t>Goals to Continue in 2019 contd.</w:t>
      </w:r>
    </w:p>
    <w:p w:rsidR="00F25FAC" w:rsidRDefault="00FB29D4" w:rsidP="00F25FAC">
      <w:pPr>
        <w:pStyle w:val="Heading2"/>
      </w:pPr>
      <w:r w:rsidRPr="00FB29D4">
        <w:t xml:space="preserve">Goal 4: </w:t>
      </w:r>
    </w:p>
    <w:p w:rsidR="00A402CA" w:rsidRDefault="00FB29D4" w:rsidP="00A402CA">
      <w:pPr>
        <w:rPr>
          <w:b/>
        </w:rPr>
      </w:pPr>
      <w:r w:rsidRPr="00FB29D4">
        <w:rPr>
          <w:b/>
        </w:rPr>
        <w:t>Create and identify revenue streams to fund access needs (subject to increased CCDA staffing).</w:t>
      </w:r>
    </w:p>
    <w:p w:rsidR="00FB29D4" w:rsidRDefault="00FB29D4" w:rsidP="00A402CA">
      <w:r>
        <w:t>Corresponding statute(s): Government Code</w:t>
      </w:r>
      <w:r w:rsidR="00CD24ED">
        <w:t xml:space="preserve"> section</w:t>
      </w:r>
      <w:r>
        <w:t xml:space="preserve"> </w:t>
      </w:r>
      <w:hyperlink r:id="rId12" w:history="1">
        <w:r w:rsidRPr="00B01620">
          <w:rPr>
            <w:rStyle w:val="Hyperlink"/>
          </w:rPr>
          <w:t>14985.4</w:t>
        </w:r>
      </w:hyperlink>
    </w:p>
    <w:p w:rsidR="00FB29D4" w:rsidRPr="00FB29D4" w:rsidRDefault="00FB29D4" w:rsidP="00F25FAC">
      <w:pPr>
        <w:pStyle w:val="Heading2"/>
        <w:rPr>
          <w:rFonts w:eastAsia="Times New Roman"/>
          <w:color w:val="000000"/>
        </w:rPr>
      </w:pPr>
      <w:r w:rsidRPr="00FB29D4">
        <w:rPr>
          <w:rFonts w:eastAsia="Times New Roman"/>
        </w:rPr>
        <w:t>14985.4.  </w:t>
      </w:r>
    </w:p>
    <w:p w:rsidR="00FB29D4" w:rsidRPr="00FB29D4" w:rsidRDefault="00FB29D4" w:rsidP="00FB29D4">
      <w:pPr>
        <w:shd w:val="clear" w:color="auto" w:fill="FFFFFF"/>
        <w:spacing w:after="120" w:line="240" w:lineRule="auto"/>
        <w:textAlignment w:val="baseline"/>
        <w:rPr>
          <w:rFonts w:ascii="Verdana" w:eastAsia="Times New Roman" w:hAnsi="Verdana" w:cs="Times New Roman"/>
          <w:i/>
          <w:color w:val="333333"/>
          <w:sz w:val="22"/>
        </w:rPr>
      </w:pPr>
      <w:r w:rsidRPr="00FB29D4">
        <w:rPr>
          <w:rFonts w:ascii="Verdana" w:eastAsia="Times New Roman" w:hAnsi="Verdana" w:cs="Times New Roman"/>
          <w:i/>
          <w:color w:val="333333"/>
          <w:sz w:val="22"/>
        </w:rPr>
        <w:t>The commission shall have the powers and authority necessary to carry out the duties imposed upon it by this chapter, including, but not limited to, the following:</w:t>
      </w:r>
    </w:p>
    <w:p w:rsidR="00FB29D4" w:rsidRPr="00FB29D4" w:rsidRDefault="00FB29D4" w:rsidP="00FB29D4">
      <w:pPr>
        <w:shd w:val="clear" w:color="auto" w:fill="FFFFFF"/>
        <w:spacing w:after="120" w:line="240" w:lineRule="auto"/>
        <w:textAlignment w:val="baseline"/>
        <w:rPr>
          <w:rFonts w:ascii="Verdana" w:eastAsia="Times New Roman" w:hAnsi="Verdana" w:cs="Times New Roman"/>
          <w:i/>
          <w:color w:val="333333"/>
          <w:sz w:val="22"/>
        </w:rPr>
      </w:pPr>
      <w:r w:rsidRPr="00FB29D4">
        <w:rPr>
          <w:rFonts w:ascii="Verdana" w:eastAsia="Times New Roman" w:hAnsi="Verdana" w:cs="Times New Roman"/>
          <w:i/>
          <w:color w:val="333333"/>
          <w:sz w:val="22"/>
        </w:rPr>
        <w:t>(e) To accept any federal funds granted by an act of Congress or by executive order for any purpose of this chapter.</w:t>
      </w:r>
    </w:p>
    <w:p w:rsidR="00FB29D4" w:rsidRPr="00FB29D4" w:rsidRDefault="00FB29D4" w:rsidP="00FB29D4">
      <w:pPr>
        <w:shd w:val="clear" w:color="auto" w:fill="FFFFFF"/>
        <w:spacing w:after="120" w:line="240" w:lineRule="auto"/>
        <w:textAlignment w:val="baseline"/>
        <w:rPr>
          <w:rFonts w:ascii="Verdana" w:eastAsia="Times New Roman" w:hAnsi="Verdana" w:cs="Times New Roman"/>
          <w:i/>
          <w:color w:val="333333"/>
          <w:sz w:val="22"/>
        </w:rPr>
      </w:pPr>
      <w:r w:rsidRPr="00FB29D4">
        <w:rPr>
          <w:rFonts w:ascii="Verdana" w:eastAsia="Times New Roman" w:hAnsi="Verdana" w:cs="Times New Roman"/>
          <w:i/>
          <w:color w:val="333333"/>
          <w:sz w:val="22"/>
        </w:rPr>
        <w:t>(f) To accept any gift, donation, grant, or bequest for any purpose of this chapter.</w:t>
      </w:r>
    </w:p>
    <w:p w:rsidR="00FB29D4" w:rsidRPr="00FB29D4" w:rsidRDefault="00FB29D4" w:rsidP="00FB29D4">
      <w:pPr>
        <w:rPr>
          <w:i/>
        </w:rPr>
      </w:pPr>
      <w:r w:rsidRPr="00FB29D4">
        <w:rPr>
          <w:rFonts w:ascii="Verdana" w:eastAsia="Times New Roman" w:hAnsi="Verdana" w:cs="Times New Roman"/>
          <w:i/>
          <w:iCs/>
          <w:color w:val="333333"/>
          <w:sz w:val="22"/>
          <w:shd w:val="clear" w:color="auto" w:fill="FFFFFF"/>
        </w:rPr>
        <w:t>(Added by Stats. 2017, Ch. 19, Sec. 15. (AB 111) Effective June 27, 2017. Pursuant to Section 14985.11, continuing operation is contingent upon funding.)</w:t>
      </w:r>
    </w:p>
    <w:p w:rsidR="00FB29D4" w:rsidRDefault="00FB29D4" w:rsidP="00FB29D4">
      <w:r>
        <w:t>Staff Recommendation: CCDA staff recommends the Commission continue this goal in 2019 and carry it forward to a new strategic plan.</w:t>
      </w:r>
    </w:p>
    <w:p w:rsidR="00FB29D4" w:rsidRDefault="00FB29D4" w:rsidP="00FB29D4">
      <w:r>
        <w:t>Who: CCDA would fulfill this goal through local-private partnerships.</w:t>
      </w:r>
    </w:p>
    <w:p w:rsidR="00FB29D4" w:rsidRDefault="00FB29D4" w:rsidP="00FB29D4">
      <w:r>
        <w:t>Implementation Methods and Frequency: CCDA has a temporary Special Fund account authorized by the Department of Finance to accept federal funds, gifts, donations, and other grants would be accepted.</w:t>
      </w:r>
    </w:p>
    <w:p w:rsidR="00FB29D4" w:rsidRDefault="00FB29D4" w:rsidP="00FB29D4">
      <w:r>
        <w:t>Why: CCDA staff is seeking feedback from Commissioners on the statewide impact(s) of this goal and establishing a permanent fund for CCDA.</w:t>
      </w:r>
    </w:p>
    <w:p w:rsidR="00F25FAC" w:rsidRDefault="00FB29D4" w:rsidP="00F25FAC">
      <w:pPr>
        <w:pStyle w:val="Heading2"/>
      </w:pPr>
      <w:r w:rsidRPr="00FB29D4">
        <w:t xml:space="preserve">Goal 6: </w:t>
      </w:r>
    </w:p>
    <w:p w:rsidR="00FB29D4" w:rsidRPr="00FB29D4" w:rsidRDefault="00FB29D4" w:rsidP="00FB29D4">
      <w:pPr>
        <w:rPr>
          <w:b/>
        </w:rPr>
      </w:pPr>
      <w:r w:rsidRPr="00FB29D4">
        <w:rPr>
          <w:b/>
        </w:rPr>
        <w:t>Explore the development of a state level Americans with Disabilities Act (ADA) Access office.</w:t>
      </w:r>
    </w:p>
    <w:p w:rsidR="00FB29D4" w:rsidRPr="00FB29D4" w:rsidRDefault="00FB29D4" w:rsidP="00F25FAC">
      <w:pPr>
        <w:rPr>
          <w:rFonts w:ascii="Times New Roman" w:eastAsia="Times New Roman" w:hAnsi="Times New Roman" w:cs="Times New Roman"/>
          <w:szCs w:val="24"/>
        </w:rPr>
      </w:pPr>
      <w:r>
        <w:t xml:space="preserve">Corresponding statute(s): </w:t>
      </w:r>
      <w:r w:rsidR="00CD24ED">
        <w:t xml:space="preserve">Government Code sections </w:t>
      </w:r>
      <w:hyperlink r:id="rId13" w:history="1">
        <w:r w:rsidRPr="00B01620">
          <w:rPr>
            <w:rStyle w:val="Hyperlink"/>
          </w:rPr>
          <w:t>14985.4</w:t>
        </w:r>
      </w:hyperlink>
      <w:r w:rsidR="00CD24ED">
        <w:t>,</w:t>
      </w:r>
      <w:r w:rsidR="00734556">
        <w:t xml:space="preserve"> </w:t>
      </w:r>
      <w:hyperlink r:id="rId14" w:history="1">
        <w:r w:rsidR="00734556" w:rsidRPr="00734556">
          <w:rPr>
            <w:rStyle w:val="Hyperlink"/>
          </w:rPr>
          <w:t>14985.6</w:t>
        </w:r>
      </w:hyperlink>
      <w:r w:rsidR="00734556">
        <w:t xml:space="preserve">, </w:t>
      </w:r>
      <w:r w:rsidR="00CD24ED">
        <w:t xml:space="preserve"> </w:t>
      </w:r>
      <w:hyperlink r:id="rId15" w:history="1">
        <w:r w:rsidR="00CD24ED" w:rsidRPr="00B01620">
          <w:rPr>
            <w:rStyle w:val="Hyperlink"/>
          </w:rPr>
          <w:t>14985.9</w:t>
        </w:r>
      </w:hyperlink>
      <w:r w:rsidR="00CD24ED">
        <w:t xml:space="preserve">, </w:t>
      </w:r>
      <w:hyperlink r:id="rId16" w:history="1">
        <w:r w:rsidR="00CD24ED" w:rsidRPr="00B01620">
          <w:rPr>
            <w:rStyle w:val="Hyperlink"/>
          </w:rPr>
          <w:t>14985.10</w:t>
        </w:r>
      </w:hyperlink>
    </w:p>
    <w:p w:rsidR="00FB29D4" w:rsidRPr="00F25FAC" w:rsidRDefault="00FB29D4" w:rsidP="00F25FAC">
      <w:pPr>
        <w:pStyle w:val="Heading2"/>
      </w:pPr>
      <w:r w:rsidRPr="00F25FAC">
        <w:t>14985.4.  </w:t>
      </w:r>
    </w:p>
    <w:p w:rsidR="00FB29D4" w:rsidRPr="00FB29D4" w:rsidRDefault="00FB29D4" w:rsidP="00FB29D4">
      <w:pPr>
        <w:shd w:val="clear" w:color="auto" w:fill="FFFFFF"/>
        <w:spacing w:after="120" w:line="240" w:lineRule="auto"/>
        <w:textAlignment w:val="baseline"/>
        <w:rPr>
          <w:rFonts w:ascii="Verdana" w:eastAsia="Times New Roman" w:hAnsi="Verdana" w:cs="Times New Roman"/>
          <w:i/>
          <w:color w:val="333333"/>
          <w:sz w:val="22"/>
          <w:bdr w:val="none" w:sz="0" w:space="0" w:color="auto" w:frame="1"/>
        </w:rPr>
      </w:pPr>
      <w:r w:rsidRPr="00FB29D4">
        <w:rPr>
          <w:rFonts w:ascii="Verdana" w:eastAsia="Times New Roman" w:hAnsi="Verdana" w:cs="Times New Roman"/>
          <w:i/>
          <w:color w:val="333333"/>
          <w:sz w:val="22"/>
          <w:bdr w:val="none" w:sz="0" w:space="0" w:color="auto" w:frame="1"/>
        </w:rPr>
        <w:t>The commission shall have the powers and authority necessary to carry out the duties imposed upon it by this chapter, including, but not limited to, the following:</w:t>
      </w:r>
    </w:p>
    <w:p w:rsidR="00FB29D4" w:rsidRPr="00FB29D4" w:rsidRDefault="00CD24ED" w:rsidP="00FB29D4">
      <w:pPr>
        <w:shd w:val="clear" w:color="auto" w:fill="FFFFFF"/>
        <w:spacing w:after="120" w:line="240" w:lineRule="auto"/>
        <w:textAlignment w:val="baseline"/>
        <w:rPr>
          <w:rFonts w:ascii="Verdana" w:eastAsia="Times New Roman" w:hAnsi="Verdana" w:cs="Times New Roman"/>
          <w:i/>
          <w:color w:val="333333"/>
          <w:sz w:val="22"/>
          <w:bdr w:val="none" w:sz="0" w:space="0" w:color="auto" w:frame="1"/>
        </w:rPr>
      </w:pPr>
      <w:r w:rsidRPr="00CD24ED">
        <w:rPr>
          <w:rFonts w:ascii="Verdana" w:eastAsia="Times New Roman" w:hAnsi="Verdana" w:cs="Times New Roman"/>
          <w:i/>
          <w:color w:val="333333"/>
          <w:sz w:val="22"/>
          <w:bdr w:val="none" w:sz="0" w:space="0" w:color="auto" w:frame="1"/>
        </w:rPr>
        <w:t xml:space="preserve"> </w:t>
      </w:r>
      <w:r w:rsidR="00FB29D4" w:rsidRPr="00FB29D4">
        <w:rPr>
          <w:rFonts w:ascii="Verdana" w:eastAsia="Times New Roman" w:hAnsi="Verdana" w:cs="Times New Roman"/>
          <w:i/>
          <w:color w:val="333333"/>
          <w:sz w:val="22"/>
          <w:bdr w:val="none" w:sz="0" w:space="0" w:color="auto" w:frame="1"/>
        </w:rPr>
        <w:t>(b) To hold hearings, make and sign any agreement, and do or perform any act, including the collection of relevant information, that may be necessary, desirable, or proper to carry out the purposes of this chapter.</w:t>
      </w:r>
    </w:p>
    <w:p w:rsidR="00FB29D4" w:rsidRPr="00FB29D4" w:rsidRDefault="00FB29D4" w:rsidP="00FB29D4">
      <w:pPr>
        <w:shd w:val="clear" w:color="auto" w:fill="FFFFFF"/>
        <w:spacing w:after="120" w:line="240" w:lineRule="auto"/>
        <w:textAlignment w:val="baseline"/>
        <w:rPr>
          <w:rFonts w:ascii="Verdana" w:eastAsia="Times New Roman" w:hAnsi="Verdana" w:cs="Times New Roman"/>
          <w:i/>
          <w:color w:val="333333"/>
          <w:sz w:val="22"/>
          <w:bdr w:val="none" w:sz="0" w:space="0" w:color="auto" w:frame="1"/>
        </w:rPr>
      </w:pPr>
      <w:r w:rsidRPr="00FB29D4">
        <w:rPr>
          <w:rFonts w:ascii="Verdana" w:eastAsia="Times New Roman" w:hAnsi="Verdana" w:cs="Times New Roman"/>
          <w:i/>
          <w:color w:val="333333"/>
          <w:sz w:val="22"/>
          <w:bdr w:val="none" w:sz="0" w:space="0" w:color="auto" w:frame="1"/>
        </w:rPr>
        <w:t>(c) To cooperate with, and secure the cooperation of, any department, division, board, bureau, commission, or other agency of the state to facilitate the proper execution of its powers and duties under this chapter.</w:t>
      </w:r>
    </w:p>
    <w:p w:rsidR="00FB29D4" w:rsidRDefault="00FB29D4" w:rsidP="00FB29D4">
      <w:pPr>
        <w:shd w:val="clear" w:color="auto" w:fill="FFFFFF"/>
        <w:spacing w:after="120" w:line="240" w:lineRule="auto"/>
        <w:textAlignment w:val="baseline"/>
        <w:rPr>
          <w:rFonts w:ascii="Verdana" w:eastAsia="Times New Roman" w:hAnsi="Verdana" w:cs="Times New Roman"/>
          <w:i/>
          <w:color w:val="333333"/>
          <w:sz w:val="22"/>
          <w:bdr w:val="none" w:sz="0" w:space="0" w:color="auto" w:frame="1"/>
        </w:rPr>
      </w:pPr>
      <w:r w:rsidRPr="00FB29D4">
        <w:rPr>
          <w:rFonts w:ascii="Verdana" w:eastAsia="Times New Roman" w:hAnsi="Verdana" w:cs="Times New Roman"/>
          <w:i/>
          <w:color w:val="333333"/>
          <w:sz w:val="22"/>
          <w:bdr w:val="none" w:sz="0" w:space="0" w:color="auto" w:frame="1"/>
        </w:rPr>
        <w:t>(d) To appoint advisers or advisory committees from time to time when the commission determines that the experience or expertise of those advisers or advisory committees is needed for projects of the commission. Section 11009 shall apply to advisers or advisory committees.</w:t>
      </w:r>
    </w:p>
    <w:p w:rsidR="00CD24ED" w:rsidRDefault="00CD24ED" w:rsidP="00FB29D4">
      <w:pPr>
        <w:shd w:val="clear" w:color="auto" w:fill="FFFFFF"/>
        <w:spacing w:after="120" w:line="240" w:lineRule="auto"/>
        <w:textAlignment w:val="baseline"/>
        <w:rPr>
          <w:rFonts w:ascii="Verdana" w:hAnsi="Verdana"/>
          <w:i/>
          <w:iCs/>
          <w:color w:val="333333"/>
          <w:sz w:val="22"/>
          <w:shd w:val="clear" w:color="auto" w:fill="FFFFFF"/>
        </w:rPr>
      </w:pPr>
      <w:r>
        <w:rPr>
          <w:rFonts w:ascii="Verdana" w:hAnsi="Verdana"/>
          <w:i/>
          <w:iCs/>
          <w:color w:val="333333"/>
          <w:sz w:val="22"/>
          <w:shd w:val="clear" w:color="auto" w:fill="FFFFFF"/>
        </w:rPr>
        <w:lastRenderedPageBreak/>
        <w:t>(Added by Stats. 2017, Ch. 19, Sec. 15. (AB 111) Effective June 27, 2017. Pursuant to Section 14985.11, continuing operation is contingent upon funding.)</w:t>
      </w:r>
    </w:p>
    <w:p w:rsidR="00C4422E" w:rsidRDefault="00C4422E" w:rsidP="00FB29D4">
      <w:pPr>
        <w:shd w:val="clear" w:color="auto" w:fill="FFFFFF"/>
        <w:spacing w:after="120" w:line="240" w:lineRule="auto"/>
        <w:textAlignment w:val="baseline"/>
        <w:rPr>
          <w:rFonts w:ascii="Verdana" w:eastAsia="Times New Roman" w:hAnsi="Verdana" w:cs="Times New Roman"/>
          <w:i/>
          <w:color w:val="333333"/>
          <w:sz w:val="22"/>
          <w:bdr w:val="none" w:sz="0" w:space="0" w:color="auto" w:frame="1"/>
        </w:rPr>
      </w:pPr>
    </w:p>
    <w:p w:rsidR="00734556" w:rsidRPr="00734556" w:rsidRDefault="00734556" w:rsidP="00F25FAC">
      <w:pPr>
        <w:pStyle w:val="Heading2"/>
        <w:rPr>
          <w:rFonts w:eastAsia="Times New Roman"/>
          <w:color w:val="000000"/>
        </w:rPr>
      </w:pPr>
      <w:r w:rsidRPr="00734556">
        <w:rPr>
          <w:rFonts w:eastAsia="Times New Roman"/>
        </w:rPr>
        <w:t>14985.6.  </w:t>
      </w:r>
    </w:p>
    <w:p w:rsidR="00734556" w:rsidRPr="00734556" w:rsidRDefault="00734556" w:rsidP="00734556">
      <w:pPr>
        <w:shd w:val="clear" w:color="auto" w:fill="FFFFFF"/>
        <w:spacing w:after="120" w:line="240" w:lineRule="auto"/>
        <w:textAlignment w:val="baseline"/>
        <w:rPr>
          <w:rFonts w:ascii="Verdana" w:eastAsia="Times New Roman" w:hAnsi="Verdana" w:cs="Times New Roman"/>
          <w:i/>
          <w:color w:val="333333"/>
          <w:sz w:val="22"/>
        </w:rPr>
      </w:pPr>
      <w:r w:rsidRPr="00734556">
        <w:rPr>
          <w:rFonts w:ascii="Verdana" w:eastAsia="Times New Roman" w:hAnsi="Verdana" w:cs="Times New Roman"/>
          <w:i/>
          <w:color w:val="333333"/>
          <w:sz w:val="22"/>
        </w:rPr>
        <w:t>(a) A priority of the commission shall be the development and dissemination of educational materials and information to promote and facilitate disability access compliance.</w:t>
      </w:r>
    </w:p>
    <w:p w:rsidR="00734556" w:rsidRPr="00734556" w:rsidRDefault="00734556" w:rsidP="00734556">
      <w:pPr>
        <w:shd w:val="clear" w:color="auto" w:fill="FFFFFF"/>
        <w:spacing w:after="120" w:line="240" w:lineRule="auto"/>
        <w:textAlignment w:val="baseline"/>
        <w:rPr>
          <w:rFonts w:ascii="Verdana" w:eastAsia="Times New Roman" w:hAnsi="Verdana" w:cs="Times New Roman"/>
          <w:i/>
          <w:color w:val="333333"/>
          <w:sz w:val="22"/>
        </w:rPr>
      </w:pPr>
      <w:r w:rsidRPr="00734556">
        <w:rPr>
          <w:rFonts w:ascii="Verdana" w:eastAsia="Times New Roman" w:hAnsi="Verdana" w:cs="Times New Roman"/>
          <w:i/>
          <w:color w:val="333333"/>
          <w:sz w:val="22"/>
        </w:rPr>
        <w:t>(b) The commission shall work with other state agencies, including the Division of the State Architect and the Department of Rehabilitation, to develop educational materials and information for use by businesses to understand its obligations to provide disability access and to facilitate compliance with construction-related accessibility standards.</w:t>
      </w:r>
    </w:p>
    <w:p w:rsidR="00734556" w:rsidRPr="00734556" w:rsidRDefault="00734556" w:rsidP="00734556">
      <w:pPr>
        <w:shd w:val="clear" w:color="auto" w:fill="FFFFFF"/>
        <w:spacing w:after="120" w:line="240" w:lineRule="auto"/>
        <w:textAlignment w:val="baseline"/>
        <w:rPr>
          <w:rFonts w:ascii="Verdana" w:eastAsia="Times New Roman" w:hAnsi="Verdana" w:cs="Times New Roman"/>
          <w:i/>
          <w:color w:val="333333"/>
          <w:sz w:val="22"/>
        </w:rPr>
      </w:pPr>
      <w:r w:rsidRPr="00734556">
        <w:rPr>
          <w:rFonts w:ascii="Verdana" w:eastAsia="Times New Roman" w:hAnsi="Verdana" w:cs="Times New Roman"/>
          <w:i/>
          <w:color w:val="333333"/>
          <w:sz w:val="22"/>
        </w:rPr>
        <w:t>(c) The commission shall develop and make available on its Internet Web site, or make available on its Internet Web site if developed by another governmental agency, including Americans with Disabilities Act centers, toolkits or educational modules to assist a California business to understand its obligations under the law and to facilitate compliance with respect to the top 10 alleged construction-related violations, by type, as specified in subdivision (a) of Section 14985.8. Upon completion of this requirement, the commission shall develop and make available on its Internet Web site, or work with another agency to develop, other toolkits or educational modules that would educate businesses of the accessibility requirements and to facilitate compliance with that requirement.</w:t>
      </w:r>
    </w:p>
    <w:p w:rsidR="00734556" w:rsidRPr="00734556" w:rsidRDefault="00734556" w:rsidP="00734556">
      <w:pPr>
        <w:shd w:val="clear" w:color="auto" w:fill="FFFFFF"/>
        <w:spacing w:after="120" w:line="240" w:lineRule="auto"/>
        <w:textAlignment w:val="baseline"/>
        <w:rPr>
          <w:rFonts w:ascii="Verdana" w:eastAsia="Times New Roman" w:hAnsi="Verdana" w:cs="Times New Roman"/>
          <w:i/>
          <w:color w:val="333333"/>
          <w:sz w:val="22"/>
        </w:rPr>
      </w:pPr>
      <w:r w:rsidRPr="00734556">
        <w:rPr>
          <w:rFonts w:ascii="Verdana" w:eastAsia="Times New Roman" w:hAnsi="Verdana" w:cs="Times New Roman"/>
          <w:i/>
          <w:color w:val="333333"/>
          <w:sz w:val="22"/>
        </w:rPr>
        <w:t>(d) The commission shall post the following on its Internet Web site:</w:t>
      </w:r>
    </w:p>
    <w:p w:rsidR="00734556" w:rsidRPr="00734556" w:rsidRDefault="00734556" w:rsidP="00734556">
      <w:pPr>
        <w:shd w:val="clear" w:color="auto" w:fill="FFFFFF"/>
        <w:spacing w:after="120" w:line="240" w:lineRule="auto"/>
        <w:textAlignment w:val="baseline"/>
        <w:rPr>
          <w:rFonts w:ascii="Verdana" w:eastAsia="Times New Roman" w:hAnsi="Verdana" w:cs="Times New Roman"/>
          <w:i/>
          <w:color w:val="333333"/>
          <w:sz w:val="22"/>
        </w:rPr>
      </w:pPr>
      <w:r w:rsidRPr="00734556">
        <w:rPr>
          <w:rFonts w:ascii="Verdana" w:eastAsia="Times New Roman" w:hAnsi="Verdana" w:cs="Times New Roman"/>
          <w:i/>
          <w:color w:val="333333"/>
          <w:sz w:val="22"/>
        </w:rPr>
        <w:t>(1) Educational materials and information that will assist building owners, tenants, building officials, and building inspectors to understand the disability accessibility requirements and to facilitate compliance with disability access laws. The commission shall at least annually review the educational materials and information on disability access requirements and compliance available on the Internet Web site of other local, state, or federal agencies, including Americans with Disabilities Act centers, to augment the educational materials and information developed by the commission.</w:t>
      </w:r>
    </w:p>
    <w:p w:rsidR="00734556" w:rsidRPr="00734556" w:rsidRDefault="00734556" w:rsidP="00734556">
      <w:pPr>
        <w:shd w:val="clear" w:color="auto" w:fill="FFFFFF"/>
        <w:spacing w:after="120" w:line="240" w:lineRule="auto"/>
        <w:textAlignment w:val="baseline"/>
        <w:rPr>
          <w:rFonts w:ascii="Verdana" w:eastAsia="Times New Roman" w:hAnsi="Verdana" w:cs="Times New Roman"/>
          <w:i/>
          <w:color w:val="333333"/>
          <w:sz w:val="22"/>
        </w:rPr>
      </w:pPr>
      <w:r w:rsidRPr="00734556">
        <w:rPr>
          <w:rFonts w:ascii="Verdana" w:eastAsia="Times New Roman" w:hAnsi="Verdana" w:cs="Times New Roman"/>
          <w:i/>
          <w:color w:val="333333"/>
          <w:sz w:val="22"/>
        </w:rPr>
        <w:t>(2) A link to the Internet Web site of the Division of the State Architect’s certified access specialist (CASp) program to assist building owners and tenants in locating or hiring a CASp.</w:t>
      </w:r>
    </w:p>
    <w:p w:rsidR="00734556" w:rsidRPr="00734556" w:rsidRDefault="00734556" w:rsidP="00734556">
      <w:pPr>
        <w:shd w:val="clear" w:color="auto" w:fill="FFFFFF"/>
        <w:spacing w:after="120" w:line="240" w:lineRule="auto"/>
        <w:textAlignment w:val="baseline"/>
        <w:rPr>
          <w:rFonts w:ascii="Verdana" w:eastAsia="Times New Roman" w:hAnsi="Verdana" w:cs="Times New Roman"/>
          <w:i/>
          <w:color w:val="333333"/>
          <w:sz w:val="22"/>
        </w:rPr>
      </w:pPr>
      <w:r w:rsidRPr="00734556">
        <w:rPr>
          <w:rFonts w:ascii="Verdana" w:eastAsia="Times New Roman" w:hAnsi="Verdana" w:cs="Times New Roman"/>
          <w:i/>
          <w:color w:val="333333"/>
          <w:sz w:val="22"/>
        </w:rPr>
        <w:t>(e) The commission shall, to the extent feasible, coordinate with other state agencies and local building departments to ensure that information provided to the public on disability access requirements is uniform and complete, and make its educational materials and information available to those agencies and departments.</w:t>
      </w:r>
    </w:p>
    <w:p w:rsidR="00734556" w:rsidRPr="00F25FAC" w:rsidRDefault="00734556" w:rsidP="00F25FAC">
      <w:pPr>
        <w:rPr>
          <w:i/>
          <w:shd w:val="clear" w:color="auto" w:fill="FFFFFF"/>
        </w:rPr>
      </w:pPr>
      <w:r w:rsidRPr="00F25FAC">
        <w:rPr>
          <w:i/>
          <w:shd w:val="clear" w:color="auto" w:fill="FFFFFF"/>
        </w:rPr>
        <w:t>(Added by Stats. 2017, Ch. 19, Sec. 15. (AB 111) Effective June 27, 2017. Pursuant to Section 14985.11, continuing operation is contingent upon funding.)</w:t>
      </w:r>
    </w:p>
    <w:p w:rsidR="00734556" w:rsidRDefault="00F25FAC" w:rsidP="00F25FAC">
      <w:pPr>
        <w:pStyle w:val="Heading1"/>
        <w:rPr>
          <w:rFonts w:eastAsia="Times New Roman"/>
        </w:rPr>
      </w:pPr>
      <w:r>
        <w:rPr>
          <w:rFonts w:eastAsia="Times New Roman"/>
        </w:rPr>
        <w:t>Goals to Continue in 2019 (Goal 6 cont.).</w:t>
      </w:r>
    </w:p>
    <w:p w:rsidR="00CD24ED" w:rsidRPr="00CD24ED" w:rsidRDefault="00CD24ED" w:rsidP="00F25FAC">
      <w:pPr>
        <w:pStyle w:val="Heading2"/>
        <w:rPr>
          <w:rFonts w:eastAsia="Times New Roman"/>
          <w:color w:val="000000"/>
        </w:rPr>
      </w:pPr>
      <w:r w:rsidRPr="00CD24ED">
        <w:rPr>
          <w:rFonts w:eastAsia="Times New Roman"/>
        </w:rPr>
        <w:t>14985.9.  </w:t>
      </w:r>
    </w:p>
    <w:p w:rsidR="00CD24ED" w:rsidRPr="00CD24ED" w:rsidRDefault="00CD24ED" w:rsidP="00CD24ED">
      <w:pPr>
        <w:shd w:val="clear" w:color="auto" w:fill="FFFFFF"/>
        <w:spacing w:after="120" w:line="240" w:lineRule="auto"/>
        <w:textAlignment w:val="baseline"/>
        <w:rPr>
          <w:rFonts w:ascii="Verdana" w:eastAsia="Times New Roman" w:hAnsi="Verdana" w:cs="Times New Roman"/>
          <w:color w:val="333333"/>
          <w:sz w:val="22"/>
        </w:rPr>
      </w:pPr>
      <w:r w:rsidRPr="00CD24ED">
        <w:rPr>
          <w:rFonts w:ascii="Verdana" w:eastAsia="Times New Roman" w:hAnsi="Verdana" w:cs="Times New Roman"/>
          <w:color w:val="333333"/>
          <w:sz w:val="22"/>
        </w:rPr>
        <w:t>With respect to its duties, the commission shall be an advisory commission only, and there shall be no right or obligation on the part of the state to implement the findings of the commission without further legislation that specifically authorizes that the evaluations, determinations, and findings of the commission be implemented.</w:t>
      </w:r>
    </w:p>
    <w:p w:rsidR="00CD24ED" w:rsidRDefault="00CD24ED" w:rsidP="00CD24ED">
      <w:pPr>
        <w:shd w:val="clear" w:color="auto" w:fill="FFFFFF"/>
        <w:spacing w:after="120" w:line="240" w:lineRule="auto"/>
        <w:textAlignment w:val="baseline"/>
        <w:rPr>
          <w:rFonts w:ascii="Verdana" w:eastAsia="Times New Roman" w:hAnsi="Verdana" w:cs="Times New Roman"/>
          <w:i/>
          <w:iCs/>
          <w:color w:val="333333"/>
          <w:sz w:val="22"/>
          <w:shd w:val="clear" w:color="auto" w:fill="FFFFFF"/>
        </w:rPr>
      </w:pPr>
      <w:r w:rsidRPr="00CD24ED">
        <w:rPr>
          <w:rFonts w:ascii="Verdana" w:eastAsia="Times New Roman" w:hAnsi="Verdana" w:cs="Times New Roman"/>
          <w:i/>
          <w:iCs/>
          <w:color w:val="333333"/>
          <w:sz w:val="22"/>
          <w:shd w:val="clear" w:color="auto" w:fill="FFFFFF"/>
        </w:rPr>
        <w:t>(Added by Stats. 2017, Ch. 19, Sec. 15. (AB 111) Effective June 27, 2017. Pursuant to Section 14985.11, continuing operation is contingent upon funding.)</w:t>
      </w:r>
    </w:p>
    <w:p w:rsidR="00C4422E" w:rsidRPr="00FB29D4" w:rsidRDefault="00C4422E" w:rsidP="00CD24ED">
      <w:pPr>
        <w:shd w:val="clear" w:color="auto" w:fill="FFFFFF"/>
        <w:spacing w:after="120" w:line="240" w:lineRule="auto"/>
        <w:textAlignment w:val="baseline"/>
        <w:rPr>
          <w:rFonts w:ascii="Verdana" w:eastAsia="Times New Roman" w:hAnsi="Verdana" w:cs="Times New Roman"/>
          <w:i/>
          <w:color w:val="333333"/>
          <w:sz w:val="22"/>
          <w:bdr w:val="none" w:sz="0" w:space="0" w:color="auto" w:frame="1"/>
        </w:rPr>
      </w:pPr>
    </w:p>
    <w:p w:rsidR="00CD24ED" w:rsidRPr="00CD24ED" w:rsidRDefault="00CD24ED" w:rsidP="00F25FAC">
      <w:pPr>
        <w:pStyle w:val="Heading2"/>
        <w:rPr>
          <w:rFonts w:eastAsia="Times New Roman"/>
          <w:color w:val="000000"/>
        </w:rPr>
      </w:pPr>
      <w:r w:rsidRPr="00CD24ED">
        <w:rPr>
          <w:rFonts w:eastAsia="Times New Roman"/>
        </w:rPr>
        <w:lastRenderedPageBreak/>
        <w:t>14985.10.  </w:t>
      </w:r>
    </w:p>
    <w:p w:rsidR="00CD24ED" w:rsidRPr="00CD24ED" w:rsidRDefault="00CD24ED" w:rsidP="00CD24ED">
      <w:pPr>
        <w:shd w:val="clear" w:color="auto" w:fill="FFFFFF"/>
        <w:spacing w:after="120" w:line="240" w:lineRule="auto"/>
        <w:textAlignment w:val="baseline"/>
        <w:rPr>
          <w:rFonts w:ascii="Verdana" w:eastAsia="Times New Roman" w:hAnsi="Verdana" w:cs="Times New Roman"/>
          <w:i/>
          <w:color w:val="333333"/>
          <w:sz w:val="22"/>
        </w:rPr>
      </w:pPr>
      <w:r w:rsidRPr="00CD24ED">
        <w:rPr>
          <w:rFonts w:ascii="Verdana" w:eastAsia="Times New Roman" w:hAnsi="Verdana" w:cs="Times New Roman"/>
          <w:i/>
          <w:color w:val="333333"/>
          <w:sz w:val="22"/>
        </w:rPr>
        <w:t>The commission shall hire staff or contract for those experts or technical and professional services that may be required for the completion of any task authorized or study required by this chapter. Staff hired pursuant to this section shall be hired in compliance with the State Civil Service Act (Part 2 (commencing with Section 18500) of Division 5 of Title 2). Contracts awarded pursuant to this section shall be in compliance with Section 19130. The commission is expressly encouraged and authorized to seek the technical and legal assistance of other state agencies and departments in fulfilling its statutory responsibilities.</w:t>
      </w:r>
    </w:p>
    <w:p w:rsidR="00CD24ED" w:rsidRPr="00CD24ED" w:rsidRDefault="00CD24ED" w:rsidP="00CD24ED">
      <w:pPr>
        <w:rPr>
          <w:i/>
        </w:rPr>
      </w:pPr>
      <w:r w:rsidRPr="00CD24ED">
        <w:rPr>
          <w:rFonts w:ascii="Verdana" w:eastAsia="Times New Roman" w:hAnsi="Verdana" w:cs="Times New Roman"/>
          <w:i/>
          <w:iCs/>
          <w:color w:val="333333"/>
          <w:sz w:val="22"/>
          <w:shd w:val="clear" w:color="auto" w:fill="FFFFFF"/>
        </w:rPr>
        <w:t>(Added by Stats. 2017, Ch. 19, Sec. 15. (AB 111) Effective June 27, 2017. Pursuant to Section 14985.11, continuing operation is contingent upon funding.)</w:t>
      </w:r>
    </w:p>
    <w:p w:rsidR="00CD24ED" w:rsidRDefault="00CD24ED" w:rsidP="00CD24ED">
      <w:r>
        <w:t>Staff Recommendation: CCDA staff recommends the Commission continue this goal in 2019 and carry it forward to a new strategic plan. This goal is also aligned with CCDA’s one-year strategic goal for DGS</w:t>
      </w:r>
      <w:r w:rsidR="00B01620">
        <w:t xml:space="preserve"> to conduct a research study on State accessibility and compliance coordination efforts</w:t>
      </w:r>
      <w:r>
        <w:t>.</w:t>
      </w:r>
    </w:p>
    <w:p w:rsidR="00CD24ED" w:rsidRDefault="00CD24ED" w:rsidP="00CD24ED">
      <w:r>
        <w:t>Who: CCDA would fulfill this goal through partnership with a research university and members of the Legislative Committee.</w:t>
      </w:r>
    </w:p>
    <w:p w:rsidR="00CD24ED" w:rsidRDefault="00CD24ED" w:rsidP="00CD24ED">
      <w:r>
        <w:t>Implementation Methods and Frequency: CCDA has identified this as a two-year goal for DGS. Phase 1 would be completed by December 31, 2019 and Phase 2 would be completed by December 31, 2020.</w:t>
      </w:r>
    </w:p>
    <w:p w:rsidR="00CD24ED" w:rsidRDefault="00CD24ED" w:rsidP="00CD24ED">
      <w:r>
        <w:t>Why: CCDA staff is seeking feedback from Commissioners on the statewide impact(s) of this goal and advisory recommendations for the Legislature.</w:t>
      </w:r>
    </w:p>
    <w:p w:rsidR="00F25FAC" w:rsidRDefault="00CD24ED" w:rsidP="00F25FAC">
      <w:pPr>
        <w:pStyle w:val="Heading2"/>
      </w:pPr>
      <w:r w:rsidRPr="00CD24ED">
        <w:t xml:space="preserve">Goal 8: </w:t>
      </w:r>
    </w:p>
    <w:p w:rsidR="00FB29D4" w:rsidRPr="00CD24ED" w:rsidRDefault="00CD24ED" w:rsidP="00A402CA">
      <w:pPr>
        <w:rPr>
          <w:b/>
        </w:rPr>
      </w:pPr>
      <w:r w:rsidRPr="00CD24ED">
        <w:rPr>
          <w:b/>
        </w:rPr>
        <w:t>Maintain data on status of access compliance.</w:t>
      </w:r>
    </w:p>
    <w:p w:rsidR="00CD24ED" w:rsidRDefault="00CD24ED" w:rsidP="00A402CA">
      <w:r>
        <w:t xml:space="preserve">Corresponding statute(s): </w:t>
      </w:r>
      <w:r w:rsidRPr="00B01620">
        <w:t>Government Code</w:t>
      </w:r>
      <w:r w:rsidR="00B01620" w:rsidRPr="00B01620">
        <w:t xml:space="preserve"> section</w:t>
      </w:r>
      <w:r w:rsidRPr="00B01620">
        <w:t xml:space="preserve"> </w:t>
      </w:r>
      <w:hyperlink r:id="rId17" w:history="1">
        <w:r w:rsidRPr="00B01620">
          <w:rPr>
            <w:rStyle w:val="Hyperlink"/>
          </w:rPr>
          <w:t>14985.8</w:t>
        </w:r>
      </w:hyperlink>
      <w:r>
        <w:t xml:space="preserve">, </w:t>
      </w:r>
      <w:r w:rsidR="00B01620" w:rsidRPr="00B01620">
        <w:t>Civil Code s</w:t>
      </w:r>
      <w:r w:rsidRPr="00B01620">
        <w:t xml:space="preserve">ection </w:t>
      </w:r>
      <w:hyperlink r:id="rId18" w:history="1">
        <w:r w:rsidRPr="00B01620">
          <w:rPr>
            <w:rStyle w:val="Hyperlink"/>
          </w:rPr>
          <w:t>55.32</w:t>
        </w:r>
      </w:hyperlink>
    </w:p>
    <w:p w:rsidR="00CD24ED" w:rsidRPr="00CD24ED" w:rsidRDefault="00CD24ED" w:rsidP="00F25FAC">
      <w:pPr>
        <w:pStyle w:val="Heading2"/>
        <w:rPr>
          <w:rFonts w:eastAsia="Times New Roman"/>
          <w:color w:val="000000"/>
        </w:rPr>
      </w:pPr>
      <w:r w:rsidRPr="00CD24ED">
        <w:rPr>
          <w:rFonts w:eastAsia="Times New Roman"/>
        </w:rPr>
        <w:t>14985.8.  </w:t>
      </w:r>
    </w:p>
    <w:p w:rsidR="00CD24ED" w:rsidRPr="00CD24ED" w:rsidRDefault="00CD24ED" w:rsidP="00CD24ED">
      <w:pPr>
        <w:shd w:val="clear" w:color="auto" w:fill="FFFFFF"/>
        <w:spacing w:after="120" w:line="240" w:lineRule="auto"/>
        <w:textAlignment w:val="baseline"/>
        <w:rPr>
          <w:rFonts w:ascii="Verdana" w:eastAsia="Times New Roman" w:hAnsi="Verdana" w:cs="Times New Roman"/>
          <w:i/>
          <w:color w:val="333333"/>
          <w:sz w:val="22"/>
        </w:rPr>
      </w:pPr>
      <w:r w:rsidRPr="00CD24ED">
        <w:rPr>
          <w:rFonts w:ascii="Verdana" w:eastAsia="Times New Roman" w:hAnsi="Verdana" w:cs="Times New Roman"/>
          <w:i/>
          <w:color w:val="333333"/>
          <w:sz w:val="22"/>
        </w:rPr>
        <w:t>The commission shall compile the following data with respect to any demand letter or complaint sent to the commission pursuant to Section 55.32 of the Civil Code and post the information on its Internet Web site, pursuant to the following:</w:t>
      </w:r>
    </w:p>
    <w:p w:rsidR="00CD24ED" w:rsidRPr="00CD24ED" w:rsidRDefault="00CD24ED" w:rsidP="00CD24ED">
      <w:pPr>
        <w:shd w:val="clear" w:color="auto" w:fill="FFFFFF"/>
        <w:spacing w:after="120" w:line="240" w:lineRule="auto"/>
        <w:textAlignment w:val="baseline"/>
        <w:rPr>
          <w:rFonts w:ascii="Verdana" w:eastAsia="Times New Roman" w:hAnsi="Verdana" w:cs="Times New Roman"/>
          <w:i/>
          <w:color w:val="333333"/>
          <w:sz w:val="22"/>
        </w:rPr>
      </w:pPr>
      <w:r w:rsidRPr="00CD24ED">
        <w:rPr>
          <w:rFonts w:ascii="Verdana" w:eastAsia="Times New Roman" w:hAnsi="Verdana" w:cs="Times New Roman"/>
          <w:i/>
          <w:color w:val="333333"/>
          <w:sz w:val="22"/>
        </w:rPr>
        <w:t>(a) The commission shall identify the various types of construction-related physical access violations alleged in the demand letters and in the complaints, respectively, and shall tabulate the number of claims alleged for each type of violation in the demand letters and complaints, respectively. For purposes of this subdivision, any demand for money letters shall be grouped as demand letters.</w:t>
      </w:r>
    </w:p>
    <w:p w:rsidR="00CD24ED" w:rsidRPr="00CD24ED" w:rsidRDefault="00CD24ED" w:rsidP="00CD24ED">
      <w:pPr>
        <w:shd w:val="clear" w:color="auto" w:fill="FFFFFF"/>
        <w:spacing w:after="120" w:line="240" w:lineRule="auto"/>
        <w:textAlignment w:val="baseline"/>
        <w:rPr>
          <w:rFonts w:ascii="Verdana" w:eastAsia="Times New Roman" w:hAnsi="Verdana" w:cs="Times New Roman"/>
          <w:i/>
          <w:color w:val="333333"/>
          <w:sz w:val="22"/>
        </w:rPr>
      </w:pPr>
      <w:r w:rsidRPr="00CD24ED">
        <w:rPr>
          <w:rFonts w:ascii="Verdana" w:eastAsia="Times New Roman" w:hAnsi="Verdana" w:cs="Times New Roman"/>
          <w:i/>
          <w:color w:val="333333"/>
          <w:sz w:val="22"/>
        </w:rPr>
        <w:t>(b) Periodically, but not less than every six months beginning July 31, 2013, the commission shall post on its Internet Web site a list, by type, of the 10 most frequent types of accessibility violations alleged in the demand letters and in the complaints, respectively, and the numbers of alleged violations for each listed type of violation for the prior two quarters.</w:t>
      </w:r>
    </w:p>
    <w:p w:rsidR="00CD24ED" w:rsidRPr="00CD24ED" w:rsidRDefault="00CD24ED" w:rsidP="00CD24ED">
      <w:pPr>
        <w:shd w:val="clear" w:color="auto" w:fill="FFFFFF"/>
        <w:spacing w:after="120" w:line="240" w:lineRule="auto"/>
        <w:textAlignment w:val="baseline"/>
        <w:rPr>
          <w:rFonts w:ascii="Verdana" w:eastAsia="Times New Roman" w:hAnsi="Verdana" w:cs="Times New Roman"/>
          <w:i/>
          <w:color w:val="333333"/>
          <w:sz w:val="22"/>
        </w:rPr>
      </w:pPr>
      <w:r w:rsidRPr="00CD24ED">
        <w:rPr>
          <w:rFonts w:ascii="Verdana" w:eastAsia="Times New Roman" w:hAnsi="Verdana" w:cs="Times New Roman"/>
          <w:i/>
          <w:color w:val="333333"/>
          <w:sz w:val="22"/>
        </w:rPr>
        <w:t>(c) The commission shall, on a quarterly basis, identify and tabulate the number of demand letters and complaints received by the commission. The commission shall further ascertain whether a complaint was filed in state or federal court and tabulate the number of complaints filed in state or federal court, respectively. This data shall be posted on the commission’s Internet Web site periodically, but not less than every six months beginning July 31, 2013.</w:t>
      </w:r>
    </w:p>
    <w:p w:rsidR="00CD24ED" w:rsidRPr="00CD24ED" w:rsidRDefault="00CD24ED" w:rsidP="00CD24ED">
      <w:pPr>
        <w:shd w:val="clear" w:color="auto" w:fill="FFFFFF"/>
        <w:spacing w:after="120" w:line="240" w:lineRule="auto"/>
        <w:textAlignment w:val="baseline"/>
        <w:rPr>
          <w:rFonts w:ascii="Verdana" w:eastAsia="Times New Roman" w:hAnsi="Verdana" w:cs="Times New Roman"/>
          <w:i/>
          <w:color w:val="333333"/>
          <w:sz w:val="22"/>
        </w:rPr>
      </w:pPr>
      <w:r w:rsidRPr="00CD24ED">
        <w:rPr>
          <w:rFonts w:ascii="Verdana" w:eastAsia="Times New Roman" w:hAnsi="Verdana" w:cs="Times New Roman"/>
          <w:i/>
          <w:color w:val="333333"/>
          <w:sz w:val="22"/>
        </w:rPr>
        <w:lastRenderedPageBreak/>
        <w:t>(d) Commencing in 2014, and notwithstanding Section 10231.5, the commission shall make an annual report to the Legislature and the Chairs of the Senate and Assembly Committees on Judiciary by January 31 of each year of the tabulated data for the preceding calendar year as set forth in subdivisions (a) to (c), inclusive. A report to be submitted pursuant to this subdivision shall be submitted in compliance with Section 9795.</w:t>
      </w:r>
    </w:p>
    <w:p w:rsidR="00F25FAC" w:rsidRDefault="00CD24ED" w:rsidP="00F25FAC">
      <w:pPr>
        <w:rPr>
          <w:rFonts w:ascii="Verdana" w:eastAsia="Times New Roman" w:hAnsi="Verdana" w:cs="Times New Roman"/>
          <w:i/>
          <w:iCs/>
          <w:color w:val="333333"/>
          <w:sz w:val="22"/>
          <w:shd w:val="clear" w:color="auto" w:fill="FFFFFF"/>
        </w:rPr>
      </w:pPr>
      <w:r w:rsidRPr="00CD24ED">
        <w:rPr>
          <w:rFonts w:ascii="Verdana" w:eastAsia="Times New Roman" w:hAnsi="Verdana" w:cs="Times New Roman"/>
          <w:i/>
          <w:iCs/>
          <w:color w:val="333333"/>
          <w:sz w:val="22"/>
          <w:shd w:val="clear" w:color="auto" w:fill="FFFFFF"/>
        </w:rPr>
        <w:t>(Added by Stats. 2017, Ch. 19, Sec. 15. (AB 111) Effective June 27, 2017. Pursuant to Section 14985.11, continuing operation is contingent upon funding.)</w:t>
      </w:r>
      <w:r w:rsidR="00F25FAC">
        <w:rPr>
          <w:rFonts w:ascii="Verdana" w:eastAsia="Times New Roman" w:hAnsi="Verdana" w:cs="Times New Roman"/>
          <w:i/>
          <w:iCs/>
          <w:color w:val="333333"/>
          <w:sz w:val="22"/>
          <w:shd w:val="clear" w:color="auto" w:fill="FFFFFF"/>
        </w:rPr>
        <w:t xml:space="preserve"> </w:t>
      </w:r>
    </w:p>
    <w:sectPr w:rsidR="00F25FAC" w:rsidSect="00C4422E">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4BC" w:rsidRDefault="009814BC" w:rsidP="00B01620">
      <w:pPr>
        <w:spacing w:after="0" w:line="240" w:lineRule="auto"/>
      </w:pPr>
      <w:r>
        <w:separator/>
      </w:r>
    </w:p>
  </w:endnote>
  <w:endnote w:type="continuationSeparator" w:id="0">
    <w:p w:rsidR="009814BC" w:rsidRDefault="009814BC" w:rsidP="00B0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620" w:rsidRPr="00B01620" w:rsidRDefault="00B01620">
    <w:pPr>
      <w:pStyle w:val="Footer"/>
      <w:rPr>
        <w:sz w:val="22"/>
      </w:rPr>
    </w:pPr>
    <w:r w:rsidRPr="00B01620">
      <w:rPr>
        <w:sz w:val="22"/>
      </w:rPr>
      <w:t>April 24, 2019 – CCDA Executive Committee Meeting – Support Document</w:t>
    </w:r>
    <w:r w:rsidRPr="00B01620">
      <w:rPr>
        <w:sz w:val="22"/>
      </w:rPr>
      <w:tab/>
      <w:t xml:space="preserve">Page </w:t>
    </w:r>
    <w:r w:rsidRPr="00B01620">
      <w:rPr>
        <w:bCs/>
        <w:sz w:val="22"/>
      </w:rPr>
      <w:fldChar w:fldCharType="begin"/>
    </w:r>
    <w:r w:rsidRPr="00B01620">
      <w:rPr>
        <w:bCs/>
        <w:sz w:val="22"/>
      </w:rPr>
      <w:instrText xml:space="preserve"> PAGE  \* Arabic  \* MERGEFORMAT </w:instrText>
    </w:r>
    <w:r w:rsidRPr="00B01620">
      <w:rPr>
        <w:bCs/>
        <w:sz w:val="22"/>
      </w:rPr>
      <w:fldChar w:fldCharType="separate"/>
    </w:r>
    <w:r w:rsidR="00C5328E">
      <w:rPr>
        <w:bCs/>
        <w:noProof/>
        <w:sz w:val="22"/>
      </w:rPr>
      <w:t>7</w:t>
    </w:r>
    <w:r w:rsidRPr="00B01620">
      <w:rPr>
        <w:bCs/>
        <w:sz w:val="22"/>
      </w:rPr>
      <w:fldChar w:fldCharType="end"/>
    </w:r>
    <w:r w:rsidRPr="00B01620">
      <w:rPr>
        <w:sz w:val="22"/>
      </w:rPr>
      <w:t xml:space="preserve"> of </w:t>
    </w:r>
    <w:r w:rsidRPr="00B01620">
      <w:rPr>
        <w:bCs/>
        <w:sz w:val="22"/>
      </w:rPr>
      <w:fldChar w:fldCharType="begin"/>
    </w:r>
    <w:r w:rsidRPr="00B01620">
      <w:rPr>
        <w:bCs/>
        <w:sz w:val="22"/>
      </w:rPr>
      <w:instrText xml:space="preserve"> NUMPAGES  \* Arabic  \* MERGEFORMAT </w:instrText>
    </w:r>
    <w:r w:rsidRPr="00B01620">
      <w:rPr>
        <w:bCs/>
        <w:sz w:val="22"/>
      </w:rPr>
      <w:fldChar w:fldCharType="separate"/>
    </w:r>
    <w:r w:rsidR="00C5328E">
      <w:rPr>
        <w:bCs/>
        <w:noProof/>
        <w:sz w:val="22"/>
      </w:rPr>
      <w:t>7</w:t>
    </w:r>
    <w:r w:rsidRPr="00B01620">
      <w:rPr>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4BC" w:rsidRDefault="009814BC" w:rsidP="00B01620">
      <w:pPr>
        <w:spacing w:after="0" w:line="240" w:lineRule="auto"/>
      </w:pPr>
      <w:r>
        <w:separator/>
      </w:r>
    </w:p>
  </w:footnote>
  <w:footnote w:type="continuationSeparator" w:id="0">
    <w:p w:rsidR="009814BC" w:rsidRDefault="009814BC" w:rsidP="00B01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xMbU0tjA2sTQ0sLBQ0lEKTi0uzszPAykwrAUAGCSpxCwAAAA="/>
  </w:docVars>
  <w:rsids>
    <w:rsidRoot w:val="00173074"/>
    <w:rsid w:val="0000203D"/>
    <w:rsid w:val="000427AD"/>
    <w:rsid w:val="00056059"/>
    <w:rsid w:val="00056206"/>
    <w:rsid w:val="00155AD9"/>
    <w:rsid w:val="00157C92"/>
    <w:rsid w:val="00173074"/>
    <w:rsid w:val="001E3B8C"/>
    <w:rsid w:val="002A5198"/>
    <w:rsid w:val="002B561F"/>
    <w:rsid w:val="00427836"/>
    <w:rsid w:val="004F144D"/>
    <w:rsid w:val="00511971"/>
    <w:rsid w:val="005B4425"/>
    <w:rsid w:val="006D1E0C"/>
    <w:rsid w:val="006E4F7E"/>
    <w:rsid w:val="006F5ADD"/>
    <w:rsid w:val="00734556"/>
    <w:rsid w:val="007352F1"/>
    <w:rsid w:val="00737B19"/>
    <w:rsid w:val="007D3444"/>
    <w:rsid w:val="00845252"/>
    <w:rsid w:val="008F090D"/>
    <w:rsid w:val="00976361"/>
    <w:rsid w:val="009814BC"/>
    <w:rsid w:val="009E6AF0"/>
    <w:rsid w:val="00A402CA"/>
    <w:rsid w:val="00AF47AF"/>
    <w:rsid w:val="00B01620"/>
    <w:rsid w:val="00BA75E1"/>
    <w:rsid w:val="00C4422E"/>
    <w:rsid w:val="00C5328E"/>
    <w:rsid w:val="00C84379"/>
    <w:rsid w:val="00CD24ED"/>
    <w:rsid w:val="00F25FAC"/>
    <w:rsid w:val="00F602CC"/>
    <w:rsid w:val="00FB29D4"/>
    <w:rsid w:val="00FC3E75"/>
    <w:rsid w:val="00FD11C0"/>
    <w:rsid w:val="00FE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6119"/>
  <w15:chartTrackingRefBased/>
  <w15:docId w15:val="{E94FBCAE-23DB-4817-98CE-1FB64E82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074"/>
    <w:rPr>
      <w:rFonts w:ascii="Arial" w:hAnsi="Arial"/>
      <w:sz w:val="24"/>
    </w:rPr>
  </w:style>
  <w:style w:type="paragraph" w:styleId="Heading1">
    <w:name w:val="heading 1"/>
    <w:basedOn w:val="Normal"/>
    <w:next w:val="Normal"/>
    <w:link w:val="Heading1Char"/>
    <w:uiPriority w:val="9"/>
    <w:qFormat/>
    <w:rsid w:val="00173074"/>
    <w:pPr>
      <w:keepNext/>
      <w:keepLines/>
      <w:spacing w:before="240" w:after="0"/>
      <w:outlineLvl w:val="0"/>
    </w:pPr>
    <w:rPr>
      <w:rFonts w:eastAsiaTheme="majorEastAsia"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173074"/>
    <w:pPr>
      <w:keepNext/>
      <w:keepLines/>
      <w:spacing w:before="40" w:after="0"/>
      <w:outlineLvl w:val="1"/>
    </w:pPr>
    <w:rPr>
      <w:rFonts w:eastAsiaTheme="majorEastAsia" w:cstheme="majorBidi"/>
      <w:color w:val="365F91" w:themeColor="accent1" w:themeShade="BF"/>
      <w:sz w:val="26"/>
      <w:szCs w:val="26"/>
      <w:u w:val="single"/>
    </w:rPr>
  </w:style>
  <w:style w:type="paragraph" w:styleId="Heading6">
    <w:name w:val="heading 6"/>
    <w:basedOn w:val="Normal"/>
    <w:next w:val="Normal"/>
    <w:link w:val="Heading6Char"/>
    <w:uiPriority w:val="9"/>
    <w:semiHidden/>
    <w:unhideWhenUsed/>
    <w:qFormat/>
    <w:rsid w:val="00A402C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074"/>
    <w:rPr>
      <w:rFonts w:ascii="Arial" w:eastAsiaTheme="majorEastAsia" w:hAnsi="Arial" w:cstheme="majorBidi"/>
      <w:color w:val="365F91" w:themeColor="accent1" w:themeShade="BF"/>
      <w:sz w:val="28"/>
      <w:szCs w:val="32"/>
    </w:rPr>
  </w:style>
  <w:style w:type="character" w:customStyle="1" w:styleId="Heading2Char">
    <w:name w:val="Heading 2 Char"/>
    <w:basedOn w:val="DefaultParagraphFont"/>
    <w:link w:val="Heading2"/>
    <w:uiPriority w:val="9"/>
    <w:rsid w:val="00173074"/>
    <w:rPr>
      <w:rFonts w:ascii="Arial" w:eastAsiaTheme="majorEastAsia" w:hAnsi="Arial" w:cstheme="majorBidi"/>
      <w:color w:val="365F91" w:themeColor="accent1" w:themeShade="BF"/>
      <w:sz w:val="26"/>
      <w:szCs w:val="26"/>
      <w:u w:val="single"/>
    </w:rPr>
  </w:style>
  <w:style w:type="character" w:customStyle="1" w:styleId="Heading6Char">
    <w:name w:val="Heading 6 Char"/>
    <w:basedOn w:val="DefaultParagraphFont"/>
    <w:link w:val="Heading6"/>
    <w:uiPriority w:val="9"/>
    <w:semiHidden/>
    <w:rsid w:val="00A402CA"/>
    <w:rPr>
      <w:rFonts w:asciiTheme="majorHAnsi" w:eastAsiaTheme="majorEastAsia" w:hAnsiTheme="majorHAnsi" w:cstheme="majorBidi"/>
      <w:color w:val="243F60" w:themeColor="accent1" w:themeShade="7F"/>
      <w:sz w:val="24"/>
    </w:rPr>
  </w:style>
  <w:style w:type="paragraph" w:styleId="Header">
    <w:name w:val="header"/>
    <w:basedOn w:val="Normal"/>
    <w:link w:val="HeaderChar"/>
    <w:uiPriority w:val="99"/>
    <w:unhideWhenUsed/>
    <w:rsid w:val="00B01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620"/>
    <w:rPr>
      <w:rFonts w:ascii="Arial" w:hAnsi="Arial"/>
      <w:sz w:val="24"/>
    </w:rPr>
  </w:style>
  <w:style w:type="paragraph" w:styleId="Footer">
    <w:name w:val="footer"/>
    <w:basedOn w:val="Normal"/>
    <w:link w:val="FooterChar"/>
    <w:uiPriority w:val="99"/>
    <w:unhideWhenUsed/>
    <w:rsid w:val="00B0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620"/>
    <w:rPr>
      <w:rFonts w:ascii="Arial" w:hAnsi="Arial"/>
      <w:sz w:val="24"/>
    </w:rPr>
  </w:style>
  <w:style w:type="character" w:styleId="Hyperlink">
    <w:name w:val="Hyperlink"/>
    <w:basedOn w:val="DefaultParagraphFont"/>
    <w:uiPriority w:val="99"/>
    <w:unhideWhenUsed/>
    <w:rsid w:val="00B016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0696">
      <w:bodyDiv w:val="1"/>
      <w:marLeft w:val="0"/>
      <w:marRight w:val="0"/>
      <w:marTop w:val="0"/>
      <w:marBottom w:val="0"/>
      <w:divBdr>
        <w:top w:val="none" w:sz="0" w:space="0" w:color="auto"/>
        <w:left w:val="none" w:sz="0" w:space="0" w:color="auto"/>
        <w:bottom w:val="none" w:sz="0" w:space="0" w:color="auto"/>
        <w:right w:val="none" w:sz="0" w:space="0" w:color="auto"/>
      </w:divBdr>
    </w:div>
    <w:div w:id="242180773">
      <w:bodyDiv w:val="1"/>
      <w:marLeft w:val="0"/>
      <w:marRight w:val="0"/>
      <w:marTop w:val="0"/>
      <w:marBottom w:val="0"/>
      <w:divBdr>
        <w:top w:val="none" w:sz="0" w:space="0" w:color="auto"/>
        <w:left w:val="none" w:sz="0" w:space="0" w:color="auto"/>
        <w:bottom w:val="none" w:sz="0" w:space="0" w:color="auto"/>
        <w:right w:val="none" w:sz="0" w:space="0" w:color="auto"/>
      </w:divBdr>
    </w:div>
    <w:div w:id="500122969">
      <w:bodyDiv w:val="1"/>
      <w:marLeft w:val="0"/>
      <w:marRight w:val="0"/>
      <w:marTop w:val="0"/>
      <w:marBottom w:val="0"/>
      <w:divBdr>
        <w:top w:val="none" w:sz="0" w:space="0" w:color="auto"/>
        <w:left w:val="none" w:sz="0" w:space="0" w:color="auto"/>
        <w:bottom w:val="none" w:sz="0" w:space="0" w:color="auto"/>
        <w:right w:val="none" w:sz="0" w:space="0" w:color="auto"/>
      </w:divBdr>
    </w:div>
    <w:div w:id="785005327">
      <w:bodyDiv w:val="1"/>
      <w:marLeft w:val="0"/>
      <w:marRight w:val="0"/>
      <w:marTop w:val="0"/>
      <w:marBottom w:val="0"/>
      <w:divBdr>
        <w:top w:val="none" w:sz="0" w:space="0" w:color="auto"/>
        <w:left w:val="none" w:sz="0" w:space="0" w:color="auto"/>
        <w:bottom w:val="none" w:sz="0" w:space="0" w:color="auto"/>
        <w:right w:val="none" w:sz="0" w:space="0" w:color="auto"/>
      </w:divBdr>
    </w:div>
    <w:div w:id="850296329">
      <w:bodyDiv w:val="1"/>
      <w:marLeft w:val="0"/>
      <w:marRight w:val="0"/>
      <w:marTop w:val="0"/>
      <w:marBottom w:val="0"/>
      <w:divBdr>
        <w:top w:val="none" w:sz="0" w:space="0" w:color="auto"/>
        <w:left w:val="none" w:sz="0" w:space="0" w:color="auto"/>
        <w:bottom w:val="none" w:sz="0" w:space="0" w:color="auto"/>
        <w:right w:val="none" w:sz="0" w:space="0" w:color="auto"/>
      </w:divBdr>
    </w:div>
    <w:div w:id="990400924">
      <w:bodyDiv w:val="1"/>
      <w:marLeft w:val="0"/>
      <w:marRight w:val="0"/>
      <w:marTop w:val="0"/>
      <w:marBottom w:val="0"/>
      <w:divBdr>
        <w:top w:val="none" w:sz="0" w:space="0" w:color="auto"/>
        <w:left w:val="none" w:sz="0" w:space="0" w:color="auto"/>
        <w:bottom w:val="none" w:sz="0" w:space="0" w:color="auto"/>
        <w:right w:val="none" w:sz="0" w:space="0" w:color="auto"/>
      </w:divBdr>
    </w:div>
    <w:div w:id="1209995522">
      <w:bodyDiv w:val="1"/>
      <w:marLeft w:val="0"/>
      <w:marRight w:val="0"/>
      <w:marTop w:val="0"/>
      <w:marBottom w:val="0"/>
      <w:divBdr>
        <w:top w:val="none" w:sz="0" w:space="0" w:color="auto"/>
        <w:left w:val="none" w:sz="0" w:space="0" w:color="auto"/>
        <w:bottom w:val="none" w:sz="0" w:space="0" w:color="auto"/>
        <w:right w:val="none" w:sz="0" w:space="0" w:color="auto"/>
      </w:divBdr>
      <w:divsChild>
        <w:div w:id="1943955852">
          <w:marLeft w:val="0"/>
          <w:marRight w:val="0"/>
          <w:marTop w:val="0"/>
          <w:marBottom w:val="0"/>
          <w:divBdr>
            <w:top w:val="none" w:sz="0" w:space="0" w:color="auto"/>
            <w:left w:val="none" w:sz="0" w:space="0" w:color="auto"/>
            <w:bottom w:val="none" w:sz="0" w:space="0" w:color="auto"/>
            <w:right w:val="none" w:sz="0" w:space="0" w:color="auto"/>
          </w:divBdr>
          <w:divsChild>
            <w:div w:id="681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69994">
      <w:bodyDiv w:val="1"/>
      <w:marLeft w:val="0"/>
      <w:marRight w:val="0"/>
      <w:marTop w:val="0"/>
      <w:marBottom w:val="0"/>
      <w:divBdr>
        <w:top w:val="none" w:sz="0" w:space="0" w:color="auto"/>
        <w:left w:val="none" w:sz="0" w:space="0" w:color="auto"/>
        <w:bottom w:val="none" w:sz="0" w:space="0" w:color="auto"/>
        <w:right w:val="none" w:sz="0" w:space="0" w:color="auto"/>
      </w:divBdr>
    </w:div>
    <w:div w:id="1601912895">
      <w:bodyDiv w:val="1"/>
      <w:marLeft w:val="0"/>
      <w:marRight w:val="0"/>
      <w:marTop w:val="0"/>
      <w:marBottom w:val="0"/>
      <w:divBdr>
        <w:top w:val="none" w:sz="0" w:space="0" w:color="auto"/>
        <w:left w:val="none" w:sz="0" w:space="0" w:color="auto"/>
        <w:bottom w:val="none" w:sz="0" w:space="0" w:color="auto"/>
        <w:right w:val="none" w:sz="0" w:space="0" w:color="auto"/>
      </w:divBdr>
    </w:div>
    <w:div w:id="193011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billNavClient.xhtml?bill_id=201520160AB2093" TargetMode="External"/><Relationship Id="rId13" Type="http://schemas.openxmlformats.org/officeDocument/2006/relationships/hyperlink" Target="http://leginfo.legislature.ca.gov/faces/codes_displaySection.xhtml?sectionNum=14985.4.&amp;lawCode=GOV" TargetMode="External"/><Relationship Id="rId18" Type="http://schemas.openxmlformats.org/officeDocument/2006/relationships/hyperlink" Target="http://leginfo.legislature.ca.gov/faces/codes_displaySection.xhtml?sectionNum=55.32.&amp;lawCode=CIV"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leginfo.legislature.ca.gov/faces/billNavClient.xhtml?bill_id=201720180AB1379" TargetMode="External"/><Relationship Id="rId12" Type="http://schemas.openxmlformats.org/officeDocument/2006/relationships/hyperlink" Target="http://leginfo.legislature.ca.gov/faces/codes_displaySection.xhtml?sectionNum=14985.4.&amp;lawCode=GOV" TargetMode="External"/><Relationship Id="rId17" Type="http://schemas.openxmlformats.org/officeDocument/2006/relationships/hyperlink" Target="http://leginfo.legislature.ca.gov/faces/codes_displaySection.xhtml?sectionNum=14985.8.&amp;lawCode=GOV" TargetMode="External"/><Relationship Id="rId2" Type="http://schemas.openxmlformats.org/officeDocument/2006/relationships/settings" Target="settings.xml"/><Relationship Id="rId16" Type="http://schemas.openxmlformats.org/officeDocument/2006/relationships/hyperlink" Target="http://leginfo.legislature.ca.gov/faces/codes_displaySection.xhtml?sectionNum=14985.10.&amp;lawCode=GOV"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leginfo.legislature.ca.gov/faces/codes_displaySection.xhtml?sectionNum=14985.6.&amp;lawCode=GOV" TargetMode="External"/><Relationship Id="rId5" Type="http://schemas.openxmlformats.org/officeDocument/2006/relationships/endnotes" Target="endnotes.xml"/><Relationship Id="rId15" Type="http://schemas.openxmlformats.org/officeDocument/2006/relationships/hyperlink" Target="http://leginfo.legislature.ca.gov/faces/codes_displaySection.xhtml?sectionNum=14985.9.&amp;lawCode=GOV" TargetMode="External"/><Relationship Id="rId10" Type="http://schemas.openxmlformats.org/officeDocument/2006/relationships/hyperlink" Target="http://leginfo.legislature.ca.gov/faces/codes_displaySection.xhtml?sectionNum=14985.5.&amp;lawCode=GOV"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leginfo.legislature.ca.gov/faces/billNavClient.xhtml?bill_id=201720180AB1148" TargetMode="External"/><Relationship Id="rId14" Type="http://schemas.openxmlformats.org/officeDocument/2006/relationships/hyperlink" Target="http://leginfo.legislature.ca.gov/faces/codes_displaySection.xhtml?sectionNum=14985.6.&amp;lawCod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
  <cp:lastModifiedBy>Ochoa, LaCandice@DGS</cp:lastModifiedBy>
  <cp:revision>3</cp:revision>
  <dcterms:created xsi:type="dcterms:W3CDTF">2019-11-04T17:59:00Z</dcterms:created>
  <dcterms:modified xsi:type="dcterms:W3CDTF">2019-11-04T18:01:00Z</dcterms:modified>
</cp:coreProperties>
</file>