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8267D" w14:textId="77777777" w:rsidR="006B1AA5"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t>P</w:t>
      </w:r>
      <w:r w:rsidRPr="00A2797B">
        <w:rPr>
          <w:rFonts w:ascii="Tahoma" w:eastAsia="Calibri" w:hAnsi="Tahoma" w:cs="Tahoma"/>
          <w:sz w:val="24"/>
          <w:szCs w:val="24"/>
        </w:rPr>
        <w:t xml:space="preserve">rior to making a conscious decision to ignore your responsibility to provide access, you should check with your insurance company to determine if you are </w:t>
      </w:r>
      <w:r w:rsidRPr="008917F9">
        <w:rPr>
          <w:rFonts w:ascii="Tahoma" w:eastAsia="Calibri" w:hAnsi="Tahoma" w:cs="Tahoma"/>
          <w:sz w:val="24"/>
          <w:szCs w:val="24"/>
        </w:rPr>
        <w:t>left more vulnerable</w:t>
      </w:r>
      <w:r w:rsidRPr="00A2797B">
        <w:rPr>
          <w:rFonts w:ascii="Tahoma" w:eastAsia="Calibri" w:hAnsi="Tahoma" w:cs="Tahoma"/>
          <w:sz w:val="24"/>
          <w:szCs w:val="24"/>
        </w:rPr>
        <w:t xml:space="preserve"> if an injury on your property is caused by a civil rights violation. </w:t>
      </w:r>
      <w:r>
        <w:rPr>
          <w:rFonts w:ascii="Tahoma" w:eastAsia="Calibri" w:hAnsi="Tahoma" w:cs="Tahoma"/>
          <w:sz w:val="24"/>
          <w:szCs w:val="24"/>
        </w:rPr>
        <w:t xml:space="preserve"> Many insurance policies do not cover ADA violations.</w:t>
      </w:r>
    </w:p>
    <w:p w14:paraId="34894906" w14:textId="77777777" w:rsidR="006B1AA5" w:rsidRDefault="006B1AA5" w:rsidP="00D04283">
      <w:pPr>
        <w:numPr>
          <w:ilvl w:val="0"/>
          <w:numId w:val="3"/>
        </w:numPr>
        <w:spacing w:after="160" w:line="259"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I do not own the building, so I am not liable for accessibility.</w:t>
      </w:r>
    </w:p>
    <w:p w14:paraId="11C34D30" w14:textId="77777777" w:rsidR="006B1AA5" w:rsidRPr="00A2797B" w:rsidRDefault="006B1AA5" w:rsidP="006B1AA5">
      <w:pPr>
        <w:spacing w:after="160" w:line="259" w:lineRule="auto"/>
        <w:ind w:left="540"/>
        <w:contextualSpacing/>
        <w:rPr>
          <w:rFonts w:ascii="Tahoma" w:eastAsia="Calibri" w:hAnsi="Tahoma" w:cs="Tahoma"/>
          <w:b/>
          <w:sz w:val="24"/>
          <w:szCs w:val="24"/>
        </w:rPr>
      </w:pPr>
    </w:p>
    <w:p w14:paraId="0C74F465" w14:textId="77777777" w:rsidR="006B1AA5" w:rsidRPr="00A2797B"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 xml:space="preserve">The ADA is directed to businesses, not </w:t>
      </w:r>
      <w:r>
        <w:rPr>
          <w:rFonts w:ascii="Tahoma" w:eastAsia="Calibri" w:hAnsi="Tahoma" w:cs="Tahoma"/>
          <w:sz w:val="24"/>
          <w:szCs w:val="24"/>
        </w:rPr>
        <w:t xml:space="preserve">just </w:t>
      </w:r>
      <w:r w:rsidRPr="00A2797B">
        <w:rPr>
          <w:rFonts w:ascii="Tahoma" w:eastAsia="Calibri" w:hAnsi="Tahoma" w:cs="Tahoma"/>
          <w:sz w:val="24"/>
          <w:szCs w:val="24"/>
        </w:rPr>
        <w:t xml:space="preserve">property owners. Nearly all ADA lawsuits are filed against both the operating business owner (tenant) and </w:t>
      </w:r>
      <w:r>
        <w:rPr>
          <w:rFonts w:ascii="Tahoma" w:eastAsia="Calibri" w:hAnsi="Tahoma" w:cs="Tahoma"/>
          <w:sz w:val="24"/>
          <w:szCs w:val="24"/>
        </w:rPr>
        <w:t>the property owne</w:t>
      </w:r>
      <w:bookmarkStart w:id="0" w:name="_GoBack"/>
      <w:bookmarkEnd w:id="0"/>
      <w:r>
        <w:rPr>
          <w:rFonts w:ascii="Tahoma" w:eastAsia="Calibri" w:hAnsi="Tahoma" w:cs="Tahoma"/>
          <w:sz w:val="24"/>
          <w:szCs w:val="24"/>
        </w:rPr>
        <w:t>r (</w:t>
      </w:r>
      <w:r w:rsidRPr="00A2797B">
        <w:rPr>
          <w:rFonts w:ascii="Tahoma" w:eastAsia="Calibri" w:hAnsi="Tahoma" w:cs="Tahoma"/>
          <w:sz w:val="24"/>
          <w:szCs w:val="24"/>
        </w:rPr>
        <w:t>landlord</w:t>
      </w:r>
      <w:r>
        <w:rPr>
          <w:rFonts w:ascii="Tahoma" w:eastAsia="Calibri" w:hAnsi="Tahoma" w:cs="Tahoma"/>
          <w:sz w:val="24"/>
          <w:szCs w:val="24"/>
        </w:rPr>
        <w:t>)</w:t>
      </w:r>
      <w:r w:rsidRPr="00A2797B">
        <w:rPr>
          <w:rFonts w:ascii="Tahoma" w:eastAsia="Calibri" w:hAnsi="Tahoma" w:cs="Tahoma"/>
          <w:sz w:val="24"/>
          <w:szCs w:val="24"/>
        </w:rPr>
        <w:t xml:space="preserve">. </w:t>
      </w:r>
    </w:p>
    <w:p w14:paraId="7DD084E1" w14:textId="77777777" w:rsidR="006B1AA5"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 xml:space="preserve">Compliance is not only the landlord’s responsibility. Both the lessor and lessee are responsible and liable for the accessibility of the facility. If you lease or rent a facility, it is advisable to have an agreement with your landlord that sets forth who is responsible for providing and maintaining the facility’s accessible features. </w:t>
      </w:r>
    </w:p>
    <w:p w14:paraId="4386A2CD" w14:textId="03AFA979" w:rsidR="006B1AA5"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t>Under</w:t>
      </w:r>
      <w:r w:rsidRPr="00A2797B">
        <w:rPr>
          <w:rFonts w:ascii="Tahoma" w:eastAsia="Calibri" w:hAnsi="Tahoma" w:cs="Tahoma"/>
          <w:sz w:val="24"/>
          <w:szCs w:val="24"/>
        </w:rPr>
        <w:t xml:space="preserve"> California law, lease and rental agreements must </w:t>
      </w:r>
      <w:r>
        <w:rPr>
          <w:rFonts w:ascii="Tahoma" w:eastAsia="Calibri" w:hAnsi="Tahoma" w:cs="Tahoma"/>
          <w:sz w:val="24"/>
          <w:szCs w:val="24"/>
        </w:rPr>
        <w:t>state</w:t>
      </w:r>
      <w:r w:rsidRPr="00A2797B">
        <w:rPr>
          <w:rFonts w:ascii="Tahoma" w:eastAsia="Calibri" w:hAnsi="Tahoma" w:cs="Tahoma"/>
          <w:sz w:val="24"/>
          <w:szCs w:val="24"/>
        </w:rPr>
        <w:t xml:space="preserve"> whether the property was inspected by a CASp</w:t>
      </w:r>
      <w:r w:rsidR="00505F76">
        <w:rPr>
          <w:rFonts w:ascii="Tahoma" w:eastAsia="Calibri" w:hAnsi="Tahoma" w:cs="Tahoma"/>
          <w:sz w:val="24"/>
          <w:szCs w:val="24"/>
        </w:rPr>
        <w:t xml:space="preserve">. </w:t>
      </w:r>
      <w:r w:rsidR="00505F76" w:rsidRPr="00AB0DF6">
        <w:rPr>
          <w:rFonts w:ascii="Tahoma" w:eastAsia="Calibri" w:hAnsi="Tahoma" w:cs="Tahoma"/>
          <w:sz w:val="24"/>
          <w:szCs w:val="24"/>
          <w:u w:val="single"/>
        </w:rPr>
        <w:t>If it has and the property is compliant with all applicable construction-related standards, the landlord must share the CASp report and inspection certificate with you. If an inspection has not yet been performed, you may hire a CASp to evaluate the property. These disclosures, arrangements and terms of agreement are to be mutually agreed upon by you and the landlord prior to the execution of the lease.</w:t>
      </w:r>
    </w:p>
    <w:p w14:paraId="1F205E14" w14:textId="77777777" w:rsidR="006B1AA5" w:rsidRPr="00A2797B"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t>Unfortunately, often the first time tenants learn that their lease agreement shifts onto them all the costs of ADA violations, including lawsuits - is after they get sued.  The lease may require the tenant to indemnify the landlord for all the landlord’s expenses, including the landlord’s legal fees and costs of remediation.  This expense can be devastating to a tenant business.  The best time to have a conversation with your landlord is before a problem arises.</w:t>
      </w:r>
    </w:p>
    <w:p w14:paraId="37C5E34F" w14:textId="77777777" w:rsidR="006B1AA5" w:rsidRPr="00A2797B" w:rsidRDefault="006B1AA5" w:rsidP="006B1AA5">
      <w:pPr>
        <w:numPr>
          <w:ilvl w:val="0"/>
          <w:numId w:val="3"/>
        </w:numPr>
        <w:spacing w:after="0" w:line="240" w:lineRule="auto"/>
        <w:ind w:left="540" w:hanging="540"/>
        <w:rPr>
          <w:rFonts w:ascii="Tahoma" w:eastAsia="Times New Roman" w:hAnsi="Tahoma" w:cs="Tahoma"/>
          <w:sz w:val="24"/>
          <w:szCs w:val="21"/>
        </w:rPr>
      </w:pPr>
      <w:r w:rsidRPr="00A2797B">
        <w:rPr>
          <w:rFonts w:ascii="Tahoma" w:eastAsia="Times New Roman" w:hAnsi="Tahoma" w:cs="Tahoma"/>
          <w:b/>
          <w:bCs/>
          <w:sz w:val="24"/>
          <w:szCs w:val="21"/>
        </w:rPr>
        <w:t>A condominium (or apartment) development has to comply only with CBC Chapter 11A.</w:t>
      </w:r>
    </w:p>
    <w:p w14:paraId="3DAE1076" w14:textId="77777777" w:rsidR="006B1AA5" w:rsidRPr="00A2797B" w:rsidRDefault="006B1AA5" w:rsidP="006B1AA5">
      <w:pPr>
        <w:spacing w:after="0" w:line="240" w:lineRule="auto"/>
        <w:ind w:left="360"/>
        <w:rPr>
          <w:rFonts w:ascii="Tahoma" w:eastAsia="Times New Roman" w:hAnsi="Tahoma" w:cs="Tahoma"/>
          <w:sz w:val="24"/>
          <w:szCs w:val="21"/>
        </w:rPr>
      </w:pPr>
    </w:p>
    <w:p w14:paraId="59BA52A3" w14:textId="77777777" w:rsidR="006B1AA5" w:rsidRPr="00A2797B" w:rsidRDefault="006B1AA5" w:rsidP="006B1AA5">
      <w:pPr>
        <w:spacing w:after="0" w:line="240" w:lineRule="auto"/>
        <w:rPr>
          <w:rFonts w:ascii="Tahoma" w:eastAsia="Times New Roman" w:hAnsi="Tahoma" w:cs="Tahoma"/>
          <w:sz w:val="24"/>
          <w:szCs w:val="21"/>
        </w:rPr>
      </w:pPr>
      <w:r w:rsidRPr="00A2797B">
        <w:rPr>
          <w:rFonts w:ascii="Tahoma" w:eastAsia="Times New Roman" w:hAnsi="Tahoma" w:cs="Tahoma"/>
          <w:sz w:val="24"/>
          <w:szCs w:val="21"/>
        </w:rPr>
        <w:t xml:space="preserve">The </w:t>
      </w:r>
      <w:r>
        <w:rPr>
          <w:rFonts w:ascii="Tahoma" w:eastAsia="Times New Roman" w:hAnsi="Tahoma" w:cs="Tahoma"/>
          <w:sz w:val="24"/>
          <w:szCs w:val="21"/>
        </w:rPr>
        <w:t xml:space="preserve">California </w:t>
      </w:r>
      <w:r w:rsidRPr="00A2797B">
        <w:rPr>
          <w:rFonts w:ascii="Tahoma" w:eastAsia="Times New Roman" w:hAnsi="Tahoma" w:cs="Tahoma"/>
          <w:sz w:val="24"/>
          <w:szCs w:val="21"/>
        </w:rPr>
        <w:t xml:space="preserve">Fair </w:t>
      </w:r>
      <w:r>
        <w:rPr>
          <w:rFonts w:ascii="Tahoma" w:eastAsia="Times New Roman" w:hAnsi="Tahoma" w:cs="Tahoma"/>
          <w:sz w:val="24"/>
          <w:szCs w:val="21"/>
        </w:rPr>
        <w:t xml:space="preserve">Employment and </w:t>
      </w:r>
      <w:r w:rsidRPr="00A2797B">
        <w:rPr>
          <w:rFonts w:ascii="Tahoma" w:eastAsia="Times New Roman" w:hAnsi="Tahoma" w:cs="Tahoma"/>
          <w:sz w:val="24"/>
          <w:szCs w:val="21"/>
        </w:rPr>
        <w:t xml:space="preserve">Housing Act </w:t>
      </w:r>
      <w:r>
        <w:rPr>
          <w:rFonts w:ascii="Tahoma" w:eastAsia="Times New Roman" w:hAnsi="Tahoma" w:cs="Tahoma"/>
          <w:sz w:val="24"/>
          <w:szCs w:val="21"/>
        </w:rPr>
        <w:t xml:space="preserve">(FEHA) </w:t>
      </w:r>
      <w:r w:rsidRPr="00A2797B">
        <w:rPr>
          <w:rFonts w:ascii="Tahoma" w:eastAsia="Times New Roman" w:hAnsi="Tahoma" w:cs="Tahoma"/>
          <w:sz w:val="24"/>
          <w:szCs w:val="21"/>
        </w:rPr>
        <w:t>requires all “covered multi</w:t>
      </w:r>
      <w:r>
        <w:rPr>
          <w:rFonts w:ascii="Tahoma" w:eastAsia="Times New Roman" w:hAnsi="Tahoma" w:cs="Tahoma"/>
          <w:sz w:val="24"/>
          <w:szCs w:val="21"/>
        </w:rPr>
        <w:t>-</w:t>
      </w:r>
      <w:r w:rsidRPr="00A2797B">
        <w:rPr>
          <w:rFonts w:ascii="Tahoma" w:eastAsia="Times New Roman" w:hAnsi="Tahoma" w:cs="Tahoma"/>
          <w:sz w:val="24"/>
          <w:szCs w:val="21"/>
        </w:rPr>
        <w:t xml:space="preserve">family dwellings” designed and constructed for first occupancy after March 13, 1991 to be readily accessible to and usable by persons with disabilities. Under Chapter 11A, condominiums with four or more dwelling units and apartments with three or more dwelling units must comply with accessibility provisions of the CBC. Discrimination based on disability in housing is also prohibited by the </w:t>
      </w:r>
      <w:r>
        <w:rPr>
          <w:rFonts w:ascii="Tahoma" w:eastAsia="Times New Roman" w:hAnsi="Tahoma" w:cs="Tahoma"/>
          <w:sz w:val="24"/>
          <w:szCs w:val="21"/>
        </w:rPr>
        <w:t>FEHA</w:t>
      </w:r>
      <w:r w:rsidRPr="00A2797B">
        <w:rPr>
          <w:rFonts w:ascii="Tahoma" w:eastAsia="Times New Roman" w:hAnsi="Tahoma" w:cs="Tahoma"/>
          <w:sz w:val="24"/>
          <w:szCs w:val="21"/>
        </w:rPr>
        <w:t>.</w:t>
      </w:r>
    </w:p>
    <w:p w14:paraId="5C0113E6" w14:textId="77777777" w:rsidR="006B1AA5" w:rsidRPr="00A2797B" w:rsidRDefault="006B1AA5" w:rsidP="006B1AA5">
      <w:pPr>
        <w:spacing w:after="0" w:line="240" w:lineRule="auto"/>
        <w:rPr>
          <w:rFonts w:ascii="Tahoma" w:eastAsia="Times New Roman" w:hAnsi="Tahoma" w:cs="Tahoma"/>
          <w:sz w:val="24"/>
          <w:szCs w:val="21"/>
        </w:rPr>
      </w:pPr>
    </w:p>
    <w:p w14:paraId="23AF4CDE" w14:textId="77777777" w:rsidR="006B1AA5" w:rsidRPr="00A2797B" w:rsidRDefault="006B1AA5" w:rsidP="006B1AA5">
      <w:pPr>
        <w:tabs>
          <w:tab w:val="left" w:pos="720"/>
        </w:tabs>
        <w:spacing w:after="120" w:line="240" w:lineRule="auto"/>
        <w:ind w:left="540"/>
        <w:contextualSpacing/>
        <w:rPr>
          <w:rFonts w:ascii="Tahoma" w:eastAsia="Calibri" w:hAnsi="Tahoma" w:cs="Tahoma"/>
          <w:b/>
          <w:sz w:val="24"/>
          <w:szCs w:val="24"/>
        </w:rPr>
      </w:pPr>
    </w:p>
    <w:p w14:paraId="1724A73C" w14:textId="0D543318" w:rsidR="006B1AA5" w:rsidRPr="00A2797B"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The most important step is the first one</w:t>
      </w:r>
      <w:r>
        <w:rPr>
          <w:rFonts w:ascii="Tahoma" w:eastAsia="Calibri" w:hAnsi="Tahoma" w:cs="Tahoma"/>
          <w:sz w:val="24"/>
          <w:szCs w:val="24"/>
        </w:rPr>
        <w:t>;</w:t>
      </w:r>
      <w:r w:rsidRPr="00A2797B">
        <w:rPr>
          <w:rFonts w:ascii="Tahoma" w:eastAsia="Calibri" w:hAnsi="Tahoma" w:cs="Tahoma"/>
          <w:sz w:val="24"/>
          <w:szCs w:val="24"/>
        </w:rPr>
        <w:t xml:space="preserve"> accept the </w:t>
      </w:r>
      <w:r>
        <w:rPr>
          <w:rFonts w:ascii="Tahoma" w:eastAsia="Calibri" w:hAnsi="Tahoma" w:cs="Tahoma"/>
          <w:sz w:val="24"/>
          <w:szCs w:val="24"/>
        </w:rPr>
        <w:t>legal</w:t>
      </w:r>
      <w:r w:rsidRPr="00A2797B">
        <w:rPr>
          <w:rFonts w:ascii="Tahoma" w:eastAsia="Calibri" w:hAnsi="Tahoma" w:cs="Tahoma"/>
          <w:sz w:val="24"/>
          <w:szCs w:val="24"/>
        </w:rPr>
        <w:t xml:space="preserve"> responsibility to make your building or business </w:t>
      </w:r>
      <w:r>
        <w:rPr>
          <w:rFonts w:ascii="Tahoma" w:eastAsia="Calibri" w:hAnsi="Tahoma" w:cs="Tahoma"/>
          <w:sz w:val="24"/>
          <w:szCs w:val="24"/>
        </w:rPr>
        <w:t>compliant with access laws just as you do with health and safety laws</w:t>
      </w:r>
      <w:r w:rsidRPr="00A2797B">
        <w:rPr>
          <w:rFonts w:ascii="Tahoma" w:eastAsia="Calibri" w:hAnsi="Tahoma" w:cs="Tahoma"/>
          <w:sz w:val="24"/>
          <w:szCs w:val="24"/>
        </w:rPr>
        <w:t xml:space="preserve">. </w:t>
      </w:r>
      <w:r>
        <w:rPr>
          <w:rFonts w:ascii="Tahoma" w:eastAsia="Calibri" w:hAnsi="Tahoma" w:cs="Tahoma"/>
          <w:sz w:val="24"/>
          <w:szCs w:val="24"/>
        </w:rPr>
        <w:t xml:space="preserve">You may be surprised that many issues, </w:t>
      </w:r>
      <w:r w:rsidRPr="00A2797B">
        <w:rPr>
          <w:rFonts w:ascii="Tahoma" w:eastAsia="Calibri" w:hAnsi="Tahoma" w:cs="Tahoma"/>
          <w:sz w:val="24"/>
          <w:szCs w:val="24"/>
        </w:rPr>
        <w:t>such as adding signs</w:t>
      </w:r>
      <w:r>
        <w:rPr>
          <w:rFonts w:ascii="Tahoma" w:eastAsia="Calibri" w:hAnsi="Tahoma" w:cs="Tahoma"/>
          <w:sz w:val="24"/>
          <w:szCs w:val="24"/>
        </w:rPr>
        <w:t xml:space="preserve">, restriping parking </w:t>
      </w:r>
      <w:r>
        <w:rPr>
          <w:rFonts w:ascii="Tahoma" w:eastAsia="Calibri" w:hAnsi="Tahoma" w:cs="Tahoma"/>
          <w:sz w:val="24"/>
          <w:szCs w:val="24"/>
        </w:rPr>
        <w:lastRenderedPageBreak/>
        <w:t>stalls</w:t>
      </w:r>
      <w:r w:rsidRPr="00A2797B">
        <w:rPr>
          <w:rFonts w:ascii="Tahoma" w:eastAsia="Calibri" w:hAnsi="Tahoma" w:cs="Tahoma"/>
          <w:sz w:val="24"/>
          <w:szCs w:val="24"/>
        </w:rPr>
        <w:t xml:space="preserve">, </w:t>
      </w:r>
      <w:r>
        <w:rPr>
          <w:rFonts w:ascii="Tahoma" w:eastAsia="Calibri" w:hAnsi="Tahoma" w:cs="Tahoma"/>
          <w:sz w:val="24"/>
          <w:szCs w:val="24"/>
        </w:rPr>
        <w:t>lowering restroom mirrors,</w:t>
      </w:r>
      <w:r w:rsidRPr="00A2797B">
        <w:rPr>
          <w:rFonts w:ascii="Tahoma" w:eastAsia="Calibri" w:hAnsi="Tahoma" w:cs="Tahoma"/>
          <w:sz w:val="24"/>
          <w:szCs w:val="24"/>
        </w:rPr>
        <w:t xml:space="preserve"> or changing door hardware</w:t>
      </w:r>
      <w:r>
        <w:rPr>
          <w:rFonts w:ascii="Tahoma" w:eastAsia="Calibri" w:hAnsi="Tahoma" w:cs="Tahoma"/>
          <w:sz w:val="24"/>
          <w:szCs w:val="24"/>
        </w:rPr>
        <w:t>,</w:t>
      </w:r>
      <w:r w:rsidRPr="00A2797B">
        <w:rPr>
          <w:rFonts w:ascii="Tahoma" w:eastAsia="Calibri" w:hAnsi="Tahoma" w:cs="Tahoma"/>
          <w:sz w:val="24"/>
          <w:szCs w:val="24"/>
        </w:rPr>
        <w:t xml:space="preserve"> are simple to fix.   Each small step </w:t>
      </w:r>
      <w:r>
        <w:rPr>
          <w:rFonts w:ascii="Tahoma" w:eastAsia="Calibri" w:hAnsi="Tahoma" w:cs="Tahoma"/>
          <w:sz w:val="24"/>
          <w:szCs w:val="24"/>
        </w:rPr>
        <w:t xml:space="preserve">you take to </w:t>
      </w:r>
      <w:r w:rsidRPr="00A2797B">
        <w:rPr>
          <w:rFonts w:ascii="Tahoma" w:eastAsia="Calibri" w:hAnsi="Tahoma" w:cs="Tahoma"/>
          <w:sz w:val="24"/>
          <w:szCs w:val="24"/>
        </w:rPr>
        <w:t>improve access to your building or business will reduce your exposure to lawsuits as your building becomes more and more accessible.</w:t>
      </w:r>
    </w:p>
    <w:p w14:paraId="74306051" w14:textId="77777777" w:rsidR="006B1AA5"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t>There are advantages to taking steps toward compliance.  First, m</w:t>
      </w:r>
      <w:r w:rsidRPr="00A2797B">
        <w:rPr>
          <w:rFonts w:ascii="Tahoma" w:eastAsia="Calibri" w:hAnsi="Tahoma" w:cs="Tahoma"/>
          <w:sz w:val="24"/>
          <w:szCs w:val="24"/>
        </w:rPr>
        <w:t xml:space="preserve">ost courts look favorably upon proactive </w:t>
      </w:r>
      <w:r>
        <w:rPr>
          <w:rFonts w:ascii="Tahoma" w:eastAsia="Calibri" w:hAnsi="Tahoma" w:cs="Tahoma"/>
          <w:sz w:val="24"/>
          <w:szCs w:val="24"/>
        </w:rPr>
        <w:t>businesses that</w:t>
      </w:r>
      <w:r w:rsidRPr="00A2797B">
        <w:rPr>
          <w:rFonts w:ascii="Tahoma" w:eastAsia="Calibri" w:hAnsi="Tahoma" w:cs="Tahoma"/>
          <w:sz w:val="24"/>
          <w:szCs w:val="24"/>
        </w:rPr>
        <w:t xml:space="preserve"> have a plan of action to fix their building</w:t>
      </w:r>
      <w:r>
        <w:rPr>
          <w:rFonts w:ascii="Tahoma" w:eastAsia="Calibri" w:hAnsi="Tahoma" w:cs="Tahoma"/>
          <w:sz w:val="24"/>
          <w:szCs w:val="24"/>
        </w:rPr>
        <w:t>,</w:t>
      </w:r>
      <w:r w:rsidRPr="00A2797B">
        <w:rPr>
          <w:rFonts w:ascii="Tahoma" w:eastAsia="Calibri" w:hAnsi="Tahoma" w:cs="Tahoma"/>
          <w:sz w:val="24"/>
          <w:szCs w:val="24"/>
        </w:rPr>
        <w:t xml:space="preserve"> even if the plan is not yet finished. So, even if you’re sued, you may lower </w:t>
      </w:r>
      <w:r>
        <w:rPr>
          <w:rFonts w:ascii="Tahoma" w:eastAsia="Calibri" w:hAnsi="Tahoma" w:cs="Tahoma"/>
          <w:sz w:val="24"/>
          <w:szCs w:val="24"/>
        </w:rPr>
        <w:t xml:space="preserve">your </w:t>
      </w:r>
      <w:r w:rsidRPr="00A2797B">
        <w:rPr>
          <w:rFonts w:ascii="Tahoma" w:eastAsia="Calibri" w:hAnsi="Tahoma" w:cs="Tahoma"/>
          <w:sz w:val="24"/>
          <w:szCs w:val="24"/>
        </w:rPr>
        <w:t xml:space="preserve">financial </w:t>
      </w:r>
      <w:r>
        <w:rPr>
          <w:rFonts w:ascii="Tahoma" w:eastAsia="Calibri" w:hAnsi="Tahoma" w:cs="Tahoma"/>
          <w:sz w:val="24"/>
          <w:szCs w:val="24"/>
        </w:rPr>
        <w:t xml:space="preserve">exposure to </w:t>
      </w:r>
      <w:r w:rsidRPr="00A2797B">
        <w:rPr>
          <w:rFonts w:ascii="Tahoma" w:eastAsia="Calibri" w:hAnsi="Tahoma" w:cs="Tahoma"/>
          <w:sz w:val="24"/>
          <w:szCs w:val="24"/>
        </w:rPr>
        <w:t>damages.</w:t>
      </w:r>
      <w:r w:rsidRPr="00A2797B">
        <w:rPr>
          <w:rFonts w:ascii="Tahoma" w:eastAsia="Calibri" w:hAnsi="Tahoma" w:cs="Tahoma"/>
          <w:color w:val="333333"/>
          <w:sz w:val="24"/>
          <w:szCs w:val="24"/>
          <w:shd w:val="clear" w:color="auto" w:fill="FFFFFF"/>
        </w:rPr>
        <w:t xml:space="preserve"> </w:t>
      </w:r>
    </w:p>
    <w:p w14:paraId="163B02A6" w14:textId="36708107" w:rsidR="0019216E" w:rsidRDefault="006B1AA5" w:rsidP="006B1AA5">
      <w:pPr>
        <w:pStyle w:val="BodyText"/>
        <w:rPr>
          <w:rFonts w:ascii="Tahoma" w:hAnsi="Tahoma" w:cs="Tahoma"/>
          <w:sz w:val="22"/>
          <w:szCs w:val="22"/>
        </w:rPr>
      </w:pPr>
      <w:r>
        <w:rPr>
          <w:rFonts w:ascii="Tahoma" w:eastAsia="Calibri" w:hAnsi="Tahoma" w:cs="Tahoma"/>
          <w:sz w:val="24"/>
          <w:szCs w:val="24"/>
        </w:rPr>
        <w:t>Furthermore, the</w:t>
      </w:r>
      <w:r w:rsidRPr="00A2797B">
        <w:rPr>
          <w:rFonts w:ascii="Tahoma" w:eastAsia="Calibri" w:hAnsi="Tahoma" w:cs="Tahoma"/>
          <w:sz w:val="24"/>
          <w:szCs w:val="24"/>
        </w:rPr>
        <w:t xml:space="preserve"> Construction-Related Accessibility Standards Compliance Act (CRASCA</w:t>
      </w:r>
      <w:r>
        <w:rPr>
          <w:rFonts w:ascii="Tahoma" w:eastAsia="Calibri" w:hAnsi="Tahoma" w:cs="Tahoma"/>
          <w:sz w:val="24"/>
          <w:szCs w:val="24"/>
        </w:rPr>
        <w:t>)</w:t>
      </w:r>
      <w:r w:rsidR="009951DE" w:rsidRPr="007D44B5">
        <w:rPr>
          <w:rFonts w:ascii="Tahoma" w:eastAsia="Calibri" w:hAnsi="Tahoma" w:cs="Tahoma"/>
          <w:sz w:val="24"/>
          <w:szCs w:val="24"/>
          <w:u w:val="single"/>
        </w:rPr>
        <w:t xml:space="preserve">, as amended by </w:t>
      </w:r>
      <w:r w:rsidRPr="008446CC">
        <w:rPr>
          <w:rFonts w:ascii="Tahoma" w:hAnsi="Tahoma" w:cs="Tahoma"/>
          <w:sz w:val="22"/>
          <w:szCs w:val="22"/>
        </w:rPr>
        <w:t xml:space="preserve">SB 1186 </w:t>
      </w:r>
      <w:r>
        <w:rPr>
          <w:rFonts w:ascii="Tahoma" w:hAnsi="Tahoma" w:cs="Tahoma"/>
          <w:sz w:val="22"/>
          <w:szCs w:val="22"/>
        </w:rPr>
        <w:t>(Steinberg 2012)</w:t>
      </w:r>
      <w:r w:rsidR="009951DE">
        <w:rPr>
          <w:rFonts w:ascii="Tahoma" w:hAnsi="Tahoma" w:cs="Tahoma"/>
          <w:sz w:val="22"/>
          <w:szCs w:val="22"/>
        </w:rPr>
        <w:t>,</w:t>
      </w:r>
      <w:r>
        <w:rPr>
          <w:rFonts w:ascii="Tahoma" w:hAnsi="Tahoma" w:cs="Tahoma"/>
          <w:sz w:val="22"/>
          <w:szCs w:val="22"/>
        </w:rPr>
        <w:t xml:space="preserve"> </w:t>
      </w:r>
      <w:r w:rsidRPr="008446CC">
        <w:rPr>
          <w:rFonts w:ascii="Tahoma" w:hAnsi="Tahoma" w:cs="Tahoma"/>
          <w:sz w:val="22"/>
          <w:szCs w:val="22"/>
        </w:rPr>
        <w:t>reduced statutory damage amount</w:t>
      </w:r>
      <w:r>
        <w:rPr>
          <w:rFonts w:ascii="Tahoma" w:hAnsi="Tahoma" w:cs="Tahoma"/>
          <w:sz w:val="22"/>
          <w:szCs w:val="22"/>
        </w:rPr>
        <w:t xml:space="preserve">.  If a business </w:t>
      </w:r>
      <w:r w:rsidRPr="008446CC">
        <w:rPr>
          <w:rFonts w:ascii="Tahoma" w:hAnsi="Tahoma" w:cs="Tahoma"/>
          <w:sz w:val="22"/>
          <w:szCs w:val="22"/>
        </w:rPr>
        <w:t xml:space="preserve">hires a CASp when the violation </w:t>
      </w:r>
      <w:r>
        <w:rPr>
          <w:rFonts w:ascii="Tahoma" w:hAnsi="Tahoma" w:cs="Tahoma"/>
          <w:sz w:val="22"/>
          <w:szCs w:val="22"/>
        </w:rPr>
        <w:t xml:space="preserve">is corrected within 60 days, damages are </w:t>
      </w:r>
      <w:r w:rsidRPr="00C552AB">
        <w:rPr>
          <w:rFonts w:ascii="Tahoma" w:hAnsi="Tahoma" w:cs="Tahoma"/>
          <w:sz w:val="22"/>
          <w:szCs w:val="22"/>
        </w:rPr>
        <w:t>r</w:t>
      </w:r>
      <w:r w:rsidRPr="000346FF">
        <w:rPr>
          <w:rFonts w:ascii="Tahoma" w:hAnsi="Tahoma" w:cs="Tahoma"/>
          <w:sz w:val="22"/>
          <w:szCs w:val="22"/>
        </w:rPr>
        <w:t>educed from $4,000 to $1,000.</w:t>
      </w:r>
      <w:r>
        <w:rPr>
          <w:rFonts w:ascii="Tahoma" w:hAnsi="Tahoma" w:cs="Tahoma"/>
          <w:sz w:val="22"/>
          <w:szCs w:val="22"/>
        </w:rPr>
        <w:t xml:space="preserve">  If a</w:t>
      </w:r>
      <w:r w:rsidRPr="008446CC">
        <w:rPr>
          <w:rFonts w:ascii="Tahoma" w:hAnsi="Tahoma" w:cs="Tahoma"/>
          <w:sz w:val="22"/>
          <w:szCs w:val="22"/>
        </w:rPr>
        <w:t xml:space="preserve"> small business corrects the violation within 30 days</w:t>
      </w:r>
      <w:r>
        <w:rPr>
          <w:rFonts w:ascii="Tahoma" w:hAnsi="Tahoma" w:cs="Tahoma"/>
          <w:sz w:val="22"/>
          <w:szCs w:val="22"/>
        </w:rPr>
        <w:t>, even without</w:t>
      </w:r>
      <w:r w:rsidRPr="000346FF">
        <w:rPr>
          <w:rFonts w:ascii="Tahoma" w:hAnsi="Tahoma" w:cs="Tahoma"/>
          <w:sz w:val="22"/>
          <w:szCs w:val="22"/>
        </w:rPr>
        <w:t xml:space="preserve"> </w:t>
      </w:r>
      <w:r>
        <w:rPr>
          <w:rFonts w:ascii="Tahoma" w:hAnsi="Tahoma" w:cs="Tahoma"/>
          <w:sz w:val="22"/>
          <w:szCs w:val="22"/>
        </w:rPr>
        <w:t>a</w:t>
      </w:r>
      <w:r w:rsidRPr="008446CC">
        <w:rPr>
          <w:rFonts w:ascii="Tahoma" w:hAnsi="Tahoma" w:cs="Tahoma"/>
          <w:sz w:val="22"/>
          <w:szCs w:val="22"/>
        </w:rPr>
        <w:t xml:space="preserve"> CASp inspection,</w:t>
      </w:r>
      <w:r w:rsidRPr="00C552AB">
        <w:rPr>
          <w:rFonts w:ascii="Tahoma" w:hAnsi="Tahoma" w:cs="Tahoma"/>
          <w:sz w:val="22"/>
          <w:szCs w:val="22"/>
        </w:rPr>
        <w:t xml:space="preserve"> damages are reduced from $4,000 to $2,000.</w:t>
      </w:r>
      <w:r>
        <w:rPr>
          <w:rFonts w:ascii="Tahoma" w:hAnsi="Tahoma" w:cs="Tahoma"/>
          <w:sz w:val="22"/>
          <w:szCs w:val="22"/>
        </w:rPr>
        <w:t xml:space="preserve"> </w:t>
      </w:r>
    </w:p>
    <w:p w14:paraId="0E2426D3" w14:textId="77777777" w:rsidR="0019216E" w:rsidRDefault="0019216E" w:rsidP="006B1AA5">
      <w:pPr>
        <w:pStyle w:val="BodyText"/>
        <w:rPr>
          <w:rFonts w:ascii="Tahoma" w:hAnsi="Tahoma" w:cs="Tahoma"/>
          <w:sz w:val="22"/>
          <w:szCs w:val="22"/>
        </w:rPr>
      </w:pPr>
    </w:p>
    <w:p w14:paraId="7EEBF41D" w14:textId="553454DD" w:rsidR="006B1AA5" w:rsidRDefault="006B1AA5" w:rsidP="006B1AA5">
      <w:pPr>
        <w:pStyle w:val="BodyText"/>
        <w:rPr>
          <w:rFonts w:ascii="Tahoma" w:eastAsia="Calibri" w:hAnsi="Tahoma" w:cs="Tahoma"/>
          <w:color w:val="000000" w:themeColor="text1"/>
          <w:sz w:val="24"/>
          <w:szCs w:val="24"/>
          <w:shd w:val="clear" w:color="auto" w:fill="FFFFFF"/>
        </w:rPr>
      </w:pPr>
      <w:r>
        <w:rPr>
          <w:rFonts w:ascii="Tahoma" w:eastAsia="Calibri" w:hAnsi="Tahoma" w:cs="Tahoma"/>
          <w:color w:val="000000" w:themeColor="text1"/>
          <w:sz w:val="24"/>
          <w:szCs w:val="24"/>
        </w:rPr>
        <w:t>A</w:t>
      </w:r>
      <w:r w:rsidRPr="00A2797B">
        <w:rPr>
          <w:rFonts w:ascii="Tahoma" w:eastAsia="Calibri" w:hAnsi="Tahoma" w:cs="Tahoma"/>
          <w:color w:val="000000" w:themeColor="text1"/>
          <w:sz w:val="24"/>
          <w:szCs w:val="24"/>
        </w:rPr>
        <w:t>mendments</w:t>
      </w:r>
      <w:r>
        <w:rPr>
          <w:rFonts w:ascii="Tahoma" w:eastAsia="Calibri" w:hAnsi="Tahoma" w:cs="Tahoma"/>
          <w:color w:val="000000" w:themeColor="text1"/>
          <w:sz w:val="24"/>
          <w:szCs w:val="24"/>
        </w:rPr>
        <w:t xml:space="preserve"> </w:t>
      </w:r>
      <w:r w:rsidR="0019216E" w:rsidRPr="007D44B5">
        <w:rPr>
          <w:rFonts w:ascii="Tahoma" w:eastAsia="Calibri" w:hAnsi="Tahoma" w:cs="Tahoma"/>
          <w:color w:val="000000" w:themeColor="text1"/>
          <w:sz w:val="24"/>
          <w:szCs w:val="24"/>
          <w:u w:val="single"/>
        </w:rPr>
        <w:t xml:space="preserve">under SB 269 </w:t>
      </w:r>
      <w:r w:rsidRPr="00A2797B">
        <w:rPr>
          <w:rFonts w:ascii="Tahoma" w:eastAsia="Calibri" w:hAnsi="Tahoma" w:cs="Tahoma"/>
          <w:color w:val="000000" w:themeColor="text1"/>
          <w:sz w:val="24"/>
          <w:szCs w:val="24"/>
        </w:rPr>
        <w:t xml:space="preserve">provides </w:t>
      </w:r>
      <w:r>
        <w:rPr>
          <w:rFonts w:ascii="Tahoma" w:eastAsia="Calibri" w:hAnsi="Tahoma" w:cs="Tahoma"/>
          <w:color w:val="000000" w:themeColor="text1"/>
          <w:sz w:val="24"/>
          <w:szCs w:val="24"/>
        </w:rPr>
        <w:t xml:space="preserve">small businesses (fewer than 50 employees) </w:t>
      </w:r>
      <w:r w:rsidRPr="00A2797B">
        <w:rPr>
          <w:rFonts w:ascii="Tahoma" w:eastAsia="Calibri" w:hAnsi="Tahoma" w:cs="Tahoma"/>
          <w:color w:val="000000" w:themeColor="text1"/>
          <w:sz w:val="24"/>
          <w:szCs w:val="24"/>
        </w:rPr>
        <w:t>a grace period</w:t>
      </w:r>
      <w:r w:rsidRPr="00A2797B">
        <w:rPr>
          <w:rFonts w:ascii="Tahoma" w:eastAsia="Calibri" w:hAnsi="Tahoma" w:cs="Tahoma"/>
          <w:color w:val="000000" w:themeColor="text1"/>
          <w:sz w:val="24"/>
          <w:szCs w:val="24"/>
          <w:shd w:val="clear" w:color="auto" w:fill="FFFFFF"/>
        </w:rPr>
        <w:t xml:space="preserve"> from the liability for statutory damages for 120 days following the date that a structure or area was inspected by a </w:t>
      </w:r>
      <w:r>
        <w:rPr>
          <w:rFonts w:ascii="Tahoma" w:eastAsia="Calibri" w:hAnsi="Tahoma" w:cs="Tahoma"/>
          <w:color w:val="000000" w:themeColor="text1"/>
          <w:sz w:val="24"/>
          <w:szCs w:val="24"/>
          <w:shd w:val="clear" w:color="auto" w:fill="FFFFFF"/>
        </w:rPr>
        <w:t>CASp, to allow the business time to remove barriers that the specialist identifies</w:t>
      </w:r>
      <w:r w:rsidRPr="00A2797B">
        <w:rPr>
          <w:rFonts w:ascii="Tahoma" w:eastAsia="Calibri" w:hAnsi="Tahoma" w:cs="Tahoma"/>
          <w:color w:val="000000" w:themeColor="text1"/>
          <w:sz w:val="24"/>
          <w:szCs w:val="24"/>
          <w:shd w:val="clear" w:color="auto" w:fill="FFFFFF"/>
        </w:rPr>
        <w:t xml:space="preserve">. </w:t>
      </w:r>
      <w:r w:rsidRPr="00C552AB">
        <w:rPr>
          <w:rFonts w:ascii="Tahoma" w:eastAsia="Calibri" w:hAnsi="Tahoma" w:cs="Tahoma"/>
          <w:color w:val="000000" w:themeColor="text1"/>
          <w:sz w:val="24"/>
          <w:szCs w:val="24"/>
          <w:shd w:val="clear" w:color="auto" w:fill="FFFFFF"/>
        </w:rPr>
        <w:t xml:space="preserve">Businesses may </w:t>
      </w:r>
      <w:r>
        <w:rPr>
          <w:rFonts w:ascii="Tahoma" w:eastAsia="Calibri" w:hAnsi="Tahoma" w:cs="Tahoma"/>
          <w:color w:val="000000" w:themeColor="text1"/>
          <w:sz w:val="24"/>
          <w:szCs w:val="24"/>
          <w:shd w:val="clear" w:color="auto" w:fill="FFFFFF"/>
        </w:rPr>
        <w:t xml:space="preserve">get </w:t>
      </w:r>
      <w:r w:rsidRPr="00C552AB">
        <w:rPr>
          <w:rFonts w:ascii="Tahoma" w:eastAsia="Calibri" w:hAnsi="Tahoma" w:cs="Tahoma"/>
          <w:color w:val="000000" w:themeColor="text1"/>
          <w:sz w:val="24"/>
          <w:szCs w:val="24"/>
          <w:shd w:val="clear" w:color="auto" w:fill="FFFFFF"/>
        </w:rPr>
        <w:t>180 days to correct violations if a building permit is needed to make the corrections.</w:t>
      </w:r>
      <w:r w:rsidRPr="000346FF">
        <w:rPr>
          <w:rFonts w:ascii="Tahoma" w:eastAsia="Calibri" w:hAnsi="Tahoma" w:cs="Tahoma"/>
          <w:color w:val="000000" w:themeColor="text1"/>
          <w:sz w:val="24"/>
          <w:szCs w:val="24"/>
          <w:shd w:val="clear" w:color="auto" w:fill="FFFFFF"/>
        </w:rPr>
        <w:t xml:space="preserve"> </w:t>
      </w:r>
    </w:p>
    <w:p w14:paraId="3D0103EE" w14:textId="77777777" w:rsidR="006B1AA5" w:rsidRDefault="006B1AA5" w:rsidP="006B1AA5">
      <w:pPr>
        <w:pStyle w:val="BodyText"/>
        <w:rPr>
          <w:rFonts w:ascii="Tahoma" w:eastAsia="Calibri" w:hAnsi="Tahoma" w:cs="Tahoma"/>
          <w:color w:val="000000" w:themeColor="text1"/>
          <w:sz w:val="24"/>
          <w:szCs w:val="24"/>
          <w:shd w:val="clear" w:color="auto" w:fill="FFFFFF"/>
        </w:rPr>
      </w:pPr>
    </w:p>
    <w:p w14:paraId="6B00A3FD" w14:textId="655CE85E" w:rsidR="006B1AA5" w:rsidRDefault="006B1AA5" w:rsidP="006B1AA5">
      <w:pPr>
        <w:spacing w:line="259" w:lineRule="auto"/>
        <w:rPr>
          <w:rFonts w:ascii="Tahoma" w:hAnsi="Tahoma" w:cs="Tahoma"/>
          <w:sz w:val="24"/>
          <w:szCs w:val="24"/>
        </w:rPr>
      </w:pPr>
      <w:r w:rsidRPr="00C552AB">
        <w:rPr>
          <w:rFonts w:ascii="Tahoma" w:eastAsia="Calibri" w:hAnsi="Tahoma" w:cs="Tahoma"/>
          <w:color w:val="000000" w:themeColor="text1"/>
          <w:sz w:val="24"/>
          <w:szCs w:val="24"/>
          <w:shd w:val="clear" w:color="auto" w:fill="FFFFFF"/>
        </w:rPr>
        <w:t xml:space="preserve">SB 269 </w:t>
      </w:r>
      <w:r w:rsidR="0019216E" w:rsidRPr="007D44B5">
        <w:rPr>
          <w:rFonts w:ascii="Tahoma" w:eastAsia="Calibri" w:hAnsi="Tahoma" w:cs="Tahoma"/>
          <w:color w:val="000000" w:themeColor="text1"/>
          <w:sz w:val="24"/>
          <w:szCs w:val="24"/>
          <w:u w:val="single"/>
          <w:shd w:val="clear" w:color="auto" w:fill="FFFFFF"/>
        </w:rPr>
        <w:t xml:space="preserve">also </w:t>
      </w:r>
      <w:r w:rsidRPr="008446CC">
        <w:rPr>
          <w:rFonts w:ascii="Tahoma" w:hAnsi="Tahoma" w:cs="Tahoma"/>
          <w:sz w:val="24"/>
          <w:szCs w:val="24"/>
        </w:rPr>
        <w:t xml:space="preserve">creates a rebuttable presumption, for the purpose of an award of minimum statutory damages (civil rights damages), that certain technical violations do not cause </w:t>
      </w:r>
      <w:r>
        <w:rPr>
          <w:rFonts w:ascii="Tahoma" w:hAnsi="Tahoma" w:cs="Tahoma"/>
          <w:sz w:val="24"/>
          <w:szCs w:val="24"/>
        </w:rPr>
        <w:t>the</w:t>
      </w:r>
      <w:r w:rsidRPr="008446CC">
        <w:rPr>
          <w:rFonts w:ascii="Tahoma" w:hAnsi="Tahoma" w:cs="Tahoma"/>
          <w:sz w:val="24"/>
          <w:szCs w:val="24"/>
        </w:rPr>
        <w:t xml:space="preserve"> plaintiff to experience difficulty, discomfort, or embarrassment.</w:t>
      </w:r>
      <w:r>
        <w:rPr>
          <w:rFonts w:ascii="Tahoma" w:hAnsi="Tahoma" w:cs="Tahoma"/>
          <w:sz w:val="24"/>
          <w:szCs w:val="24"/>
        </w:rPr>
        <w:t xml:space="preserve"> </w:t>
      </w:r>
      <w:r w:rsidRPr="008446CC">
        <w:rPr>
          <w:rFonts w:ascii="Tahoma" w:hAnsi="Tahoma" w:cs="Tahoma"/>
          <w:sz w:val="24"/>
          <w:szCs w:val="24"/>
        </w:rPr>
        <w:t>SB 269 states for purposes of the presumption that a small business has 25 or fewer employ</w:t>
      </w:r>
      <w:r w:rsidRPr="000346FF">
        <w:rPr>
          <w:rFonts w:ascii="Tahoma" w:hAnsi="Tahoma" w:cs="Tahoma"/>
          <w:sz w:val="24"/>
          <w:szCs w:val="24"/>
        </w:rPr>
        <w:t xml:space="preserve">ees. </w:t>
      </w:r>
      <w:r>
        <w:rPr>
          <w:rFonts w:ascii="Tahoma" w:hAnsi="Tahoma" w:cs="Tahoma"/>
          <w:color w:val="333333"/>
          <w:sz w:val="24"/>
          <w:szCs w:val="24"/>
        </w:rPr>
        <w:t xml:space="preserve"> </w:t>
      </w:r>
      <w:r w:rsidRPr="000346FF">
        <w:rPr>
          <w:rFonts w:ascii="Tahoma" w:hAnsi="Tahoma" w:cs="Tahoma"/>
          <w:sz w:val="24"/>
          <w:szCs w:val="24"/>
        </w:rPr>
        <w:t>A small business</w:t>
      </w:r>
      <w:r w:rsidRPr="008446CC">
        <w:rPr>
          <w:rFonts w:ascii="Tahoma" w:hAnsi="Tahoma" w:cs="Tahoma"/>
          <w:sz w:val="24"/>
          <w:szCs w:val="24"/>
        </w:rPr>
        <w:t xml:space="preserve"> must correct the technical violations within 15 days of the service of a summons and complaint asserting an access claim or receipt of a written notice.  </w:t>
      </w:r>
    </w:p>
    <w:p w14:paraId="12A01BA5" w14:textId="77777777" w:rsidR="006B1AA5" w:rsidRPr="008B642E" w:rsidRDefault="006B1AA5" w:rsidP="006B1AA5">
      <w:pPr>
        <w:spacing w:line="259" w:lineRule="auto"/>
        <w:rPr>
          <w:rFonts w:ascii="Tahoma" w:hAnsi="Tahoma" w:cs="Tahoma"/>
          <w:sz w:val="24"/>
          <w:szCs w:val="24"/>
        </w:rPr>
      </w:pPr>
      <w:r w:rsidRPr="008446CC">
        <w:rPr>
          <w:rFonts w:ascii="Tahoma" w:hAnsi="Tahoma" w:cs="Tahoma"/>
          <w:sz w:val="24"/>
          <w:szCs w:val="24"/>
        </w:rPr>
        <w:t>The claim must be based on one or more of the following technical violations:</w:t>
      </w:r>
      <w:r>
        <w:rPr>
          <w:rFonts w:ascii="Tahoma" w:hAnsi="Tahoma" w:cs="Tahoma"/>
          <w:sz w:val="24"/>
          <w:szCs w:val="24"/>
        </w:rPr>
        <w:t xml:space="preserve">  1) </w:t>
      </w:r>
      <w:r w:rsidRPr="008B642E">
        <w:rPr>
          <w:rFonts w:ascii="Tahoma" w:hAnsi="Tahoma" w:cs="Tahoma"/>
          <w:sz w:val="24"/>
          <w:szCs w:val="24"/>
        </w:rPr>
        <w:t xml:space="preserve">Interior signs, other than directional signs or signs that identify the location of accessible elements, facilities or features when </w:t>
      </w:r>
      <w:r>
        <w:rPr>
          <w:rFonts w:ascii="Tahoma" w:hAnsi="Tahoma" w:cs="Tahoma"/>
          <w:sz w:val="24"/>
          <w:szCs w:val="24"/>
        </w:rPr>
        <w:t xml:space="preserve">all are </w:t>
      </w:r>
      <w:r w:rsidRPr="008B642E">
        <w:rPr>
          <w:rFonts w:ascii="Tahoma" w:hAnsi="Tahoma" w:cs="Tahoma"/>
          <w:sz w:val="24"/>
          <w:szCs w:val="24"/>
        </w:rPr>
        <w:t>not accessible; 2) The lack of exterior signs, other than parking and directional signs; 3) The color of parking signs, provided the background contrasts with the color of information; 4) The order in which the parking signs are placed or the exact location or wording of parking signs; 5 )The color of parking lot striping, provided that its exists and there is sufficient contrast; 6) Faded, chipped, damaged, or deteriorated paint in otherwise fully compliant parking spaces and passenger access aisles; and 7) The presence or condition of detectable warning surfaces on ramps</w:t>
      </w:r>
      <w:r>
        <w:rPr>
          <w:rFonts w:ascii="Tahoma" w:hAnsi="Tahoma" w:cs="Tahoma"/>
          <w:sz w:val="24"/>
          <w:szCs w:val="24"/>
        </w:rPr>
        <w:t>;</w:t>
      </w:r>
      <w:r w:rsidRPr="008B642E">
        <w:rPr>
          <w:rFonts w:ascii="Tahoma" w:hAnsi="Tahoma" w:cs="Tahoma"/>
          <w:sz w:val="24"/>
          <w:szCs w:val="24"/>
        </w:rPr>
        <w:t xml:space="preserve"> except when ramp is part of a pedestrian path of travel that intersects with a vehicular lane or other hazardous area.</w:t>
      </w:r>
    </w:p>
    <w:p w14:paraId="018FC3A1" w14:textId="20B33A2A" w:rsidR="006B1AA5" w:rsidRDefault="006B1AA5" w:rsidP="006B1AA5">
      <w:pPr>
        <w:pStyle w:val="BodyText"/>
        <w:rPr>
          <w:rFonts w:ascii="Tahoma" w:eastAsia="Calibri" w:hAnsi="Tahoma" w:cs="Tahoma"/>
          <w:color w:val="000000" w:themeColor="text1"/>
          <w:sz w:val="24"/>
          <w:szCs w:val="24"/>
          <w:shd w:val="clear" w:color="auto" w:fill="FFFFFF"/>
        </w:rPr>
      </w:pPr>
      <w:r>
        <w:rPr>
          <w:rFonts w:ascii="Tahoma" w:eastAsia="Calibri" w:hAnsi="Tahoma" w:cs="Tahoma"/>
          <w:color w:val="000000" w:themeColor="text1"/>
          <w:sz w:val="24"/>
          <w:szCs w:val="24"/>
          <w:shd w:val="clear" w:color="auto" w:fill="FFFFFF"/>
        </w:rPr>
        <w:t>CCDA has a “top ten” list on its website of the most frequently complained-of access barriers.  Looking at the items on that list may be a good way to start.</w:t>
      </w:r>
      <w:r w:rsidRPr="009F0F59">
        <w:rPr>
          <w:rFonts w:ascii="Tahoma" w:eastAsia="Calibri" w:hAnsi="Tahoma" w:cs="Tahoma"/>
          <w:color w:val="000000" w:themeColor="text1"/>
          <w:sz w:val="24"/>
          <w:szCs w:val="24"/>
          <w:shd w:val="clear" w:color="auto" w:fill="FFFFFF"/>
        </w:rPr>
        <w:t xml:space="preserve"> </w:t>
      </w:r>
      <w:r>
        <w:rPr>
          <w:rFonts w:ascii="Tahoma" w:eastAsia="Calibri" w:hAnsi="Tahoma" w:cs="Tahoma"/>
          <w:color w:val="000000" w:themeColor="text1"/>
          <w:sz w:val="24"/>
          <w:szCs w:val="24"/>
          <w:shd w:val="clear" w:color="auto" w:fill="FFFFFF"/>
        </w:rPr>
        <w:t>The best way to</w:t>
      </w:r>
      <w:r w:rsidRPr="00A2797B">
        <w:rPr>
          <w:rFonts w:ascii="Tahoma" w:eastAsia="Calibri" w:hAnsi="Tahoma" w:cs="Tahoma"/>
          <w:color w:val="000000" w:themeColor="text1"/>
          <w:sz w:val="24"/>
          <w:szCs w:val="24"/>
          <w:shd w:val="clear" w:color="auto" w:fill="FFFFFF"/>
        </w:rPr>
        <w:t xml:space="preserve"> ensure compliance and reduce the risk of getting sued </w:t>
      </w:r>
      <w:r>
        <w:rPr>
          <w:rFonts w:ascii="Tahoma" w:eastAsia="Calibri" w:hAnsi="Tahoma" w:cs="Tahoma"/>
          <w:color w:val="000000" w:themeColor="text1"/>
          <w:sz w:val="24"/>
          <w:szCs w:val="24"/>
          <w:shd w:val="clear" w:color="auto" w:fill="FFFFFF"/>
        </w:rPr>
        <w:t xml:space="preserve">is </w:t>
      </w:r>
      <w:r w:rsidRPr="00A2797B">
        <w:rPr>
          <w:rFonts w:ascii="Tahoma" w:eastAsia="Calibri" w:hAnsi="Tahoma" w:cs="Tahoma"/>
          <w:color w:val="000000" w:themeColor="text1"/>
          <w:sz w:val="24"/>
          <w:szCs w:val="24"/>
          <w:shd w:val="clear" w:color="auto" w:fill="FFFFFF"/>
        </w:rPr>
        <w:t>by obtaining an inspection report of their facility by a CASp.</w:t>
      </w:r>
      <w:r w:rsidR="003D7C3A">
        <w:rPr>
          <w:rFonts w:ascii="Tahoma" w:eastAsia="Calibri" w:hAnsi="Tahoma" w:cs="Tahoma"/>
          <w:color w:val="000000" w:themeColor="text1"/>
          <w:sz w:val="24"/>
          <w:szCs w:val="24"/>
          <w:shd w:val="clear" w:color="auto" w:fill="FFFFFF"/>
        </w:rPr>
        <w:t xml:space="preserve"> </w:t>
      </w:r>
    </w:p>
    <w:p w14:paraId="0350AA5E" w14:textId="7238C88D" w:rsidR="006B1AA5" w:rsidRPr="00A2797B" w:rsidRDefault="006B1AA5" w:rsidP="006B1AA5">
      <w:pPr>
        <w:spacing w:after="160" w:line="259" w:lineRule="auto"/>
        <w:rPr>
          <w:rFonts w:ascii="Arial" w:eastAsia="Calibri" w:hAnsi="Arial" w:cs="Arial"/>
          <w:bCs/>
          <w:sz w:val="24"/>
          <w:szCs w:val="24"/>
        </w:rPr>
      </w:pPr>
      <w:r>
        <w:rPr>
          <w:rFonts w:ascii="Arial" w:eastAsia="Calibri" w:hAnsi="Arial" w:cs="Arial"/>
          <w:bCs/>
          <w:sz w:val="24"/>
          <w:szCs w:val="24"/>
        </w:rPr>
        <w:lastRenderedPageBreak/>
        <w:t xml:space="preserve">Finally, there are tax credits available to you to offset the cost of creating disability access such as: The </w:t>
      </w:r>
      <w:hyperlink r:id="rId8" w:history="1">
        <w:r w:rsidRPr="00AB0DF6">
          <w:rPr>
            <w:rStyle w:val="Hyperlink"/>
            <w:rFonts w:ascii="Arial" w:eastAsia="Calibri" w:hAnsi="Arial" w:cs="Arial"/>
            <w:bCs/>
            <w:sz w:val="24"/>
            <w:szCs w:val="24"/>
          </w:rPr>
          <w:t>California Business Portal “Go-Biz”</w:t>
        </w:r>
      </w:hyperlink>
      <w:r>
        <w:rPr>
          <w:rFonts w:ascii="Arial" w:eastAsia="Calibri" w:hAnsi="Arial" w:cs="Arial"/>
          <w:bCs/>
          <w:sz w:val="24"/>
          <w:szCs w:val="24"/>
        </w:rPr>
        <w:t xml:space="preserve"> </w:t>
      </w:r>
      <w:r w:rsidR="00AB0DF6" w:rsidRPr="007D44B5">
        <w:rPr>
          <w:rFonts w:ascii="Arial" w:eastAsia="Calibri" w:hAnsi="Arial" w:cs="Arial"/>
          <w:bCs/>
          <w:sz w:val="24"/>
          <w:szCs w:val="24"/>
        </w:rPr>
        <w:t>http://businessportal.ca.gov/</w:t>
      </w:r>
      <w:r>
        <w:rPr>
          <w:rFonts w:ascii="Arial" w:eastAsia="Calibri" w:hAnsi="Arial" w:cs="Arial"/>
          <w:bCs/>
          <w:sz w:val="24"/>
          <w:szCs w:val="24"/>
        </w:rPr>
        <w:t>. You can check with your tax specialist for details.</w:t>
      </w:r>
    </w:p>
    <w:p w14:paraId="48A49870" w14:textId="77777777" w:rsidR="006B1AA5" w:rsidRDefault="006B1AA5" w:rsidP="00D04283">
      <w:pPr>
        <w:numPr>
          <w:ilvl w:val="0"/>
          <w:numId w:val="7"/>
        </w:numPr>
        <w:spacing w:after="160" w:line="259" w:lineRule="auto"/>
        <w:contextualSpacing/>
        <w:rPr>
          <w:rFonts w:ascii="Tahoma" w:eastAsia="Calibri" w:hAnsi="Tahoma" w:cs="Tahoma"/>
          <w:b/>
          <w:bCs/>
          <w:sz w:val="24"/>
          <w:szCs w:val="24"/>
        </w:rPr>
      </w:pPr>
      <w:r w:rsidRPr="00A2797B">
        <w:rPr>
          <w:rFonts w:ascii="Tahoma" w:eastAsia="Calibri" w:hAnsi="Tahoma" w:cs="Tahoma"/>
          <w:b/>
          <w:bCs/>
          <w:sz w:val="24"/>
          <w:szCs w:val="24"/>
        </w:rPr>
        <w:t>I am doing a small tenant improvement project, but I cannot afford the required accessibility improvements. Can I claim a hardship exemption?</w:t>
      </w:r>
    </w:p>
    <w:p w14:paraId="6D78E02E" w14:textId="77777777" w:rsidR="006B1AA5" w:rsidRPr="00A2797B" w:rsidRDefault="006B1AA5" w:rsidP="006B1AA5">
      <w:pPr>
        <w:spacing w:after="160" w:line="259" w:lineRule="auto"/>
        <w:ind w:left="540"/>
        <w:contextualSpacing/>
        <w:rPr>
          <w:rFonts w:ascii="Tahoma" w:eastAsia="Calibri" w:hAnsi="Tahoma" w:cs="Tahoma"/>
          <w:b/>
          <w:bCs/>
          <w:sz w:val="24"/>
          <w:szCs w:val="24"/>
        </w:rPr>
      </w:pPr>
    </w:p>
    <w:p w14:paraId="513D2DFC" w14:textId="77777777" w:rsidR="006B1AA5" w:rsidRPr="00A2797B"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rPr>
        <w:t>Under the CBC, alteration projects are subject to the following compliance provisions:</w:t>
      </w:r>
    </w:p>
    <w:p w14:paraId="3319FE54" w14:textId="77777777" w:rsidR="006B1AA5" w:rsidRPr="00A2797B" w:rsidRDefault="006B1AA5" w:rsidP="006B1AA5">
      <w:pPr>
        <w:rPr>
          <w:rFonts w:ascii="Arial" w:eastAsia="Calibri" w:hAnsi="Arial" w:cs="Arial"/>
          <w:bCs/>
          <w:sz w:val="24"/>
          <w:szCs w:val="24"/>
        </w:rPr>
      </w:pPr>
      <w:r w:rsidRPr="00A2797B">
        <w:rPr>
          <w:rFonts w:ascii="Arial" w:eastAsia="Calibri" w:hAnsi="Arial" w:cs="Arial"/>
          <w:bCs/>
          <w:sz w:val="24"/>
          <w:szCs w:val="24"/>
          <w:u w:val="single"/>
        </w:rPr>
        <w:t>Area of alteration</w:t>
      </w:r>
      <w:r>
        <w:rPr>
          <w:rFonts w:ascii="Arial" w:eastAsia="Calibri" w:hAnsi="Arial" w:cs="Arial"/>
          <w:bCs/>
          <w:sz w:val="24"/>
          <w:szCs w:val="24"/>
          <w:u w:val="single"/>
        </w:rPr>
        <w:t>:</w:t>
      </w:r>
      <w:r w:rsidRPr="00A2797B">
        <w:rPr>
          <w:rFonts w:ascii="Arial" w:eastAsia="Calibri" w:hAnsi="Arial" w:cs="Arial"/>
          <w:bCs/>
          <w:sz w:val="24"/>
          <w:szCs w:val="24"/>
          <w:u w:val="single"/>
        </w:rPr>
        <w:t xml:space="preserve"> </w:t>
      </w:r>
      <w:r w:rsidRPr="00A2797B">
        <w:rPr>
          <w:rFonts w:ascii="Arial" w:eastAsia="Calibri" w:hAnsi="Arial" w:cs="Arial"/>
          <w:bCs/>
          <w:sz w:val="24"/>
          <w:szCs w:val="24"/>
        </w:rPr>
        <w:t xml:space="preserve">The area of alteration must meet the accessibility provisions in accordance with current </w:t>
      </w:r>
      <w:r>
        <w:rPr>
          <w:rFonts w:ascii="Arial" w:eastAsia="Calibri" w:hAnsi="Arial" w:cs="Arial"/>
          <w:bCs/>
          <w:sz w:val="24"/>
          <w:szCs w:val="24"/>
        </w:rPr>
        <w:t xml:space="preserve">ADA and </w:t>
      </w:r>
      <w:r w:rsidRPr="00A2797B">
        <w:rPr>
          <w:rFonts w:ascii="Arial" w:eastAsia="Calibri" w:hAnsi="Arial" w:cs="Arial"/>
          <w:bCs/>
          <w:sz w:val="24"/>
          <w:szCs w:val="24"/>
        </w:rPr>
        <w:t xml:space="preserve">CBC requirements. </w:t>
      </w:r>
    </w:p>
    <w:p w14:paraId="073EB7EF" w14:textId="77777777" w:rsidR="006B1AA5" w:rsidRPr="00A2797B"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u w:val="single"/>
        </w:rPr>
        <w:t>‘Path-of-travel improvements’</w:t>
      </w:r>
      <w:r>
        <w:rPr>
          <w:rFonts w:ascii="Arial" w:eastAsia="Calibri" w:hAnsi="Arial" w:cs="Arial"/>
          <w:bCs/>
          <w:sz w:val="24"/>
          <w:szCs w:val="24"/>
          <w:u w:val="single"/>
        </w:rPr>
        <w:t>:</w:t>
      </w:r>
      <w:r w:rsidRPr="00A2797B">
        <w:rPr>
          <w:rFonts w:ascii="Arial" w:eastAsia="Calibri" w:hAnsi="Arial" w:cs="Arial"/>
          <w:bCs/>
          <w:sz w:val="24"/>
          <w:szCs w:val="24"/>
        </w:rPr>
        <w:t xml:space="preserve"> Outside of the area of alteration, accessibility requirements must also be addressed. Both the CBC and the ADA require alteration projects to improve the access required to and within the facility.  These improvements, called "path-of-travel" improvements, are improvements that are not part of the area of alteration, but require improved access to the altered area from accessible parking stalls and other site arrival points, and also address improved accessibility of restrooms, signs, and drinking fountains serving the area of alteration.</w:t>
      </w:r>
    </w:p>
    <w:p w14:paraId="0C22F005" w14:textId="77777777" w:rsidR="006B1AA5" w:rsidRPr="00A2797B"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rPr>
        <w:t>The path-of-travel obligation requires that these elements be brought up to current building code requirements as part of the alteration project</w:t>
      </w:r>
      <w:r>
        <w:rPr>
          <w:rFonts w:ascii="Arial" w:eastAsia="Calibri" w:hAnsi="Arial" w:cs="Arial"/>
          <w:bCs/>
          <w:sz w:val="24"/>
          <w:szCs w:val="24"/>
        </w:rPr>
        <w:t>. A</w:t>
      </w:r>
      <w:r w:rsidRPr="00A2797B">
        <w:rPr>
          <w:rFonts w:ascii="Arial" w:eastAsia="Calibri" w:hAnsi="Arial" w:cs="Arial"/>
          <w:bCs/>
          <w:sz w:val="24"/>
          <w:szCs w:val="24"/>
        </w:rPr>
        <w:t xml:space="preserve"> permit will not be issued unless these elements are added to the project scope.</w:t>
      </w:r>
    </w:p>
    <w:p w14:paraId="335E9907" w14:textId="77777777" w:rsidR="006B1AA5"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u w:val="single"/>
        </w:rPr>
        <w:t>Unreasonable hardship</w:t>
      </w:r>
      <w:r>
        <w:rPr>
          <w:rFonts w:ascii="Arial" w:eastAsia="Calibri" w:hAnsi="Arial" w:cs="Arial"/>
          <w:bCs/>
          <w:sz w:val="24"/>
          <w:szCs w:val="24"/>
          <w:u w:val="single"/>
        </w:rPr>
        <w:t>:</w:t>
      </w:r>
      <w:r w:rsidRPr="00A2797B">
        <w:rPr>
          <w:rFonts w:ascii="Arial" w:eastAsia="Calibri" w:hAnsi="Arial" w:cs="Arial"/>
          <w:bCs/>
          <w:sz w:val="24"/>
          <w:szCs w:val="24"/>
        </w:rPr>
        <w:t xml:space="preserve"> The ADA limits the improvements to the path-of-travel to 20% of the </w:t>
      </w:r>
      <w:r>
        <w:rPr>
          <w:rFonts w:ascii="Arial" w:eastAsia="Calibri" w:hAnsi="Arial" w:cs="Arial"/>
          <w:bCs/>
          <w:sz w:val="24"/>
          <w:szCs w:val="24"/>
        </w:rPr>
        <w:t xml:space="preserve">total </w:t>
      </w:r>
      <w:r w:rsidRPr="00A2797B">
        <w:rPr>
          <w:rFonts w:ascii="Arial" w:eastAsia="Calibri" w:hAnsi="Arial" w:cs="Arial"/>
          <w:bCs/>
          <w:sz w:val="24"/>
          <w:szCs w:val="24"/>
        </w:rPr>
        <w:t xml:space="preserve">project cost. </w:t>
      </w:r>
    </w:p>
    <w:p w14:paraId="4F2177A3" w14:textId="65519CF7" w:rsidR="006B1AA5" w:rsidRDefault="006B1AA5" w:rsidP="006B1AA5">
      <w:pPr>
        <w:spacing w:after="160" w:line="259" w:lineRule="auto"/>
        <w:rPr>
          <w:rFonts w:ascii="Arial" w:eastAsia="Calibri" w:hAnsi="Arial" w:cs="Arial"/>
          <w:bCs/>
          <w:sz w:val="24"/>
          <w:szCs w:val="24"/>
        </w:rPr>
      </w:pPr>
      <w:r>
        <w:rPr>
          <w:rFonts w:ascii="Arial" w:eastAsia="Calibri" w:hAnsi="Arial" w:cs="Arial"/>
          <w:bCs/>
          <w:sz w:val="24"/>
          <w:szCs w:val="24"/>
        </w:rPr>
        <w:t xml:space="preserve">The CBC has a similar limitation, but the limitation does not apply when the cost of the total project </w:t>
      </w:r>
      <w:r w:rsidRPr="00A2797B">
        <w:rPr>
          <w:rFonts w:ascii="Arial" w:eastAsia="Calibri" w:hAnsi="Arial" w:cs="Arial"/>
          <w:bCs/>
          <w:sz w:val="24"/>
          <w:szCs w:val="24"/>
        </w:rPr>
        <w:t>exceed</w:t>
      </w:r>
      <w:r>
        <w:rPr>
          <w:rFonts w:ascii="Arial" w:eastAsia="Calibri" w:hAnsi="Arial" w:cs="Arial"/>
          <w:bCs/>
          <w:sz w:val="24"/>
          <w:szCs w:val="24"/>
        </w:rPr>
        <w:t>s</w:t>
      </w:r>
      <w:r w:rsidRPr="00A2797B">
        <w:rPr>
          <w:rFonts w:ascii="Arial" w:eastAsia="Calibri" w:hAnsi="Arial" w:cs="Arial"/>
          <w:bCs/>
          <w:sz w:val="24"/>
          <w:szCs w:val="24"/>
        </w:rPr>
        <w:t xml:space="preserve"> a specified amount, which is adjusted annually</w:t>
      </w:r>
      <w:r>
        <w:rPr>
          <w:rFonts w:ascii="Arial" w:eastAsia="Calibri" w:hAnsi="Arial" w:cs="Arial"/>
          <w:bCs/>
          <w:sz w:val="24"/>
          <w:szCs w:val="24"/>
        </w:rPr>
        <w:t xml:space="preserve">; as of </w:t>
      </w:r>
      <w:r w:rsidRPr="00A2797B">
        <w:rPr>
          <w:rFonts w:ascii="Arial" w:eastAsia="Calibri" w:hAnsi="Arial" w:cs="Arial"/>
          <w:bCs/>
          <w:sz w:val="24"/>
          <w:szCs w:val="24"/>
        </w:rPr>
        <w:t>January 1, 201</w:t>
      </w:r>
      <w:r w:rsidR="0019216E" w:rsidRPr="007D44B5">
        <w:rPr>
          <w:rFonts w:ascii="Arial" w:eastAsia="Calibri" w:hAnsi="Arial" w:cs="Arial"/>
          <w:bCs/>
          <w:sz w:val="24"/>
          <w:szCs w:val="24"/>
          <w:u w:val="single"/>
        </w:rPr>
        <w:t>8</w:t>
      </w:r>
      <w:r w:rsidRPr="00A2797B">
        <w:rPr>
          <w:rFonts w:ascii="Arial" w:eastAsia="Calibri" w:hAnsi="Arial" w:cs="Arial"/>
          <w:bCs/>
          <w:sz w:val="24"/>
          <w:szCs w:val="24"/>
        </w:rPr>
        <w:t xml:space="preserve">, </w:t>
      </w:r>
      <w:r>
        <w:rPr>
          <w:rFonts w:ascii="Arial" w:eastAsia="Calibri" w:hAnsi="Arial" w:cs="Arial"/>
          <w:bCs/>
          <w:sz w:val="24"/>
          <w:szCs w:val="24"/>
        </w:rPr>
        <w:t>the amount</w:t>
      </w:r>
      <w:r w:rsidRPr="00A2797B">
        <w:rPr>
          <w:rFonts w:ascii="Arial" w:eastAsia="Calibri" w:hAnsi="Arial" w:cs="Arial"/>
          <w:bCs/>
          <w:sz w:val="24"/>
          <w:szCs w:val="24"/>
        </w:rPr>
        <w:t xml:space="preserve"> is $</w:t>
      </w:r>
      <w:r w:rsidRPr="007D44B5">
        <w:rPr>
          <w:rFonts w:ascii="Arial" w:eastAsia="Calibri" w:hAnsi="Arial" w:cs="Arial"/>
          <w:bCs/>
          <w:sz w:val="24"/>
          <w:szCs w:val="24"/>
          <w:u w:val="single"/>
        </w:rPr>
        <w:t>1</w:t>
      </w:r>
      <w:r w:rsidR="0019216E" w:rsidRPr="007D44B5">
        <w:rPr>
          <w:rFonts w:ascii="Arial" w:eastAsia="Calibri" w:hAnsi="Arial" w:cs="Arial"/>
          <w:bCs/>
          <w:sz w:val="24"/>
          <w:szCs w:val="24"/>
          <w:u w:val="single"/>
        </w:rPr>
        <w:t>61,298</w:t>
      </w:r>
      <w:r w:rsidRPr="00A2797B">
        <w:rPr>
          <w:rFonts w:ascii="Arial" w:eastAsia="Calibri" w:hAnsi="Arial" w:cs="Arial"/>
          <w:bCs/>
          <w:sz w:val="24"/>
          <w:szCs w:val="24"/>
        </w:rPr>
        <w:t xml:space="preserve">.  </w:t>
      </w:r>
    </w:p>
    <w:p w14:paraId="51F776BD" w14:textId="77777777" w:rsidR="006B1AA5" w:rsidRPr="00A2797B" w:rsidRDefault="006B1AA5" w:rsidP="006B1AA5">
      <w:pPr>
        <w:spacing w:after="160" w:line="259" w:lineRule="auto"/>
        <w:rPr>
          <w:rFonts w:ascii="Arial" w:eastAsia="Calibri" w:hAnsi="Arial" w:cs="Arial"/>
          <w:bCs/>
          <w:sz w:val="24"/>
          <w:szCs w:val="24"/>
        </w:rPr>
      </w:pPr>
      <w:r>
        <w:rPr>
          <w:rFonts w:ascii="Arial" w:eastAsia="Calibri" w:hAnsi="Arial" w:cs="Arial"/>
          <w:bCs/>
          <w:sz w:val="24"/>
          <w:szCs w:val="24"/>
        </w:rPr>
        <w:t xml:space="preserve">Even so, the CBC allows for an “unreasonable hardship exception” in certain circumstances.  The building department issuing the permit must make certain specific findings in order for the exception to apply.  </w:t>
      </w:r>
      <w:r w:rsidRPr="00A2797B">
        <w:rPr>
          <w:rFonts w:ascii="Arial" w:eastAsia="Calibri" w:hAnsi="Arial" w:cs="Arial"/>
          <w:bCs/>
          <w:sz w:val="24"/>
          <w:szCs w:val="24"/>
        </w:rPr>
        <w:t>You would need to consult with the building official to determine if this hardship exemption would be applicable to your project.</w:t>
      </w:r>
    </w:p>
    <w:p w14:paraId="1CCA2B74" w14:textId="406F4F1E" w:rsidR="00311EE1" w:rsidRPr="00311EE1" w:rsidRDefault="006B1AA5" w:rsidP="00D04283">
      <w:pPr>
        <w:spacing w:after="160" w:line="259" w:lineRule="auto"/>
        <w:rPr>
          <w:rFonts w:ascii="Arial" w:eastAsia="Calibri" w:hAnsi="Arial" w:cs="Arial"/>
          <w:b/>
        </w:rPr>
      </w:pPr>
      <w:r w:rsidRPr="00A2797B">
        <w:rPr>
          <w:rFonts w:ascii="Arial" w:eastAsia="Calibri" w:hAnsi="Arial" w:cs="Arial"/>
          <w:bCs/>
          <w:sz w:val="24"/>
          <w:szCs w:val="24"/>
        </w:rPr>
        <w:t>In assessing the accessibility requirements of an alteration, addition, change in use, or structural repair of a building or facility</w:t>
      </w:r>
      <w:r>
        <w:rPr>
          <w:rFonts w:ascii="Arial" w:eastAsia="Calibri" w:hAnsi="Arial" w:cs="Arial"/>
          <w:bCs/>
          <w:sz w:val="24"/>
          <w:szCs w:val="24"/>
        </w:rPr>
        <w:t>;</w:t>
      </w:r>
      <w:r w:rsidRPr="00A2797B">
        <w:rPr>
          <w:rFonts w:ascii="Arial" w:eastAsia="Calibri" w:hAnsi="Arial" w:cs="Arial"/>
          <w:bCs/>
          <w:sz w:val="24"/>
          <w:szCs w:val="24"/>
        </w:rPr>
        <w:t xml:space="preserve"> you should consult with a competent licensed design professional to understand the scope of work and ensure you are meeting state and federal regulations with regard to accessibility.  In addition, </w:t>
      </w:r>
      <w:r>
        <w:rPr>
          <w:rFonts w:ascii="Arial" w:eastAsia="Calibri" w:hAnsi="Arial" w:cs="Arial"/>
          <w:bCs/>
          <w:sz w:val="24"/>
          <w:szCs w:val="24"/>
        </w:rPr>
        <w:t xml:space="preserve">if your architect or contractor is not a CASp, </w:t>
      </w:r>
      <w:r w:rsidRPr="00A2797B">
        <w:rPr>
          <w:rFonts w:ascii="Arial" w:eastAsia="Calibri" w:hAnsi="Arial" w:cs="Arial"/>
          <w:bCs/>
          <w:sz w:val="24"/>
          <w:szCs w:val="24"/>
        </w:rPr>
        <w:t xml:space="preserve">you may want to hire a CASp </w:t>
      </w:r>
      <w:r>
        <w:rPr>
          <w:rFonts w:ascii="Arial" w:eastAsia="Calibri" w:hAnsi="Arial" w:cs="Arial"/>
          <w:bCs/>
          <w:sz w:val="24"/>
          <w:szCs w:val="24"/>
        </w:rPr>
        <w:t xml:space="preserve">separately </w:t>
      </w:r>
      <w:r w:rsidRPr="00A2797B">
        <w:rPr>
          <w:rFonts w:ascii="Arial" w:eastAsia="Calibri" w:hAnsi="Arial" w:cs="Arial"/>
          <w:bCs/>
          <w:sz w:val="24"/>
          <w:szCs w:val="24"/>
        </w:rPr>
        <w:t>to review any construction document</w:t>
      </w:r>
      <w:r>
        <w:rPr>
          <w:rFonts w:ascii="Arial" w:eastAsia="Calibri" w:hAnsi="Arial" w:cs="Arial"/>
          <w:bCs/>
          <w:sz w:val="24"/>
          <w:szCs w:val="24"/>
        </w:rPr>
        <w:t>s</w:t>
      </w:r>
      <w:r w:rsidRPr="00A2797B">
        <w:rPr>
          <w:rFonts w:ascii="Arial" w:eastAsia="Calibri" w:hAnsi="Arial" w:cs="Arial"/>
          <w:bCs/>
          <w:sz w:val="24"/>
          <w:szCs w:val="24"/>
        </w:rPr>
        <w:t xml:space="preserve"> for compliance.</w:t>
      </w:r>
    </w:p>
    <w:sectPr w:rsidR="00311EE1" w:rsidRPr="00311EE1" w:rsidSect="006E55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E0CD3" w14:textId="77777777" w:rsidR="00BF4909" w:rsidRDefault="00BF4909" w:rsidP="00AF74E9">
      <w:pPr>
        <w:spacing w:after="0" w:line="240" w:lineRule="auto"/>
      </w:pPr>
      <w:r>
        <w:separator/>
      </w:r>
    </w:p>
  </w:endnote>
  <w:endnote w:type="continuationSeparator" w:id="0">
    <w:p w14:paraId="28D3E3FE" w14:textId="77777777" w:rsidR="00BF4909" w:rsidRDefault="00BF4909" w:rsidP="00AF74E9">
      <w:pPr>
        <w:spacing w:after="0" w:line="240" w:lineRule="auto"/>
      </w:pPr>
      <w:r>
        <w:continuationSeparator/>
      </w:r>
    </w:p>
  </w:endnote>
  <w:endnote w:type="continuationNotice" w:id="1">
    <w:p w14:paraId="61DC4E43" w14:textId="77777777" w:rsidR="00BF4909" w:rsidRDefault="00BF4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1CA8" w14:textId="77777777" w:rsidR="003D7C3A" w:rsidRDefault="003D7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4E1A" w14:textId="39739783" w:rsidR="00BF42DD" w:rsidRPr="005C411F" w:rsidRDefault="00BF42DD" w:rsidP="005C4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9223" w14:textId="77777777" w:rsidR="003D7C3A" w:rsidRDefault="003D7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C9096" w14:textId="77777777" w:rsidR="00BF4909" w:rsidRDefault="00BF4909" w:rsidP="00AF74E9">
      <w:pPr>
        <w:spacing w:after="0" w:line="240" w:lineRule="auto"/>
      </w:pPr>
      <w:r>
        <w:separator/>
      </w:r>
    </w:p>
  </w:footnote>
  <w:footnote w:type="continuationSeparator" w:id="0">
    <w:p w14:paraId="73B21613" w14:textId="77777777" w:rsidR="00BF4909" w:rsidRDefault="00BF4909" w:rsidP="00AF74E9">
      <w:pPr>
        <w:spacing w:after="0" w:line="240" w:lineRule="auto"/>
      </w:pPr>
      <w:r>
        <w:continuationSeparator/>
      </w:r>
    </w:p>
  </w:footnote>
  <w:footnote w:type="continuationNotice" w:id="1">
    <w:p w14:paraId="064D8AA5" w14:textId="77777777" w:rsidR="00BF4909" w:rsidRDefault="00BF4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A99F" w14:textId="225D8749" w:rsidR="00C40E12" w:rsidRDefault="00C40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C378" w14:textId="77777777" w:rsidR="003D7C3A" w:rsidRDefault="003D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EF656" w14:textId="791BC578" w:rsidR="00C40E12" w:rsidRDefault="00C40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22D68"/>
    <w:multiLevelType w:val="hybridMultilevel"/>
    <w:tmpl w:val="0F30122E"/>
    <w:lvl w:ilvl="0" w:tplc="04CC819E">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23F3F"/>
    <w:multiLevelType w:val="hybridMultilevel"/>
    <w:tmpl w:val="CB702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56266"/>
    <w:multiLevelType w:val="hybridMultilevel"/>
    <w:tmpl w:val="34040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954BB"/>
    <w:multiLevelType w:val="hybridMultilevel"/>
    <w:tmpl w:val="AF42EF6E"/>
    <w:lvl w:ilvl="0" w:tplc="FC64121A">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B4657"/>
    <w:multiLevelType w:val="hybridMultilevel"/>
    <w:tmpl w:val="75B63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FF78E1"/>
    <w:multiLevelType w:val="hybridMultilevel"/>
    <w:tmpl w:val="4490D734"/>
    <w:lvl w:ilvl="0" w:tplc="04090011">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 w15:restartNumberingAfterBreak="0">
    <w:nsid w:val="768066E6"/>
    <w:multiLevelType w:val="hybridMultilevel"/>
    <w:tmpl w:val="141852E6"/>
    <w:lvl w:ilvl="0" w:tplc="9D9841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76"/>
    <w:rsid w:val="00005706"/>
    <w:rsid w:val="00026E65"/>
    <w:rsid w:val="00033B0D"/>
    <w:rsid w:val="000342CA"/>
    <w:rsid w:val="000346FF"/>
    <w:rsid w:val="000427AD"/>
    <w:rsid w:val="000501F0"/>
    <w:rsid w:val="00056059"/>
    <w:rsid w:val="00057F2A"/>
    <w:rsid w:val="000635C3"/>
    <w:rsid w:val="0007072E"/>
    <w:rsid w:val="00086FC5"/>
    <w:rsid w:val="000C0B4B"/>
    <w:rsid w:val="001017F3"/>
    <w:rsid w:val="00155AD9"/>
    <w:rsid w:val="00157C92"/>
    <w:rsid w:val="001846F5"/>
    <w:rsid w:val="0019216E"/>
    <w:rsid w:val="001932F6"/>
    <w:rsid w:val="001D34B9"/>
    <w:rsid w:val="001E0C98"/>
    <w:rsid w:val="0020034A"/>
    <w:rsid w:val="00211134"/>
    <w:rsid w:val="00223223"/>
    <w:rsid w:val="00234A4D"/>
    <w:rsid w:val="00247A5A"/>
    <w:rsid w:val="0025096E"/>
    <w:rsid w:val="00255AB5"/>
    <w:rsid w:val="00274632"/>
    <w:rsid w:val="002776C0"/>
    <w:rsid w:val="002867BB"/>
    <w:rsid w:val="00291E2F"/>
    <w:rsid w:val="002A2910"/>
    <w:rsid w:val="002A688A"/>
    <w:rsid w:val="002E255C"/>
    <w:rsid w:val="002F538D"/>
    <w:rsid w:val="00311EE1"/>
    <w:rsid w:val="00325C6F"/>
    <w:rsid w:val="003269FF"/>
    <w:rsid w:val="0033089A"/>
    <w:rsid w:val="00372D9E"/>
    <w:rsid w:val="00373761"/>
    <w:rsid w:val="00381552"/>
    <w:rsid w:val="003A690E"/>
    <w:rsid w:val="003B7CBF"/>
    <w:rsid w:val="003B7D5B"/>
    <w:rsid w:val="003D7C3A"/>
    <w:rsid w:val="003F4F6C"/>
    <w:rsid w:val="00405E41"/>
    <w:rsid w:val="00406DB5"/>
    <w:rsid w:val="00434310"/>
    <w:rsid w:val="00457699"/>
    <w:rsid w:val="00464A38"/>
    <w:rsid w:val="00502396"/>
    <w:rsid w:val="00505F76"/>
    <w:rsid w:val="005C411F"/>
    <w:rsid w:val="005C5D33"/>
    <w:rsid w:val="005D5C69"/>
    <w:rsid w:val="005E7171"/>
    <w:rsid w:val="00602940"/>
    <w:rsid w:val="00612291"/>
    <w:rsid w:val="006269D5"/>
    <w:rsid w:val="00644584"/>
    <w:rsid w:val="006503A7"/>
    <w:rsid w:val="00651D39"/>
    <w:rsid w:val="006544B6"/>
    <w:rsid w:val="00656AF5"/>
    <w:rsid w:val="00682176"/>
    <w:rsid w:val="006B1AA5"/>
    <w:rsid w:val="006B4057"/>
    <w:rsid w:val="006C226F"/>
    <w:rsid w:val="006D1E0C"/>
    <w:rsid w:val="006D379B"/>
    <w:rsid w:val="006E4F7E"/>
    <w:rsid w:val="006E55F1"/>
    <w:rsid w:val="006E74DF"/>
    <w:rsid w:val="00737B19"/>
    <w:rsid w:val="00771B9B"/>
    <w:rsid w:val="00781DA4"/>
    <w:rsid w:val="007B2767"/>
    <w:rsid w:val="007D44B5"/>
    <w:rsid w:val="007D61BF"/>
    <w:rsid w:val="007E7B43"/>
    <w:rsid w:val="007F2AB8"/>
    <w:rsid w:val="007F7B7A"/>
    <w:rsid w:val="00800679"/>
    <w:rsid w:val="00815027"/>
    <w:rsid w:val="008230AE"/>
    <w:rsid w:val="008239DF"/>
    <w:rsid w:val="008324D7"/>
    <w:rsid w:val="0084367C"/>
    <w:rsid w:val="008446CC"/>
    <w:rsid w:val="00845252"/>
    <w:rsid w:val="00855178"/>
    <w:rsid w:val="008917F9"/>
    <w:rsid w:val="008A4196"/>
    <w:rsid w:val="008B2E5E"/>
    <w:rsid w:val="008B642E"/>
    <w:rsid w:val="008C3C16"/>
    <w:rsid w:val="008F090D"/>
    <w:rsid w:val="009008A7"/>
    <w:rsid w:val="00901074"/>
    <w:rsid w:val="009144BC"/>
    <w:rsid w:val="00915B4C"/>
    <w:rsid w:val="00924320"/>
    <w:rsid w:val="009858D2"/>
    <w:rsid w:val="0099139B"/>
    <w:rsid w:val="009951DE"/>
    <w:rsid w:val="009C3946"/>
    <w:rsid w:val="009D0CF0"/>
    <w:rsid w:val="009F0F59"/>
    <w:rsid w:val="00A03B83"/>
    <w:rsid w:val="00A1501C"/>
    <w:rsid w:val="00A2797B"/>
    <w:rsid w:val="00A53078"/>
    <w:rsid w:val="00A776CD"/>
    <w:rsid w:val="00AB0DF6"/>
    <w:rsid w:val="00AB1A92"/>
    <w:rsid w:val="00AB3DA0"/>
    <w:rsid w:val="00AF0EB7"/>
    <w:rsid w:val="00AF74E9"/>
    <w:rsid w:val="00B00DF4"/>
    <w:rsid w:val="00B926B1"/>
    <w:rsid w:val="00BA609A"/>
    <w:rsid w:val="00BA75E1"/>
    <w:rsid w:val="00BE029D"/>
    <w:rsid w:val="00BE263B"/>
    <w:rsid w:val="00BE35C3"/>
    <w:rsid w:val="00BF42DD"/>
    <w:rsid w:val="00BF4909"/>
    <w:rsid w:val="00C30E25"/>
    <w:rsid w:val="00C3555D"/>
    <w:rsid w:val="00C40E12"/>
    <w:rsid w:val="00C5329D"/>
    <w:rsid w:val="00C5363A"/>
    <w:rsid w:val="00C54B3B"/>
    <w:rsid w:val="00C552AB"/>
    <w:rsid w:val="00C636B7"/>
    <w:rsid w:val="00C67B2C"/>
    <w:rsid w:val="00C952A2"/>
    <w:rsid w:val="00CD404C"/>
    <w:rsid w:val="00CE0571"/>
    <w:rsid w:val="00CE5819"/>
    <w:rsid w:val="00D04283"/>
    <w:rsid w:val="00D43500"/>
    <w:rsid w:val="00D550FA"/>
    <w:rsid w:val="00D855E2"/>
    <w:rsid w:val="00D96C45"/>
    <w:rsid w:val="00D96CAA"/>
    <w:rsid w:val="00DB08DE"/>
    <w:rsid w:val="00DD67BA"/>
    <w:rsid w:val="00DE5489"/>
    <w:rsid w:val="00DF6C78"/>
    <w:rsid w:val="00E41F65"/>
    <w:rsid w:val="00E44F7D"/>
    <w:rsid w:val="00E47E0B"/>
    <w:rsid w:val="00E60E38"/>
    <w:rsid w:val="00E712C5"/>
    <w:rsid w:val="00E7374E"/>
    <w:rsid w:val="00E91F38"/>
    <w:rsid w:val="00EC348E"/>
    <w:rsid w:val="00ED74DA"/>
    <w:rsid w:val="00EE3151"/>
    <w:rsid w:val="00EE5B6C"/>
    <w:rsid w:val="00F53582"/>
    <w:rsid w:val="00F537D2"/>
    <w:rsid w:val="00F66FD3"/>
    <w:rsid w:val="00F971CD"/>
    <w:rsid w:val="00FC1070"/>
    <w:rsid w:val="00FC24AD"/>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0F2FA"/>
  <w15:docId w15:val="{9DEC1F46-43B6-4BA0-A53F-1FC5B50F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58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44584"/>
  </w:style>
  <w:style w:type="paragraph" w:styleId="Footer">
    <w:name w:val="footer"/>
    <w:basedOn w:val="Normal"/>
    <w:link w:val="FooterChar"/>
    <w:uiPriority w:val="99"/>
    <w:unhideWhenUsed/>
    <w:rsid w:val="0064458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44584"/>
  </w:style>
  <w:style w:type="paragraph" w:styleId="BalloonText">
    <w:name w:val="Balloon Text"/>
    <w:basedOn w:val="Normal"/>
    <w:link w:val="BalloonTextChar"/>
    <w:uiPriority w:val="99"/>
    <w:semiHidden/>
    <w:unhideWhenUsed/>
    <w:rsid w:val="00644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584"/>
    <w:rPr>
      <w:rFonts w:ascii="Tahoma" w:hAnsi="Tahoma" w:cs="Tahoma"/>
      <w:sz w:val="16"/>
      <w:szCs w:val="16"/>
    </w:rPr>
  </w:style>
  <w:style w:type="paragraph" w:styleId="ListParagraph">
    <w:name w:val="List Paragraph"/>
    <w:basedOn w:val="Normal"/>
    <w:uiPriority w:val="34"/>
    <w:qFormat/>
    <w:rsid w:val="00A2797B"/>
    <w:pPr>
      <w:ind w:left="720"/>
      <w:contextualSpacing/>
    </w:pPr>
  </w:style>
  <w:style w:type="character" w:styleId="Hyperlink">
    <w:name w:val="Hyperlink"/>
    <w:basedOn w:val="DefaultParagraphFont"/>
    <w:uiPriority w:val="99"/>
    <w:unhideWhenUsed/>
    <w:rsid w:val="008A4196"/>
    <w:rPr>
      <w:color w:val="0000FF" w:themeColor="hyperlink"/>
      <w:u w:val="single"/>
    </w:rPr>
  </w:style>
  <w:style w:type="character" w:styleId="FollowedHyperlink">
    <w:name w:val="FollowedHyperlink"/>
    <w:basedOn w:val="DefaultParagraphFont"/>
    <w:uiPriority w:val="99"/>
    <w:semiHidden/>
    <w:unhideWhenUsed/>
    <w:rsid w:val="008A4196"/>
    <w:rPr>
      <w:color w:val="800080" w:themeColor="followedHyperlink"/>
      <w:u w:val="single"/>
    </w:rPr>
  </w:style>
  <w:style w:type="character" w:styleId="CommentReference">
    <w:name w:val="annotation reference"/>
    <w:basedOn w:val="DefaultParagraphFont"/>
    <w:uiPriority w:val="99"/>
    <w:semiHidden/>
    <w:unhideWhenUsed/>
    <w:rsid w:val="00915B4C"/>
    <w:rPr>
      <w:sz w:val="16"/>
      <w:szCs w:val="16"/>
    </w:rPr>
  </w:style>
  <w:style w:type="paragraph" w:styleId="CommentText">
    <w:name w:val="annotation text"/>
    <w:basedOn w:val="Normal"/>
    <w:link w:val="CommentTextChar"/>
    <w:uiPriority w:val="99"/>
    <w:semiHidden/>
    <w:unhideWhenUsed/>
    <w:rsid w:val="00915B4C"/>
    <w:pPr>
      <w:spacing w:line="240" w:lineRule="auto"/>
    </w:pPr>
    <w:rPr>
      <w:sz w:val="20"/>
      <w:szCs w:val="20"/>
    </w:rPr>
  </w:style>
  <w:style w:type="character" w:customStyle="1" w:styleId="CommentTextChar">
    <w:name w:val="Comment Text Char"/>
    <w:basedOn w:val="DefaultParagraphFont"/>
    <w:link w:val="CommentText"/>
    <w:uiPriority w:val="99"/>
    <w:semiHidden/>
    <w:rsid w:val="00915B4C"/>
    <w:rPr>
      <w:sz w:val="20"/>
      <w:szCs w:val="20"/>
    </w:rPr>
  </w:style>
  <w:style w:type="paragraph" w:styleId="CommentSubject">
    <w:name w:val="annotation subject"/>
    <w:basedOn w:val="CommentText"/>
    <w:next w:val="CommentText"/>
    <w:link w:val="CommentSubjectChar"/>
    <w:uiPriority w:val="99"/>
    <w:semiHidden/>
    <w:unhideWhenUsed/>
    <w:rsid w:val="00915B4C"/>
    <w:rPr>
      <w:b/>
      <w:bCs/>
    </w:rPr>
  </w:style>
  <w:style w:type="character" w:customStyle="1" w:styleId="CommentSubjectChar">
    <w:name w:val="Comment Subject Char"/>
    <w:basedOn w:val="CommentTextChar"/>
    <w:link w:val="CommentSubject"/>
    <w:uiPriority w:val="99"/>
    <w:semiHidden/>
    <w:rsid w:val="00915B4C"/>
    <w:rPr>
      <w:b/>
      <w:bCs/>
      <w:sz w:val="20"/>
      <w:szCs w:val="20"/>
    </w:rPr>
  </w:style>
  <w:style w:type="paragraph" w:styleId="Revision">
    <w:name w:val="Revision"/>
    <w:hidden/>
    <w:uiPriority w:val="99"/>
    <w:semiHidden/>
    <w:rsid w:val="00502396"/>
    <w:pPr>
      <w:spacing w:after="0" w:line="240" w:lineRule="auto"/>
    </w:pPr>
  </w:style>
  <w:style w:type="paragraph" w:styleId="BodyText">
    <w:name w:val="Body Text"/>
    <w:basedOn w:val="Normal"/>
    <w:link w:val="BodyTextChar"/>
    <w:rsid w:val="00502396"/>
    <w:pPr>
      <w:widowControl w:val="0"/>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502396"/>
    <w:rPr>
      <w:rFonts w:ascii="Arial" w:eastAsia="Times New Roman" w:hAnsi="Arial" w:cs="Times New Roman"/>
      <w:snapToGrid w:val="0"/>
      <w:sz w:val="28"/>
      <w:szCs w:val="20"/>
    </w:rPr>
  </w:style>
  <w:style w:type="table" w:styleId="TableGrid">
    <w:name w:val="Table Grid"/>
    <w:basedOn w:val="TableNormal"/>
    <w:rsid w:val="00502396"/>
    <w:pPr>
      <w:spacing w:after="0" w:line="240" w:lineRule="auto"/>
    </w:pPr>
    <w:rPr>
      <w:rFonts w:asciiTheme="majorHAnsi" w:hAnsiTheme="majorHAnsi" w:cstheme="majorBidi"/>
      <w:sz w:val="3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7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inessportal.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81F1-915A-45A6-B748-AF8591C3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Dharon@CCDA</dc:creator>
  <cp:lastModifiedBy>Ochoa, LaCandice@DGS</cp:lastModifiedBy>
  <cp:revision>5</cp:revision>
  <cp:lastPrinted>2017-09-07T19:16:00Z</cp:lastPrinted>
  <dcterms:created xsi:type="dcterms:W3CDTF">2019-11-01T21:44:00Z</dcterms:created>
  <dcterms:modified xsi:type="dcterms:W3CDTF">2019-11-01T21:47:00Z</dcterms:modified>
</cp:coreProperties>
</file>