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EAB" w:rsidRPr="0081211A" w:rsidRDefault="004C398F" w:rsidP="0081211A">
      <w:pPr>
        <w:jc w:val="center"/>
        <w:rPr>
          <w:b/>
          <w:sz w:val="32"/>
          <w:szCs w:val="32"/>
        </w:rPr>
      </w:pPr>
      <w:r w:rsidRPr="0081211A">
        <w:rPr>
          <w:b/>
          <w:sz w:val="32"/>
          <w:szCs w:val="32"/>
        </w:rPr>
        <w:t>CCDA Legislative Status Report</w:t>
      </w:r>
    </w:p>
    <w:p w:rsidR="00266EAB" w:rsidRPr="0081211A" w:rsidRDefault="007702DB" w:rsidP="0081211A">
      <w:pPr>
        <w:jc w:val="center"/>
        <w:rPr>
          <w:b/>
          <w:sz w:val="32"/>
          <w:szCs w:val="32"/>
        </w:rPr>
      </w:pPr>
      <w:r w:rsidRPr="0081211A">
        <w:rPr>
          <w:b/>
          <w:sz w:val="32"/>
          <w:szCs w:val="32"/>
        </w:rPr>
        <w:t>2017/18 Tracked Bill Outcomes</w:t>
      </w:r>
    </w:p>
    <w:p w:rsidR="007F0285" w:rsidRDefault="007F0285" w:rsidP="007F0285">
      <w:hyperlink r:id="rId6" w:history="1">
        <w:r w:rsidRPr="007F0285">
          <w:rPr>
            <w:rStyle w:val="Hyperlink"/>
          </w:rPr>
          <w:t>AB 1547</w:t>
        </w:r>
      </w:hyperlink>
    </w:p>
    <w:p w:rsidR="007F0285" w:rsidRDefault="007F0285" w:rsidP="007F0285">
      <w:r>
        <w:t xml:space="preserve">(Quirk-Silva D)   State finance: financing authorities. </w:t>
      </w:r>
    </w:p>
    <w:p w:rsidR="007F0285" w:rsidRDefault="007F0285" w:rsidP="007F0285">
      <w:r>
        <w:t>Status: 9/21/2018-Approved by the Governor. Chaptered by Secretary of State - Chapter 645, Statutes of 2018.</w:t>
      </w:r>
    </w:p>
    <w:p w:rsidR="007F0285" w:rsidRDefault="007F0285" w:rsidP="007F0285">
      <w:r>
        <w:t>Summary: This bill would abolish the California Industrial Development Financing Advisory Commission, and would make conforming changes to that effect. The bill would also provide that “tax-exempt” for purposes of the California Industrial Development Financing Act includes that the interest on the bonds is otherwise entitled to any federal tax advantage.</w:t>
      </w:r>
    </w:p>
    <w:p w:rsidR="007F0285" w:rsidRDefault="00B87B10" w:rsidP="007F0285">
      <w:hyperlink r:id="rId7" w:history="1">
        <w:r w:rsidR="007F0285" w:rsidRPr="00B87B10">
          <w:rPr>
            <w:rStyle w:val="Hyperlink"/>
          </w:rPr>
          <w:t>AB 2263</w:t>
        </w:r>
      </w:hyperlink>
    </w:p>
    <w:p w:rsidR="007F0285" w:rsidRDefault="007F0285" w:rsidP="007F0285">
      <w:r>
        <w:t xml:space="preserve">(Friedman D)   Designated historical resource: conversion or adaptation: required parking. </w:t>
      </w:r>
    </w:p>
    <w:p w:rsidR="007F0285" w:rsidRDefault="007F0285" w:rsidP="007F0285">
      <w:r>
        <w:t>Status: 8/28/2018-Approved by the Governor. Chaptered by Secretary of State - Chapter 234, Statutes of 2018.</w:t>
      </w:r>
    </w:p>
    <w:p w:rsidR="007F0285" w:rsidRDefault="007F0285" w:rsidP="007F0285">
      <w:r>
        <w:t>Summary: Would require a local agency to provide specified reductions in required parking for certain development projects in which a designated historical resource, as defined in the bill, is being converted or adapted, unless otherwise required by local ordinance. Because the bill imposes new duties on local agencies, the bill would impose a state-mandated local program.</w:t>
      </w:r>
    </w:p>
    <w:p w:rsidR="007F0285" w:rsidRDefault="00B87B10" w:rsidP="007F0285">
      <w:hyperlink r:id="rId8" w:history="1">
        <w:r w:rsidR="007F0285" w:rsidRPr="00B87B10">
          <w:rPr>
            <w:rStyle w:val="Hyperlink"/>
          </w:rPr>
          <w:t>AB 2531</w:t>
        </w:r>
      </w:hyperlink>
    </w:p>
    <w:p w:rsidR="007F0285" w:rsidRDefault="007F0285" w:rsidP="007F0285">
      <w:r>
        <w:t xml:space="preserve">(Gallagher </w:t>
      </w:r>
      <w:r w:rsidR="00B87B10">
        <w:t>R) Access</w:t>
      </w:r>
      <w:r>
        <w:t xml:space="preserve"> to judicial and nonjudicial proceedings: individuals who are deaf or hard of hearing: operators of computer-aided transcription systems.</w:t>
      </w:r>
    </w:p>
    <w:p w:rsidR="007F0285" w:rsidRDefault="007F0285" w:rsidP="007F0285">
      <w:r>
        <w:t>Status: 9/29/2018-Vetoed by Governor.</w:t>
      </w:r>
    </w:p>
    <w:p w:rsidR="00E57D91" w:rsidRDefault="007F0285" w:rsidP="007F0285">
      <w:r>
        <w:t>Summary: Current law requires that a participant in any civil or criminal proceeding, court-ordered or court-provided alternative dispute resolution, or administrative hearing of a public agency, who is hearing impaired be provided with a functioning assistive listening system or a computer-aided transcription system, upon his or her request. Current law requires, if a computer-aided transcription system is requested, sufficient display terminals be provided to allow the hearing impaired individual to read the real-time transcript of the proceeding without difficulty. This bill would require an individual requiring the services of an operator of a computer-aided transcription system to give advance notice of this need, as specified, and would require the operator to provide the speech-to-text equipment to be used, unless otherwise provided by the court.</w:t>
      </w:r>
      <w:r w:rsidR="00E57D91">
        <w:br w:type="page"/>
      </w:r>
    </w:p>
    <w:p w:rsidR="001904F4" w:rsidRDefault="001904F4" w:rsidP="001904F4">
      <w:hyperlink r:id="rId9" w:history="1">
        <w:r w:rsidRPr="001904F4">
          <w:rPr>
            <w:rStyle w:val="Hyperlink"/>
          </w:rPr>
          <w:t>AB 2806</w:t>
        </w:r>
      </w:hyperlink>
    </w:p>
    <w:p w:rsidR="001904F4" w:rsidRDefault="001904F4" w:rsidP="001904F4">
      <w:r>
        <w:t xml:space="preserve">(Obernolte </w:t>
      </w:r>
      <w:r>
        <w:t>R) Vehicles</w:t>
      </w:r>
      <w:r>
        <w:t xml:space="preserve">: electric charging station violations: exceptions. </w:t>
      </w:r>
    </w:p>
    <w:p w:rsidR="001904F4" w:rsidRDefault="001904F4" w:rsidP="001904F4">
      <w:r>
        <w:t>Status: 7/6/2018-Failed Deadline pursuant to Rule 61(b</w:t>
      </w:r>
      <w:proofErr w:type="gramStart"/>
      <w:r>
        <w:t>)(</w:t>
      </w:r>
      <w:proofErr w:type="gramEnd"/>
      <w:r>
        <w:t>14). (Last location was S. T. &amp; H. on 4/19/2018)</w:t>
      </w:r>
    </w:p>
    <w:p w:rsidR="001904F4" w:rsidRDefault="001904F4" w:rsidP="001904F4">
      <w:r>
        <w:t>Summary: Current law authorizes the removal of a vehicle from an electric charging space at an off-street parking facility or public street if the vehicle is not connected for electric charging purposes. This bill would create an exception to the provisions authorizing removal of a vehicle from an electric charging space on a public street if the vehicle is not connected for electric charging purposes for a vehicle displaying either a disabled license plate or a disabled placard.</w:t>
      </w:r>
    </w:p>
    <w:p w:rsidR="001904F4" w:rsidRDefault="001904F4" w:rsidP="001904F4">
      <w:hyperlink r:id="rId10" w:history="1">
        <w:r w:rsidRPr="001904F4">
          <w:rPr>
            <w:rStyle w:val="Hyperlink"/>
          </w:rPr>
          <w:t>AB 2958</w:t>
        </w:r>
      </w:hyperlink>
    </w:p>
    <w:p w:rsidR="001904F4" w:rsidRDefault="001904F4" w:rsidP="001904F4">
      <w:r>
        <w:t xml:space="preserve">(Quirk D)   State bodies: meetings: teleconference. </w:t>
      </w:r>
    </w:p>
    <w:p w:rsidR="001904F4" w:rsidRDefault="001904F4" w:rsidP="001904F4">
      <w:r>
        <w:t xml:space="preserve">Status: 9/28/2018-Approved by the Governor. Chaptered by Secretary of State - Chapter 881, Statutes of 2018. </w:t>
      </w:r>
    </w:p>
    <w:p w:rsidR="001904F4" w:rsidRDefault="001904F4" w:rsidP="001904F4">
      <w:r>
        <w:t>Summary: The Bagley-Keene Open Meeting Act requires, with specified exceptions, that all meetings of a state body, as defined, be open and public, and all persons be permitted to attend any meeting of a state body, except as provided. Current law, among other things, requires a state body that elects to conduct a meeting or proceeding by teleconference to post agendas at all teleconference locations, to identify each teleconference location in the notice and agenda, and to make each teleconference location accessible to the public. This bill, for a state body that is an advisory board, advisory commission, advisory committee, advisory subcommittee, or similar multimember advisory body, would authorize an additional way of holding a meeting by teleconference, as prescribed, provided it also complies with all other applicable requirements of the Bagley-Keene Open Meeting Act.</w:t>
      </w:r>
    </w:p>
    <w:p w:rsidR="001904F4" w:rsidRDefault="001904F4" w:rsidP="001904F4">
      <w:hyperlink r:id="rId11" w:history="1">
        <w:r w:rsidRPr="001904F4">
          <w:rPr>
            <w:rStyle w:val="Hyperlink"/>
          </w:rPr>
          <w:t>AB 2994</w:t>
        </w:r>
      </w:hyperlink>
    </w:p>
    <w:p w:rsidR="001904F4" w:rsidRDefault="001904F4" w:rsidP="001904F4">
      <w:r>
        <w:t xml:space="preserve">(Holden D)   Building standards: public restroom stalls: disability access. </w:t>
      </w:r>
    </w:p>
    <w:p w:rsidR="001904F4" w:rsidRDefault="001904F4" w:rsidP="001904F4">
      <w:r>
        <w:t>Status: 9/21/2018-Vetoed by Governor.</w:t>
      </w:r>
      <w:r>
        <w:t xml:space="preserve"> </w:t>
      </w:r>
      <w:r>
        <w:tab/>
      </w:r>
    </w:p>
    <w:p w:rsidR="0081211A" w:rsidRDefault="001904F4" w:rsidP="001904F4">
      <w:r>
        <w:t>Summary:  The California Building Standards Law provides for the adoption of building standards by state agencies by requiring all state agencies that adopt or propose any building standard to submit the building standard to the California Building Standards Commission for approval or adoption. This bill would require the Division of the State Architect to review the current disability access standards for public restroom stalls and to develop and propose to the commission for consideration updated standards on the required number of ambulatory accessible stalls in public restrooms.</w:t>
      </w:r>
    </w:p>
    <w:p w:rsidR="0081211A" w:rsidRDefault="0081211A" w:rsidP="0081211A">
      <w:r>
        <w:br w:type="page"/>
      </w:r>
    </w:p>
    <w:p w:rsidR="0081211A" w:rsidRDefault="0081211A" w:rsidP="0081211A">
      <w:hyperlink r:id="rId12" w:history="1">
        <w:r w:rsidRPr="0081211A">
          <w:rPr>
            <w:rStyle w:val="Hyperlink"/>
          </w:rPr>
          <w:t>AB 3002</w:t>
        </w:r>
      </w:hyperlink>
    </w:p>
    <w:p w:rsidR="0081211A" w:rsidRDefault="0081211A" w:rsidP="0081211A">
      <w:r>
        <w:t xml:space="preserve">(Grayson D)   Disability access requirements: information. </w:t>
      </w:r>
    </w:p>
    <w:p w:rsidR="0081211A" w:rsidRDefault="0081211A" w:rsidP="0081211A">
      <w:r>
        <w:lastRenderedPageBreak/>
        <w:t xml:space="preserve">Status: 9/22/2018-Approved by the Governor. Chaptered by Secretary of State - Chapter 680, Statutes of 2018. </w:t>
      </w:r>
    </w:p>
    <w:p w:rsidR="0081211A" w:rsidRDefault="0081211A" w:rsidP="0081211A">
      <w:r>
        <w:t>Summary: Current law requires each city, county, or city and county to provide applicants for a business license or equivalent instrument or permit with certain information regarding compliance with disability access provisions under federal and state law, including information on legal obligations from specified state agencies. This bill would require the above local jurisdictions issuing building permits for commercial construction or business licenses to make available a notice containing specified information regarding disability access.</w:t>
      </w:r>
    </w:p>
    <w:p w:rsidR="0081211A" w:rsidRDefault="0081211A" w:rsidP="0081211A"/>
    <w:p w:rsidR="0081211A" w:rsidRDefault="0081211A" w:rsidP="0081211A">
      <w:hyperlink r:id="rId13" w:history="1">
        <w:r w:rsidRPr="0081211A">
          <w:rPr>
            <w:rStyle w:val="Hyperlink"/>
          </w:rPr>
          <w:t>AB 3158</w:t>
        </w:r>
      </w:hyperlink>
    </w:p>
    <w:p w:rsidR="0081211A" w:rsidRDefault="0081211A" w:rsidP="0081211A">
      <w:r>
        <w:t xml:space="preserve">(Mathis </w:t>
      </w:r>
      <w:r>
        <w:t>R) Disability</w:t>
      </w:r>
      <w:r>
        <w:t xml:space="preserve"> access: construction-related access barrier: civil actions. </w:t>
      </w:r>
    </w:p>
    <w:p w:rsidR="0081211A" w:rsidRDefault="0081211A" w:rsidP="0081211A">
      <w:r>
        <w:t>Status: 4/27/2018-Failed Deadline pursuant to Rule 61(b)(5). (Last location was JUD. on 4/10/2018)</w:t>
      </w:r>
    </w:p>
    <w:p w:rsidR="0081211A" w:rsidRDefault="0081211A" w:rsidP="0081211A">
      <w:bookmarkStart w:id="0" w:name="_GoBack"/>
      <w:bookmarkEnd w:id="0"/>
      <w:r>
        <w:t>Summary: Current law imposes civil liability upon any person or persons, firm, or corporation who denies or interferes with admittance to or enjoyment of public facilities or otherwise interferes with the rights of an individual with a disability, as specified. This bill would prohibit a cause of action on the basis of a construction-related access barrier in an existing public accommodation by an individual who alleges to have been aggrieved by the existence of the access barrier from accruing unless specified conditions are met, including that a written notice has been sent to the owner and operator, as specified.</w:t>
      </w:r>
    </w:p>
    <w:p w:rsidR="0081211A" w:rsidRDefault="0081211A" w:rsidP="0081211A">
      <w:hyperlink r:id="rId14" w:history="1">
        <w:r w:rsidRPr="0081211A">
          <w:rPr>
            <w:rStyle w:val="Hyperlink"/>
          </w:rPr>
          <w:t>SB 984</w:t>
        </w:r>
      </w:hyperlink>
    </w:p>
    <w:p w:rsidR="0081211A" w:rsidRDefault="0081211A" w:rsidP="0081211A">
      <w:r>
        <w:t xml:space="preserve">(Skinner D)   State boards and commissions: representation: appointments. </w:t>
      </w:r>
    </w:p>
    <w:p w:rsidR="0081211A" w:rsidRDefault="0081211A" w:rsidP="0081211A">
      <w:r>
        <w:t>Status: 8/17/2018-Failed Deadline pursuant to Rule 61(b</w:t>
      </w:r>
      <w:proofErr w:type="gramStart"/>
      <w:r>
        <w:t>)(</w:t>
      </w:r>
      <w:proofErr w:type="gramEnd"/>
      <w:r>
        <w:t>15). (Last location was A. APPR. SUSPENSE FILE on 8/8/2018)</w:t>
      </w:r>
    </w:p>
    <w:p w:rsidR="0081211A" w:rsidRDefault="0081211A" w:rsidP="0081211A">
      <w:r>
        <w:t>Summary: Would, on and after January 1, 2024, require the composition of each appointed state board and commission to have a specified minimum number of women board members or commissioners based on the total number of board members or commissioners on that board. The bill would also require the office of the Governor to collect and release, annually, at a minimum, aggregated demographic data provided by state board and commission applicants, nominees, and appointees.</w:t>
      </w:r>
    </w:p>
    <w:p w:rsidR="0081211A" w:rsidRDefault="0081211A" w:rsidP="0081211A">
      <w:hyperlink r:id="rId15" w:history="1">
        <w:r w:rsidRPr="0081211A">
          <w:rPr>
            <w:rStyle w:val="Hyperlink"/>
          </w:rPr>
          <w:t>SB 1038</w:t>
        </w:r>
      </w:hyperlink>
    </w:p>
    <w:p w:rsidR="0081211A" w:rsidRDefault="0081211A" w:rsidP="0081211A">
      <w:r>
        <w:t xml:space="preserve">(Leyva D)   California Fair Employment and Housing Act: violations: personal liability. </w:t>
      </w:r>
    </w:p>
    <w:p w:rsidR="0081211A" w:rsidRDefault="0081211A" w:rsidP="0081211A">
      <w:r>
        <w:lastRenderedPageBreak/>
        <w:t>Status: 8/31/2018-Failed Deadline pursuant to Rule 61(b</w:t>
      </w:r>
      <w:proofErr w:type="gramStart"/>
      <w:r>
        <w:t>)(</w:t>
      </w:r>
      <w:proofErr w:type="gramEnd"/>
      <w:r>
        <w:t>18). (Last location was A. INACTIVE FILE on 8/27/2018)</w:t>
      </w:r>
    </w:p>
    <w:p w:rsidR="0081211A" w:rsidRDefault="0081211A" w:rsidP="0081211A">
      <w:r>
        <w:t>Summary: Current law prohibits discrimination and harassment in employment based on certain factors, including race, religious creed, gender, or sex. Current law prohibits discharging or discriminating against a person who has opposed any practices prohibited by these provisions or has filed a complaint, testified, or assisted in any proceeding for a violation of these provisions. This bill would impose personal liability on specified employees for certain actions in connection with violating the prohibition against discharging or discriminating against a person who has opposed any practices prohibited by these provisions or has filed a complaint, testified, or assisted in any proceeding for a violation.</w:t>
      </w:r>
    </w:p>
    <w:p w:rsidR="0081211A" w:rsidRDefault="0081211A" w:rsidP="0081211A">
      <w:hyperlink r:id="rId16" w:history="1">
        <w:r w:rsidRPr="0081211A">
          <w:rPr>
            <w:rStyle w:val="Hyperlink"/>
          </w:rPr>
          <w:t>SB 1376</w:t>
        </w:r>
      </w:hyperlink>
    </w:p>
    <w:p w:rsidR="0081211A" w:rsidRDefault="0081211A" w:rsidP="0081211A">
      <w:r>
        <w:t xml:space="preserve">(Hill D)   Transportation network companies: accessibility for persons with disabilities. </w:t>
      </w:r>
    </w:p>
    <w:p w:rsidR="0081211A" w:rsidRDefault="0081211A" w:rsidP="0081211A">
      <w:r>
        <w:t xml:space="preserve">Status: 9/22/2018-Approved by the Governor. Chaptered by Secretary of State. Chapter 701, Statutes of 2018. </w:t>
      </w:r>
    </w:p>
    <w:p w:rsidR="00C13291" w:rsidRDefault="0081211A" w:rsidP="0081211A">
      <w:r>
        <w:t>Summary: Would require the Public Utilities Commission, as part of its regulation of transportation network companies (TNCs), to establish a program in a new or existing proceeding relating to accessibility for persons with disabilities, including wheelchair users who need a wheelchair accessible vehicle (WAV). As part of the program, the bill would require the commission, by January 1, 2019, to begin conducting workshops with stakeholders in order to determine community WAV demand and WAV supply and to develop and provide recommendations regarding specified topics for programs for on-demand services and partnerships.</w:t>
      </w:r>
    </w:p>
    <w:p w:rsidR="00266EAB" w:rsidRDefault="00266EAB">
      <w:pPr>
        <w:widowControl w:val="0"/>
        <w:autoSpaceDE w:val="0"/>
        <w:autoSpaceDN w:val="0"/>
        <w:adjustRightInd w:val="0"/>
        <w:spacing w:after="0" w:line="240" w:lineRule="auto"/>
        <w:jc w:val="center"/>
        <w:rPr>
          <w:rFonts w:ascii="Verdana" w:hAnsi="Verdana" w:cs="Verdana"/>
          <w:b/>
          <w:bCs/>
          <w:i/>
          <w:iCs/>
          <w:color w:val="000000"/>
          <w:sz w:val="17"/>
          <w:szCs w:val="48"/>
          <w:shd w:val="clear" w:color="auto" w:fill="DCDCDC"/>
        </w:rPr>
      </w:pPr>
    </w:p>
    <w:p w:rsidR="00266EAB" w:rsidRPr="00C13291" w:rsidRDefault="004C398F" w:rsidP="007F0285">
      <w:pPr>
        <w:jc w:val="center"/>
      </w:pPr>
      <w:r w:rsidRPr="007F0285">
        <w:rPr>
          <w:rFonts w:cs="Times New Roman"/>
          <w:szCs w:val="24"/>
        </w:rPr>
        <w:t>Total Measures:</w:t>
      </w:r>
      <w:r w:rsidRPr="00C13291">
        <w:t> 11</w:t>
      </w:r>
    </w:p>
    <w:p w:rsidR="00266EAB" w:rsidRPr="00C13291" w:rsidRDefault="004C398F" w:rsidP="007F0285">
      <w:pPr>
        <w:jc w:val="center"/>
      </w:pPr>
      <w:r w:rsidRPr="00C13291">
        <w:t>Total Tracking Forms: 11</w:t>
      </w:r>
    </w:p>
    <w:sectPr w:rsidR="00266EAB" w:rsidRPr="00C13291" w:rsidSect="0081211A">
      <w:footerReference w:type="default" r:id="rId17"/>
      <w:pgSz w:w="12241" w:h="1584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91" w:rsidRDefault="00C13291" w:rsidP="00C13291">
      <w:pPr>
        <w:spacing w:after="0" w:line="240" w:lineRule="auto"/>
      </w:pPr>
      <w:r>
        <w:separator/>
      </w:r>
    </w:p>
  </w:endnote>
  <w:endnote w:type="continuationSeparator" w:id="0">
    <w:p w:rsidR="00C13291" w:rsidRDefault="00C13291" w:rsidP="00C1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291" w:rsidRPr="00C13291" w:rsidRDefault="007702DB" w:rsidP="00C13291">
    <w:pPr>
      <w:pStyle w:val="Footer"/>
      <w:jc w:val="center"/>
      <w:rPr>
        <w:rFonts w:ascii="Arial" w:hAnsi="Arial" w:cs="Arial"/>
        <w:szCs w:val="24"/>
      </w:rPr>
    </w:pPr>
    <w:r>
      <w:rPr>
        <w:rFonts w:ascii="Arial" w:hAnsi="Arial" w:cs="Arial"/>
        <w:szCs w:val="24"/>
      </w:rPr>
      <w:t>January 23, 2019</w:t>
    </w:r>
    <w:r w:rsidR="00C13291">
      <w:rPr>
        <w:rFonts w:ascii="Arial" w:hAnsi="Arial" w:cs="Arial"/>
        <w:szCs w:val="24"/>
      </w:rPr>
      <w:t xml:space="preserve"> – CCDA Full Commission Meeting – Support Document</w:t>
    </w:r>
    <w:r w:rsidR="00C13291">
      <w:rPr>
        <w:rFonts w:ascii="Arial" w:hAnsi="Arial" w:cs="Arial"/>
        <w:szCs w:val="24"/>
      </w:rPr>
      <w:tab/>
    </w:r>
    <w:r w:rsidR="00C13291" w:rsidRPr="00C13291">
      <w:rPr>
        <w:rFonts w:ascii="Arial" w:hAnsi="Arial" w:cs="Arial"/>
        <w:szCs w:val="24"/>
      </w:rPr>
      <w:t xml:space="preserve">Page </w:t>
    </w:r>
    <w:r w:rsidR="00C13291" w:rsidRPr="00C13291">
      <w:rPr>
        <w:rFonts w:ascii="Arial" w:hAnsi="Arial" w:cs="Arial"/>
        <w:bCs/>
        <w:szCs w:val="24"/>
      </w:rPr>
      <w:fldChar w:fldCharType="begin"/>
    </w:r>
    <w:r w:rsidR="00C13291" w:rsidRPr="00C13291">
      <w:rPr>
        <w:rFonts w:ascii="Arial" w:hAnsi="Arial" w:cs="Arial"/>
        <w:bCs/>
        <w:szCs w:val="24"/>
      </w:rPr>
      <w:instrText xml:space="preserve"> PAGE  \* Arabic  \* MERGEFORMAT </w:instrText>
    </w:r>
    <w:r w:rsidR="00C13291" w:rsidRPr="00C13291">
      <w:rPr>
        <w:rFonts w:ascii="Arial" w:hAnsi="Arial" w:cs="Arial"/>
        <w:bCs/>
        <w:szCs w:val="24"/>
      </w:rPr>
      <w:fldChar w:fldCharType="separate"/>
    </w:r>
    <w:r w:rsidR="0081211A">
      <w:rPr>
        <w:rFonts w:ascii="Arial" w:hAnsi="Arial" w:cs="Arial"/>
        <w:bCs/>
        <w:noProof/>
        <w:szCs w:val="24"/>
      </w:rPr>
      <w:t>1</w:t>
    </w:r>
    <w:r w:rsidR="00C13291" w:rsidRPr="00C13291">
      <w:rPr>
        <w:rFonts w:ascii="Arial" w:hAnsi="Arial" w:cs="Arial"/>
        <w:bCs/>
        <w:szCs w:val="24"/>
      </w:rPr>
      <w:fldChar w:fldCharType="end"/>
    </w:r>
    <w:r w:rsidR="00C13291" w:rsidRPr="00C13291">
      <w:rPr>
        <w:rFonts w:ascii="Arial" w:hAnsi="Arial" w:cs="Arial"/>
        <w:szCs w:val="24"/>
      </w:rPr>
      <w:t xml:space="preserve"> of </w:t>
    </w:r>
    <w:r w:rsidR="00C13291" w:rsidRPr="00C13291">
      <w:rPr>
        <w:rFonts w:ascii="Arial" w:hAnsi="Arial" w:cs="Arial"/>
        <w:bCs/>
        <w:szCs w:val="24"/>
      </w:rPr>
      <w:fldChar w:fldCharType="begin"/>
    </w:r>
    <w:r w:rsidR="00C13291" w:rsidRPr="00C13291">
      <w:rPr>
        <w:rFonts w:ascii="Arial" w:hAnsi="Arial" w:cs="Arial"/>
        <w:bCs/>
        <w:szCs w:val="24"/>
      </w:rPr>
      <w:instrText xml:space="preserve"> NUMPAGES  \* Arabic  \* MERGEFORMAT </w:instrText>
    </w:r>
    <w:r w:rsidR="00C13291" w:rsidRPr="00C13291">
      <w:rPr>
        <w:rFonts w:ascii="Arial" w:hAnsi="Arial" w:cs="Arial"/>
        <w:bCs/>
        <w:szCs w:val="24"/>
      </w:rPr>
      <w:fldChar w:fldCharType="separate"/>
    </w:r>
    <w:r w:rsidR="0081211A">
      <w:rPr>
        <w:rFonts w:ascii="Arial" w:hAnsi="Arial" w:cs="Arial"/>
        <w:bCs/>
        <w:noProof/>
        <w:szCs w:val="24"/>
      </w:rPr>
      <w:t>4</w:t>
    </w:r>
    <w:r w:rsidR="00C13291" w:rsidRPr="00C13291">
      <w:rPr>
        <w:rFonts w:ascii="Arial" w:hAnsi="Arial" w:cs="Arial"/>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91" w:rsidRDefault="00C13291" w:rsidP="00C13291">
      <w:pPr>
        <w:spacing w:after="0" w:line="240" w:lineRule="auto"/>
      </w:pPr>
      <w:r>
        <w:separator/>
      </w:r>
    </w:p>
  </w:footnote>
  <w:footnote w:type="continuationSeparator" w:id="0">
    <w:p w:rsidR="00C13291" w:rsidRDefault="00C13291" w:rsidP="00C13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0NTM3tDQ1MjA2sTBR0lEKTi0uzszPAykwqgUAhXVUeywAAAA="/>
  </w:docVars>
  <w:rsids>
    <w:rsidRoot w:val="00C13291"/>
    <w:rsid w:val="001904F4"/>
    <w:rsid w:val="00266EAB"/>
    <w:rsid w:val="004C398F"/>
    <w:rsid w:val="007702DB"/>
    <w:rsid w:val="007F0285"/>
    <w:rsid w:val="0081211A"/>
    <w:rsid w:val="00B87B10"/>
    <w:rsid w:val="00C13291"/>
    <w:rsid w:val="00D416BD"/>
    <w:rsid w:val="00E5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7DA44"/>
  <w14:defaultImageDpi w14:val="96"/>
  <w15:docId w15:val="{E80C255A-555B-48D0-B34E-8E4C5F9B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285"/>
    <w:rPr>
      <w:rFonts w:ascii="Times New Roman" w:hAnsi="Times New Roman"/>
      <w:sz w:val="24"/>
    </w:rPr>
  </w:style>
  <w:style w:type="paragraph" w:styleId="Heading1">
    <w:name w:val="heading 1"/>
    <w:basedOn w:val="Normal"/>
    <w:next w:val="Normal"/>
    <w:link w:val="Heading1Char"/>
    <w:uiPriority w:val="9"/>
    <w:qFormat/>
    <w:rsid w:val="0081211A"/>
    <w:pPr>
      <w:widowControl w:val="0"/>
      <w:autoSpaceDE w:val="0"/>
      <w:autoSpaceDN w:val="0"/>
      <w:adjustRightInd w:val="0"/>
      <w:spacing w:after="0" w:line="240" w:lineRule="auto"/>
      <w:outlineLvl w:val="0"/>
    </w:pPr>
    <w:rPr>
      <w:rFonts w:cs="Times New Roman"/>
      <w:szCs w:val="24"/>
      <w:u w:val="single"/>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1A"/>
    <w:rPr>
      <w:rFonts w:ascii="Times New Roman" w:hAnsi="Times New Roman" w:cs="Times New Roman"/>
      <w:sz w:val="24"/>
      <w:szCs w:val="24"/>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C13291"/>
    <w:pPr>
      <w:tabs>
        <w:tab w:val="center" w:pos="4680"/>
        <w:tab w:val="right" w:pos="9360"/>
      </w:tabs>
    </w:pPr>
  </w:style>
  <w:style w:type="character" w:customStyle="1" w:styleId="HeaderChar">
    <w:name w:val="Header Char"/>
    <w:basedOn w:val="DefaultParagraphFont"/>
    <w:link w:val="Header"/>
    <w:uiPriority w:val="99"/>
    <w:rsid w:val="00C13291"/>
  </w:style>
  <w:style w:type="paragraph" w:styleId="Footer">
    <w:name w:val="footer"/>
    <w:basedOn w:val="Normal"/>
    <w:link w:val="FooterChar"/>
    <w:uiPriority w:val="99"/>
    <w:unhideWhenUsed/>
    <w:rsid w:val="00C13291"/>
    <w:pPr>
      <w:tabs>
        <w:tab w:val="center" w:pos="4680"/>
        <w:tab w:val="right" w:pos="9360"/>
      </w:tabs>
    </w:pPr>
  </w:style>
  <w:style w:type="character" w:customStyle="1" w:styleId="FooterChar">
    <w:name w:val="Footer Char"/>
    <w:basedOn w:val="DefaultParagraphFont"/>
    <w:link w:val="Footer"/>
    <w:uiPriority w:val="99"/>
    <w:rsid w:val="00C13291"/>
  </w:style>
  <w:style w:type="table" w:styleId="TableGrid">
    <w:name w:val="Table Grid"/>
    <w:basedOn w:val="TableNormal"/>
    <w:uiPriority w:val="39"/>
    <w:rsid w:val="007F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2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billTextClient.xhtml?bill_id=201720180AB2531" TargetMode="External"/><Relationship Id="rId13" Type="http://schemas.openxmlformats.org/officeDocument/2006/relationships/hyperlink" Target="http://leginfo.legislature.ca.gov/faces/billNavClient.xhtml?bill_id=201720180AB315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info.legislature.ca.gov/faces/billNavClient.xhtml?bill_id=201720180AB2263" TargetMode="External"/><Relationship Id="rId12" Type="http://schemas.openxmlformats.org/officeDocument/2006/relationships/hyperlink" Target="http://leginfo.legislature.ca.gov/faces/billNavClient.xhtml?bill_id=201720180AB3002"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leginfo.legislature.ca.gov/faces/billNavClient.xhtml?bill_id=201720180SB1376" TargetMode="External"/><Relationship Id="rId1" Type="http://schemas.openxmlformats.org/officeDocument/2006/relationships/styles" Target="styles.xml"/><Relationship Id="rId6" Type="http://schemas.openxmlformats.org/officeDocument/2006/relationships/hyperlink" Target="http://leginfo.legislature.ca.gov/faces/billNavClient.xhtml?bill_id=201720180AB1547" TargetMode="External"/><Relationship Id="rId11" Type="http://schemas.openxmlformats.org/officeDocument/2006/relationships/hyperlink" Target="http://leginfo.legislature.ca.gov/faces/billNavClient.xhtml?bill_id=201720180AB2994" TargetMode="External"/><Relationship Id="rId5" Type="http://schemas.openxmlformats.org/officeDocument/2006/relationships/endnotes" Target="endnotes.xml"/><Relationship Id="rId15" Type="http://schemas.openxmlformats.org/officeDocument/2006/relationships/hyperlink" Target="http://leginfo.legislature.ca.gov/faces/billNavClient.xhtml?bill_id=201720180SB1038" TargetMode="External"/><Relationship Id="rId10" Type="http://schemas.openxmlformats.org/officeDocument/2006/relationships/hyperlink" Target="http://leginfo.legislature.ca.gov/faces/billNavClient.xhtml?bill_id=201720180AB295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eginfo.legislature.ca.gov/faces/billNavClient.xhtml?bill_id=201720180AB2806" TargetMode="External"/><Relationship Id="rId14" Type="http://schemas.openxmlformats.org/officeDocument/2006/relationships/hyperlink" Target="http://leginfo.legislature.ca.gov/faces/billNavClient.xhtml?bill_id=201720180SB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1260</Words>
  <Characters>8563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4</cp:revision>
  <dcterms:created xsi:type="dcterms:W3CDTF">2019-11-04T16:59:00Z</dcterms:created>
  <dcterms:modified xsi:type="dcterms:W3CDTF">2019-11-04T17:10:00Z</dcterms:modified>
</cp:coreProperties>
</file>