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D15" w:rsidRPr="00787109" w:rsidRDefault="00787109" w:rsidP="00787109">
      <w:pPr>
        <w:pStyle w:val="Title"/>
        <w:jc w:val="center"/>
        <w:rPr>
          <w:rFonts w:ascii="Arial" w:hAnsi="Arial" w:cs="Arial"/>
          <w:b/>
          <w:bCs/>
          <w:sz w:val="36"/>
          <w:szCs w:val="36"/>
          <w:shd w:val="clear" w:color="auto" w:fill="FFFFFF"/>
        </w:rPr>
      </w:pPr>
      <w:r w:rsidRPr="00787109">
        <w:rPr>
          <w:rFonts w:ascii="Arial" w:hAnsi="Arial" w:cs="Arial"/>
          <w:b/>
          <w:bCs/>
          <w:sz w:val="36"/>
          <w:szCs w:val="36"/>
          <w:shd w:val="clear" w:color="auto" w:fill="FFFFFF"/>
        </w:rPr>
        <w:t>State and Local Government Website Accessibility</w:t>
      </w:r>
    </w:p>
    <w:p w:rsidR="000E64E0" w:rsidRPr="000E64E0" w:rsidRDefault="000E64E0" w:rsidP="000E64E0">
      <w:pPr>
        <w:pStyle w:val="Heading1"/>
        <w:spacing w:after="240"/>
        <w:jc w:val="center"/>
        <w:rPr>
          <w:shd w:val="clear" w:color="auto" w:fill="FFFFFF"/>
        </w:rPr>
      </w:pPr>
      <w:r>
        <w:rPr>
          <w:shd w:val="clear" w:color="auto" w:fill="FFFFFF"/>
        </w:rPr>
        <w:t>Federal and State Resources</w:t>
      </w:r>
    </w:p>
    <w:p w:rsidR="00F6376E" w:rsidRPr="00561801" w:rsidRDefault="00F6376E" w:rsidP="00F6376E">
      <w:pPr>
        <w:pStyle w:val="NormalWeb"/>
        <w:rPr>
          <w:sz w:val="28"/>
          <w:szCs w:val="28"/>
          <w:lang w:val="en"/>
        </w:rPr>
      </w:pPr>
      <w:hyperlink r:id="rId5" w:history="1">
        <w:r w:rsidRPr="00561801">
          <w:rPr>
            <w:rStyle w:val="Hyperlink"/>
            <w:rFonts w:eastAsiaTheme="majorEastAsia"/>
            <w:color w:val="auto"/>
            <w:sz w:val="28"/>
            <w:szCs w:val="28"/>
            <w:lang w:val="en"/>
          </w:rPr>
          <w:t>Americans with Disabilities Act</w:t>
        </w:r>
      </w:hyperlink>
      <w:r w:rsidR="003916E1" w:rsidRPr="00561801">
        <w:rPr>
          <w:sz w:val="28"/>
          <w:szCs w:val="28"/>
          <w:lang w:val="en"/>
        </w:rPr>
        <w:t xml:space="preserve"> (</w:t>
      </w:r>
      <w:r w:rsidRPr="00561801">
        <w:rPr>
          <w:sz w:val="28"/>
          <w:szCs w:val="28"/>
        </w:rPr>
        <w:t>http://www.ada.gov/</w:t>
      </w:r>
      <w:r w:rsidR="003916E1" w:rsidRPr="00561801">
        <w:rPr>
          <w:sz w:val="28"/>
          <w:szCs w:val="28"/>
        </w:rPr>
        <w:t>)</w:t>
      </w:r>
    </w:p>
    <w:p w:rsidR="003916E1" w:rsidRPr="00561801" w:rsidRDefault="003916E1" w:rsidP="003916E1">
      <w:pPr>
        <w:pStyle w:val="NormalWeb"/>
        <w:rPr>
          <w:sz w:val="28"/>
          <w:szCs w:val="28"/>
          <w:shd w:val="clear" w:color="auto" w:fill="FFFFFF"/>
        </w:rPr>
      </w:pPr>
      <w:r w:rsidRPr="00561801">
        <w:rPr>
          <w:sz w:val="28"/>
          <w:szCs w:val="28"/>
          <w:shd w:val="clear" w:color="auto" w:fill="FFFFFF"/>
        </w:rPr>
        <w:t xml:space="preserve">Title II </w:t>
      </w:r>
      <w:r w:rsidRPr="00561801">
        <w:rPr>
          <w:sz w:val="28"/>
          <w:szCs w:val="28"/>
          <w:shd w:val="clear" w:color="auto" w:fill="FFFFFF"/>
        </w:rPr>
        <w:t xml:space="preserve">of the Americans with Disabilities Act (ADA) </w:t>
      </w:r>
      <w:r w:rsidRPr="00561801">
        <w:rPr>
          <w:sz w:val="28"/>
          <w:szCs w:val="28"/>
          <w:shd w:val="clear" w:color="auto" w:fill="FFFFFF"/>
        </w:rPr>
        <w:t xml:space="preserve">applies to State and local government </w:t>
      </w:r>
      <w:proofErr w:type="gramStart"/>
      <w:r w:rsidRPr="00561801">
        <w:rPr>
          <w:sz w:val="28"/>
          <w:szCs w:val="28"/>
          <w:shd w:val="clear" w:color="auto" w:fill="FFFFFF"/>
        </w:rPr>
        <w:t>entities, and</w:t>
      </w:r>
      <w:proofErr w:type="gramEnd"/>
      <w:r w:rsidRPr="00561801">
        <w:rPr>
          <w:sz w:val="28"/>
          <w:szCs w:val="28"/>
          <w:shd w:val="clear" w:color="auto" w:fill="FFFFFF"/>
        </w:rPr>
        <w:t xml:space="preserve"> protects qualified individuals with disabilities from discrimination on the basis of disability in services, programs, and activities provided by State and local government entities. </w:t>
      </w:r>
    </w:p>
    <w:p w:rsidR="00F6376E" w:rsidRPr="00561801" w:rsidRDefault="00561801" w:rsidP="00F6376E">
      <w:pPr>
        <w:pStyle w:val="NormalWeb"/>
        <w:spacing w:before="240"/>
        <w:rPr>
          <w:sz w:val="28"/>
          <w:szCs w:val="28"/>
          <w:lang w:val="en"/>
        </w:rPr>
      </w:pPr>
      <w:hyperlink r:id="rId6" w:history="1">
        <w:r w:rsidRPr="00561801">
          <w:rPr>
            <w:rStyle w:val="Hyperlink"/>
            <w:color w:val="auto"/>
            <w:sz w:val="28"/>
            <w:szCs w:val="28"/>
            <w:lang w:val="en"/>
          </w:rPr>
          <w:t>Section 508 of the U.S. Rehabilitation Act</w:t>
        </w:r>
      </w:hyperlink>
      <w:r w:rsidRPr="00561801">
        <w:rPr>
          <w:sz w:val="28"/>
          <w:szCs w:val="28"/>
          <w:lang w:val="en"/>
        </w:rPr>
        <w:t xml:space="preserve"> </w:t>
      </w:r>
      <w:r w:rsidR="003916E1" w:rsidRPr="00561801">
        <w:rPr>
          <w:sz w:val="28"/>
          <w:szCs w:val="28"/>
          <w:lang w:val="en"/>
        </w:rPr>
        <w:t>(</w:t>
      </w:r>
      <w:r w:rsidR="00F6376E" w:rsidRPr="00561801">
        <w:rPr>
          <w:sz w:val="28"/>
          <w:szCs w:val="28"/>
          <w:lang w:val="en"/>
        </w:rPr>
        <w:t>http://www.section508.gov/</w:t>
      </w:r>
      <w:r w:rsidR="003916E1" w:rsidRPr="00561801">
        <w:rPr>
          <w:sz w:val="28"/>
          <w:szCs w:val="28"/>
          <w:lang w:val="en"/>
        </w:rPr>
        <w:t>)</w:t>
      </w:r>
    </w:p>
    <w:p w:rsidR="003916E1" w:rsidRPr="00561801" w:rsidRDefault="003916E1" w:rsidP="003916E1">
      <w:pPr>
        <w:shd w:val="clear" w:color="auto" w:fill="FFFFFF"/>
        <w:spacing w:after="150" w:line="240" w:lineRule="auto"/>
        <w:rPr>
          <w:rFonts w:cs="Arial"/>
          <w:snapToGrid/>
          <w:sz w:val="28"/>
          <w:szCs w:val="28"/>
        </w:rPr>
      </w:pPr>
      <w:r w:rsidRPr="003916E1">
        <w:rPr>
          <w:rFonts w:cs="Arial"/>
          <w:snapToGrid/>
          <w:sz w:val="28"/>
          <w:szCs w:val="28"/>
        </w:rPr>
        <w:t>All information and communication technology (ICT) procured, developed, maintained, or used by Federal agencies must be accessible. ICT includes software, hardware, electronic content, support documentation and services.</w:t>
      </w:r>
    </w:p>
    <w:p w:rsidR="003916E1" w:rsidRPr="00561801" w:rsidRDefault="00787109" w:rsidP="00787109">
      <w:pPr>
        <w:pStyle w:val="NormalWeb"/>
        <w:rPr>
          <w:sz w:val="28"/>
          <w:szCs w:val="28"/>
        </w:rPr>
      </w:pPr>
      <w:hyperlink r:id="rId7" w:history="1">
        <w:r w:rsidRPr="00561801">
          <w:rPr>
            <w:rStyle w:val="Hyperlink"/>
            <w:color w:val="auto"/>
            <w:sz w:val="28"/>
            <w:szCs w:val="28"/>
          </w:rPr>
          <w:t>U.S. Access Board</w:t>
        </w:r>
      </w:hyperlink>
      <w:r w:rsidRPr="00561801">
        <w:rPr>
          <w:sz w:val="28"/>
          <w:szCs w:val="28"/>
        </w:rPr>
        <w:t xml:space="preserve"> (</w:t>
      </w:r>
      <w:r w:rsidRPr="00561801">
        <w:rPr>
          <w:rFonts w:eastAsiaTheme="majorEastAsia"/>
          <w:sz w:val="28"/>
          <w:szCs w:val="28"/>
        </w:rPr>
        <w:t>https://www.access-board.gov/</w:t>
      </w:r>
      <w:r w:rsidRPr="00561801">
        <w:rPr>
          <w:sz w:val="28"/>
          <w:szCs w:val="28"/>
        </w:rPr>
        <w:t>)</w:t>
      </w:r>
    </w:p>
    <w:p w:rsidR="00787109" w:rsidRPr="00561801" w:rsidRDefault="00787109" w:rsidP="00787109">
      <w:pPr>
        <w:pStyle w:val="NormalWeb"/>
        <w:rPr>
          <w:sz w:val="28"/>
          <w:szCs w:val="28"/>
          <w:shd w:val="clear" w:color="auto" w:fill="FFFFFF"/>
        </w:rPr>
      </w:pPr>
      <w:r w:rsidRPr="00561801">
        <w:rPr>
          <w:sz w:val="28"/>
          <w:szCs w:val="28"/>
          <w:shd w:val="clear" w:color="auto" w:fill="FFFFFF"/>
        </w:rPr>
        <w:t>The U.S. Access Board is a federal agency that promotes equality for people with disabilities through leadership in accessible design and the development of accessibility guidelines and standards for the built environment, transportation, communication, medical diagnostic equipment, and information technology.</w:t>
      </w:r>
    </w:p>
    <w:p w:rsidR="000E64E0" w:rsidRPr="00561801" w:rsidRDefault="003916E1" w:rsidP="000E64E0">
      <w:pPr>
        <w:pStyle w:val="NormalWeb"/>
        <w:spacing w:before="240" w:after="240"/>
        <w:rPr>
          <w:sz w:val="28"/>
          <w:szCs w:val="28"/>
          <w:shd w:val="clear" w:color="auto" w:fill="FFFFFF"/>
        </w:rPr>
      </w:pPr>
      <w:r w:rsidRPr="00561801">
        <w:rPr>
          <w:sz w:val="28"/>
          <w:szCs w:val="28"/>
          <w:shd w:val="clear" w:color="auto" w:fill="FFFFFF"/>
        </w:rPr>
        <w:t>On January 18, 2017, the Access Board published a </w:t>
      </w:r>
      <w:hyperlink r:id="rId8" w:history="1">
        <w:r w:rsidRPr="00561801">
          <w:rPr>
            <w:rStyle w:val="Hyperlink"/>
            <w:rFonts w:eastAsiaTheme="majorEastAsia"/>
            <w:color w:val="auto"/>
            <w:sz w:val="28"/>
            <w:szCs w:val="28"/>
            <w:bdr w:val="none" w:sz="0" w:space="0" w:color="auto" w:frame="1"/>
            <w:shd w:val="clear" w:color="auto" w:fill="FFFFFF"/>
          </w:rPr>
          <w:t>final rule</w:t>
        </w:r>
      </w:hyperlink>
      <w:r w:rsidRPr="00561801">
        <w:rPr>
          <w:sz w:val="28"/>
          <w:szCs w:val="28"/>
          <w:shd w:val="clear" w:color="auto" w:fill="FFFFFF"/>
        </w:rPr>
        <w:t xml:space="preserve"> that jointly updates requirements for information and communication technology covered by Section 508 of the Rehabilitation Act and Section 255 of the Communication Act. The Section 508 Standards apply to electronic and information technology procured by the federal government, including computer hardware and software, websites, multimedia such as video, phone systems, and copiers. The Section 255 Guidelines address access to telecommunications products and </w:t>
      </w:r>
      <w:proofErr w:type="gramStart"/>
      <w:r w:rsidRPr="00561801">
        <w:rPr>
          <w:sz w:val="28"/>
          <w:szCs w:val="28"/>
          <w:shd w:val="clear" w:color="auto" w:fill="FFFFFF"/>
        </w:rPr>
        <w:t>services, and</w:t>
      </w:r>
      <w:proofErr w:type="gramEnd"/>
      <w:r w:rsidRPr="00561801">
        <w:rPr>
          <w:sz w:val="28"/>
          <w:szCs w:val="28"/>
          <w:shd w:val="clear" w:color="auto" w:fill="FFFFFF"/>
        </w:rPr>
        <w:t xml:space="preserve"> apply to manufacturers of telecommunication equipment.</w:t>
      </w:r>
    </w:p>
    <w:p w:rsidR="00AF6D15" w:rsidRPr="00561801" w:rsidRDefault="00F6376E" w:rsidP="00787109">
      <w:pPr>
        <w:spacing w:after="0" w:line="240" w:lineRule="auto"/>
        <w:rPr>
          <w:rFonts w:cs="Arial"/>
          <w:bCs/>
          <w:sz w:val="28"/>
          <w:szCs w:val="28"/>
        </w:rPr>
      </w:pPr>
      <w:hyperlink r:id="rId9" w:history="1">
        <w:r w:rsidR="00787109" w:rsidRPr="00561801">
          <w:rPr>
            <w:rStyle w:val="Hyperlink"/>
            <w:rFonts w:cs="Arial"/>
            <w:color w:val="auto"/>
            <w:sz w:val="28"/>
            <w:szCs w:val="28"/>
          </w:rPr>
          <w:t>State Web Accessibility Toolkit</w:t>
        </w:r>
      </w:hyperlink>
      <w:r w:rsidR="00787109" w:rsidRPr="00561801">
        <w:rPr>
          <w:rFonts w:cs="Arial"/>
          <w:sz w:val="28"/>
          <w:szCs w:val="28"/>
        </w:rPr>
        <w:t xml:space="preserve"> (</w:t>
      </w:r>
      <w:r w:rsidRPr="00561801">
        <w:rPr>
          <w:rFonts w:cs="Arial"/>
          <w:sz w:val="28"/>
          <w:szCs w:val="28"/>
        </w:rPr>
        <w:t>http://www.dor.ca.gov/Home/AB434</w:t>
      </w:r>
      <w:r w:rsidR="00787109" w:rsidRPr="00561801">
        <w:rPr>
          <w:rFonts w:cs="Arial"/>
          <w:bCs/>
          <w:sz w:val="28"/>
          <w:szCs w:val="28"/>
        </w:rPr>
        <w:t>)</w:t>
      </w:r>
    </w:p>
    <w:p w:rsidR="00787109" w:rsidRPr="00561801" w:rsidRDefault="00787109" w:rsidP="00787109">
      <w:pPr>
        <w:spacing w:after="0" w:line="240" w:lineRule="auto"/>
        <w:rPr>
          <w:rFonts w:cs="Arial"/>
          <w:bCs/>
          <w:sz w:val="28"/>
          <w:szCs w:val="28"/>
        </w:rPr>
      </w:pPr>
      <w:r w:rsidRPr="00561801">
        <w:rPr>
          <w:rFonts w:cs="Arial"/>
          <w:sz w:val="28"/>
          <w:szCs w:val="28"/>
          <w:shd w:val="clear" w:color="auto" w:fill="FFFFFF"/>
        </w:rPr>
        <w:t>The Toolkit is designed to help determine if your website meets state accessib</w:t>
      </w:r>
      <w:r w:rsidRPr="00561801">
        <w:rPr>
          <w:rFonts w:cs="Arial"/>
          <w:sz w:val="28"/>
          <w:szCs w:val="28"/>
          <w:shd w:val="clear" w:color="auto" w:fill="FFFFFF"/>
        </w:rPr>
        <w:t>i</w:t>
      </w:r>
      <w:r w:rsidRPr="00561801">
        <w:rPr>
          <w:rFonts w:cs="Arial"/>
          <w:sz w:val="28"/>
          <w:szCs w:val="28"/>
          <w:shd w:val="clear" w:color="auto" w:fill="FFFFFF"/>
        </w:rPr>
        <w:t>lity requirements and to provide resources to help make your website and website content accessible.</w:t>
      </w:r>
      <w:bookmarkStart w:id="0" w:name="_GoBack"/>
      <w:bookmarkEnd w:id="0"/>
    </w:p>
    <w:p w:rsidR="000E64E0" w:rsidRPr="00561801" w:rsidRDefault="000E64E0" w:rsidP="005977C2">
      <w:pPr>
        <w:pStyle w:val="ListParagraph"/>
        <w:spacing w:line="240" w:lineRule="auto"/>
        <w:ind w:left="360"/>
        <w:contextualSpacing w:val="0"/>
        <w:rPr>
          <w:rFonts w:cs="Arial"/>
          <w:bCs/>
          <w:szCs w:val="28"/>
        </w:rPr>
      </w:pPr>
    </w:p>
    <w:p w:rsidR="005977C2" w:rsidRPr="005977C2" w:rsidRDefault="005977C2" w:rsidP="005977C2">
      <w:pPr>
        <w:shd w:val="clear" w:color="auto" w:fill="FFFFFF"/>
        <w:spacing w:after="0" w:line="240" w:lineRule="auto"/>
        <w:rPr>
          <w:rFonts w:cs="Arial"/>
          <w:snapToGrid/>
          <w:sz w:val="28"/>
          <w:szCs w:val="28"/>
        </w:rPr>
      </w:pPr>
      <w:r w:rsidRPr="005977C2">
        <w:rPr>
          <w:rFonts w:cs="Arial"/>
          <w:snapToGrid/>
          <w:sz w:val="28"/>
          <w:szCs w:val="28"/>
        </w:rPr>
        <w:t>For technical questions about web accessibility</w:t>
      </w:r>
      <w:r w:rsidRPr="00561801">
        <w:rPr>
          <w:rFonts w:cs="Arial"/>
          <w:snapToGrid/>
          <w:sz w:val="28"/>
          <w:szCs w:val="28"/>
        </w:rPr>
        <w:t xml:space="preserve"> -</w:t>
      </w:r>
      <w:r w:rsidRPr="005977C2">
        <w:rPr>
          <w:rFonts w:cs="Arial"/>
          <w:snapToGrid/>
          <w:sz w:val="28"/>
          <w:szCs w:val="28"/>
        </w:rPr>
        <w:t> </w:t>
      </w:r>
      <w:hyperlink r:id="rId10" w:history="1">
        <w:r w:rsidRPr="005977C2">
          <w:rPr>
            <w:rFonts w:cs="Arial"/>
            <w:snapToGrid/>
            <w:sz w:val="28"/>
            <w:szCs w:val="28"/>
            <w:u w:val="single"/>
          </w:rPr>
          <w:t>AB434toolkit@dor.ca.gov</w:t>
        </w:r>
      </w:hyperlink>
    </w:p>
    <w:p w:rsidR="005977C2" w:rsidRPr="005977C2" w:rsidRDefault="005977C2" w:rsidP="005977C2">
      <w:pPr>
        <w:spacing w:line="240" w:lineRule="auto"/>
        <w:rPr>
          <w:rFonts w:eastAsiaTheme="majorEastAsia" w:cs="Arial"/>
          <w:sz w:val="28"/>
          <w:szCs w:val="28"/>
        </w:rPr>
      </w:pPr>
      <w:r w:rsidRPr="00561801">
        <w:rPr>
          <w:rFonts w:cs="Arial"/>
          <w:snapToGrid/>
          <w:sz w:val="28"/>
          <w:szCs w:val="28"/>
        </w:rPr>
        <w:t xml:space="preserve">For technical assistance and training on disability, employment, and program access, contact </w:t>
      </w:r>
      <w:r w:rsidRPr="00561801">
        <w:rPr>
          <w:rFonts w:cs="Arial"/>
          <w:bCs/>
          <w:sz w:val="28"/>
          <w:szCs w:val="32"/>
        </w:rPr>
        <w:t xml:space="preserve">Department of Rehabilitation’s </w:t>
      </w:r>
      <w:hyperlink r:id="rId11" w:history="1">
        <w:r w:rsidRPr="00561801">
          <w:rPr>
            <w:rStyle w:val="Hyperlink"/>
            <w:rFonts w:eastAsiaTheme="majorEastAsia" w:cs="Arial"/>
            <w:color w:val="auto"/>
            <w:sz w:val="28"/>
            <w:szCs w:val="28"/>
          </w:rPr>
          <w:t>Disability Access Services</w:t>
        </w:r>
      </w:hyperlink>
      <w:r w:rsidRPr="00561801">
        <w:rPr>
          <w:rFonts w:eastAsiaTheme="majorEastAsia" w:cs="Arial"/>
          <w:sz w:val="28"/>
          <w:szCs w:val="28"/>
        </w:rPr>
        <w:t xml:space="preserve">, </w:t>
      </w:r>
      <w:hyperlink r:id="rId12" w:history="1">
        <w:r w:rsidRPr="00561801">
          <w:rPr>
            <w:rStyle w:val="Hyperlink"/>
            <w:rFonts w:eastAsiaTheme="majorEastAsia" w:cs="Arial"/>
            <w:color w:val="auto"/>
            <w:sz w:val="28"/>
            <w:szCs w:val="28"/>
          </w:rPr>
          <w:t>dasinfo@dor.ca.gov</w:t>
        </w:r>
      </w:hyperlink>
      <w:r w:rsidRPr="00561801">
        <w:rPr>
          <w:rFonts w:eastAsiaTheme="majorEastAsia" w:cs="Arial"/>
          <w:sz w:val="28"/>
          <w:szCs w:val="28"/>
        </w:rPr>
        <w:t>, Voice (916) 558-5755, TTY 1-844-729-2800</w:t>
      </w:r>
    </w:p>
    <w:sectPr w:rsidR="005977C2" w:rsidRPr="005977C2" w:rsidSect="00597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118C9"/>
    <w:multiLevelType w:val="hybridMultilevel"/>
    <w:tmpl w:val="06F8A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E14491"/>
    <w:multiLevelType w:val="multilevel"/>
    <w:tmpl w:val="7A76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60CED"/>
    <w:multiLevelType w:val="hybridMultilevel"/>
    <w:tmpl w:val="33F25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A4086"/>
    <w:multiLevelType w:val="hybridMultilevel"/>
    <w:tmpl w:val="30AA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202C5"/>
    <w:multiLevelType w:val="hybridMultilevel"/>
    <w:tmpl w:val="8972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267D4"/>
    <w:multiLevelType w:val="multilevel"/>
    <w:tmpl w:val="E616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85272A"/>
    <w:multiLevelType w:val="hybridMultilevel"/>
    <w:tmpl w:val="B1103EF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9031B"/>
    <w:rsid w:val="000E1C1C"/>
    <w:rsid w:val="000E64E0"/>
    <w:rsid w:val="003916E1"/>
    <w:rsid w:val="004B2EA7"/>
    <w:rsid w:val="00561801"/>
    <w:rsid w:val="005812A5"/>
    <w:rsid w:val="005977C2"/>
    <w:rsid w:val="00787109"/>
    <w:rsid w:val="00945472"/>
    <w:rsid w:val="00AF6D15"/>
    <w:rsid w:val="00B22F8D"/>
    <w:rsid w:val="00F6376E"/>
    <w:rsid w:val="00F9031B"/>
    <w:rsid w:val="00FE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33A0"/>
  <w15:chartTrackingRefBased/>
  <w15:docId w15:val="{54109733-6D9D-4EFA-8CF1-693D8DAD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napToGrid w:val="0"/>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Spacing"/>
    <w:next w:val="Normal"/>
    <w:link w:val="Heading1Char"/>
    <w:qFormat/>
    <w:rsid w:val="00787109"/>
    <w:pPr>
      <w:keepNext/>
      <w:outlineLvl w:val="0"/>
    </w:pPr>
    <w:rPr>
      <w:rFonts w:ascii="Arial Black" w:hAnsi="Arial Black"/>
      <w:snapToGrid/>
      <w:spacing w:val="38"/>
      <w:sz w:val="28"/>
      <w:szCs w:val="20"/>
    </w:rPr>
  </w:style>
  <w:style w:type="paragraph" w:styleId="Heading2">
    <w:name w:val="heading 2"/>
    <w:basedOn w:val="Normal"/>
    <w:next w:val="Normal"/>
    <w:link w:val="Heading2Char"/>
    <w:autoRedefine/>
    <w:semiHidden/>
    <w:unhideWhenUsed/>
    <w:qFormat/>
    <w:rsid w:val="004B2EA7"/>
    <w:pPr>
      <w:keepNext/>
      <w:spacing w:before="240" w:after="60"/>
      <w:outlineLvl w:val="1"/>
    </w:pPr>
    <w:rPr>
      <w:rFonts w:eastAsiaTheme="majorEastAsia"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5472"/>
    <w:rPr>
      <w:rFonts w:ascii="Arial Black" w:hAnsi="Arial Black"/>
      <w:snapToGrid/>
      <w:spacing w:val="38"/>
      <w:sz w:val="28"/>
      <w:szCs w:val="20"/>
    </w:rPr>
  </w:style>
  <w:style w:type="character" w:customStyle="1" w:styleId="Heading2Char">
    <w:name w:val="Heading 2 Char"/>
    <w:basedOn w:val="DefaultParagraphFont"/>
    <w:link w:val="Heading2"/>
    <w:semiHidden/>
    <w:rsid w:val="004B2EA7"/>
    <w:rPr>
      <w:rFonts w:ascii="Arial" w:eastAsiaTheme="majorEastAsia" w:hAnsi="Arial" w:cstheme="majorBidi"/>
      <w:b/>
      <w:bCs/>
      <w:i/>
      <w:iCs/>
      <w:sz w:val="28"/>
      <w:szCs w:val="28"/>
    </w:rPr>
  </w:style>
  <w:style w:type="character" w:styleId="Strong">
    <w:name w:val="Strong"/>
    <w:basedOn w:val="DefaultParagraphFont"/>
    <w:uiPriority w:val="22"/>
    <w:qFormat/>
    <w:rsid w:val="00F9031B"/>
    <w:rPr>
      <w:b/>
      <w:bCs/>
    </w:rPr>
  </w:style>
  <w:style w:type="character" w:styleId="Hyperlink">
    <w:name w:val="Hyperlink"/>
    <w:basedOn w:val="DefaultParagraphFont"/>
    <w:uiPriority w:val="99"/>
    <w:unhideWhenUsed/>
    <w:rsid w:val="00F9031B"/>
    <w:rPr>
      <w:color w:val="0000FF"/>
      <w:u w:val="single"/>
    </w:rPr>
  </w:style>
  <w:style w:type="table" w:styleId="TableGrid">
    <w:name w:val="Table Grid"/>
    <w:basedOn w:val="TableNormal"/>
    <w:uiPriority w:val="59"/>
    <w:rsid w:val="00F90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6376E"/>
    <w:pPr>
      <w:keepNext/>
      <w:keepLines/>
      <w:spacing w:after="0" w:line="0" w:lineRule="atLeast"/>
      <w:ind w:left="720"/>
      <w:contextualSpacing/>
    </w:pPr>
    <w:rPr>
      <w:snapToGrid/>
      <w:sz w:val="28"/>
      <w:szCs w:val="20"/>
    </w:rPr>
  </w:style>
  <w:style w:type="paragraph" w:styleId="NormalWeb">
    <w:name w:val="Normal (Web)"/>
    <w:basedOn w:val="Normal"/>
    <w:uiPriority w:val="99"/>
    <w:unhideWhenUsed/>
    <w:rsid w:val="00F6376E"/>
    <w:pPr>
      <w:keepLines/>
      <w:spacing w:after="0" w:line="240" w:lineRule="auto"/>
    </w:pPr>
    <w:rPr>
      <w:rFonts w:cs="Arial"/>
      <w:snapToGrid/>
    </w:rPr>
  </w:style>
  <w:style w:type="character" w:styleId="UnresolvedMention">
    <w:name w:val="Unresolved Mention"/>
    <w:basedOn w:val="DefaultParagraphFont"/>
    <w:uiPriority w:val="99"/>
    <w:semiHidden/>
    <w:unhideWhenUsed/>
    <w:rsid w:val="00F6376E"/>
    <w:rPr>
      <w:color w:val="605E5C"/>
      <w:shd w:val="clear" w:color="auto" w:fill="E1DFDD"/>
    </w:rPr>
  </w:style>
  <w:style w:type="character" w:styleId="FollowedHyperlink">
    <w:name w:val="FollowedHyperlink"/>
    <w:basedOn w:val="DefaultParagraphFont"/>
    <w:uiPriority w:val="99"/>
    <w:semiHidden/>
    <w:unhideWhenUsed/>
    <w:rsid w:val="00AF6D15"/>
    <w:rPr>
      <w:color w:val="800080" w:themeColor="followedHyperlink"/>
      <w:u w:val="single"/>
    </w:rPr>
  </w:style>
  <w:style w:type="paragraph" w:styleId="Title">
    <w:name w:val="Title"/>
    <w:basedOn w:val="Normal"/>
    <w:next w:val="Normal"/>
    <w:link w:val="TitleChar"/>
    <w:uiPriority w:val="10"/>
    <w:qFormat/>
    <w:rsid w:val="007871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109"/>
    <w:rPr>
      <w:rFonts w:asciiTheme="majorHAnsi" w:eastAsiaTheme="majorEastAsia" w:hAnsiTheme="majorHAnsi" w:cstheme="majorBidi"/>
      <w:spacing w:val="-10"/>
      <w:kern w:val="28"/>
      <w:sz w:val="56"/>
      <w:szCs w:val="56"/>
    </w:rPr>
  </w:style>
  <w:style w:type="paragraph" w:styleId="NoSpacing">
    <w:name w:val="No Spacing"/>
    <w:uiPriority w:val="1"/>
    <w:qFormat/>
    <w:rsid w:val="009454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4656">
      <w:bodyDiv w:val="1"/>
      <w:marLeft w:val="0"/>
      <w:marRight w:val="0"/>
      <w:marTop w:val="0"/>
      <w:marBottom w:val="0"/>
      <w:divBdr>
        <w:top w:val="none" w:sz="0" w:space="0" w:color="auto"/>
        <w:left w:val="none" w:sz="0" w:space="0" w:color="auto"/>
        <w:bottom w:val="none" w:sz="0" w:space="0" w:color="auto"/>
        <w:right w:val="none" w:sz="0" w:space="0" w:color="auto"/>
      </w:divBdr>
    </w:div>
    <w:div w:id="397559634">
      <w:bodyDiv w:val="1"/>
      <w:marLeft w:val="0"/>
      <w:marRight w:val="0"/>
      <w:marTop w:val="0"/>
      <w:marBottom w:val="0"/>
      <w:divBdr>
        <w:top w:val="none" w:sz="0" w:space="0" w:color="auto"/>
        <w:left w:val="none" w:sz="0" w:space="0" w:color="auto"/>
        <w:bottom w:val="none" w:sz="0" w:space="0" w:color="auto"/>
        <w:right w:val="none" w:sz="0" w:space="0" w:color="auto"/>
      </w:divBdr>
    </w:div>
    <w:div w:id="1143426908">
      <w:bodyDiv w:val="1"/>
      <w:marLeft w:val="0"/>
      <w:marRight w:val="0"/>
      <w:marTop w:val="0"/>
      <w:marBottom w:val="0"/>
      <w:divBdr>
        <w:top w:val="none" w:sz="0" w:space="0" w:color="auto"/>
        <w:left w:val="none" w:sz="0" w:space="0" w:color="auto"/>
        <w:bottom w:val="none" w:sz="0" w:space="0" w:color="auto"/>
        <w:right w:val="none" w:sz="0" w:space="0" w:color="auto"/>
      </w:divBdr>
    </w:div>
    <w:div w:id="1262378971">
      <w:bodyDiv w:val="1"/>
      <w:marLeft w:val="0"/>
      <w:marRight w:val="0"/>
      <w:marTop w:val="0"/>
      <w:marBottom w:val="0"/>
      <w:divBdr>
        <w:top w:val="none" w:sz="0" w:space="0" w:color="auto"/>
        <w:left w:val="none" w:sz="0" w:space="0" w:color="auto"/>
        <w:bottom w:val="none" w:sz="0" w:space="0" w:color="auto"/>
        <w:right w:val="none" w:sz="0" w:space="0" w:color="auto"/>
      </w:divBdr>
    </w:div>
    <w:div w:id="136775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board.gov/guidelines-and-standards/communications-and-it/about-the-ict-refresh/final-ru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cess-board.gov/" TargetMode="External"/><Relationship Id="rId12" Type="http://schemas.openxmlformats.org/officeDocument/2006/relationships/hyperlink" Target="mailto:dasinfo@dor.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tion508.gov/%20" TargetMode="External"/><Relationship Id="rId11" Type="http://schemas.openxmlformats.org/officeDocument/2006/relationships/hyperlink" Target="https://www.dor.ca.gov/Home/DisabilityAccessServices" TargetMode="External"/><Relationship Id="rId5" Type="http://schemas.openxmlformats.org/officeDocument/2006/relationships/hyperlink" Target="http://www.ada.gov/" TargetMode="External"/><Relationship Id="rId10" Type="http://schemas.openxmlformats.org/officeDocument/2006/relationships/hyperlink" Target="mailto:AB434toolkit@dor.ca.gov" TargetMode="External"/><Relationship Id="rId4" Type="http://schemas.openxmlformats.org/officeDocument/2006/relationships/webSettings" Target="webSettings.xml"/><Relationship Id="rId9" Type="http://schemas.openxmlformats.org/officeDocument/2006/relationships/hyperlink" Target="http://www.dor.ca.gov/Home/AB4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6E08334B.dotm</Template>
  <TotalTime>441</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Tankiamco, Vienalyn@DOR</dc:creator>
  <cp:keywords/>
  <dc:description/>
  <cp:lastModifiedBy>Tankiamco, Vienalyn@DOR</cp:lastModifiedBy>
  <cp:revision>3</cp:revision>
  <cp:lastPrinted>2020-01-17T15:28:00Z</cp:lastPrinted>
  <dcterms:created xsi:type="dcterms:W3CDTF">2020-01-16T18:47:00Z</dcterms:created>
  <dcterms:modified xsi:type="dcterms:W3CDTF">2020-01-17T21:05:00Z</dcterms:modified>
</cp:coreProperties>
</file>