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138E" w:rsidRDefault="00C7138E" w:rsidP="009540DD">
      <w:pPr>
        <w:spacing w:after="120" w:line="240" w:lineRule="auto"/>
        <w:rPr>
          <w:rFonts w:ascii="Arial" w:hAnsi="Arial" w:cs="Arial"/>
          <w:sz w:val="24"/>
          <w:szCs w:val="24"/>
        </w:rPr>
      </w:pPr>
    </w:p>
    <w:p w:rsidR="00433C45" w:rsidRDefault="00433C45" w:rsidP="009540DD">
      <w:pPr>
        <w:spacing w:after="120" w:line="240" w:lineRule="auto"/>
        <w:rPr>
          <w:rFonts w:ascii="Arial" w:hAnsi="Arial" w:cs="Arial"/>
          <w:sz w:val="24"/>
          <w:szCs w:val="24"/>
        </w:rPr>
      </w:pPr>
      <w:bookmarkStart w:id="0" w:name="_GoBack"/>
      <w:bookmarkEnd w:id="0"/>
      <w:r>
        <w:rPr>
          <w:rFonts w:ascii="Arial" w:hAnsi="Arial" w:cs="Arial"/>
          <w:sz w:val="24"/>
          <w:szCs w:val="24"/>
        </w:rPr>
        <w:t>April 24, 2021</w:t>
      </w:r>
    </w:p>
    <w:p w:rsidR="00433C45" w:rsidRDefault="00433C45" w:rsidP="009540DD">
      <w:pPr>
        <w:spacing w:after="120" w:line="240" w:lineRule="auto"/>
        <w:rPr>
          <w:rFonts w:ascii="Arial" w:hAnsi="Arial" w:cs="Arial"/>
          <w:sz w:val="24"/>
          <w:szCs w:val="24"/>
        </w:rPr>
      </w:pPr>
      <w:r>
        <w:rPr>
          <w:rFonts w:ascii="Arial" w:hAnsi="Arial" w:cs="Arial"/>
          <w:sz w:val="24"/>
          <w:szCs w:val="24"/>
        </w:rPr>
        <w:t>CCDA Full Commission Meeting Roundtable Discussion</w:t>
      </w:r>
    </w:p>
    <w:p w:rsidR="00433C45" w:rsidRDefault="00433C45" w:rsidP="009540DD">
      <w:pPr>
        <w:spacing w:after="120" w:line="240" w:lineRule="auto"/>
        <w:rPr>
          <w:rFonts w:ascii="Arial" w:hAnsi="Arial" w:cs="Arial"/>
          <w:sz w:val="24"/>
          <w:szCs w:val="24"/>
        </w:rPr>
      </w:pPr>
      <w:r>
        <w:rPr>
          <w:rFonts w:ascii="Arial" w:hAnsi="Arial" w:cs="Arial"/>
          <w:sz w:val="24"/>
          <w:szCs w:val="24"/>
        </w:rPr>
        <w:t>Title III</w:t>
      </w:r>
      <w:r w:rsidR="00C7138E">
        <w:rPr>
          <w:rFonts w:ascii="Arial" w:hAnsi="Arial" w:cs="Arial"/>
          <w:sz w:val="24"/>
          <w:szCs w:val="24"/>
        </w:rPr>
        <w:t xml:space="preserve"> Stakeholder Discussion</w:t>
      </w:r>
    </w:p>
    <w:p w:rsidR="00433C45" w:rsidRDefault="00433C45" w:rsidP="009540DD">
      <w:pPr>
        <w:spacing w:after="120" w:line="240" w:lineRule="auto"/>
        <w:rPr>
          <w:rFonts w:ascii="Arial" w:hAnsi="Arial" w:cs="Arial"/>
          <w:sz w:val="24"/>
          <w:szCs w:val="24"/>
        </w:rPr>
      </w:pPr>
    </w:p>
    <w:p w:rsidR="009540DD" w:rsidRPr="00433C45" w:rsidRDefault="009540DD" w:rsidP="009540DD">
      <w:pPr>
        <w:spacing w:after="120" w:line="240" w:lineRule="auto"/>
        <w:rPr>
          <w:rFonts w:ascii="Arial" w:hAnsi="Arial" w:cs="Arial"/>
          <w:sz w:val="24"/>
          <w:szCs w:val="24"/>
        </w:rPr>
      </w:pPr>
      <w:r w:rsidRPr="00433C45">
        <w:rPr>
          <w:rFonts w:ascii="Arial" w:hAnsi="Arial" w:cs="Arial"/>
          <w:sz w:val="24"/>
          <w:szCs w:val="24"/>
        </w:rPr>
        <w:t xml:space="preserve">Executive Director </w:t>
      </w:r>
      <w:proofErr w:type="spellStart"/>
      <w:r w:rsidRPr="00433C45">
        <w:rPr>
          <w:rFonts w:ascii="Arial" w:hAnsi="Arial" w:cs="Arial"/>
          <w:sz w:val="24"/>
          <w:szCs w:val="24"/>
        </w:rPr>
        <w:t>Jemmott</w:t>
      </w:r>
      <w:proofErr w:type="spellEnd"/>
      <w:r w:rsidRPr="00433C45">
        <w:rPr>
          <w:rFonts w:ascii="Arial" w:hAnsi="Arial" w:cs="Arial"/>
          <w:sz w:val="24"/>
          <w:szCs w:val="24"/>
        </w:rPr>
        <w:t xml:space="preserve"> stated today’s roundtable discussion will be a casual introduction of this topic to the Commission and stakeholders. The discussion will be moderated by Commissioner Leemhuis.</w:t>
      </w:r>
    </w:p>
    <w:p w:rsidR="009540DD" w:rsidRPr="00433C45" w:rsidRDefault="009540DD" w:rsidP="009540DD">
      <w:pPr>
        <w:spacing w:after="120" w:line="240" w:lineRule="auto"/>
        <w:rPr>
          <w:rFonts w:ascii="Arial" w:hAnsi="Arial" w:cs="Arial"/>
          <w:bCs/>
          <w:sz w:val="24"/>
          <w:szCs w:val="24"/>
        </w:rPr>
      </w:pPr>
      <w:r w:rsidRPr="00433C45">
        <w:rPr>
          <w:rFonts w:ascii="Arial" w:hAnsi="Arial" w:cs="Arial"/>
          <w:bCs/>
          <w:sz w:val="24"/>
          <w:szCs w:val="24"/>
        </w:rPr>
        <w:t xml:space="preserve">Commissioner Leemhuis, Immediate Past Chair, welcomed the Honorable Joseph C. </w:t>
      </w:r>
      <w:proofErr w:type="spellStart"/>
      <w:r w:rsidRPr="00433C45">
        <w:rPr>
          <w:rFonts w:ascii="Arial" w:hAnsi="Arial" w:cs="Arial"/>
          <w:bCs/>
          <w:sz w:val="24"/>
          <w:szCs w:val="24"/>
        </w:rPr>
        <w:t>Spero</w:t>
      </w:r>
      <w:proofErr w:type="spellEnd"/>
      <w:r w:rsidRPr="00433C45">
        <w:rPr>
          <w:rFonts w:ascii="Arial" w:hAnsi="Arial" w:cs="Arial"/>
          <w:bCs/>
          <w:sz w:val="24"/>
          <w:szCs w:val="24"/>
        </w:rPr>
        <w:t>, Chief Magistrate Judge, United States District Court for the Northern District of California, and invited him to introduce today’s roundtable discussion on disability access and public accommodation cases in California.</w:t>
      </w:r>
    </w:p>
    <w:p w:rsidR="009540DD" w:rsidRPr="00433C45" w:rsidRDefault="009540DD" w:rsidP="009540DD">
      <w:pPr>
        <w:spacing w:after="120" w:line="240" w:lineRule="auto"/>
        <w:rPr>
          <w:rFonts w:ascii="Arial" w:hAnsi="Arial" w:cs="Arial"/>
          <w:bCs/>
          <w:sz w:val="24"/>
          <w:szCs w:val="24"/>
        </w:rPr>
      </w:pPr>
      <w:r w:rsidRPr="00433C45">
        <w:rPr>
          <w:rFonts w:ascii="Arial" w:hAnsi="Arial" w:cs="Arial"/>
          <w:bCs/>
          <w:sz w:val="24"/>
          <w:szCs w:val="24"/>
        </w:rPr>
        <w:t xml:space="preserve">Chief Magistrate Judge </w:t>
      </w:r>
      <w:proofErr w:type="spellStart"/>
      <w:r w:rsidRPr="00433C45">
        <w:rPr>
          <w:rFonts w:ascii="Arial" w:hAnsi="Arial" w:cs="Arial"/>
          <w:bCs/>
          <w:sz w:val="24"/>
          <w:szCs w:val="24"/>
        </w:rPr>
        <w:t>Spero</w:t>
      </w:r>
      <w:proofErr w:type="spellEnd"/>
      <w:r w:rsidRPr="00433C45">
        <w:rPr>
          <w:rFonts w:ascii="Arial" w:hAnsi="Arial" w:cs="Arial"/>
          <w:bCs/>
          <w:sz w:val="24"/>
          <w:szCs w:val="24"/>
        </w:rPr>
        <w:t xml:space="preserve"> provided information from his experience working in the federal court for Northern California. He stated his district extends along the coast from Monterey to the Oregon border and includes all San Francisco Bay Area counties. He stated his district court experience is not the same as most individuals’ experiences with ADA access cases, which is that the cases will resolve. He stated delays in that resolution have tremendous consequences – the delay in the implementation of the access barrier elimination that the parties agreed to and the fact that, if there is a delay in the settlement, attorney fees are incurred, which increases the cost of the settlement and the cost of compliance. He stated General Order 56, ADA Access Litigation, which is applicable to all Title III cases and which focuses on resolution immediately upon the filing of a case, is designed to combat these issues. This is done in a number of ways:</w:t>
      </w:r>
    </w:p>
    <w:p w:rsidR="009540DD" w:rsidRPr="00433C45" w:rsidRDefault="009540DD" w:rsidP="009540DD">
      <w:pPr>
        <w:numPr>
          <w:ilvl w:val="0"/>
          <w:numId w:val="1"/>
        </w:numPr>
        <w:spacing w:after="120" w:line="240" w:lineRule="auto"/>
        <w:rPr>
          <w:rFonts w:ascii="Arial" w:hAnsi="Arial" w:cs="Arial"/>
          <w:bCs/>
          <w:sz w:val="24"/>
          <w:szCs w:val="24"/>
        </w:rPr>
      </w:pPr>
      <w:r w:rsidRPr="00433C45">
        <w:rPr>
          <w:rFonts w:ascii="Arial" w:hAnsi="Arial" w:cs="Arial"/>
          <w:bCs/>
          <w:sz w:val="24"/>
          <w:szCs w:val="24"/>
        </w:rPr>
        <w:t>The first part of the General Order stays the litigation, so no one is wasting their time on unnecessary litigation activities. This remains in place for an overwhelming majority of cases; however, the stay can be lifted when necessary.</w:t>
      </w:r>
    </w:p>
    <w:p w:rsidR="009540DD" w:rsidRPr="00433C45" w:rsidRDefault="009540DD" w:rsidP="009540DD">
      <w:pPr>
        <w:numPr>
          <w:ilvl w:val="0"/>
          <w:numId w:val="1"/>
        </w:numPr>
        <w:spacing w:after="120" w:line="240" w:lineRule="auto"/>
        <w:rPr>
          <w:rFonts w:ascii="Arial" w:hAnsi="Arial" w:cs="Arial"/>
          <w:bCs/>
          <w:sz w:val="24"/>
          <w:szCs w:val="24"/>
        </w:rPr>
      </w:pPr>
      <w:r w:rsidRPr="00433C45">
        <w:rPr>
          <w:rFonts w:ascii="Arial" w:hAnsi="Arial" w:cs="Arial"/>
          <w:bCs/>
          <w:sz w:val="24"/>
          <w:szCs w:val="24"/>
        </w:rPr>
        <w:t xml:space="preserve">Parties are ordered within 60 days of the complaint being served to do a joint site inspection. The lawyers must be physically present at the site and an individual from each party who has authority to make decisions, including on settlement, must attend. </w:t>
      </w:r>
    </w:p>
    <w:p w:rsidR="009540DD" w:rsidRPr="00433C45" w:rsidRDefault="009540DD" w:rsidP="009540DD">
      <w:pPr>
        <w:numPr>
          <w:ilvl w:val="0"/>
          <w:numId w:val="2"/>
        </w:numPr>
        <w:spacing w:after="120" w:line="240" w:lineRule="auto"/>
        <w:ind w:left="1080"/>
        <w:rPr>
          <w:rFonts w:ascii="Arial" w:hAnsi="Arial" w:cs="Arial"/>
          <w:bCs/>
          <w:sz w:val="24"/>
          <w:szCs w:val="24"/>
        </w:rPr>
      </w:pPr>
      <w:r w:rsidRPr="00433C45">
        <w:rPr>
          <w:rFonts w:ascii="Arial" w:hAnsi="Arial" w:cs="Arial"/>
          <w:bCs/>
          <w:sz w:val="24"/>
          <w:szCs w:val="24"/>
        </w:rPr>
        <w:t>At the site inspection, the plaintiff must identify the barriers and the corrective action. The defendant must indicate what they think of the barriers and proposed corrective actions and what they are willing to do. If the defendant has a view that it is not something that is required by the disability rules because it is not readily achievable, the defendant must give information about that. The parties often bring their experts to those inspections that they would be relying on in the case, not necessarily Certified Access Specialists (</w:t>
      </w:r>
      <w:proofErr w:type="spellStart"/>
      <w:r w:rsidRPr="00433C45">
        <w:rPr>
          <w:rFonts w:ascii="Arial" w:hAnsi="Arial" w:cs="Arial"/>
          <w:bCs/>
          <w:sz w:val="24"/>
          <w:szCs w:val="24"/>
        </w:rPr>
        <w:t>CASps</w:t>
      </w:r>
      <w:proofErr w:type="spellEnd"/>
      <w:r w:rsidRPr="00433C45">
        <w:rPr>
          <w:rFonts w:ascii="Arial" w:hAnsi="Arial" w:cs="Arial"/>
          <w:bCs/>
          <w:sz w:val="24"/>
          <w:szCs w:val="24"/>
        </w:rPr>
        <w:t>). The hope is that, if everyone gets together right away to focus on the barriers and what can be done, it can expedite case resolution.</w:t>
      </w:r>
    </w:p>
    <w:p w:rsidR="009540DD" w:rsidRPr="00433C45" w:rsidRDefault="009540DD" w:rsidP="009540DD">
      <w:pPr>
        <w:numPr>
          <w:ilvl w:val="0"/>
          <w:numId w:val="1"/>
        </w:numPr>
        <w:spacing w:after="120" w:line="240" w:lineRule="auto"/>
        <w:rPr>
          <w:rFonts w:ascii="Arial" w:hAnsi="Arial" w:cs="Arial"/>
          <w:bCs/>
          <w:sz w:val="24"/>
          <w:szCs w:val="24"/>
        </w:rPr>
      </w:pPr>
      <w:r w:rsidRPr="00433C45">
        <w:rPr>
          <w:rFonts w:ascii="Arial" w:hAnsi="Arial" w:cs="Arial"/>
          <w:bCs/>
          <w:sz w:val="24"/>
          <w:szCs w:val="24"/>
        </w:rPr>
        <w:t xml:space="preserve">A settlement meeting is required within 35 days of the site inspection. A judge or mediator is not present. All parties attend; the plaintiff must make appropriate </w:t>
      </w:r>
      <w:r w:rsidRPr="00433C45">
        <w:rPr>
          <w:rFonts w:ascii="Arial" w:hAnsi="Arial" w:cs="Arial"/>
          <w:bCs/>
          <w:sz w:val="24"/>
          <w:szCs w:val="24"/>
        </w:rPr>
        <w:lastRenderedPageBreak/>
        <w:t>demands beginning with the fix and, ultimately, if the fix is agreed upon, with some monetary demands, and the defendant must respond.</w:t>
      </w:r>
    </w:p>
    <w:p w:rsidR="009540DD" w:rsidRPr="00433C45" w:rsidRDefault="009540DD" w:rsidP="009540DD">
      <w:pPr>
        <w:spacing w:after="120" w:line="240" w:lineRule="auto"/>
        <w:rPr>
          <w:rFonts w:ascii="Arial" w:hAnsi="Arial" w:cs="Arial"/>
          <w:bCs/>
          <w:sz w:val="24"/>
          <w:szCs w:val="24"/>
        </w:rPr>
      </w:pPr>
      <w:r w:rsidRPr="00433C45">
        <w:rPr>
          <w:rFonts w:ascii="Arial" w:hAnsi="Arial" w:cs="Arial"/>
          <w:bCs/>
          <w:sz w:val="24"/>
          <w:szCs w:val="24"/>
        </w:rPr>
        <w:t>The focus for the first 90 days is entirely on settlement. Although it will not be without value if the parties proceed to litigation, the hope is that the goal of litigation is to settle the case.</w:t>
      </w:r>
    </w:p>
    <w:p w:rsidR="009540DD" w:rsidRPr="00433C45" w:rsidRDefault="009540DD" w:rsidP="009540DD">
      <w:pPr>
        <w:numPr>
          <w:ilvl w:val="0"/>
          <w:numId w:val="1"/>
        </w:numPr>
        <w:spacing w:after="120" w:line="240" w:lineRule="auto"/>
        <w:rPr>
          <w:rFonts w:ascii="Arial" w:hAnsi="Arial" w:cs="Arial"/>
          <w:bCs/>
          <w:sz w:val="24"/>
          <w:szCs w:val="24"/>
        </w:rPr>
      </w:pPr>
      <w:r w:rsidRPr="00433C45">
        <w:rPr>
          <w:rFonts w:ascii="Arial" w:hAnsi="Arial" w:cs="Arial"/>
          <w:bCs/>
          <w:sz w:val="24"/>
          <w:szCs w:val="24"/>
        </w:rPr>
        <w:t xml:space="preserve">Only after the completion of the first three bulleted items, and if the case was not settled at the settlement meeting, the case is referred to mediation, where a third party will help them settle the case. </w:t>
      </w:r>
    </w:p>
    <w:p w:rsidR="009540DD" w:rsidRPr="00433C45" w:rsidRDefault="009540DD" w:rsidP="009540DD">
      <w:pPr>
        <w:spacing w:after="120" w:line="240" w:lineRule="auto"/>
        <w:rPr>
          <w:rFonts w:ascii="Arial" w:hAnsi="Arial" w:cs="Arial"/>
          <w:bCs/>
          <w:sz w:val="24"/>
          <w:szCs w:val="24"/>
        </w:rPr>
      </w:pPr>
      <w:r w:rsidRPr="00433C45">
        <w:rPr>
          <w:rFonts w:ascii="Arial" w:hAnsi="Arial" w:cs="Arial"/>
          <w:bCs/>
          <w:sz w:val="24"/>
          <w:szCs w:val="24"/>
        </w:rPr>
        <w:t>These four bulleted items happen within the first 130 to 140 days of the litigation.</w:t>
      </w:r>
    </w:p>
    <w:p w:rsidR="009540DD" w:rsidRPr="00433C45" w:rsidRDefault="009540DD" w:rsidP="009540DD">
      <w:pPr>
        <w:numPr>
          <w:ilvl w:val="0"/>
          <w:numId w:val="1"/>
        </w:numPr>
        <w:spacing w:after="120" w:line="240" w:lineRule="auto"/>
        <w:rPr>
          <w:rFonts w:ascii="Arial" w:hAnsi="Arial" w:cs="Arial"/>
          <w:bCs/>
          <w:sz w:val="24"/>
          <w:szCs w:val="24"/>
        </w:rPr>
      </w:pPr>
      <w:r w:rsidRPr="00433C45">
        <w:rPr>
          <w:rFonts w:ascii="Arial" w:hAnsi="Arial" w:cs="Arial"/>
          <w:bCs/>
          <w:sz w:val="24"/>
          <w:szCs w:val="24"/>
        </w:rPr>
        <w:t>At this point, attorney fees can begin to be incurred in litigating, where they can ask the court for a case management conference. The hope is that this process will encourage settlement without unnecessary litigation activities.</w:t>
      </w:r>
    </w:p>
    <w:p w:rsidR="009540DD" w:rsidRPr="00433C45" w:rsidRDefault="009540DD" w:rsidP="009540DD">
      <w:pPr>
        <w:spacing w:after="120" w:line="240" w:lineRule="auto"/>
        <w:rPr>
          <w:rFonts w:ascii="Arial" w:hAnsi="Arial" w:cs="Arial"/>
          <w:bCs/>
          <w:sz w:val="24"/>
          <w:szCs w:val="24"/>
        </w:rPr>
      </w:pPr>
      <w:r w:rsidRPr="00433C45">
        <w:rPr>
          <w:rFonts w:ascii="Arial" w:hAnsi="Arial" w:cs="Arial"/>
          <w:bCs/>
          <w:sz w:val="24"/>
          <w:szCs w:val="24"/>
        </w:rPr>
        <w:t xml:space="preserve">Chief Magistrate Judge </w:t>
      </w:r>
      <w:proofErr w:type="spellStart"/>
      <w:r w:rsidRPr="00433C45">
        <w:rPr>
          <w:rFonts w:ascii="Arial" w:hAnsi="Arial" w:cs="Arial"/>
          <w:bCs/>
          <w:sz w:val="24"/>
          <w:szCs w:val="24"/>
        </w:rPr>
        <w:t>Spero</w:t>
      </w:r>
      <w:proofErr w:type="spellEnd"/>
      <w:r w:rsidRPr="00433C45">
        <w:rPr>
          <w:rFonts w:ascii="Arial" w:hAnsi="Arial" w:cs="Arial"/>
          <w:bCs/>
          <w:sz w:val="24"/>
          <w:szCs w:val="24"/>
        </w:rPr>
        <w:t xml:space="preserve"> stated the impact of General Order 56 is quite dramatic. He stated the General Order was not in effect during his first ten years as a Magistrate Judge and the parties would litigate, take depositions, and bring motions to the court, all while they were trying to theoretically settle the case. A great deal of money was spent and attorney fees were quite significant for litigating in court. Since the General Order was put in place, cases settle before they get to a judge for a resolution of anything substantive. The theory is this is because the General Order forces the parties to focus on resolution first and to try to determine if there can be a settlement. This saves money for the parties because nearly all cases settle without the need for a case management conference.</w:t>
      </w:r>
    </w:p>
    <w:p w:rsidR="009540DD" w:rsidRPr="00433C45" w:rsidRDefault="009540DD" w:rsidP="009540DD">
      <w:pPr>
        <w:spacing w:after="120" w:line="240" w:lineRule="auto"/>
        <w:rPr>
          <w:rFonts w:ascii="Arial" w:hAnsi="Arial" w:cs="Arial"/>
          <w:bCs/>
          <w:sz w:val="24"/>
          <w:szCs w:val="24"/>
        </w:rPr>
      </w:pPr>
      <w:r w:rsidRPr="00433C45">
        <w:rPr>
          <w:rFonts w:ascii="Arial" w:hAnsi="Arial" w:cs="Arial"/>
          <w:bCs/>
          <w:sz w:val="24"/>
          <w:szCs w:val="24"/>
        </w:rPr>
        <w:t xml:space="preserve">Chief Magistrate Judge </w:t>
      </w:r>
      <w:proofErr w:type="spellStart"/>
      <w:r w:rsidRPr="00433C45">
        <w:rPr>
          <w:rFonts w:ascii="Arial" w:hAnsi="Arial" w:cs="Arial"/>
          <w:bCs/>
          <w:sz w:val="24"/>
          <w:szCs w:val="24"/>
        </w:rPr>
        <w:t>Spero</w:t>
      </w:r>
      <w:proofErr w:type="spellEnd"/>
      <w:r w:rsidRPr="00433C45">
        <w:rPr>
          <w:rFonts w:ascii="Arial" w:hAnsi="Arial" w:cs="Arial"/>
          <w:bCs/>
          <w:sz w:val="24"/>
          <w:szCs w:val="24"/>
        </w:rPr>
        <w:t xml:space="preserve"> showed a brief chart showing ADA access filings, ADA mediation referrals, and ADA settlement conferences for the Northern District of California for the last five years. For the last few years, approximately 50 percent of the cases were referred to remediation or settlement conferences. He noted there has been very little litigation activity in any of his court’s cases. Having the parties focus on the mediation, settlement, site visit, and discussion before doing litigation has had beneficial effects, resulting in a typical ADA case having very little litigation activity.</w:t>
      </w:r>
    </w:p>
    <w:p w:rsidR="009540DD" w:rsidRPr="00433C45" w:rsidRDefault="009540DD" w:rsidP="009540DD">
      <w:pPr>
        <w:spacing w:after="120" w:line="240" w:lineRule="auto"/>
        <w:rPr>
          <w:rFonts w:ascii="Arial" w:hAnsi="Arial" w:cs="Arial"/>
          <w:bCs/>
          <w:sz w:val="24"/>
          <w:szCs w:val="24"/>
        </w:rPr>
      </w:pPr>
      <w:r w:rsidRPr="00433C45">
        <w:rPr>
          <w:rFonts w:ascii="Arial" w:hAnsi="Arial" w:cs="Arial"/>
          <w:bCs/>
          <w:sz w:val="24"/>
          <w:szCs w:val="24"/>
        </w:rPr>
        <w:t xml:space="preserve">Chief Magistrate Judge </w:t>
      </w:r>
      <w:proofErr w:type="spellStart"/>
      <w:r w:rsidRPr="00433C45">
        <w:rPr>
          <w:rFonts w:ascii="Arial" w:hAnsi="Arial" w:cs="Arial"/>
          <w:bCs/>
          <w:sz w:val="24"/>
          <w:szCs w:val="24"/>
        </w:rPr>
        <w:t>Spero</w:t>
      </w:r>
      <w:proofErr w:type="spellEnd"/>
      <w:r w:rsidRPr="00433C45">
        <w:rPr>
          <w:rFonts w:ascii="Arial" w:hAnsi="Arial" w:cs="Arial"/>
          <w:bCs/>
          <w:sz w:val="24"/>
          <w:szCs w:val="24"/>
        </w:rPr>
        <w:t xml:space="preserve"> stated one of the topics that this roundtable will address is compliance with the statutes. He stated the General Order requires the parties to do any number of things and, when they do it, they must certify to the court that it has been done. He shared his experience that compliance with the General Order requirements has been inconsistent. He stated more work is being done to ensure that everyone gets into compliance eventually. More actions have needed to be taken to ensure that individuals had a site visit or settlement conference with decision-makers present. One of the ways to ensure compliance has been to get the magistrate judges more involved in compliance efforts to ensure that the General Order is taken seriously.</w:t>
      </w:r>
    </w:p>
    <w:p w:rsidR="00D43603" w:rsidRPr="00433C45" w:rsidRDefault="00C7138E">
      <w:pPr>
        <w:rPr>
          <w:rFonts w:ascii="Arial" w:hAnsi="Arial" w:cs="Arial"/>
        </w:rPr>
      </w:pPr>
    </w:p>
    <w:sectPr w:rsidR="00D43603" w:rsidRPr="00433C45">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3C45" w:rsidRDefault="00433C45" w:rsidP="00433C45">
      <w:pPr>
        <w:spacing w:line="240" w:lineRule="auto"/>
      </w:pPr>
      <w:r>
        <w:separator/>
      </w:r>
    </w:p>
  </w:endnote>
  <w:endnote w:type="continuationSeparator" w:id="0">
    <w:p w:rsidR="00433C45" w:rsidRDefault="00433C45" w:rsidP="00433C4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3C45" w:rsidRDefault="00433C45" w:rsidP="00433C45">
      <w:pPr>
        <w:spacing w:line="240" w:lineRule="auto"/>
      </w:pPr>
      <w:r>
        <w:separator/>
      </w:r>
    </w:p>
  </w:footnote>
  <w:footnote w:type="continuationSeparator" w:id="0">
    <w:p w:rsidR="00433C45" w:rsidRDefault="00433C45" w:rsidP="00433C4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3C45" w:rsidRDefault="00433C45">
    <w:pPr>
      <w:pStyle w:val="Header"/>
    </w:pPr>
    <w:r>
      <w:rPr>
        <w:noProof/>
        <w:lang w:bidi="ar-SA"/>
      </w:rPr>
      <w:drawing>
        <wp:inline distT="0" distB="0" distL="0" distR="0">
          <wp:extent cx="3009900" cy="585258"/>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cda_logo.gif"/>
                  <pic:cNvPicPr/>
                </pic:nvPicPr>
                <pic:blipFill>
                  <a:blip r:embed="rId1">
                    <a:extLst>
                      <a:ext uri="{28A0092B-C50C-407E-A947-70E740481C1C}">
                        <a14:useLocalDpi xmlns:a14="http://schemas.microsoft.com/office/drawing/2010/main" val="0"/>
                      </a:ext>
                    </a:extLst>
                  </a:blip>
                  <a:stretch>
                    <a:fillRect/>
                  </a:stretch>
                </pic:blipFill>
                <pic:spPr>
                  <a:xfrm>
                    <a:off x="0" y="0"/>
                    <a:ext cx="3052282" cy="59349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BF5F32"/>
    <w:multiLevelType w:val="hybridMultilevel"/>
    <w:tmpl w:val="893687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FEE6FA1"/>
    <w:multiLevelType w:val="hybridMultilevel"/>
    <w:tmpl w:val="6A86F36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40DD"/>
    <w:rsid w:val="00433C45"/>
    <w:rsid w:val="009540DD"/>
    <w:rsid w:val="00C7138E"/>
    <w:rsid w:val="00C933C8"/>
    <w:rsid w:val="00D375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DC55D6"/>
  <w15:chartTrackingRefBased/>
  <w15:docId w15:val="{5BF8E06C-B318-4AF0-ADDD-1CB52A23B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40DD"/>
    <w:pPr>
      <w:spacing w:after="0" w:line="276" w:lineRule="auto"/>
    </w:pPr>
    <w:rPr>
      <w:rFonts w:ascii="Times New Roman" w:eastAsia="Calibri" w:hAnsi="Times New Roman"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33C45"/>
    <w:pPr>
      <w:tabs>
        <w:tab w:val="center" w:pos="4680"/>
        <w:tab w:val="right" w:pos="9360"/>
      </w:tabs>
      <w:spacing w:line="240" w:lineRule="auto"/>
    </w:pPr>
  </w:style>
  <w:style w:type="character" w:customStyle="1" w:styleId="HeaderChar">
    <w:name w:val="Header Char"/>
    <w:basedOn w:val="DefaultParagraphFont"/>
    <w:link w:val="Header"/>
    <w:uiPriority w:val="99"/>
    <w:rsid w:val="00433C45"/>
    <w:rPr>
      <w:rFonts w:ascii="Times New Roman" w:eastAsia="Calibri" w:hAnsi="Times New Roman" w:cs="Times New Roman"/>
      <w:lang w:bidi="en-US"/>
    </w:rPr>
  </w:style>
  <w:style w:type="paragraph" w:styleId="Footer">
    <w:name w:val="footer"/>
    <w:basedOn w:val="Normal"/>
    <w:link w:val="FooterChar"/>
    <w:uiPriority w:val="99"/>
    <w:unhideWhenUsed/>
    <w:rsid w:val="00433C45"/>
    <w:pPr>
      <w:tabs>
        <w:tab w:val="center" w:pos="4680"/>
        <w:tab w:val="right" w:pos="9360"/>
      </w:tabs>
      <w:spacing w:line="240" w:lineRule="auto"/>
    </w:pPr>
  </w:style>
  <w:style w:type="character" w:customStyle="1" w:styleId="FooterChar">
    <w:name w:val="Footer Char"/>
    <w:basedOn w:val="DefaultParagraphFont"/>
    <w:link w:val="Footer"/>
    <w:uiPriority w:val="99"/>
    <w:rsid w:val="00433C45"/>
    <w:rPr>
      <w:rFonts w:ascii="Times New Roman" w:eastAsia="Calibri" w:hAnsi="Times New Roman"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888</Words>
  <Characters>5067</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Department of General Services</Company>
  <LinksUpToDate>false</LinksUpToDate>
  <CharactersWithSpaces>5944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Barsanti, Adam@DGS</dc:creator>
  <cp:keywords/>
  <dc:description/>
  <cp:lastModifiedBy>Barsanti, Adam@DGS</cp:lastModifiedBy>
  <cp:revision>1</cp:revision>
  <dcterms:created xsi:type="dcterms:W3CDTF">2021-07-08T15:17:00Z</dcterms:created>
  <dcterms:modified xsi:type="dcterms:W3CDTF">2021-07-08T15:38:00Z</dcterms:modified>
</cp:coreProperties>
</file>