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319"/>
        <w:gridCol w:w="3828"/>
      </w:tblGrid>
      <w:tr>
        <w:trPr>
          <w:trHeight w:val="727" w:hRule="exact"/>
        </w:trPr>
        <w:tc>
          <w:tcPr>
            <w:tcW w:w="6319" w:type="dxa"/>
            <w:tcBorders>
              <w:bottom w:val="nil"/>
            </w:tcBorders>
          </w:tcPr>
          <w:p>
            <w:pPr>
              <w:pStyle w:val="TableParagraph"/>
              <w:spacing w:before="11"/>
              <w:ind w:left="100"/>
              <w:rPr>
                <w:sz w:val="16"/>
              </w:rPr>
            </w:pPr>
            <w:r>
              <w:rPr>
                <w:sz w:val="16"/>
              </w:rPr>
              <w:t>STATE OF CALIFORNIA</w:t>
            </w:r>
          </w:p>
          <w:p>
            <w:pPr>
              <w:pStyle w:val="TableParagraph"/>
              <w:ind w:left="100"/>
              <w:rPr>
                <w:sz w:val="16"/>
              </w:rPr>
            </w:pPr>
            <w:r>
              <w:rPr>
                <w:sz w:val="16"/>
              </w:rPr>
              <w:t>DEPARTMENT OF GENERAL SERVICES</w:t>
            </w:r>
          </w:p>
        </w:tc>
        <w:tc>
          <w:tcPr>
            <w:tcW w:w="3828" w:type="dxa"/>
          </w:tcPr>
          <w:p>
            <w:pPr>
              <w:pStyle w:val="TableParagraph"/>
              <w:spacing w:before="178"/>
              <w:ind w:left="100"/>
              <w:rPr>
                <w:sz w:val="23"/>
              </w:rPr>
            </w:pPr>
            <w:r>
              <w:rPr>
                <w:sz w:val="14"/>
              </w:rPr>
              <w:t>DATE ISSUED</w:t>
            </w:r>
            <w:r>
              <w:rPr>
                <w:sz w:val="23"/>
              </w:rPr>
              <w:t>:  November 29, 2017</w:t>
            </w:r>
          </w:p>
        </w:tc>
      </w:tr>
      <w:tr>
        <w:trPr>
          <w:trHeight w:val="833" w:hRule="exact"/>
        </w:trPr>
        <w:tc>
          <w:tcPr>
            <w:tcW w:w="6319" w:type="dxa"/>
            <w:tcBorders>
              <w:top w:val="nil"/>
              <w:bottom w:val="nil"/>
            </w:tcBorders>
          </w:tcPr>
          <w:p>
            <w:pPr>
              <w:pStyle w:val="TableParagraph"/>
              <w:spacing w:before="1"/>
              <w:ind w:left="100"/>
              <w:rPr>
                <w:b/>
                <w:sz w:val="48"/>
              </w:rPr>
            </w:pPr>
            <w:r>
              <w:rPr>
                <w:b/>
                <w:sz w:val="48"/>
              </w:rPr>
              <w:t>A</w:t>
            </w:r>
            <w:r>
              <w:rPr>
                <w:b/>
                <w:sz w:val="36"/>
              </w:rPr>
              <w:t>dministrative </w:t>
            </w:r>
            <w:r>
              <w:rPr>
                <w:b/>
                <w:sz w:val="48"/>
              </w:rPr>
              <w:t>O</w:t>
            </w:r>
            <w:r>
              <w:rPr>
                <w:b/>
                <w:sz w:val="36"/>
              </w:rPr>
              <w:t>rder</w:t>
            </w:r>
            <w:r>
              <w:rPr>
                <w:b/>
                <w:spacing w:val="-60"/>
                <w:sz w:val="36"/>
              </w:rPr>
              <w:t> </w:t>
            </w:r>
            <w:r>
              <w:rPr>
                <w:b/>
                <w:sz w:val="48"/>
                <w:u w:val="thick"/>
              </w:rPr>
              <w:t>17-02</w:t>
            </w:r>
          </w:p>
        </w:tc>
        <w:tc>
          <w:tcPr>
            <w:tcW w:w="3828" w:type="dxa"/>
          </w:tcPr>
          <w:p>
            <w:pPr>
              <w:pStyle w:val="TableParagraph"/>
              <w:spacing w:before="155"/>
              <w:ind w:left="100"/>
              <w:rPr>
                <w:sz w:val="16"/>
              </w:rPr>
            </w:pPr>
            <w:r>
              <w:rPr>
                <w:sz w:val="14"/>
              </w:rPr>
              <w:t>EXPIRES</w:t>
            </w:r>
            <w:r>
              <w:rPr>
                <w:sz w:val="16"/>
              </w:rPr>
              <w:t>:</w:t>
            </w:r>
          </w:p>
          <w:p>
            <w:pPr>
              <w:pStyle w:val="TableParagraph"/>
              <w:ind w:left="100"/>
              <w:rPr>
                <w:sz w:val="23"/>
              </w:rPr>
            </w:pPr>
            <w:r>
              <w:rPr>
                <w:sz w:val="23"/>
              </w:rPr>
              <w:t>Until Rescinded</w:t>
            </w:r>
          </w:p>
        </w:tc>
      </w:tr>
      <w:tr>
        <w:trPr>
          <w:trHeight w:val="1908" w:hRule="exact"/>
        </w:trPr>
        <w:tc>
          <w:tcPr>
            <w:tcW w:w="6319" w:type="dxa"/>
            <w:tcBorders>
              <w:top w:val="nil"/>
              <w:bottom w:val="nil"/>
            </w:tcBorders>
          </w:tcPr>
          <w:p>
            <w:pPr>
              <w:pStyle w:val="TableParagraph"/>
              <w:spacing w:before="18"/>
              <w:ind w:left="100"/>
              <w:rPr>
                <w:sz w:val="16"/>
              </w:rPr>
            </w:pPr>
            <w:r>
              <w:rPr>
                <w:sz w:val="16"/>
              </w:rPr>
              <w:t>TO:</w:t>
            </w:r>
          </w:p>
          <w:p>
            <w:pPr>
              <w:pStyle w:val="TableParagraph"/>
              <w:ind w:left="100" w:right="4331"/>
              <w:rPr>
                <w:b/>
                <w:sz w:val="23"/>
              </w:rPr>
            </w:pPr>
            <w:r>
              <w:rPr>
                <w:b/>
                <w:sz w:val="23"/>
              </w:rPr>
              <w:t>Deputy Directors Branch Chiefs Office Chiefs</w:t>
            </w:r>
          </w:p>
          <w:p>
            <w:pPr>
              <w:pStyle w:val="TableParagraph"/>
              <w:spacing w:before="2"/>
              <w:ind w:left="100"/>
              <w:rPr>
                <w:b/>
                <w:sz w:val="23"/>
              </w:rPr>
            </w:pPr>
            <w:r>
              <w:rPr>
                <w:b/>
                <w:sz w:val="23"/>
              </w:rPr>
              <w:t>All DGS Supervisors and Managers</w:t>
            </w:r>
          </w:p>
          <w:p>
            <w:pPr>
              <w:pStyle w:val="TableParagraph"/>
              <w:spacing w:before="182"/>
              <w:ind w:left="100"/>
              <w:rPr>
                <w:sz w:val="16"/>
              </w:rPr>
            </w:pPr>
            <w:r>
              <w:rPr>
                <w:sz w:val="16"/>
              </w:rPr>
              <w:t>SUBJECT:</w:t>
            </w:r>
          </w:p>
          <w:p>
            <w:pPr>
              <w:pStyle w:val="TableParagraph"/>
              <w:ind w:left="100"/>
              <w:rPr>
                <w:b/>
                <w:sz w:val="23"/>
              </w:rPr>
            </w:pPr>
            <w:r>
              <w:rPr>
                <w:b/>
                <w:sz w:val="23"/>
              </w:rPr>
              <w:t>Legislative Communications Policy</w:t>
            </w:r>
          </w:p>
        </w:tc>
        <w:tc>
          <w:tcPr>
            <w:tcW w:w="3828" w:type="dxa"/>
          </w:tcPr>
          <w:p>
            <w:pPr>
              <w:pStyle w:val="TableParagraph"/>
              <w:spacing w:before="6"/>
              <w:rPr>
                <w:rFonts w:ascii="Times New Roman"/>
                <w:sz w:val="15"/>
              </w:rPr>
            </w:pPr>
          </w:p>
          <w:p>
            <w:pPr>
              <w:pStyle w:val="TableParagraph"/>
              <w:ind w:left="100"/>
              <w:rPr>
                <w:sz w:val="14"/>
              </w:rPr>
            </w:pPr>
            <w:r>
              <w:rPr>
                <w:sz w:val="14"/>
              </w:rPr>
              <w:t>REFERENCES:</w:t>
            </w:r>
          </w:p>
        </w:tc>
      </w:tr>
      <w:tr>
        <w:trPr>
          <w:trHeight w:val="550" w:hRule="exact"/>
        </w:trPr>
        <w:tc>
          <w:tcPr>
            <w:tcW w:w="6319" w:type="dxa"/>
            <w:tcBorders>
              <w:top w:val="nil"/>
            </w:tcBorders>
          </w:tcPr>
          <w:p>
            <w:pPr/>
          </w:p>
        </w:tc>
        <w:tc>
          <w:tcPr>
            <w:tcW w:w="3828" w:type="dxa"/>
          </w:tcPr>
          <w:p>
            <w:pPr>
              <w:pStyle w:val="TableParagraph"/>
              <w:spacing w:before="116"/>
              <w:ind w:left="100"/>
              <w:rPr>
                <w:sz w:val="14"/>
              </w:rPr>
            </w:pPr>
            <w:r>
              <w:rPr>
                <w:sz w:val="14"/>
              </w:rPr>
              <w:t>SUPERSEDES:</w:t>
            </w:r>
          </w:p>
        </w:tc>
      </w:tr>
    </w:tbl>
    <w:p>
      <w:pPr>
        <w:pStyle w:val="BodyText"/>
        <w:spacing w:before="2"/>
        <w:rPr>
          <w:rFonts w:ascii="Times New Roman"/>
          <w:sz w:val="22"/>
        </w:rPr>
      </w:pPr>
      <w:r>
        <w:rPr/>
        <w:pict>
          <v:line style="position:absolute;mso-position-horizontal-relative:page;mso-position-vertical-relative:page;z-index:-5776" from="143.160004pt,243.359497pt" to="525.600004pt,243.359497pt" stroked="true" strokeweight=".481pt" strokecolor="#000000">
            <v:stroke dashstyle="solid"/>
            <w10:wrap type="none"/>
          </v:line>
        </w:pict>
      </w:r>
      <w:r>
        <w:rPr/>
        <w:pict>
          <v:line style="position:absolute;mso-position-horizontal-relative:page;mso-position-vertical-relative:page;z-index:-5752" from="143.160004pt,332.999512pt" to="525.600004pt,332.999512pt" stroked="true" strokeweight=".481pt" strokecolor="#000000">
            <v:stroke dashstyle="solid"/>
            <w10:wrap type="none"/>
          </v:line>
        </w:pict>
      </w:r>
    </w:p>
    <w:tbl>
      <w:tblPr>
        <w:tblW w:w="0" w:type="auto"/>
        <w:jc w:val="left"/>
        <w:tblInd w:w="111"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1911"/>
        <w:gridCol w:w="7305"/>
      </w:tblGrid>
      <w:tr>
        <w:trPr>
          <w:trHeight w:val="1793" w:hRule="exact"/>
        </w:trPr>
        <w:tc>
          <w:tcPr>
            <w:tcW w:w="1911" w:type="dxa"/>
          </w:tcPr>
          <w:p>
            <w:pPr>
              <w:pStyle w:val="TableParagraph"/>
              <w:spacing w:before="10"/>
              <w:rPr>
                <w:rFonts w:ascii="Times New Roman"/>
                <w:sz w:val="20"/>
              </w:rPr>
            </w:pPr>
          </w:p>
          <w:p>
            <w:pPr>
              <w:pStyle w:val="TableParagraph"/>
              <w:ind w:left="200"/>
              <w:rPr>
                <w:b/>
                <w:sz w:val="22"/>
              </w:rPr>
            </w:pPr>
            <w:bookmarkStart w:name="Purpose" w:id="1"/>
            <w:bookmarkEnd w:id="1"/>
            <w:r>
              <w:rPr/>
            </w:r>
            <w:r>
              <w:rPr>
                <w:b/>
                <w:sz w:val="22"/>
              </w:rPr>
              <w:t>Purpose</w:t>
            </w:r>
          </w:p>
        </w:tc>
        <w:tc>
          <w:tcPr>
            <w:tcW w:w="7305" w:type="dxa"/>
          </w:tcPr>
          <w:p>
            <w:pPr>
              <w:pStyle w:val="TableParagraph"/>
              <w:spacing w:before="1"/>
              <w:rPr>
                <w:rFonts w:ascii="Times New Roman"/>
                <w:sz w:val="22"/>
              </w:rPr>
            </w:pPr>
          </w:p>
          <w:p>
            <w:pPr>
              <w:pStyle w:val="TableParagraph"/>
              <w:ind w:left="108" w:right="182"/>
              <w:rPr>
                <w:sz w:val="22"/>
              </w:rPr>
            </w:pPr>
            <w:r>
              <w:rPr>
                <w:sz w:val="22"/>
              </w:rPr>
              <w:t>It is the intent of the Department of General Services to ensure that communications with the Legislature be accurate, credible, and properly coordinated within DGS, with customer agencies, and with the Administration. It is also the intent of DGS to ensure that legislative communications reflect courtesy and professionalism.</w:t>
            </w:r>
          </w:p>
        </w:tc>
      </w:tr>
    </w:tbl>
    <w:p>
      <w:pPr>
        <w:pStyle w:val="BodyText"/>
        <w:spacing w:before="5"/>
        <w:rPr>
          <w:rFonts w:ascii="Times New Roman"/>
          <w:sz w:val="21"/>
        </w:rPr>
      </w:pPr>
    </w:p>
    <w:tbl>
      <w:tblPr>
        <w:tblW w:w="0" w:type="auto"/>
        <w:jc w:val="left"/>
        <w:tblInd w:w="111"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1911"/>
        <w:gridCol w:w="7649"/>
      </w:tblGrid>
      <w:tr>
        <w:trPr>
          <w:trHeight w:val="2557" w:hRule="exact"/>
        </w:trPr>
        <w:tc>
          <w:tcPr>
            <w:tcW w:w="1911" w:type="dxa"/>
          </w:tcPr>
          <w:p>
            <w:pPr>
              <w:pStyle w:val="TableParagraph"/>
              <w:spacing w:line="247" w:lineRule="exact"/>
              <w:ind w:left="200"/>
              <w:rPr>
                <w:b/>
                <w:sz w:val="22"/>
              </w:rPr>
            </w:pPr>
            <w:bookmarkStart w:name="Policy " w:id="2"/>
            <w:bookmarkEnd w:id="2"/>
            <w:r>
              <w:rPr/>
            </w:r>
            <w:r>
              <w:rPr>
                <w:b/>
                <w:sz w:val="22"/>
              </w:rPr>
              <w:t>Policy</w:t>
            </w:r>
          </w:p>
        </w:tc>
        <w:tc>
          <w:tcPr>
            <w:tcW w:w="7649" w:type="dxa"/>
            <w:tcBorders>
              <w:bottom w:val="single" w:sz="4" w:space="0" w:color="000000"/>
            </w:tcBorders>
          </w:tcPr>
          <w:p>
            <w:pPr>
              <w:pStyle w:val="TableParagraph"/>
              <w:spacing w:before="8"/>
              <w:ind w:left="108" w:right="183"/>
              <w:rPr>
                <w:sz w:val="22"/>
              </w:rPr>
            </w:pPr>
            <w:r>
              <w:rPr>
                <w:sz w:val="22"/>
              </w:rPr>
              <w:t>DGS has designated the Office of Legislative Affairs to handle most legislative communications, other than routine business communications by personnel providing services to the Legislature.</w:t>
            </w:r>
          </w:p>
          <w:p>
            <w:pPr>
              <w:pStyle w:val="TableParagraph"/>
              <w:rPr>
                <w:rFonts w:ascii="Times New Roman"/>
                <w:sz w:val="22"/>
              </w:rPr>
            </w:pPr>
          </w:p>
          <w:p>
            <w:pPr>
              <w:pStyle w:val="TableParagraph"/>
              <w:ind w:left="108" w:right="4"/>
              <w:rPr>
                <w:sz w:val="22"/>
              </w:rPr>
            </w:pPr>
            <w:r>
              <w:rPr>
                <w:sz w:val="22"/>
              </w:rPr>
              <w:t>Except as provided below, DGS staff shall refer inquiries from and discussions with the Legislature to the Office of Legislative Affairs for handling. DGS staff shall also refer inquiries from lobbyists or stakeholder groups about current, past, or potential legislation to the Office of Legislative Affairs for response.</w:t>
            </w:r>
          </w:p>
        </w:tc>
      </w:tr>
    </w:tbl>
    <w:p>
      <w:pPr>
        <w:pStyle w:val="BodyText"/>
        <w:rPr>
          <w:rFonts w:ascii="Times New Roman"/>
          <w:sz w:val="21"/>
        </w:rPr>
      </w:pPr>
    </w:p>
    <w:tbl>
      <w:tblPr>
        <w:tblW w:w="0" w:type="auto"/>
        <w:jc w:val="left"/>
        <w:tblInd w:w="111"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1911"/>
        <w:gridCol w:w="7649"/>
      </w:tblGrid>
      <w:tr>
        <w:trPr>
          <w:trHeight w:val="3365" w:hRule="exact"/>
        </w:trPr>
        <w:tc>
          <w:tcPr>
            <w:tcW w:w="1911" w:type="dxa"/>
          </w:tcPr>
          <w:p>
            <w:pPr>
              <w:pStyle w:val="TableParagraph"/>
              <w:ind w:left="200" w:right="493"/>
              <w:rPr>
                <w:b/>
                <w:sz w:val="22"/>
              </w:rPr>
            </w:pPr>
            <w:r>
              <w:rPr>
                <w:b/>
                <w:sz w:val="22"/>
              </w:rPr>
              <w:t>Examples Covered by This Policy</w:t>
            </w:r>
          </w:p>
        </w:tc>
        <w:tc>
          <w:tcPr>
            <w:tcW w:w="7649" w:type="dxa"/>
            <w:tcBorders>
              <w:bottom w:val="single" w:sz="4" w:space="0" w:color="000000"/>
            </w:tcBorders>
          </w:tcPr>
          <w:p>
            <w:pPr>
              <w:pStyle w:val="TableParagraph"/>
              <w:spacing w:before="10"/>
              <w:ind w:left="108" w:right="232"/>
              <w:rPr>
                <w:sz w:val="22"/>
              </w:rPr>
            </w:pPr>
            <w:r>
              <w:rPr>
                <w:sz w:val="22"/>
              </w:rPr>
              <w:t>Examples of inquiries and discussions that shall be referred to the Office of Legislative Affairs for resolution include:</w:t>
            </w:r>
          </w:p>
          <w:p>
            <w:pPr>
              <w:pStyle w:val="TableParagraph"/>
              <w:numPr>
                <w:ilvl w:val="0"/>
                <w:numId w:val="1"/>
              </w:numPr>
              <w:tabs>
                <w:tab w:pos="827" w:val="left" w:leader="none"/>
                <w:tab w:pos="829" w:val="left" w:leader="none"/>
              </w:tabs>
              <w:spacing w:line="268" w:lineRule="exact" w:before="0" w:after="0"/>
              <w:ind w:left="828" w:right="0" w:hanging="361"/>
              <w:jc w:val="left"/>
              <w:rPr>
                <w:sz w:val="22"/>
              </w:rPr>
            </w:pPr>
            <w:r>
              <w:rPr>
                <w:sz w:val="22"/>
              </w:rPr>
              <w:t>Any inquiry about current, past, or potential</w:t>
            </w:r>
            <w:r>
              <w:rPr>
                <w:spacing w:val="-21"/>
                <w:sz w:val="22"/>
              </w:rPr>
              <w:t> </w:t>
            </w:r>
            <w:r>
              <w:rPr>
                <w:sz w:val="22"/>
              </w:rPr>
              <w:t>legislation.</w:t>
            </w:r>
          </w:p>
          <w:p>
            <w:pPr>
              <w:pStyle w:val="TableParagraph"/>
              <w:numPr>
                <w:ilvl w:val="0"/>
                <w:numId w:val="1"/>
              </w:numPr>
              <w:tabs>
                <w:tab w:pos="827" w:val="left" w:leader="none"/>
                <w:tab w:pos="829" w:val="left" w:leader="none"/>
              </w:tabs>
              <w:spacing w:line="269" w:lineRule="exact" w:before="0" w:after="0"/>
              <w:ind w:left="828" w:right="0" w:hanging="361"/>
              <w:jc w:val="left"/>
              <w:rPr>
                <w:sz w:val="22"/>
              </w:rPr>
            </w:pPr>
            <w:r>
              <w:rPr>
                <w:sz w:val="22"/>
              </w:rPr>
              <w:t>Legislative inquiries about DGS programs, policies, or</w:t>
            </w:r>
            <w:r>
              <w:rPr>
                <w:spacing w:val="-22"/>
                <w:sz w:val="22"/>
              </w:rPr>
              <w:t> </w:t>
            </w:r>
            <w:r>
              <w:rPr>
                <w:sz w:val="22"/>
              </w:rPr>
              <w:t>processes.</w:t>
            </w:r>
          </w:p>
          <w:p>
            <w:pPr>
              <w:pStyle w:val="TableParagraph"/>
              <w:numPr>
                <w:ilvl w:val="0"/>
                <w:numId w:val="1"/>
              </w:numPr>
              <w:tabs>
                <w:tab w:pos="827" w:val="left" w:leader="none"/>
                <w:tab w:pos="829" w:val="left" w:leader="none"/>
              </w:tabs>
              <w:spacing w:line="268" w:lineRule="exact" w:before="0" w:after="0"/>
              <w:ind w:left="828" w:right="0" w:hanging="361"/>
              <w:jc w:val="left"/>
              <w:rPr>
                <w:sz w:val="22"/>
              </w:rPr>
            </w:pPr>
            <w:r>
              <w:rPr>
                <w:sz w:val="22"/>
              </w:rPr>
              <w:t>Legislative inquiries about specific contracts or</w:t>
            </w:r>
            <w:r>
              <w:rPr>
                <w:spacing w:val="-24"/>
                <w:sz w:val="22"/>
              </w:rPr>
              <w:t> </w:t>
            </w:r>
            <w:r>
              <w:rPr>
                <w:sz w:val="22"/>
              </w:rPr>
              <w:t>activities.</w:t>
            </w:r>
          </w:p>
          <w:p>
            <w:pPr>
              <w:pStyle w:val="TableParagraph"/>
              <w:numPr>
                <w:ilvl w:val="0"/>
                <w:numId w:val="1"/>
              </w:numPr>
              <w:tabs>
                <w:tab w:pos="828" w:val="left" w:leader="none"/>
                <w:tab w:pos="829" w:val="left" w:leader="none"/>
              </w:tabs>
              <w:spacing w:line="240" w:lineRule="auto" w:before="0" w:after="0"/>
              <w:ind w:left="828" w:right="103" w:hanging="360"/>
              <w:jc w:val="left"/>
              <w:rPr>
                <w:sz w:val="22"/>
              </w:rPr>
            </w:pPr>
            <w:r>
              <w:rPr>
                <w:sz w:val="22"/>
              </w:rPr>
              <w:t>Legislative inquiries about issues involving individual constituents dealing with DGS or another state agency, or who have an interest in DGS</w:t>
            </w:r>
            <w:r>
              <w:rPr>
                <w:spacing w:val="-4"/>
                <w:sz w:val="22"/>
              </w:rPr>
              <w:t> </w:t>
            </w:r>
            <w:r>
              <w:rPr>
                <w:sz w:val="22"/>
              </w:rPr>
              <w:t>services.</w:t>
            </w:r>
          </w:p>
          <w:p>
            <w:pPr>
              <w:pStyle w:val="TableParagraph"/>
              <w:spacing w:before="1"/>
              <w:rPr>
                <w:rFonts w:ascii="Times New Roman"/>
                <w:sz w:val="22"/>
              </w:rPr>
            </w:pPr>
          </w:p>
          <w:p>
            <w:pPr>
              <w:pStyle w:val="TableParagraph"/>
              <w:ind w:left="108" w:right="330"/>
              <w:rPr>
                <w:sz w:val="22"/>
              </w:rPr>
            </w:pPr>
            <w:r>
              <w:rPr>
                <w:sz w:val="22"/>
              </w:rPr>
              <w:t>DGS staff members are cautioned to especially avoid expressing opinions or suggestions or making recommendations about pending or potential legislation affecting DGS.</w:t>
            </w:r>
          </w:p>
        </w:tc>
      </w:tr>
      <w:tr>
        <w:trPr>
          <w:trHeight w:val="762" w:hRule="exact"/>
        </w:trPr>
        <w:tc>
          <w:tcPr>
            <w:tcW w:w="1911" w:type="dxa"/>
          </w:tcPr>
          <w:p>
            <w:pPr>
              <w:pStyle w:val="TableParagraph"/>
              <w:spacing w:before="10"/>
              <w:rPr>
                <w:rFonts w:ascii="Times New Roman"/>
                <w:sz w:val="20"/>
              </w:rPr>
            </w:pPr>
          </w:p>
          <w:p>
            <w:pPr>
              <w:pStyle w:val="TableParagraph"/>
              <w:ind w:left="200"/>
              <w:rPr>
                <w:b/>
                <w:sz w:val="22"/>
              </w:rPr>
            </w:pPr>
            <w:r>
              <w:rPr>
                <w:b/>
                <w:sz w:val="22"/>
              </w:rPr>
              <w:t>Media Inquiries</w:t>
            </w:r>
          </w:p>
        </w:tc>
        <w:tc>
          <w:tcPr>
            <w:tcW w:w="7649" w:type="dxa"/>
            <w:tcBorders>
              <w:top w:val="single" w:sz="4" w:space="0" w:color="000000"/>
            </w:tcBorders>
          </w:tcPr>
          <w:p>
            <w:pPr>
              <w:pStyle w:val="TableParagraph"/>
              <w:spacing w:before="8"/>
              <w:rPr>
                <w:rFonts w:ascii="Times New Roman"/>
                <w:sz w:val="21"/>
              </w:rPr>
            </w:pPr>
          </w:p>
          <w:p>
            <w:pPr>
              <w:pStyle w:val="TableParagraph"/>
              <w:ind w:left="108" w:right="244"/>
              <w:rPr>
                <w:sz w:val="22"/>
              </w:rPr>
            </w:pPr>
            <w:r>
              <w:rPr>
                <w:sz w:val="22"/>
              </w:rPr>
              <w:t>Media inquiries about current, past, or potential legislation shall be referred to the Office of Public Affairs for response.</w:t>
            </w:r>
          </w:p>
        </w:tc>
      </w:tr>
    </w:tbl>
    <w:p>
      <w:pPr>
        <w:spacing w:after="0"/>
        <w:rPr>
          <w:sz w:val="22"/>
        </w:rPr>
        <w:sectPr>
          <w:footerReference w:type="default" r:id="rId5"/>
          <w:type w:val="continuous"/>
          <w:pgSz w:w="12240" w:h="15840"/>
          <w:pgMar w:footer="686" w:top="580" w:bottom="880" w:left="840" w:right="920"/>
          <w:pgNumType w:start="1"/>
        </w:sectPr>
      </w:pPr>
    </w:p>
    <w:tbl>
      <w:tblPr>
        <w:tblW w:w="0" w:type="auto"/>
        <w:jc w:val="left"/>
        <w:tblInd w:w="111"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1911"/>
        <w:gridCol w:w="7649"/>
      </w:tblGrid>
      <w:tr>
        <w:trPr>
          <w:trHeight w:val="3367" w:hRule="exact"/>
        </w:trPr>
        <w:tc>
          <w:tcPr>
            <w:tcW w:w="1911" w:type="dxa"/>
          </w:tcPr>
          <w:p>
            <w:pPr>
              <w:pStyle w:val="TableParagraph"/>
              <w:spacing w:before="7"/>
              <w:rPr>
                <w:rFonts w:ascii="Times New Roman"/>
                <w:sz w:val="22"/>
              </w:rPr>
            </w:pPr>
          </w:p>
          <w:p>
            <w:pPr>
              <w:pStyle w:val="TableParagraph"/>
              <w:ind w:left="200" w:right="145"/>
              <w:rPr>
                <w:b/>
                <w:sz w:val="23"/>
              </w:rPr>
            </w:pPr>
            <w:r>
              <w:rPr>
                <w:b/>
                <w:sz w:val="23"/>
              </w:rPr>
              <w:t>Some Routine Business Is Exempt</w:t>
            </w:r>
          </w:p>
        </w:tc>
        <w:tc>
          <w:tcPr>
            <w:tcW w:w="7649" w:type="dxa"/>
            <w:tcBorders>
              <w:top w:val="single" w:sz="4" w:space="0" w:color="000000"/>
              <w:bottom w:val="single" w:sz="4" w:space="0" w:color="000000"/>
            </w:tcBorders>
          </w:tcPr>
          <w:p>
            <w:pPr>
              <w:pStyle w:val="TableParagraph"/>
              <w:spacing w:before="6"/>
              <w:rPr>
                <w:rFonts w:ascii="Times New Roman"/>
                <w:sz w:val="21"/>
              </w:rPr>
            </w:pPr>
          </w:p>
          <w:p>
            <w:pPr>
              <w:pStyle w:val="TableParagraph"/>
              <w:ind w:left="108" w:right="281"/>
              <w:rPr>
                <w:sz w:val="22"/>
              </w:rPr>
            </w:pPr>
            <w:r>
              <w:rPr>
                <w:sz w:val="22"/>
              </w:rPr>
              <w:t>This policy does not apply to </w:t>
            </w:r>
            <w:r>
              <w:rPr>
                <w:sz w:val="22"/>
                <w:u w:val="single"/>
              </w:rPr>
              <w:t>routine </w:t>
            </w:r>
            <w:r>
              <w:rPr>
                <w:sz w:val="22"/>
              </w:rPr>
              <w:t>business communications about DGS services being provided to, or requested by, the Legislature. Examples include:</w:t>
            </w:r>
          </w:p>
          <w:p>
            <w:pPr>
              <w:pStyle w:val="TableParagraph"/>
              <w:numPr>
                <w:ilvl w:val="0"/>
                <w:numId w:val="2"/>
              </w:numPr>
              <w:tabs>
                <w:tab w:pos="888" w:val="left" w:leader="none"/>
                <w:tab w:pos="889" w:val="left" w:leader="none"/>
              </w:tabs>
              <w:spacing w:line="252" w:lineRule="exact" w:before="20" w:after="0"/>
              <w:ind w:left="888" w:right="384" w:hanging="360"/>
              <w:jc w:val="left"/>
              <w:rPr>
                <w:sz w:val="22"/>
              </w:rPr>
            </w:pPr>
            <w:r>
              <w:rPr>
                <w:sz w:val="22"/>
              </w:rPr>
              <w:t>Building-related issues in the Capitol, or when the Legislature is a tenant in a DGS-managed</w:t>
            </w:r>
            <w:r>
              <w:rPr>
                <w:spacing w:val="-12"/>
                <w:sz w:val="22"/>
              </w:rPr>
              <w:t> </w:t>
            </w:r>
            <w:r>
              <w:rPr>
                <w:sz w:val="22"/>
              </w:rPr>
              <w:t>building.</w:t>
            </w:r>
          </w:p>
          <w:p>
            <w:pPr>
              <w:pStyle w:val="TableParagraph"/>
              <w:numPr>
                <w:ilvl w:val="0"/>
                <w:numId w:val="2"/>
              </w:numPr>
              <w:tabs>
                <w:tab w:pos="888" w:val="left" w:leader="none"/>
                <w:tab w:pos="889" w:val="left" w:leader="none"/>
              </w:tabs>
              <w:spacing w:line="265" w:lineRule="exact" w:before="0" w:after="0"/>
              <w:ind w:left="888" w:right="0" w:hanging="360"/>
              <w:jc w:val="left"/>
              <w:rPr>
                <w:sz w:val="22"/>
              </w:rPr>
            </w:pPr>
            <w:r>
              <w:rPr>
                <w:sz w:val="22"/>
              </w:rPr>
              <w:t>Leasing or planning for legislative members’ district</w:t>
            </w:r>
            <w:r>
              <w:rPr>
                <w:spacing w:val="-15"/>
                <w:sz w:val="22"/>
              </w:rPr>
              <w:t> </w:t>
            </w:r>
            <w:r>
              <w:rPr>
                <w:sz w:val="22"/>
              </w:rPr>
              <w:t>offices.</w:t>
            </w:r>
          </w:p>
          <w:p>
            <w:pPr>
              <w:pStyle w:val="TableParagraph"/>
              <w:numPr>
                <w:ilvl w:val="0"/>
                <w:numId w:val="2"/>
              </w:numPr>
              <w:tabs>
                <w:tab w:pos="888" w:val="left" w:leader="none"/>
                <w:tab w:pos="889" w:val="left" w:leader="none"/>
              </w:tabs>
              <w:spacing w:line="268" w:lineRule="exact" w:before="0" w:after="0"/>
              <w:ind w:left="888" w:right="0" w:hanging="360"/>
              <w:jc w:val="left"/>
              <w:rPr>
                <w:sz w:val="22"/>
              </w:rPr>
            </w:pPr>
            <w:r>
              <w:rPr>
                <w:sz w:val="22"/>
              </w:rPr>
              <w:t>Printing and bill room services provided to the</w:t>
            </w:r>
            <w:r>
              <w:rPr>
                <w:spacing w:val="-23"/>
                <w:sz w:val="22"/>
              </w:rPr>
              <w:t> </w:t>
            </w:r>
            <w:r>
              <w:rPr>
                <w:sz w:val="22"/>
              </w:rPr>
              <w:t>Legislature.</w:t>
            </w:r>
          </w:p>
          <w:p>
            <w:pPr>
              <w:pStyle w:val="TableParagraph"/>
              <w:spacing w:before="10"/>
              <w:rPr>
                <w:rFonts w:ascii="Times New Roman"/>
                <w:sz w:val="22"/>
              </w:rPr>
            </w:pPr>
          </w:p>
          <w:p>
            <w:pPr>
              <w:pStyle w:val="TableParagraph"/>
              <w:ind w:left="108" w:right="110"/>
              <w:rPr>
                <w:sz w:val="22"/>
              </w:rPr>
            </w:pPr>
            <w:r>
              <w:rPr>
                <w:sz w:val="22"/>
              </w:rPr>
              <w:t>However, communications that deal with controversial issues or may be politically sensitive should be routed through the Office of Legislative Affairs, even if they arise from routine business.</w:t>
            </w:r>
          </w:p>
        </w:tc>
      </w:tr>
    </w:tbl>
    <w:p>
      <w:pPr>
        <w:pStyle w:val="BodyText"/>
        <w:spacing w:before="7"/>
        <w:rPr>
          <w:rFonts w:ascii="Times New Roman"/>
        </w:rPr>
      </w:pPr>
      <w:r>
        <w:rPr/>
        <w:drawing>
          <wp:anchor distT="0" distB="0" distL="0" distR="0" allowOverlap="1" layoutInCell="1" locked="0" behindDoc="1" simplePos="0" relativeHeight="268429727">
            <wp:simplePos x="0" y="0"/>
            <wp:positionH relativeFrom="page">
              <wp:posOffset>1418584</wp:posOffset>
            </wp:positionH>
            <wp:positionV relativeFrom="page">
              <wp:posOffset>8254142</wp:posOffset>
            </wp:positionV>
            <wp:extent cx="2653218" cy="1084421"/>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2653218" cy="1084421"/>
                    </a:xfrm>
                    <a:prstGeom prst="rect">
                      <a:avLst/>
                    </a:prstGeom>
                  </pic:spPr>
                </pic:pic>
              </a:graphicData>
            </a:graphic>
          </wp:anchor>
        </w:drawing>
      </w:r>
    </w:p>
    <w:tbl>
      <w:tblPr>
        <w:tblW w:w="0" w:type="auto"/>
        <w:jc w:val="left"/>
        <w:tblInd w:w="111"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1911"/>
        <w:gridCol w:w="7649"/>
      </w:tblGrid>
      <w:tr>
        <w:trPr>
          <w:trHeight w:val="1040" w:hRule="exact"/>
        </w:trPr>
        <w:tc>
          <w:tcPr>
            <w:tcW w:w="1911" w:type="dxa"/>
          </w:tcPr>
          <w:p>
            <w:pPr>
              <w:pStyle w:val="TableParagraph"/>
              <w:spacing w:line="247" w:lineRule="exact"/>
              <w:ind w:left="200"/>
              <w:rPr>
                <w:b/>
                <w:sz w:val="22"/>
              </w:rPr>
            </w:pPr>
            <w:bookmarkStart w:name="Budget Issues   " w:id="3"/>
            <w:bookmarkEnd w:id="3"/>
            <w:r>
              <w:rPr/>
            </w:r>
            <w:r>
              <w:rPr>
                <w:b/>
                <w:sz w:val="22"/>
              </w:rPr>
              <w:t>Budget Issues</w:t>
            </w:r>
          </w:p>
        </w:tc>
        <w:tc>
          <w:tcPr>
            <w:tcW w:w="7649" w:type="dxa"/>
            <w:tcBorders>
              <w:bottom w:val="single" w:sz="4" w:space="0" w:color="000000"/>
            </w:tcBorders>
          </w:tcPr>
          <w:p>
            <w:pPr>
              <w:pStyle w:val="TableParagraph"/>
              <w:spacing w:before="8"/>
              <w:ind w:left="108" w:right="97"/>
              <w:rPr>
                <w:sz w:val="22"/>
              </w:rPr>
            </w:pPr>
            <w:r>
              <w:rPr>
                <w:sz w:val="22"/>
              </w:rPr>
              <w:t>Inquiries by budget committees, individual members, and the Legislative Analyst’s Office regarding items in the DGS budget should be referred to the Office of Fiscal Services for response.</w:t>
            </w:r>
          </w:p>
        </w:tc>
      </w:tr>
    </w:tbl>
    <w:p>
      <w:pPr>
        <w:pStyle w:val="BodyText"/>
        <w:rPr>
          <w:rFonts w:ascii="Times New Roman"/>
          <w:sz w:val="22"/>
        </w:rPr>
      </w:pPr>
    </w:p>
    <w:tbl>
      <w:tblPr>
        <w:tblW w:w="0" w:type="auto"/>
        <w:jc w:val="left"/>
        <w:tblInd w:w="111"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1911"/>
        <w:gridCol w:w="7649"/>
      </w:tblGrid>
      <w:tr>
        <w:trPr>
          <w:trHeight w:val="2309" w:hRule="exact"/>
        </w:trPr>
        <w:tc>
          <w:tcPr>
            <w:tcW w:w="1911" w:type="dxa"/>
          </w:tcPr>
          <w:p>
            <w:pPr>
              <w:pStyle w:val="TableParagraph"/>
              <w:ind w:left="200" w:right="248"/>
              <w:rPr>
                <w:b/>
                <w:sz w:val="22"/>
              </w:rPr>
            </w:pPr>
            <w:r>
              <w:rPr>
                <w:b/>
                <w:sz w:val="22"/>
              </w:rPr>
              <w:t>Legislative Members on Boards and Commissions</w:t>
            </w:r>
          </w:p>
        </w:tc>
        <w:tc>
          <w:tcPr>
            <w:tcW w:w="7649" w:type="dxa"/>
            <w:tcBorders>
              <w:bottom w:val="single" w:sz="4" w:space="0" w:color="000000"/>
            </w:tcBorders>
          </w:tcPr>
          <w:p>
            <w:pPr>
              <w:pStyle w:val="TableParagraph"/>
              <w:spacing w:line="249" w:lineRule="exact"/>
              <w:ind w:left="108"/>
              <w:rPr>
                <w:sz w:val="22"/>
              </w:rPr>
            </w:pPr>
            <w:r>
              <w:rPr>
                <w:sz w:val="22"/>
              </w:rPr>
              <w:t>This policy does not apply to:</w:t>
            </w:r>
          </w:p>
          <w:p>
            <w:pPr>
              <w:pStyle w:val="TableParagraph"/>
              <w:numPr>
                <w:ilvl w:val="0"/>
                <w:numId w:val="3"/>
              </w:numPr>
              <w:tabs>
                <w:tab w:pos="828" w:val="left" w:leader="none"/>
                <w:tab w:pos="829" w:val="left" w:leader="none"/>
              </w:tabs>
              <w:spacing w:line="252" w:lineRule="exact" w:before="20" w:after="0"/>
              <w:ind w:left="828" w:right="164" w:hanging="360"/>
              <w:jc w:val="left"/>
              <w:rPr>
                <w:sz w:val="22"/>
              </w:rPr>
            </w:pPr>
            <w:r>
              <w:rPr>
                <w:sz w:val="22"/>
              </w:rPr>
              <w:t>Discussions with legislators serving on the State Allocation Board by board staff about board</w:t>
            </w:r>
            <w:r>
              <w:rPr>
                <w:spacing w:val="-13"/>
                <w:sz w:val="22"/>
              </w:rPr>
              <w:t> </w:t>
            </w:r>
            <w:r>
              <w:rPr>
                <w:sz w:val="22"/>
              </w:rPr>
              <w:t>business.</w:t>
            </w:r>
          </w:p>
          <w:p>
            <w:pPr>
              <w:pStyle w:val="TableParagraph"/>
              <w:numPr>
                <w:ilvl w:val="0"/>
                <w:numId w:val="3"/>
              </w:numPr>
              <w:tabs>
                <w:tab w:pos="828" w:val="left" w:leader="none"/>
                <w:tab w:pos="829" w:val="left" w:leader="none"/>
              </w:tabs>
              <w:spacing w:line="252" w:lineRule="exact" w:before="16" w:after="0"/>
              <w:ind w:left="828" w:right="127" w:hanging="360"/>
              <w:jc w:val="left"/>
              <w:rPr>
                <w:sz w:val="22"/>
              </w:rPr>
            </w:pPr>
            <w:r>
              <w:rPr>
                <w:sz w:val="22"/>
              </w:rPr>
              <w:t>Discussions with legislators serving on the California Commission on Disability Access by commission staff about commission</w:t>
            </w:r>
            <w:r>
              <w:rPr>
                <w:spacing w:val="-19"/>
                <w:sz w:val="22"/>
              </w:rPr>
              <w:t> </w:t>
            </w:r>
            <w:r>
              <w:rPr>
                <w:sz w:val="22"/>
              </w:rPr>
              <w:t>business.</w:t>
            </w:r>
          </w:p>
          <w:p>
            <w:pPr>
              <w:pStyle w:val="TableParagraph"/>
              <w:spacing w:before="7"/>
              <w:rPr>
                <w:rFonts w:ascii="Times New Roman"/>
                <w:sz w:val="21"/>
              </w:rPr>
            </w:pPr>
          </w:p>
          <w:p>
            <w:pPr>
              <w:pStyle w:val="TableParagraph"/>
              <w:spacing w:before="1"/>
              <w:ind w:left="108" w:right="232"/>
              <w:rPr>
                <w:sz w:val="22"/>
              </w:rPr>
            </w:pPr>
            <w:r>
              <w:rPr>
                <w:sz w:val="22"/>
              </w:rPr>
              <w:t>However, discussions about current, proposed, or potential legislation shall be referred to the Office of Legislative Affairs.</w:t>
            </w:r>
          </w:p>
        </w:tc>
      </w:tr>
      <w:tr>
        <w:trPr>
          <w:trHeight w:val="1274" w:hRule="exact"/>
        </w:trPr>
        <w:tc>
          <w:tcPr>
            <w:tcW w:w="1911" w:type="dxa"/>
          </w:tcPr>
          <w:p>
            <w:pPr>
              <w:pStyle w:val="TableParagraph"/>
              <w:spacing w:before="1"/>
              <w:rPr>
                <w:rFonts w:ascii="Times New Roman"/>
                <w:sz w:val="22"/>
              </w:rPr>
            </w:pPr>
          </w:p>
          <w:p>
            <w:pPr>
              <w:pStyle w:val="TableParagraph"/>
              <w:ind w:left="200" w:right="346"/>
              <w:rPr>
                <w:b/>
                <w:sz w:val="22"/>
              </w:rPr>
            </w:pPr>
            <w:r>
              <w:rPr>
                <w:b/>
                <w:sz w:val="22"/>
              </w:rPr>
              <w:t>Requests for Outreach Events</w:t>
            </w:r>
          </w:p>
        </w:tc>
        <w:tc>
          <w:tcPr>
            <w:tcW w:w="7649" w:type="dxa"/>
            <w:tcBorders>
              <w:top w:val="single" w:sz="4" w:space="0" w:color="000000"/>
              <w:bottom w:val="single" w:sz="4" w:space="0" w:color="000000"/>
            </w:tcBorders>
          </w:tcPr>
          <w:p>
            <w:pPr>
              <w:pStyle w:val="TableParagraph"/>
              <w:spacing w:before="10"/>
              <w:rPr>
                <w:rFonts w:ascii="Times New Roman"/>
                <w:sz w:val="21"/>
              </w:rPr>
            </w:pPr>
          </w:p>
          <w:p>
            <w:pPr>
              <w:pStyle w:val="TableParagraph"/>
              <w:ind w:left="108" w:right="232"/>
              <w:rPr>
                <w:sz w:val="22"/>
              </w:rPr>
            </w:pPr>
            <w:r>
              <w:rPr>
                <w:sz w:val="22"/>
              </w:rPr>
              <w:t>The Division of the State Architect and Procurement Division may work directly with legislators’ offices regarding routine requests for outreach staff to make presentations at events organized or sponsored by the legislator.</w:t>
            </w:r>
          </w:p>
        </w:tc>
      </w:tr>
      <w:tr>
        <w:trPr>
          <w:trHeight w:val="1277" w:hRule="exact"/>
        </w:trPr>
        <w:tc>
          <w:tcPr>
            <w:tcW w:w="1911" w:type="dxa"/>
          </w:tcPr>
          <w:p>
            <w:pPr>
              <w:pStyle w:val="TableParagraph"/>
              <w:spacing w:before="1"/>
              <w:rPr>
                <w:rFonts w:ascii="Times New Roman"/>
                <w:sz w:val="22"/>
              </w:rPr>
            </w:pPr>
          </w:p>
          <w:p>
            <w:pPr>
              <w:pStyle w:val="TableParagraph"/>
              <w:ind w:left="200" w:right="444"/>
              <w:rPr>
                <w:b/>
                <w:sz w:val="22"/>
              </w:rPr>
            </w:pPr>
            <w:r>
              <w:rPr>
                <w:b/>
                <w:sz w:val="22"/>
              </w:rPr>
              <w:t>Employee Association Activities</w:t>
            </w:r>
          </w:p>
        </w:tc>
        <w:tc>
          <w:tcPr>
            <w:tcW w:w="7649" w:type="dxa"/>
            <w:tcBorders>
              <w:top w:val="single" w:sz="4" w:space="0" w:color="000000"/>
              <w:bottom w:val="single" w:sz="4" w:space="0" w:color="000000"/>
            </w:tcBorders>
          </w:tcPr>
          <w:p>
            <w:pPr>
              <w:pStyle w:val="TableParagraph"/>
              <w:spacing w:before="10"/>
              <w:rPr>
                <w:rFonts w:ascii="Times New Roman"/>
                <w:sz w:val="21"/>
              </w:rPr>
            </w:pPr>
          </w:p>
          <w:p>
            <w:pPr>
              <w:pStyle w:val="TableParagraph"/>
              <w:ind w:left="108" w:right="115"/>
              <w:rPr>
                <w:sz w:val="22"/>
              </w:rPr>
            </w:pPr>
            <w:r>
              <w:rPr>
                <w:sz w:val="22"/>
              </w:rPr>
              <w:t>This policy is not intended to limit the ability of DGS staff, in accordance with state law and applicable bargaining unit contracts, to participate in employee association activities that include lobbying the</w:t>
            </w:r>
            <w:r>
              <w:rPr>
                <w:spacing w:val="-26"/>
                <w:sz w:val="22"/>
              </w:rPr>
              <w:t> </w:t>
            </w:r>
            <w:r>
              <w:rPr>
                <w:sz w:val="22"/>
              </w:rPr>
              <w:t>Legislature.</w:t>
            </w:r>
          </w:p>
        </w:tc>
      </w:tr>
      <w:tr>
        <w:trPr>
          <w:trHeight w:val="1536" w:hRule="exact"/>
        </w:trPr>
        <w:tc>
          <w:tcPr>
            <w:tcW w:w="1911" w:type="dxa"/>
          </w:tcPr>
          <w:p>
            <w:pPr>
              <w:pStyle w:val="TableParagraph"/>
              <w:spacing w:before="10"/>
              <w:rPr>
                <w:rFonts w:ascii="Times New Roman"/>
                <w:sz w:val="20"/>
              </w:rPr>
            </w:pPr>
          </w:p>
          <w:p>
            <w:pPr>
              <w:pStyle w:val="TableParagraph"/>
              <w:ind w:left="200" w:right="554"/>
              <w:rPr>
                <w:b/>
                <w:sz w:val="22"/>
              </w:rPr>
            </w:pPr>
            <w:bookmarkStart w:name="Questions/ Contacts" w:id="4"/>
            <w:bookmarkEnd w:id="4"/>
            <w:r>
              <w:rPr/>
            </w:r>
            <w:r>
              <w:rPr>
                <w:b/>
                <w:sz w:val="22"/>
              </w:rPr>
              <w:t>Questions/ Contacts</w:t>
            </w:r>
          </w:p>
        </w:tc>
        <w:tc>
          <w:tcPr>
            <w:tcW w:w="7649" w:type="dxa"/>
            <w:tcBorders>
              <w:top w:val="single" w:sz="4" w:space="0" w:color="000000"/>
              <w:bottom w:val="single" w:sz="4" w:space="0" w:color="000000"/>
            </w:tcBorders>
          </w:tcPr>
          <w:p>
            <w:pPr>
              <w:pStyle w:val="TableParagraph"/>
              <w:spacing w:before="8"/>
              <w:rPr>
                <w:rFonts w:ascii="Times New Roman"/>
                <w:sz w:val="21"/>
              </w:rPr>
            </w:pPr>
          </w:p>
          <w:p>
            <w:pPr>
              <w:pStyle w:val="TableParagraph"/>
              <w:ind w:left="108" w:right="819"/>
              <w:rPr>
                <w:sz w:val="22"/>
              </w:rPr>
            </w:pPr>
            <w:r>
              <w:rPr>
                <w:sz w:val="22"/>
              </w:rPr>
              <w:t>The Office of Legislative Affairs can be reached at (916) 376-5045. A current staff list is available online at </w:t>
            </w:r>
            <w:hyperlink r:id="rId7">
              <w:r>
                <w:rPr>
                  <w:color w:val="0000FF"/>
                  <w:sz w:val="22"/>
                  <w:u w:val="single" w:color="0000FF"/>
                </w:rPr>
                <w:t>http://www.dgs.ca.gov/ola/ContactUs.aspx</w:t>
              </w:r>
            </w:hyperlink>
            <w:r>
              <w:rPr>
                <w:sz w:val="22"/>
              </w:rPr>
              <w:t>.</w:t>
            </w:r>
          </w:p>
        </w:tc>
      </w:tr>
      <w:tr>
        <w:trPr>
          <w:trHeight w:val="1017" w:hRule="exact"/>
        </w:trPr>
        <w:tc>
          <w:tcPr>
            <w:tcW w:w="1911" w:type="dxa"/>
          </w:tcPr>
          <w:p>
            <w:pPr>
              <w:pStyle w:val="TableParagraph"/>
              <w:rPr>
                <w:rFonts w:ascii="Times New Roman"/>
                <w:sz w:val="21"/>
              </w:rPr>
            </w:pPr>
          </w:p>
          <w:p>
            <w:pPr>
              <w:pStyle w:val="TableParagraph"/>
              <w:spacing w:before="1"/>
              <w:ind w:left="202"/>
              <w:rPr>
                <w:b/>
                <w:sz w:val="22"/>
              </w:rPr>
            </w:pPr>
            <w:bookmarkStart w:name="Approval" w:id="5"/>
            <w:bookmarkEnd w:id="5"/>
            <w:r>
              <w:rPr/>
            </w:r>
            <w:r>
              <w:rPr>
                <w:b/>
                <w:sz w:val="22"/>
              </w:rPr>
              <w:t>Approval</w:t>
            </w:r>
          </w:p>
        </w:tc>
        <w:tc>
          <w:tcPr>
            <w:tcW w:w="7649" w:type="dxa"/>
            <w:tcBorders>
              <w:top w:val="single" w:sz="4" w:space="0" w:color="000000"/>
            </w:tcBorders>
          </w:tcPr>
          <w:p>
            <w:pPr/>
          </w:p>
        </w:tc>
      </w:tr>
      <w:tr>
        <w:trPr>
          <w:trHeight w:val="1022" w:hRule="exact"/>
        </w:trPr>
        <w:tc>
          <w:tcPr>
            <w:tcW w:w="1911" w:type="dxa"/>
          </w:tcPr>
          <w:p>
            <w:pPr/>
          </w:p>
        </w:tc>
        <w:tc>
          <w:tcPr>
            <w:tcW w:w="7649" w:type="dxa"/>
          </w:tcPr>
          <w:p>
            <w:pPr>
              <w:pStyle w:val="TableParagraph"/>
              <w:rPr>
                <w:rFonts w:ascii="Times New Roman"/>
                <w:sz w:val="24"/>
              </w:rPr>
            </w:pPr>
          </w:p>
          <w:p>
            <w:pPr>
              <w:pStyle w:val="TableParagraph"/>
              <w:spacing w:before="8"/>
              <w:rPr>
                <w:rFonts w:ascii="Times New Roman"/>
                <w:sz w:val="20"/>
              </w:rPr>
            </w:pPr>
          </w:p>
          <w:p>
            <w:pPr>
              <w:pStyle w:val="TableParagraph"/>
              <w:tabs>
                <w:tab w:pos="4012" w:val="left" w:leader="none"/>
                <w:tab w:pos="5992" w:val="left" w:leader="none"/>
              </w:tabs>
              <w:ind w:left="3153"/>
              <w:jc w:val="center"/>
              <w:rPr>
                <w:sz w:val="22"/>
              </w:rPr>
            </w:pPr>
            <w:r>
              <w:rPr>
                <w:w w:val="100"/>
                <w:sz w:val="22"/>
                <w:u w:val="single"/>
              </w:rPr>
              <w:t> </w:t>
            </w:r>
            <w:r>
              <w:rPr>
                <w:sz w:val="22"/>
                <w:u w:val="single"/>
              </w:rPr>
              <w:tab/>
              <w:t>11-29-2017</w:t>
              <w:tab/>
            </w:r>
          </w:p>
          <w:p>
            <w:pPr>
              <w:pStyle w:val="TableParagraph"/>
              <w:ind w:left="3043"/>
              <w:jc w:val="center"/>
              <w:rPr>
                <w:sz w:val="22"/>
              </w:rPr>
            </w:pPr>
            <w:r>
              <w:rPr>
                <w:sz w:val="22"/>
              </w:rPr>
              <w:t>Date:</w:t>
            </w:r>
          </w:p>
        </w:tc>
      </w:tr>
    </w:tbl>
    <w:sectPr>
      <w:pgSz w:w="12240" w:h="15840"/>
      <w:pgMar w:header="0" w:footer="686" w:top="580" w:bottom="880" w:left="840" w:right="1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56.599998pt;margin-top:743.703491pt;width:44.85pt;height:13.15pt;mso-position-horizontal-relative:page;mso-position-vertical-relative:page;z-index:-5776" type="#_x0000_t202" filled="false" stroked="false">
          <v:textbox inset="0,0,0,0">
            <w:txbxContent>
              <w:p>
                <w:pPr>
                  <w:pStyle w:val="BodyText"/>
                  <w:spacing w:before="12"/>
                  <w:ind w:left="20"/>
                </w:pPr>
                <w:r>
                  <w:rPr/>
                  <w:t>AO 17-02</w:t>
                </w:r>
              </w:p>
            </w:txbxContent>
          </v:textbox>
          <w10:wrap type="none"/>
        </v:shape>
      </w:pict>
    </w:r>
    <w:r>
      <w:rPr/>
      <w:pict>
        <v:shape style="position:absolute;margin-left:523.590515pt;margin-top:743.703491pt;width:28pt;height:13.15pt;mso-position-horizontal-relative:page;mso-position-vertical-relative:page;z-index:-5752" type="#_x0000_t202" filled="false" stroked="false">
          <v:textbox inset="0,0,0,0">
            <w:txbxContent>
              <w:p>
                <w:pPr>
                  <w:pStyle w:val="BodyText"/>
                  <w:spacing w:before="12"/>
                  <w:ind w:left="40"/>
                </w:pPr>
                <w:r>
                  <w:rPr/>
                  <w:fldChar w:fldCharType="begin"/>
                </w:r>
                <w:r>
                  <w:rPr/>
                  <w:instrText> PAGE </w:instrText>
                </w:r>
                <w:r>
                  <w:rPr/>
                  <w:fldChar w:fldCharType="separate"/>
                </w:r>
                <w:r>
                  <w:rPr/>
                  <w:t>1</w:t>
                </w:r>
                <w:r>
                  <w:rPr/>
                  <w:fldChar w:fldCharType="end"/>
                </w:r>
                <w:r>
                  <w:rPr/>
                  <w:t> of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8" w:hanging="361"/>
      </w:pPr>
      <w:rPr>
        <w:rFonts w:hint="default" w:ascii="Symbol" w:hAnsi="Symbol" w:eastAsia="Symbol" w:cs="Symbol"/>
        <w:w w:val="100"/>
        <w:sz w:val="22"/>
        <w:szCs w:val="22"/>
      </w:rPr>
    </w:lvl>
    <w:lvl w:ilvl="1">
      <w:start w:val="0"/>
      <w:numFmt w:val="bullet"/>
      <w:lvlText w:val="•"/>
      <w:lvlJc w:val="left"/>
      <w:pPr>
        <w:ind w:left="1502" w:hanging="361"/>
      </w:pPr>
      <w:rPr>
        <w:rFonts w:hint="default"/>
      </w:rPr>
    </w:lvl>
    <w:lvl w:ilvl="2">
      <w:start w:val="0"/>
      <w:numFmt w:val="bullet"/>
      <w:lvlText w:val="•"/>
      <w:lvlJc w:val="left"/>
      <w:pPr>
        <w:ind w:left="2185" w:hanging="361"/>
      </w:pPr>
      <w:rPr>
        <w:rFonts w:hint="default"/>
      </w:rPr>
    </w:lvl>
    <w:lvl w:ilvl="3">
      <w:start w:val="0"/>
      <w:numFmt w:val="bullet"/>
      <w:lvlText w:val="•"/>
      <w:lvlJc w:val="left"/>
      <w:pPr>
        <w:ind w:left="2868" w:hanging="361"/>
      </w:pPr>
      <w:rPr>
        <w:rFonts w:hint="default"/>
      </w:rPr>
    </w:lvl>
    <w:lvl w:ilvl="4">
      <w:start w:val="0"/>
      <w:numFmt w:val="bullet"/>
      <w:lvlText w:val="•"/>
      <w:lvlJc w:val="left"/>
      <w:pPr>
        <w:ind w:left="3551" w:hanging="361"/>
      </w:pPr>
      <w:rPr>
        <w:rFonts w:hint="default"/>
      </w:rPr>
    </w:lvl>
    <w:lvl w:ilvl="5">
      <w:start w:val="0"/>
      <w:numFmt w:val="bullet"/>
      <w:lvlText w:val="•"/>
      <w:lvlJc w:val="left"/>
      <w:pPr>
        <w:ind w:left="4234" w:hanging="361"/>
      </w:pPr>
      <w:rPr>
        <w:rFonts w:hint="default"/>
      </w:rPr>
    </w:lvl>
    <w:lvl w:ilvl="6">
      <w:start w:val="0"/>
      <w:numFmt w:val="bullet"/>
      <w:lvlText w:val="•"/>
      <w:lvlJc w:val="left"/>
      <w:pPr>
        <w:ind w:left="4917" w:hanging="361"/>
      </w:pPr>
      <w:rPr>
        <w:rFonts w:hint="default"/>
      </w:rPr>
    </w:lvl>
    <w:lvl w:ilvl="7">
      <w:start w:val="0"/>
      <w:numFmt w:val="bullet"/>
      <w:lvlText w:val="•"/>
      <w:lvlJc w:val="left"/>
      <w:pPr>
        <w:ind w:left="5600" w:hanging="361"/>
      </w:pPr>
      <w:rPr>
        <w:rFonts w:hint="default"/>
      </w:rPr>
    </w:lvl>
    <w:lvl w:ilvl="8">
      <w:start w:val="0"/>
      <w:numFmt w:val="bullet"/>
      <w:lvlText w:val="•"/>
      <w:lvlJc w:val="left"/>
      <w:pPr>
        <w:ind w:left="6283" w:hanging="361"/>
      </w:pPr>
      <w:rPr>
        <w:rFonts w:hint="default"/>
      </w:rPr>
    </w:lvl>
  </w:abstractNum>
  <w:abstractNum w:abstractNumId="1">
    <w:multiLevelType w:val="hybridMultilevel"/>
    <w:lvl w:ilvl="0">
      <w:start w:val="0"/>
      <w:numFmt w:val="bullet"/>
      <w:lvlText w:val=""/>
      <w:lvlJc w:val="left"/>
      <w:pPr>
        <w:ind w:left="888" w:hanging="361"/>
      </w:pPr>
      <w:rPr>
        <w:rFonts w:hint="default" w:ascii="Symbol" w:hAnsi="Symbol" w:eastAsia="Symbol" w:cs="Symbol"/>
        <w:w w:val="100"/>
        <w:sz w:val="22"/>
        <w:szCs w:val="22"/>
      </w:rPr>
    </w:lvl>
    <w:lvl w:ilvl="1">
      <w:start w:val="0"/>
      <w:numFmt w:val="bullet"/>
      <w:lvlText w:val="•"/>
      <w:lvlJc w:val="left"/>
      <w:pPr>
        <w:ind w:left="1556" w:hanging="361"/>
      </w:pPr>
      <w:rPr>
        <w:rFonts w:hint="default"/>
      </w:rPr>
    </w:lvl>
    <w:lvl w:ilvl="2">
      <w:start w:val="0"/>
      <w:numFmt w:val="bullet"/>
      <w:lvlText w:val="•"/>
      <w:lvlJc w:val="left"/>
      <w:pPr>
        <w:ind w:left="2233" w:hanging="361"/>
      </w:pPr>
      <w:rPr>
        <w:rFonts w:hint="default"/>
      </w:rPr>
    </w:lvl>
    <w:lvl w:ilvl="3">
      <w:start w:val="0"/>
      <w:numFmt w:val="bullet"/>
      <w:lvlText w:val="•"/>
      <w:lvlJc w:val="left"/>
      <w:pPr>
        <w:ind w:left="2910" w:hanging="361"/>
      </w:pPr>
      <w:rPr>
        <w:rFonts w:hint="default"/>
      </w:rPr>
    </w:lvl>
    <w:lvl w:ilvl="4">
      <w:start w:val="0"/>
      <w:numFmt w:val="bullet"/>
      <w:lvlText w:val="•"/>
      <w:lvlJc w:val="left"/>
      <w:pPr>
        <w:ind w:left="3587" w:hanging="361"/>
      </w:pPr>
      <w:rPr>
        <w:rFonts w:hint="default"/>
      </w:rPr>
    </w:lvl>
    <w:lvl w:ilvl="5">
      <w:start w:val="0"/>
      <w:numFmt w:val="bullet"/>
      <w:lvlText w:val="•"/>
      <w:lvlJc w:val="left"/>
      <w:pPr>
        <w:ind w:left="4264" w:hanging="361"/>
      </w:pPr>
      <w:rPr>
        <w:rFonts w:hint="default"/>
      </w:rPr>
    </w:lvl>
    <w:lvl w:ilvl="6">
      <w:start w:val="0"/>
      <w:numFmt w:val="bullet"/>
      <w:lvlText w:val="•"/>
      <w:lvlJc w:val="left"/>
      <w:pPr>
        <w:ind w:left="4941" w:hanging="361"/>
      </w:pPr>
      <w:rPr>
        <w:rFonts w:hint="default"/>
      </w:rPr>
    </w:lvl>
    <w:lvl w:ilvl="7">
      <w:start w:val="0"/>
      <w:numFmt w:val="bullet"/>
      <w:lvlText w:val="•"/>
      <w:lvlJc w:val="left"/>
      <w:pPr>
        <w:ind w:left="5618" w:hanging="361"/>
      </w:pPr>
      <w:rPr>
        <w:rFonts w:hint="default"/>
      </w:rPr>
    </w:lvl>
    <w:lvl w:ilvl="8">
      <w:start w:val="0"/>
      <w:numFmt w:val="bullet"/>
      <w:lvlText w:val="•"/>
      <w:lvlJc w:val="left"/>
      <w:pPr>
        <w:ind w:left="6295" w:hanging="361"/>
      </w:pPr>
      <w:rPr>
        <w:rFonts w:hint="default"/>
      </w:rPr>
    </w:lvl>
  </w:abstractNum>
  <w:abstractNum w:abstractNumId="0">
    <w:multiLevelType w:val="hybridMultilevel"/>
    <w:lvl w:ilvl="0">
      <w:start w:val="0"/>
      <w:numFmt w:val="bullet"/>
      <w:lvlText w:val=""/>
      <w:lvlJc w:val="left"/>
      <w:pPr>
        <w:ind w:left="828" w:hanging="361"/>
      </w:pPr>
      <w:rPr>
        <w:rFonts w:hint="default" w:ascii="Symbol" w:hAnsi="Symbol" w:eastAsia="Symbol" w:cs="Symbol"/>
        <w:w w:val="100"/>
        <w:sz w:val="22"/>
        <w:szCs w:val="22"/>
      </w:rPr>
    </w:lvl>
    <w:lvl w:ilvl="1">
      <w:start w:val="0"/>
      <w:numFmt w:val="bullet"/>
      <w:lvlText w:val="•"/>
      <w:lvlJc w:val="left"/>
      <w:pPr>
        <w:ind w:left="1502" w:hanging="361"/>
      </w:pPr>
      <w:rPr>
        <w:rFonts w:hint="default"/>
      </w:rPr>
    </w:lvl>
    <w:lvl w:ilvl="2">
      <w:start w:val="0"/>
      <w:numFmt w:val="bullet"/>
      <w:lvlText w:val="•"/>
      <w:lvlJc w:val="left"/>
      <w:pPr>
        <w:ind w:left="2185" w:hanging="361"/>
      </w:pPr>
      <w:rPr>
        <w:rFonts w:hint="default"/>
      </w:rPr>
    </w:lvl>
    <w:lvl w:ilvl="3">
      <w:start w:val="0"/>
      <w:numFmt w:val="bullet"/>
      <w:lvlText w:val="•"/>
      <w:lvlJc w:val="left"/>
      <w:pPr>
        <w:ind w:left="2868" w:hanging="361"/>
      </w:pPr>
      <w:rPr>
        <w:rFonts w:hint="default"/>
      </w:rPr>
    </w:lvl>
    <w:lvl w:ilvl="4">
      <w:start w:val="0"/>
      <w:numFmt w:val="bullet"/>
      <w:lvlText w:val="•"/>
      <w:lvlJc w:val="left"/>
      <w:pPr>
        <w:ind w:left="3551" w:hanging="361"/>
      </w:pPr>
      <w:rPr>
        <w:rFonts w:hint="default"/>
      </w:rPr>
    </w:lvl>
    <w:lvl w:ilvl="5">
      <w:start w:val="0"/>
      <w:numFmt w:val="bullet"/>
      <w:lvlText w:val="•"/>
      <w:lvlJc w:val="left"/>
      <w:pPr>
        <w:ind w:left="4234" w:hanging="361"/>
      </w:pPr>
      <w:rPr>
        <w:rFonts w:hint="default"/>
      </w:rPr>
    </w:lvl>
    <w:lvl w:ilvl="6">
      <w:start w:val="0"/>
      <w:numFmt w:val="bullet"/>
      <w:lvlText w:val="•"/>
      <w:lvlJc w:val="left"/>
      <w:pPr>
        <w:ind w:left="4917" w:hanging="361"/>
      </w:pPr>
      <w:rPr>
        <w:rFonts w:hint="default"/>
      </w:rPr>
    </w:lvl>
    <w:lvl w:ilvl="7">
      <w:start w:val="0"/>
      <w:numFmt w:val="bullet"/>
      <w:lvlText w:val="•"/>
      <w:lvlJc w:val="left"/>
      <w:pPr>
        <w:ind w:left="5600" w:hanging="361"/>
      </w:pPr>
      <w:rPr>
        <w:rFonts w:hint="default"/>
      </w:rPr>
    </w:lvl>
    <w:lvl w:ilvl="8">
      <w:start w:val="0"/>
      <w:numFmt w:val="bullet"/>
      <w:lvlText w:val="•"/>
      <w:lvlJc w:val="left"/>
      <w:pPr>
        <w:ind w:left="6283" w:hanging="361"/>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www.dgs.ca.gov/ola/ContactUs.aspx"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of California</dc:creator>
  <dc:title>STATE OF CALIFORNIA</dc:title>
  <dcterms:created xsi:type="dcterms:W3CDTF">2017-12-28T10:06:21Z</dcterms:created>
  <dcterms:modified xsi:type="dcterms:W3CDTF">2017-12-28T10:06:21Z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2017-11-29T00:00:00Z</vt:filetime>
  </property>
  <property fmtid="{D5CDD505-2E9C-101B-9397-08002B2CF9AE}" pid="3" name="Creator">
    <vt:lpwstr>Acrobat PDFMaker 15 for Word</vt:lpwstr>
  </property>
  <property fmtid="{D5CDD505-2E9C-101B-9397-08002B2CF9AE}" pid="4" name="LastSaved">
    <vt:filetime>2017-12-28T00:00:00Z</vt:filetime>
  </property>
</Properties>
</file>