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DC7F" w14:textId="4B49ECD6"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California Building Standards Commission</w:t>
      </w:r>
    </w:p>
    <w:p w14:paraId="6B297EF4" w14:textId="5A83F662"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2525 Natomas Park Drive, Suite 130</w:t>
      </w:r>
      <w:r w:rsidRPr="0080338D">
        <w:rPr>
          <w:rFonts w:ascii="Times New Roman" w:hAnsi="Times New Roman" w:cs="Times New Roman"/>
          <w:sz w:val="23"/>
          <w:szCs w:val="23"/>
        </w:rPr>
        <w:br/>
        <w:t>Sacramento, CA 95833</w:t>
      </w:r>
    </w:p>
    <w:p w14:paraId="313B07F6" w14:textId="77777777" w:rsidR="0080338D" w:rsidRPr="0080338D" w:rsidRDefault="0080338D" w:rsidP="0080338D">
      <w:pPr>
        <w:spacing w:after="0" w:line="240" w:lineRule="auto"/>
        <w:rPr>
          <w:rFonts w:ascii="Times New Roman" w:hAnsi="Times New Roman" w:cs="Times New Roman"/>
          <w:sz w:val="23"/>
          <w:szCs w:val="23"/>
        </w:rPr>
      </w:pPr>
    </w:p>
    <w:p w14:paraId="76ECA1A1" w14:textId="49E6F7EE" w:rsidR="0080338D" w:rsidRPr="0080338D" w:rsidRDefault="0080338D" w:rsidP="0080338D">
      <w:pPr>
        <w:spacing w:after="0" w:line="240" w:lineRule="auto"/>
        <w:rPr>
          <w:rFonts w:ascii="Times New Roman" w:hAnsi="Times New Roman" w:cs="Times New Roman"/>
          <w:b/>
          <w:bCs/>
          <w:sz w:val="23"/>
          <w:szCs w:val="23"/>
        </w:rPr>
      </w:pPr>
      <w:r w:rsidRPr="0080338D">
        <w:rPr>
          <w:rFonts w:ascii="Times New Roman" w:hAnsi="Times New Roman" w:cs="Times New Roman"/>
          <w:b/>
          <w:bCs/>
          <w:sz w:val="23"/>
          <w:szCs w:val="23"/>
        </w:rPr>
        <w:t xml:space="preserve">Re: Concerns with Proposed Reclassification of a Child Care Center from Group E to Group I-4 </w:t>
      </w:r>
    </w:p>
    <w:p w14:paraId="298A5DD0" w14:textId="77777777" w:rsidR="0080338D" w:rsidRPr="0080338D" w:rsidRDefault="0080338D" w:rsidP="0080338D">
      <w:pPr>
        <w:spacing w:after="0" w:line="240" w:lineRule="auto"/>
        <w:rPr>
          <w:rFonts w:ascii="Times New Roman" w:hAnsi="Times New Roman" w:cs="Times New Roman"/>
          <w:sz w:val="23"/>
          <w:szCs w:val="23"/>
        </w:rPr>
      </w:pPr>
    </w:p>
    <w:p w14:paraId="74573BBF" w14:textId="6F018CFB"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To the California Building Standards Commission:</w:t>
      </w:r>
    </w:p>
    <w:p w14:paraId="6E5836DE" w14:textId="77777777" w:rsidR="0080338D" w:rsidRPr="0080338D" w:rsidRDefault="0080338D" w:rsidP="0080338D">
      <w:pPr>
        <w:spacing w:after="0" w:line="240" w:lineRule="auto"/>
        <w:rPr>
          <w:rFonts w:ascii="Times New Roman" w:hAnsi="Times New Roman" w:cs="Times New Roman"/>
          <w:sz w:val="23"/>
          <w:szCs w:val="23"/>
        </w:rPr>
      </w:pPr>
    </w:p>
    <w:p w14:paraId="6C193AE4" w14:textId="05FE162D" w:rsidR="0080338D" w:rsidRPr="0080338D" w:rsidRDefault="0080338D" w:rsidP="0080338D">
      <w:pPr>
        <w:spacing w:after="0" w:line="240" w:lineRule="auto"/>
        <w:rPr>
          <w:rFonts w:ascii="Times New Roman" w:hAnsi="Times New Roman" w:cs="Times New Roman"/>
          <w:sz w:val="23"/>
          <w:szCs w:val="23"/>
        </w:rPr>
      </w:pPr>
      <w:r>
        <w:rPr>
          <w:rFonts w:ascii="Times New Roman" w:hAnsi="Times New Roman" w:cs="Times New Roman"/>
          <w:sz w:val="23"/>
          <w:szCs w:val="23"/>
        </w:rPr>
        <w:t>I</w:t>
      </w:r>
      <w:r w:rsidRPr="0080338D">
        <w:rPr>
          <w:rFonts w:ascii="Times New Roman" w:hAnsi="Times New Roman" w:cs="Times New Roman"/>
          <w:sz w:val="23"/>
          <w:szCs w:val="23"/>
        </w:rPr>
        <w:t xml:space="preserve"> want to thank you for the opportunity to submit public comments regarding the proposed changes to the Intervening Supplement to the 2025 California Building Standards Code (Title 24)</w:t>
      </w:r>
      <w:r>
        <w:rPr>
          <w:rFonts w:ascii="Times New Roman" w:hAnsi="Times New Roman" w:cs="Times New Roman"/>
          <w:sz w:val="23"/>
          <w:szCs w:val="23"/>
        </w:rPr>
        <w:t>. I work for Educational Enrichment Systems, Inc. (EES), a</w:t>
      </w:r>
      <w:r w:rsidRPr="0080338D">
        <w:rPr>
          <w:rFonts w:ascii="Times New Roman" w:hAnsi="Times New Roman" w:cs="Times New Roman"/>
          <w:sz w:val="23"/>
          <w:szCs w:val="23"/>
        </w:rPr>
        <w:t xml:space="preserve"> </w:t>
      </w:r>
      <w:r>
        <w:rPr>
          <w:rFonts w:ascii="Times New Roman" w:hAnsi="Times New Roman" w:cs="Times New Roman"/>
          <w:sz w:val="23"/>
          <w:szCs w:val="23"/>
        </w:rPr>
        <w:t xml:space="preserve">non-profit Title 5 early education agency that contracts with CDE and CDSS to operate 20 subsidized </w:t>
      </w:r>
      <w:proofErr w:type="gramStart"/>
      <w:r>
        <w:rPr>
          <w:rFonts w:ascii="Times New Roman" w:hAnsi="Times New Roman" w:cs="Times New Roman"/>
          <w:sz w:val="23"/>
          <w:szCs w:val="23"/>
        </w:rPr>
        <w:t>child care</w:t>
      </w:r>
      <w:proofErr w:type="gramEnd"/>
      <w:r>
        <w:rPr>
          <w:rFonts w:ascii="Times New Roman" w:hAnsi="Times New Roman" w:cs="Times New Roman"/>
          <w:sz w:val="23"/>
          <w:szCs w:val="23"/>
        </w:rPr>
        <w:t xml:space="preserve"> centers in San Diego County. </w:t>
      </w:r>
      <w:r w:rsidRPr="0080338D">
        <w:rPr>
          <w:rFonts w:ascii="Times New Roman" w:hAnsi="Times New Roman" w:cs="Times New Roman"/>
          <w:sz w:val="23"/>
          <w:szCs w:val="23"/>
        </w:rPr>
        <w:t xml:space="preserve">While </w:t>
      </w:r>
      <w:r>
        <w:rPr>
          <w:rFonts w:ascii="Times New Roman" w:hAnsi="Times New Roman" w:cs="Times New Roman"/>
          <w:sz w:val="23"/>
          <w:szCs w:val="23"/>
        </w:rPr>
        <w:t>I</w:t>
      </w:r>
      <w:r w:rsidRPr="0080338D">
        <w:rPr>
          <w:rFonts w:ascii="Times New Roman" w:hAnsi="Times New Roman" w:cs="Times New Roman"/>
          <w:sz w:val="23"/>
          <w:szCs w:val="23"/>
        </w:rPr>
        <w:t xml:space="preserve"> </w:t>
      </w:r>
      <w:r>
        <w:rPr>
          <w:rFonts w:ascii="Times New Roman" w:hAnsi="Times New Roman" w:cs="Times New Roman"/>
          <w:sz w:val="23"/>
          <w:szCs w:val="23"/>
        </w:rPr>
        <w:t xml:space="preserve">wholeheartedly </w:t>
      </w:r>
      <w:r w:rsidRPr="0080338D">
        <w:rPr>
          <w:rFonts w:ascii="Times New Roman" w:hAnsi="Times New Roman" w:cs="Times New Roman"/>
          <w:sz w:val="23"/>
          <w:szCs w:val="23"/>
        </w:rPr>
        <w:t>support the general intent of the</w:t>
      </w:r>
      <w:r>
        <w:rPr>
          <w:rFonts w:ascii="Times New Roman" w:hAnsi="Times New Roman" w:cs="Times New Roman"/>
          <w:sz w:val="23"/>
          <w:szCs w:val="23"/>
        </w:rPr>
        <w:t xml:space="preserve"> Commission </w:t>
      </w:r>
      <w:r w:rsidRPr="0080338D">
        <w:rPr>
          <w:rFonts w:ascii="Times New Roman" w:hAnsi="Times New Roman" w:cs="Times New Roman"/>
          <w:sz w:val="23"/>
          <w:szCs w:val="23"/>
        </w:rPr>
        <w:t xml:space="preserve">to ensure program safety, </w:t>
      </w:r>
      <w:r>
        <w:rPr>
          <w:rFonts w:ascii="Times New Roman" w:hAnsi="Times New Roman" w:cs="Times New Roman"/>
          <w:sz w:val="23"/>
          <w:szCs w:val="23"/>
        </w:rPr>
        <w:t>I</w:t>
      </w:r>
      <w:r w:rsidRPr="0080338D">
        <w:rPr>
          <w:rFonts w:ascii="Times New Roman" w:hAnsi="Times New Roman" w:cs="Times New Roman"/>
          <w:sz w:val="23"/>
          <w:szCs w:val="23"/>
        </w:rPr>
        <w:t xml:space="preserve"> have significant concerns regarding the proposed reclassification of a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center from Group E (Educational) to Group I-4 (Institutional) when serving more than six children under 36 months of age.</w:t>
      </w:r>
    </w:p>
    <w:p w14:paraId="22304106" w14:textId="77777777" w:rsidR="0080338D" w:rsidRPr="0080338D" w:rsidRDefault="0080338D" w:rsidP="0080338D">
      <w:pPr>
        <w:spacing w:after="0" w:line="240" w:lineRule="auto"/>
        <w:rPr>
          <w:rFonts w:ascii="Times New Roman" w:hAnsi="Times New Roman" w:cs="Times New Roman"/>
          <w:sz w:val="23"/>
          <w:szCs w:val="23"/>
        </w:rPr>
      </w:pPr>
    </w:p>
    <w:p w14:paraId="669B6307" w14:textId="4C6E0357" w:rsidR="0080338D" w:rsidRPr="0080338D" w:rsidRDefault="0080338D" w:rsidP="0080338D">
      <w:pPr>
        <w:spacing w:after="0" w:line="240" w:lineRule="auto"/>
        <w:rPr>
          <w:rFonts w:ascii="Times New Roman" w:hAnsi="Times New Roman" w:cs="Times New Roman"/>
          <w:sz w:val="23"/>
          <w:szCs w:val="23"/>
        </w:rPr>
      </w:pPr>
      <w:r w:rsidRPr="00785658">
        <w:rPr>
          <w:rFonts w:ascii="Times New Roman" w:hAnsi="Times New Roman" w:cs="Times New Roman"/>
          <w:b/>
          <w:bCs/>
          <w:sz w:val="23"/>
          <w:szCs w:val="23"/>
          <w:u w:val="single"/>
        </w:rPr>
        <w:t>1. Impact on Child Care Capacity and Access</w:t>
      </w:r>
      <w:r w:rsidRPr="00785658">
        <w:rPr>
          <w:rFonts w:ascii="Times New Roman" w:hAnsi="Times New Roman" w:cs="Times New Roman"/>
          <w:sz w:val="23"/>
          <w:szCs w:val="23"/>
          <w:u w:val="single"/>
        </w:rPr>
        <w:br/>
      </w:r>
      <w:r w:rsidRPr="0080338D">
        <w:rPr>
          <w:rFonts w:ascii="Times New Roman" w:hAnsi="Times New Roman" w:cs="Times New Roman"/>
          <w:sz w:val="23"/>
          <w:szCs w:val="23"/>
        </w:rPr>
        <w:t xml:space="preserve">The financial burden of </w:t>
      </w:r>
      <w:r>
        <w:rPr>
          <w:rFonts w:ascii="Times New Roman" w:hAnsi="Times New Roman" w:cs="Times New Roman"/>
          <w:sz w:val="23"/>
          <w:szCs w:val="23"/>
        </w:rPr>
        <w:t xml:space="preserve">Group I-4 </w:t>
      </w:r>
      <w:r w:rsidRPr="0080338D">
        <w:rPr>
          <w:rFonts w:ascii="Times New Roman" w:hAnsi="Times New Roman" w:cs="Times New Roman"/>
          <w:sz w:val="23"/>
          <w:szCs w:val="23"/>
        </w:rPr>
        <w:t xml:space="preserve">building standards will prevent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centers like ours from using our full licensed capacity to serve infants. Strict I-4 requirements are cost prohibitive for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programs and will exacerbate the shortage of infant care slots. Throughout California there is already a huge gap between the number of children who meet eligibility criteria for publicly funded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programs and those currently served. Per the most 2025-2026 San Diego County Zip Code Priority Report (published by the San Diego County Child Care and Development Planning Council) approximately 82% of eligible infants and toddlers are </w:t>
      </w:r>
      <w:r w:rsidRPr="0080338D">
        <w:rPr>
          <w:rFonts w:ascii="Times New Roman" w:hAnsi="Times New Roman" w:cs="Times New Roman"/>
          <w:b/>
          <w:bCs/>
          <w:sz w:val="23"/>
          <w:szCs w:val="23"/>
        </w:rPr>
        <w:t>not</w:t>
      </w:r>
      <w:r w:rsidRPr="0080338D">
        <w:rPr>
          <w:rFonts w:ascii="Times New Roman" w:hAnsi="Times New Roman" w:cs="Times New Roman"/>
          <w:sz w:val="23"/>
          <w:szCs w:val="23"/>
        </w:rPr>
        <w:t xml:space="preserve"> receiving publicly funded care because of the exorbitant cost to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providers to serve this population. The increased cost of I-4 building standards will only exacerbate the infant care access crisis.</w:t>
      </w:r>
    </w:p>
    <w:p w14:paraId="4826E640" w14:textId="2D0A0620" w:rsidR="0080338D" w:rsidRPr="0080338D" w:rsidRDefault="0080338D" w:rsidP="0080338D">
      <w:pPr>
        <w:spacing w:after="0" w:line="240" w:lineRule="auto"/>
        <w:rPr>
          <w:rFonts w:ascii="Times New Roman" w:hAnsi="Times New Roman" w:cs="Times New Roman"/>
          <w:sz w:val="23"/>
          <w:szCs w:val="23"/>
        </w:rPr>
      </w:pPr>
      <w:r w:rsidRPr="00785658">
        <w:rPr>
          <w:rFonts w:ascii="Times New Roman" w:hAnsi="Times New Roman" w:cs="Times New Roman"/>
          <w:b/>
          <w:bCs/>
          <w:sz w:val="23"/>
          <w:szCs w:val="23"/>
          <w:u w:val="single"/>
        </w:rPr>
        <w:t>2. Prohibitive Costs of "Change of Occupancy" Requirements</w:t>
      </w:r>
      <w:r w:rsidRPr="0080338D">
        <w:rPr>
          <w:rFonts w:ascii="Times New Roman" w:hAnsi="Times New Roman" w:cs="Times New Roman"/>
          <w:sz w:val="23"/>
          <w:szCs w:val="23"/>
        </w:rPr>
        <w:br/>
        <w:t xml:space="preserve">Current code interpretations often require a "change of occupancy" designation to move from Group E to Group I-4. This new designation has several high-cost requirements, including the installation of smoke barriers and one-hour fire-resistive wall ratings. Also, under Title 24, Part 9, local fire officials may require </w:t>
      </w:r>
      <w:proofErr w:type="gramStart"/>
      <w:r w:rsidRPr="0080338D">
        <w:rPr>
          <w:rFonts w:ascii="Times New Roman" w:hAnsi="Times New Roman" w:cs="Times New Roman"/>
          <w:sz w:val="23"/>
          <w:szCs w:val="23"/>
        </w:rPr>
        <w:t>full</w:t>
      </w:r>
      <w:proofErr w:type="gramEnd"/>
      <w:r w:rsidRPr="0080338D">
        <w:rPr>
          <w:rFonts w:ascii="Times New Roman" w:hAnsi="Times New Roman" w:cs="Times New Roman"/>
          <w:sz w:val="23"/>
          <w:szCs w:val="23"/>
        </w:rPr>
        <w:t xml:space="preserve"> automatic fire sprinkler systems for any occupancy change deemed "more hazardous."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programs like </w:t>
      </w:r>
      <w:r>
        <w:rPr>
          <w:rFonts w:ascii="Times New Roman" w:hAnsi="Times New Roman" w:cs="Times New Roman"/>
          <w:sz w:val="23"/>
          <w:szCs w:val="23"/>
        </w:rPr>
        <w:t>EES</w:t>
      </w:r>
      <w:r w:rsidRPr="0080338D">
        <w:rPr>
          <w:rFonts w:ascii="Times New Roman" w:hAnsi="Times New Roman" w:cs="Times New Roman"/>
          <w:sz w:val="23"/>
          <w:szCs w:val="23"/>
        </w:rPr>
        <w:t xml:space="preserve"> already operate on very slim margins. </w:t>
      </w:r>
      <w:r>
        <w:rPr>
          <w:rFonts w:ascii="Times New Roman" w:hAnsi="Times New Roman" w:cs="Times New Roman"/>
          <w:sz w:val="23"/>
          <w:szCs w:val="23"/>
        </w:rPr>
        <w:t>I am very concerned that the</w:t>
      </w:r>
      <w:r w:rsidRPr="0080338D">
        <w:rPr>
          <w:rFonts w:ascii="Times New Roman" w:hAnsi="Times New Roman" w:cs="Times New Roman"/>
          <w:sz w:val="23"/>
          <w:szCs w:val="23"/>
        </w:rPr>
        <w:t xml:space="preserve"> cost to retrofit facilities per Group I-4 requirements </w:t>
      </w:r>
      <w:r>
        <w:rPr>
          <w:rFonts w:ascii="Times New Roman" w:hAnsi="Times New Roman" w:cs="Times New Roman"/>
          <w:sz w:val="23"/>
          <w:szCs w:val="23"/>
        </w:rPr>
        <w:t xml:space="preserve">will </w:t>
      </w:r>
      <w:r w:rsidRPr="0080338D">
        <w:rPr>
          <w:rFonts w:ascii="Times New Roman" w:hAnsi="Times New Roman" w:cs="Times New Roman"/>
          <w:sz w:val="23"/>
          <w:szCs w:val="23"/>
        </w:rPr>
        <w:t xml:space="preserve">result in mass facilities closures further limiting working family access to infant </w:t>
      </w:r>
      <w:r>
        <w:rPr>
          <w:rFonts w:ascii="Times New Roman" w:hAnsi="Times New Roman" w:cs="Times New Roman"/>
          <w:sz w:val="23"/>
          <w:szCs w:val="23"/>
        </w:rPr>
        <w:t xml:space="preserve">and toddler </w:t>
      </w:r>
      <w:r w:rsidRPr="0080338D">
        <w:rPr>
          <w:rFonts w:ascii="Times New Roman" w:hAnsi="Times New Roman" w:cs="Times New Roman"/>
          <w:sz w:val="23"/>
          <w:szCs w:val="23"/>
        </w:rPr>
        <w:t>care.</w:t>
      </w:r>
      <w:r w:rsidR="00785658">
        <w:rPr>
          <w:rFonts w:ascii="Times New Roman" w:hAnsi="Times New Roman" w:cs="Times New Roman"/>
          <w:sz w:val="23"/>
          <w:szCs w:val="23"/>
        </w:rPr>
        <w:t xml:space="preserve"> </w:t>
      </w:r>
    </w:p>
    <w:p w14:paraId="3E5052CC" w14:textId="552DC20D" w:rsidR="0080338D" w:rsidRPr="0080338D" w:rsidRDefault="0080338D" w:rsidP="00785658">
      <w:pPr>
        <w:spacing w:after="0" w:line="240" w:lineRule="auto"/>
        <w:rPr>
          <w:rFonts w:ascii="Times New Roman" w:hAnsi="Times New Roman" w:cs="Times New Roman"/>
          <w:sz w:val="23"/>
          <w:szCs w:val="23"/>
        </w:rPr>
      </w:pPr>
      <w:r w:rsidRPr="00785658">
        <w:rPr>
          <w:rFonts w:ascii="Times New Roman" w:hAnsi="Times New Roman" w:cs="Times New Roman"/>
          <w:b/>
          <w:bCs/>
          <w:sz w:val="23"/>
          <w:szCs w:val="23"/>
          <w:u w:val="single"/>
        </w:rPr>
        <w:t>3. Recommendation for Workable Solutions</w:t>
      </w:r>
      <w:r w:rsidRPr="0080338D">
        <w:rPr>
          <w:rFonts w:ascii="Times New Roman" w:hAnsi="Times New Roman" w:cs="Times New Roman"/>
          <w:sz w:val="23"/>
          <w:szCs w:val="23"/>
        </w:rPr>
        <w:br/>
      </w:r>
      <w:r>
        <w:rPr>
          <w:rFonts w:ascii="Times New Roman" w:hAnsi="Times New Roman" w:cs="Times New Roman"/>
          <w:sz w:val="23"/>
          <w:szCs w:val="23"/>
        </w:rPr>
        <w:t>I</w:t>
      </w:r>
      <w:r w:rsidRPr="0080338D">
        <w:rPr>
          <w:rFonts w:ascii="Times New Roman" w:hAnsi="Times New Roman" w:cs="Times New Roman"/>
          <w:sz w:val="23"/>
          <w:szCs w:val="23"/>
        </w:rPr>
        <w:t xml:space="preserve"> urge the Commission to consider more flexible amendments that maintain high safety standards without the </w:t>
      </w:r>
      <w:r w:rsidRPr="00785658">
        <w:rPr>
          <w:rFonts w:ascii="Times New Roman" w:hAnsi="Times New Roman" w:cs="Times New Roman"/>
          <w:sz w:val="23"/>
          <w:szCs w:val="23"/>
        </w:rPr>
        <w:t>prohibitive costs of full institutional reclassification</w:t>
      </w:r>
      <w:r w:rsidR="00785658">
        <w:rPr>
          <w:rFonts w:ascii="Times New Roman" w:hAnsi="Times New Roman" w:cs="Times New Roman"/>
          <w:sz w:val="23"/>
          <w:szCs w:val="23"/>
        </w:rPr>
        <w:t>. The</w:t>
      </w:r>
      <w:r w:rsidR="00785658" w:rsidRPr="00785658">
        <w:rPr>
          <w:rFonts w:ascii="Times New Roman" w:hAnsi="Times New Roman" w:cs="Times New Roman"/>
          <w:sz w:val="23"/>
          <w:szCs w:val="23"/>
        </w:rPr>
        <w:t xml:space="preserve"> Commission </w:t>
      </w:r>
      <w:r w:rsidR="00785658">
        <w:rPr>
          <w:rFonts w:ascii="Times New Roman" w:hAnsi="Times New Roman" w:cs="Times New Roman"/>
          <w:sz w:val="23"/>
          <w:szCs w:val="23"/>
        </w:rPr>
        <w:t xml:space="preserve">should </w:t>
      </w:r>
      <w:r w:rsidR="00785658" w:rsidRPr="00785658">
        <w:rPr>
          <w:rFonts w:ascii="Times New Roman" w:hAnsi="Times New Roman" w:cs="Times New Roman"/>
          <w:sz w:val="23"/>
          <w:szCs w:val="23"/>
        </w:rPr>
        <w:t>create</w:t>
      </w:r>
      <w:r w:rsidRPr="00785658">
        <w:rPr>
          <w:rFonts w:ascii="Times New Roman" w:hAnsi="Times New Roman" w:cs="Times New Roman"/>
          <w:sz w:val="23"/>
          <w:szCs w:val="23"/>
        </w:rPr>
        <w:t xml:space="preserve"> </w:t>
      </w:r>
      <w:r w:rsidR="00785658" w:rsidRPr="00785658">
        <w:rPr>
          <w:rFonts w:ascii="Times New Roman" w:hAnsi="Times New Roman" w:cs="Times New Roman"/>
          <w:sz w:val="23"/>
          <w:szCs w:val="23"/>
        </w:rPr>
        <w:t>a</w:t>
      </w:r>
      <w:r w:rsidRPr="00785658">
        <w:rPr>
          <w:rFonts w:ascii="Times New Roman" w:hAnsi="Times New Roman" w:cs="Times New Roman"/>
          <w:sz w:val="23"/>
          <w:szCs w:val="23"/>
        </w:rPr>
        <w:t xml:space="preserve"> </w:t>
      </w:r>
      <w:proofErr w:type="gramStart"/>
      <w:r w:rsidR="00785658" w:rsidRPr="00785658">
        <w:rPr>
          <w:rFonts w:ascii="Times New Roman" w:hAnsi="Times New Roman" w:cs="Times New Roman"/>
          <w:sz w:val="23"/>
          <w:szCs w:val="23"/>
        </w:rPr>
        <w:t>child care</w:t>
      </w:r>
      <w:proofErr w:type="gramEnd"/>
      <w:r w:rsidR="00785658" w:rsidRPr="00785658">
        <w:rPr>
          <w:rFonts w:ascii="Times New Roman" w:hAnsi="Times New Roman" w:cs="Times New Roman"/>
          <w:sz w:val="23"/>
          <w:szCs w:val="23"/>
        </w:rPr>
        <w:t xml:space="preserve"> carve out for </w:t>
      </w:r>
      <w:proofErr w:type="gramStart"/>
      <w:r w:rsidR="00785658" w:rsidRPr="00785658">
        <w:rPr>
          <w:rFonts w:ascii="Times New Roman" w:hAnsi="Times New Roman" w:cs="Times New Roman"/>
          <w:sz w:val="23"/>
          <w:szCs w:val="23"/>
        </w:rPr>
        <w:t>child care</w:t>
      </w:r>
      <w:proofErr w:type="gramEnd"/>
      <w:r w:rsidR="00785658" w:rsidRPr="00785658">
        <w:rPr>
          <w:rFonts w:ascii="Times New Roman" w:hAnsi="Times New Roman" w:cs="Times New Roman"/>
          <w:sz w:val="23"/>
          <w:szCs w:val="23"/>
        </w:rPr>
        <w:t xml:space="preserve"> centers that meet specific enhanced E-occupancy safety measures. Moreover, the Commission should align the building code age definitions with licensing definitions to avoid confusion and ensure cohesive interpretation and implementation of safety standards across the state</w:t>
      </w:r>
      <w:r w:rsidRPr="00785658">
        <w:rPr>
          <w:rFonts w:ascii="Times New Roman" w:hAnsi="Times New Roman" w:cs="Times New Roman"/>
          <w:sz w:val="23"/>
          <w:szCs w:val="23"/>
        </w:rPr>
        <w:t>.</w:t>
      </w:r>
      <w:r w:rsidR="00785658" w:rsidRPr="00785658">
        <w:rPr>
          <w:rFonts w:ascii="Times New Roman" w:hAnsi="Times New Roman" w:cs="Times New Roman"/>
          <w:sz w:val="23"/>
          <w:szCs w:val="23"/>
        </w:rPr>
        <w:t xml:space="preserve"> The Commission has the opportunity to </w:t>
      </w:r>
      <w:r w:rsidRPr="00785658">
        <w:rPr>
          <w:rFonts w:ascii="Times New Roman" w:hAnsi="Times New Roman" w:cs="Times New Roman"/>
          <w:sz w:val="23"/>
          <w:szCs w:val="23"/>
        </w:rPr>
        <w:t>support both child safety and the expansion of much-needed infant and toddler care slots.</w:t>
      </w:r>
      <w:r w:rsidR="00785658">
        <w:rPr>
          <w:rFonts w:ascii="Times New Roman" w:hAnsi="Times New Roman" w:cs="Times New Roman"/>
          <w:sz w:val="23"/>
          <w:szCs w:val="23"/>
        </w:rPr>
        <w:t xml:space="preserve"> </w:t>
      </w:r>
    </w:p>
    <w:p w14:paraId="3799AE59" w14:textId="77777777" w:rsidR="0080338D" w:rsidRPr="0080338D" w:rsidRDefault="0080338D" w:rsidP="0080338D">
      <w:pPr>
        <w:spacing w:after="0" w:line="240" w:lineRule="auto"/>
        <w:rPr>
          <w:rFonts w:ascii="Times New Roman" w:hAnsi="Times New Roman" w:cs="Times New Roman"/>
          <w:sz w:val="23"/>
          <w:szCs w:val="23"/>
        </w:rPr>
      </w:pPr>
    </w:p>
    <w:p w14:paraId="2A852CE2" w14:textId="77777777"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Thank you for your time and for your consideration of these comments.</w:t>
      </w:r>
    </w:p>
    <w:p w14:paraId="45F8F61B" w14:textId="77777777" w:rsidR="0080338D" w:rsidRPr="0080338D" w:rsidRDefault="0080338D" w:rsidP="0080338D">
      <w:pPr>
        <w:spacing w:after="0" w:line="240" w:lineRule="auto"/>
        <w:rPr>
          <w:rFonts w:ascii="Times New Roman" w:hAnsi="Times New Roman" w:cs="Times New Roman"/>
          <w:sz w:val="23"/>
          <w:szCs w:val="23"/>
        </w:rPr>
      </w:pPr>
    </w:p>
    <w:p w14:paraId="5217AC99" w14:textId="77777777" w:rsidR="0080338D" w:rsidRPr="0080338D" w:rsidRDefault="6D026167" w:rsidP="0080338D">
      <w:pPr>
        <w:spacing w:after="0" w:line="240" w:lineRule="auto"/>
        <w:rPr>
          <w:rFonts w:ascii="Times New Roman" w:hAnsi="Times New Roman" w:cs="Times New Roman"/>
          <w:sz w:val="23"/>
          <w:szCs w:val="23"/>
        </w:rPr>
      </w:pPr>
      <w:r w:rsidRPr="7FF6C262">
        <w:rPr>
          <w:rFonts w:ascii="Times New Roman" w:hAnsi="Times New Roman" w:cs="Times New Roman"/>
          <w:sz w:val="23"/>
          <w:szCs w:val="23"/>
        </w:rPr>
        <w:t>Sincerely,</w:t>
      </w:r>
    </w:p>
    <w:p w14:paraId="57FD07E6" w14:textId="7FE625A8" w:rsidR="7FF6C262" w:rsidRDefault="7FF6C262" w:rsidP="7FF6C262">
      <w:pPr>
        <w:spacing w:after="0" w:line="240" w:lineRule="auto"/>
        <w:rPr>
          <w:rFonts w:ascii="Times New Roman" w:hAnsi="Times New Roman" w:cs="Times New Roman"/>
          <w:sz w:val="23"/>
          <w:szCs w:val="23"/>
        </w:rPr>
      </w:pPr>
    </w:p>
    <w:p w14:paraId="6E8ED730" w14:textId="451523B1" w:rsidR="449AE105" w:rsidRDefault="449AE105" w:rsidP="7FF6C262">
      <w:pPr>
        <w:spacing w:after="0" w:line="240" w:lineRule="auto"/>
        <w:rPr>
          <w:rFonts w:ascii="Times New Roman" w:hAnsi="Times New Roman" w:cs="Times New Roman"/>
          <w:sz w:val="23"/>
          <w:szCs w:val="23"/>
        </w:rPr>
      </w:pPr>
      <w:r w:rsidRPr="7FF6C262">
        <w:rPr>
          <w:rFonts w:ascii="Times New Roman" w:hAnsi="Times New Roman" w:cs="Times New Roman"/>
          <w:sz w:val="23"/>
          <w:szCs w:val="23"/>
        </w:rPr>
        <w:t xml:space="preserve">Amber </w:t>
      </w:r>
      <w:proofErr w:type="spellStart"/>
      <w:r w:rsidRPr="7FF6C262">
        <w:rPr>
          <w:rFonts w:ascii="Times New Roman" w:hAnsi="Times New Roman" w:cs="Times New Roman"/>
          <w:sz w:val="23"/>
          <w:szCs w:val="23"/>
        </w:rPr>
        <w:t>Polancic</w:t>
      </w:r>
      <w:proofErr w:type="spellEnd"/>
    </w:p>
    <w:p w14:paraId="28B6FE5E" w14:textId="1CD6F4D4" w:rsidR="449AE105" w:rsidRDefault="449AE105" w:rsidP="7FF6C262">
      <w:pPr>
        <w:spacing w:after="0" w:line="240" w:lineRule="auto"/>
        <w:rPr>
          <w:rFonts w:ascii="Times New Roman" w:hAnsi="Times New Roman" w:cs="Times New Roman"/>
          <w:sz w:val="23"/>
          <w:szCs w:val="23"/>
        </w:rPr>
      </w:pPr>
      <w:r w:rsidRPr="7FF6C262">
        <w:rPr>
          <w:rFonts w:ascii="Times New Roman" w:hAnsi="Times New Roman" w:cs="Times New Roman"/>
          <w:sz w:val="23"/>
          <w:szCs w:val="23"/>
        </w:rPr>
        <w:t xml:space="preserve">Email: </w:t>
      </w:r>
      <w:hyperlink r:id="rId5">
        <w:r w:rsidRPr="7FF6C262">
          <w:rPr>
            <w:rStyle w:val="Hyperlink"/>
            <w:rFonts w:ascii="Times New Roman" w:hAnsi="Times New Roman" w:cs="Times New Roman"/>
            <w:sz w:val="23"/>
            <w:szCs w:val="23"/>
          </w:rPr>
          <w:t>amber@educ-enrichment.org</w:t>
        </w:r>
      </w:hyperlink>
    </w:p>
    <w:p w14:paraId="08B73748" w14:textId="6525C654" w:rsidR="449AE105" w:rsidRDefault="449AE105" w:rsidP="7FF6C262">
      <w:pPr>
        <w:spacing w:after="0" w:line="240" w:lineRule="auto"/>
        <w:rPr>
          <w:rFonts w:ascii="Times New Roman" w:hAnsi="Times New Roman" w:cs="Times New Roman"/>
          <w:sz w:val="23"/>
          <w:szCs w:val="23"/>
        </w:rPr>
      </w:pPr>
      <w:r w:rsidRPr="7FF6C262">
        <w:rPr>
          <w:rFonts w:ascii="Times New Roman" w:hAnsi="Times New Roman" w:cs="Times New Roman"/>
          <w:sz w:val="23"/>
          <w:szCs w:val="23"/>
        </w:rPr>
        <w:t>Ph: (760) 726-2170 ext. 80813</w:t>
      </w:r>
      <w:r>
        <w:tab/>
      </w:r>
    </w:p>
    <w:p w14:paraId="0BDC3D3A" w14:textId="77777777" w:rsidR="006E2A4C" w:rsidRDefault="006E2A4C" w:rsidP="0080338D">
      <w:pPr>
        <w:spacing w:after="0" w:line="240" w:lineRule="auto"/>
        <w:rPr>
          <w:rFonts w:ascii="Times New Roman" w:hAnsi="Times New Roman" w:cs="Times New Roman"/>
          <w:sz w:val="23"/>
          <w:szCs w:val="23"/>
        </w:rPr>
      </w:pPr>
    </w:p>
    <w:p w14:paraId="25F62D5D" w14:textId="77777777" w:rsidR="0080338D" w:rsidRDefault="0080338D" w:rsidP="0080338D">
      <w:pPr>
        <w:spacing w:after="0" w:line="240" w:lineRule="auto"/>
        <w:rPr>
          <w:rFonts w:ascii="Times New Roman" w:hAnsi="Times New Roman" w:cs="Times New Roman"/>
          <w:sz w:val="23"/>
          <w:szCs w:val="23"/>
        </w:rPr>
      </w:pPr>
    </w:p>
    <w:p w14:paraId="08CBC444" w14:textId="77777777" w:rsidR="0080338D" w:rsidRPr="0080338D" w:rsidRDefault="0080338D" w:rsidP="0080338D">
      <w:pPr>
        <w:spacing w:after="0" w:line="240" w:lineRule="auto"/>
        <w:rPr>
          <w:rFonts w:ascii="Times New Roman" w:hAnsi="Times New Roman" w:cs="Times New Roman"/>
          <w:sz w:val="23"/>
          <w:szCs w:val="23"/>
        </w:rPr>
      </w:pPr>
    </w:p>
    <w:sectPr w:rsidR="0080338D" w:rsidRPr="0080338D" w:rsidSect="0080338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8D"/>
    <w:rsid w:val="00023115"/>
    <w:rsid w:val="0006536F"/>
    <w:rsid w:val="000964A3"/>
    <w:rsid w:val="0027360C"/>
    <w:rsid w:val="002B7F8E"/>
    <w:rsid w:val="00300482"/>
    <w:rsid w:val="005C0DE7"/>
    <w:rsid w:val="005F22A7"/>
    <w:rsid w:val="006D614C"/>
    <w:rsid w:val="006E2A4C"/>
    <w:rsid w:val="00717EBD"/>
    <w:rsid w:val="00785658"/>
    <w:rsid w:val="0080338D"/>
    <w:rsid w:val="008F2E24"/>
    <w:rsid w:val="00B35989"/>
    <w:rsid w:val="00C47FFB"/>
    <w:rsid w:val="15D5EBB7"/>
    <w:rsid w:val="449AE105"/>
    <w:rsid w:val="6D026167"/>
    <w:rsid w:val="7FF6C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14CA"/>
  <w15:chartTrackingRefBased/>
  <w15:docId w15:val="{1B94B50D-9B0C-D34F-95F2-AC020181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38D"/>
    <w:rPr>
      <w:rFonts w:eastAsiaTheme="majorEastAsia" w:cstheme="majorBidi"/>
      <w:color w:val="272727" w:themeColor="text1" w:themeTint="D8"/>
    </w:rPr>
  </w:style>
  <w:style w:type="paragraph" w:styleId="Title">
    <w:name w:val="Title"/>
    <w:basedOn w:val="Normal"/>
    <w:next w:val="Normal"/>
    <w:link w:val="TitleChar"/>
    <w:uiPriority w:val="10"/>
    <w:qFormat/>
    <w:rsid w:val="00803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38D"/>
    <w:pPr>
      <w:spacing w:before="160"/>
      <w:jc w:val="center"/>
    </w:pPr>
    <w:rPr>
      <w:i/>
      <w:iCs/>
      <w:color w:val="404040" w:themeColor="text1" w:themeTint="BF"/>
    </w:rPr>
  </w:style>
  <w:style w:type="character" w:customStyle="1" w:styleId="QuoteChar">
    <w:name w:val="Quote Char"/>
    <w:basedOn w:val="DefaultParagraphFont"/>
    <w:link w:val="Quote"/>
    <w:uiPriority w:val="29"/>
    <w:rsid w:val="0080338D"/>
    <w:rPr>
      <w:i/>
      <w:iCs/>
      <w:color w:val="404040" w:themeColor="text1" w:themeTint="BF"/>
    </w:rPr>
  </w:style>
  <w:style w:type="paragraph" w:styleId="ListParagraph">
    <w:name w:val="List Paragraph"/>
    <w:basedOn w:val="Normal"/>
    <w:uiPriority w:val="34"/>
    <w:qFormat/>
    <w:rsid w:val="0080338D"/>
    <w:pPr>
      <w:ind w:left="720"/>
      <w:contextualSpacing/>
    </w:pPr>
  </w:style>
  <w:style w:type="character" w:styleId="IntenseEmphasis">
    <w:name w:val="Intense Emphasis"/>
    <w:basedOn w:val="DefaultParagraphFont"/>
    <w:uiPriority w:val="21"/>
    <w:qFormat/>
    <w:rsid w:val="0080338D"/>
    <w:rPr>
      <w:i/>
      <w:iCs/>
      <w:color w:val="0F4761" w:themeColor="accent1" w:themeShade="BF"/>
    </w:rPr>
  </w:style>
  <w:style w:type="paragraph" w:styleId="IntenseQuote">
    <w:name w:val="Intense Quote"/>
    <w:basedOn w:val="Normal"/>
    <w:next w:val="Normal"/>
    <w:link w:val="IntenseQuoteChar"/>
    <w:uiPriority w:val="30"/>
    <w:qFormat/>
    <w:rsid w:val="00803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38D"/>
    <w:rPr>
      <w:i/>
      <w:iCs/>
      <w:color w:val="0F4761" w:themeColor="accent1" w:themeShade="BF"/>
    </w:rPr>
  </w:style>
  <w:style w:type="character" w:styleId="IntenseReference">
    <w:name w:val="Intense Reference"/>
    <w:basedOn w:val="DefaultParagraphFont"/>
    <w:uiPriority w:val="32"/>
    <w:qFormat/>
    <w:rsid w:val="0080338D"/>
    <w:rPr>
      <w:b/>
      <w:bCs/>
      <w:smallCaps/>
      <w:color w:val="0F4761" w:themeColor="accent1" w:themeShade="BF"/>
      <w:spacing w:val="5"/>
    </w:rPr>
  </w:style>
  <w:style w:type="character" w:styleId="Hyperlink">
    <w:name w:val="Hyperlink"/>
    <w:basedOn w:val="DefaultParagraphFont"/>
    <w:uiPriority w:val="99"/>
    <w:unhideWhenUsed/>
    <w:rsid w:val="7FF6C26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mber@educ-enrichme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8912-158E-448E-A215-60DD4CEE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2886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Polancic - SFM 03-25 01-25 Pts2-9 - Exisiting childcare facilities</dc:title>
  <dc:subject/>
  <dc:creator>CBSC@dgs.ca.gov</dc:creator>
  <cp:keywords/>
  <dc:description/>
  <cp:lastModifiedBy>Severon, Kristina@DGS</cp:lastModifiedBy>
  <cp:revision>4</cp:revision>
  <dcterms:created xsi:type="dcterms:W3CDTF">2026-05-18T19:44:00Z</dcterms:created>
  <dcterms:modified xsi:type="dcterms:W3CDTF">2026-05-21T17:45:00Z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