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22C5" w14:textId="783060CD" w:rsidR="00767766" w:rsidRPr="0046521A" w:rsidRDefault="00A92F87" w:rsidP="001F2A94">
      <w:pPr>
        <w:pStyle w:val="Heading1"/>
        <w:spacing w:before="0" w:after="0"/>
        <w:jc w:val="center"/>
        <w:rPr>
          <w:rFonts w:cs="Arial"/>
        </w:rPr>
      </w:pPr>
      <w:r>
        <w:rPr>
          <w:rFonts w:cs="Arial"/>
        </w:rPr>
        <w:t>45-DAY</w:t>
      </w:r>
      <w:r w:rsidRPr="0046521A">
        <w:rPr>
          <w:rFonts w:cs="Arial"/>
        </w:rPr>
        <w:t xml:space="preserve"> </w:t>
      </w:r>
      <w:r w:rsidR="00767766" w:rsidRPr="0046521A">
        <w:rPr>
          <w:rFonts w:cs="Arial"/>
        </w:rPr>
        <w:t>EXPRESS TERMS</w:t>
      </w:r>
      <w:r w:rsidR="00767766" w:rsidRPr="0046521A">
        <w:rPr>
          <w:rFonts w:cs="Arial"/>
        </w:rPr>
        <w:br/>
        <w:t>FOR PROPOSED BUILDING STANDARDS</w:t>
      </w:r>
      <w:r w:rsidR="00767766" w:rsidRPr="0046521A">
        <w:rPr>
          <w:rFonts w:cs="Arial"/>
        </w:rPr>
        <w:br/>
        <w:t xml:space="preserve">OF THE </w:t>
      </w:r>
      <w:r w:rsidR="00F349AA">
        <w:rPr>
          <w:rFonts w:cs="Arial"/>
        </w:rPr>
        <w:t>DEPARTMENT OF HEALTH CARE ACCESS AND INFORMATION/</w:t>
      </w:r>
      <w:r w:rsidR="00F349AA">
        <w:rPr>
          <w:rFonts w:cs="Arial"/>
        </w:rPr>
        <w:br/>
        <w:t>OFFICE OF STATEWIDE HOSPITAL PLANNING AND DEVELOPMENT</w:t>
      </w:r>
      <w:r w:rsidR="00767766" w:rsidRPr="0046521A">
        <w:rPr>
          <w:rFonts w:cs="Arial"/>
        </w:rPr>
        <w:br/>
        <w:t xml:space="preserve">REGARDING THE </w:t>
      </w:r>
      <w:r w:rsidR="00F349AA">
        <w:rPr>
          <w:rFonts w:cs="Arial"/>
        </w:rPr>
        <w:t>2025 CALIFORNIA EXISTING BUILDING CODE</w:t>
      </w:r>
      <w:r w:rsidR="00767766" w:rsidRPr="0046521A">
        <w:rPr>
          <w:rFonts w:cs="Arial"/>
        </w:rPr>
        <w:t>,</w:t>
      </w:r>
      <w:r w:rsidR="001F2A94">
        <w:rPr>
          <w:rFonts w:cs="Arial"/>
        </w:rPr>
        <w:br/>
      </w:r>
      <w:r w:rsidR="00767766" w:rsidRPr="0046521A">
        <w:rPr>
          <w:rFonts w:cs="Arial"/>
        </w:rPr>
        <w:t xml:space="preserve">CALIFORNIA CODE OF REGULATIONS, TITLE 24, PART </w:t>
      </w:r>
      <w:r w:rsidR="00F349AA">
        <w:rPr>
          <w:rFonts w:cs="Arial"/>
        </w:rPr>
        <w:t>10</w:t>
      </w:r>
      <w:r w:rsidR="001F2A94">
        <w:rPr>
          <w:rFonts w:cs="Arial"/>
        </w:rPr>
        <w:br/>
      </w:r>
      <w:r w:rsidR="00847574" w:rsidRPr="0046521A">
        <w:rPr>
          <w:rFonts w:cs="Arial"/>
        </w:rPr>
        <w:t>(</w:t>
      </w:r>
      <w:r w:rsidR="00847574">
        <w:rPr>
          <w:rFonts w:cs="Arial"/>
        </w:rPr>
        <w:t>OSHPD 07/25</w:t>
      </w:r>
      <w:r w:rsidR="00767766" w:rsidRPr="0046521A">
        <w:rPr>
          <w:rFonts w:cs="Arial"/>
        </w:rPr>
        <w:t>)</w:t>
      </w:r>
    </w:p>
    <w:p w14:paraId="2178BCDB" w14:textId="3268B497" w:rsidR="00767766" w:rsidRPr="0046521A" w:rsidRDefault="00BE48F6" w:rsidP="00005708">
      <w:pPr>
        <w:spacing w:before="120"/>
        <w:rPr>
          <w:rFonts w:cs="Arial"/>
        </w:rPr>
      </w:pPr>
      <w:r w:rsidRPr="0046521A">
        <w:rPr>
          <w:rFonts w:cs="Arial"/>
        </w:rPr>
        <w:t>The s</w:t>
      </w:r>
      <w:r w:rsidR="00767766" w:rsidRPr="0046521A">
        <w:rPr>
          <w:rFonts w:cs="Arial"/>
        </w:rPr>
        <w:t>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w:t>
      </w:r>
    </w:p>
    <w:p w14:paraId="6BBEEE80" w14:textId="77777777" w:rsidR="00AD280C" w:rsidRPr="0046521A" w:rsidRDefault="00AD280C" w:rsidP="00AA0C1D">
      <w:pPr>
        <w:pBdr>
          <w:top w:val="single" w:sz="4" w:space="1" w:color="auto"/>
        </w:pBdr>
        <w:rPr>
          <w:rFonts w:cs="Arial"/>
        </w:rPr>
      </w:pPr>
      <w:r w:rsidRPr="0046521A">
        <w:rPr>
          <w:rFonts w:cs="Arial"/>
          <w:szCs w:val="24"/>
        </w:rPr>
        <w:t>If using assistive technology, please adjust your settings to recogni</w:t>
      </w:r>
      <w:r w:rsidR="00332C1D" w:rsidRPr="0046521A">
        <w:rPr>
          <w:rFonts w:cs="Arial"/>
          <w:szCs w:val="24"/>
        </w:rPr>
        <w:t>ze underline, strikeout, italic</w:t>
      </w:r>
      <w:r w:rsidRPr="0046521A">
        <w:rPr>
          <w:rFonts w:cs="Arial"/>
          <w:szCs w:val="24"/>
        </w:rPr>
        <w:t xml:space="preserve"> and ellipsis.</w:t>
      </w:r>
    </w:p>
    <w:p w14:paraId="16D083F6" w14:textId="0DF77225" w:rsidR="00AD280C" w:rsidRPr="0046521A" w:rsidRDefault="00AD280C" w:rsidP="00D71CEC">
      <w:pPr>
        <w:pStyle w:val="Heading2"/>
        <w:spacing w:before="0" w:after="0"/>
        <w:ind w:right="-90"/>
        <w:rPr>
          <w:rFonts w:cs="Arial"/>
        </w:rPr>
      </w:pPr>
      <w:r w:rsidRPr="0046521A">
        <w:rPr>
          <w:rFonts w:cs="Arial"/>
        </w:rPr>
        <w:t xml:space="preserve">LEGEND </w:t>
      </w:r>
      <w:r w:rsidR="0073368F" w:rsidRPr="0046521A">
        <w:rPr>
          <w:rFonts w:cs="Arial"/>
        </w:rPr>
        <w:t>for</w:t>
      </w:r>
      <w:r w:rsidRPr="0046521A">
        <w:rPr>
          <w:rFonts w:cs="Arial"/>
        </w:rPr>
        <w:t xml:space="preserve"> EXPRESS TERMS (Based on model codes - Parts 2, 2.5, 3, 4, 5, </w:t>
      </w:r>
      <w:r w:rsidR="00801113">
        <w:rPr>
          <w:rFonts w:cs="Arial"/>
        </w:rPr>
        <w:t xml:space="preserve">7, </w:t>
      </w:r>
      <w:r w:rsidRPr="0046521A">
        <w:rPr>
          <w:rFonts w:cs="Arial"/>
        </w:rPr>
        <w:t>9, 10)</w:t>
      </w:r>
    </w:p>
    <w:p w14:paraId="586337BA" w14:textId="77777777" w:rsidR="001D6449" w:rsidRPr="0046521A" w:rsidRDefault="001D6449" w:rsidP="00CD71EA">
      <w:pPr>
        <w:pStyle w:val="ListParagraph"/>
        <w:numPr>
          <w:ilvl w:val="0"/>
          <w:numId w:val="7"/>
        </w:numPr>
        <w:rPr>
          <w:rFonts w:cs="Arial"/>
        </w:rPr>
      </w:pPr>
      <w:r w:rsidRPr="0046521A">
        <w:rPr>
          <w:rFonts w:cs="Arial"/>
        </w:rPr>
        <w:t>Model Code language appears upright</w:t>
      </w:r>
    </w:p>
    <w:p w14:paraId="715DBFB9" w14:textId="77777777" w:rsidR="001D6449" w:rsidRPr="0046521A" w:rsidRDefault="001D6449" w:rsidP="00CD71EA">
      <w:pPr>
        <w:pStyle w:val="ListParagraph"/>
        <w:numPr>
          <w:ilvl w:val="0"/>
          <w:numId w:val="7"/>
        </w:numPr>
        <w:rPr>
          <w:rFonts w:cs="Arial"/>
        </w:rPr>
      </w:pPr>
      <w:r w:rsidRPr="0046521A">
        <w:rPr>
          <w:rFonts w:cs="Arial"/>
        </w:rPr>
        <w:t>Existing California</w:t>
      </w:r>
      <w:r w:rsidR="00F057BF" w:rsidRPr="0046521A">
        <w:rPr>
          <w:rFonts w:cs="Arial"/>
        </w:rPr>
        <w:t xml:space="preserve"> amendments appear in </w:t>
      </w:r>
      <w:r w:rsidR="00F057BF" w:rsidRPr="0046521A">
        <w:rPr>
          <w:rFonts w:cs="Arial"/>
          <w:i/>
        </w:rPr>
        <w:t>italic</w:t>
      </w:r>
    </w:p>
    <w:p w14:paraId="3490FE4A" w14:textId="77777777" w:rsidR="00F057BF" w:rsidRPr="0046521A" w:rsidRDefault="00F057BF" w:rsidP="00CD71EA">
      <w:pPr>
        <w:pStyle w:val="ListParagraph"/>
        <w:numPr>
          <w:ilvl w:val="0"/>
          <w:numId w:val="7"/>
        </w:numPr>
        <w:rPr>
          <w:rFonts w:cs="Arial"/>
          <w:i/>
          <w:u w:val="single"/>
        </w:rPr>
      </w:pPr>
      <w:r w:rsidRPr="0046521A">
        <w:rPr>
          <w:rFonts w:cs="Arial"/>
        </w:rPr>
        <w:t xml:space="preserve">Amended model code or new California amendments appear </w:t>
      </w:r>
      <w:r w:rsidR="00FE4917" w:rsidRPr="0046521A">
        <w:rPr>
          <w:rFonts w:cs="Arial"/>
          <w:i/>
          <w:u w:val="single"/>
        </w:rPr>
        <w:t>underlined &amp;</w:t>
      </w:r>
      <w:r w:rsidRPr="0046521A">
        <w:rPr>
          <w:rFonts w:cs="Arial"/>
          <w:i/>
          <w:u w:val="single"/>
        </w:rPr>
        <w:t xml:space="preserve"> italic</w:t>
      </w:r>
    </w:p>
    <w:p w14:paraId="39782DE2" w14:textId="77777777" w:rsidR="00BC3F6E" w:rsidRPr="0046521A" w:rsidRDefault="00BC3F6E" w:rsidP="00CD71EA">
      <w:pPr>
        <w:pStyle w:val="ListParagraph"/>
        <w:numPr>
          <w:ilvl w:val="0"/>
          <w:numId w:val="7"/>
        </w:numPr>
        <w:rPr>
          <w:rFonts w:cs="Arial"/>
        </w:rPr>
      </w:pPr>
      <w:r w:rsidRPr="0046521A">
        <w:rPr>
          <w:rFonts w:cs="Arial"/>
        </w:rPr>
        <w:t xml:space="preserve">Repealed model code language appears </w:t>
      </w:r>
      <w:r w:rsidRPr="0046521A">
        <w:rPr>
          <w:rFonts w:cs="Arial"/>
          <w:strike/>
        </w:rPr>
        <w:t>upright and in strikeout</w:t>
      </w:r>
    </w:p>
    <w:p w14:paraId="5284F823" w14:textId="77777777" w:rsidR="00BC3F6E" w:rsidRPr="0046521A" w:rsidRDefault="00BC3F6E" w:rsidP="00CD71EA">
      <w:pPr>
        <w:pStyle w:val="ListParagraph"/>
        <w:numPr>
          <w:ilvl w:val="0"/>
          <w:numId w:val="7"/>
        </w:numPr>
        <w:rPr>
          <w:rFonts w:cs="Arial"/>
        </w:rPr>
      </w:pPr>
      <w:r w:rsidRPr="0046521A">
        <w:rPr>
          <w:rFonts w:cs="Arial"/>
        </w:rPr>
        <w:t xml:space="preserve">Repealed California amendments appear in </w:t>
      </w:r>
      <w:r w:rsidRPr="0046521A">
        <w:rPr>
          <w:rFonts w:cs="Arial"/>
          <w:i/>
          <w:strike/>
        </w:rPr>
        <w:t>italic and strikeout</w:t>
      </w:r>
    </w:p>
    <w:p w14:paraId="52304A07" w14:textId="3836DC2D" w:rsidR="00BC3F6E" w:rsidRPr="00942681" w:rsidRDefault="000B5D13" w:rsidP="00AA0C1D">
      <w:pPr>
        <w:pStyle w:val="ListParagraph"/>
        <w:numPr>
          <w:ilvl w:val="0"/>
          <w:numId w:val="7"/>
        </w:numPr>
        <w:spacing w:after="0"/>
        <w:rPr>
          <w:rFonts w:cs="Arial"/>
        </w:rPr>
      </w:pPr>
      <w:r w:rsidRPr="0046521A">
        <w:rPr>
          <w:rFonts w:cs="Arial"/>
        </w:rPr>
        <w:t>Ellips</w:t>
      </w:r>
      <w:r>
        <w:rPr>
          <w:rFonts w:cs="Arial"/>
        </w:rPr>
        <w:t>e</w:t>
      </w:r>
      <w:r w:rsidRPr="0046521A">
        <w:rPr>
          <w:rFonts w:cs="Arial"/>
        </w:rPr>
        <w:t xml:space="preserve">s </w:t>
      </w:r>
      <w:r w:rsidR="00EC27FE" w:rsidRPr="0046521A">
        <w:rPr>
          <w:rFonts w:cs="Arial"/>
          <w:szCs w:val="24"/>
        </w:rPr>
        <w:t>(</w:t>
      </w:r>
      <w:r w:rsidR="00EC27FE" w:rsidRPr="0046521A">
        <w:rPr>
          <w:rFonts w:cs="Arial"/>
          <w:sz w:val="2"/>
          <w:szCs w:val="2"/>
        </w:rPr>
        <w:t xml:space="preserve"> </w:t>
      </w:r>
      <w:r w:rsidR="00EC27FE" w:rsidRPr="0046521A">
        <w:rPr>
          <w:rFonts w:cs="Arial"/>
          <w:szCs w:val="24"/>
        </w:rPr>
        <w:t>…)</w:t>
      </w:r>
      <w:r w:rsidR="00BC3F6E" w:rsidRPr="0046521A">
        <w:rPr>
          <w:rFonts w:eastAsia="Times New Roman" w:cs="Arial"/>
          <w:szCs w:val="24"/>
          <w:lang w:eastAsia="ko-KR"/>
        </w:rPr>
        <w:t xml:space="preserve"> </w:t>
      </w:r>
      <w:r w:rsidR="00664F8A" w:rsidRPr="0046521A">
        <w:rPr>
          <w:rFonts w:eastAsia="Times New Roman" w:cs="Arial"/>
          <w:lang w:eastAsia="ko-KR"/>
        </w:rPr>
        <w:t>indicate existing text remains unchanged</w:t>
      </w:r>
    </w:p>
    <w:p w14:paraId="2AFFEBA7" w14:textId="77777777" w:rsidR="00AD280C" w:rsidRPr="0046521A" w:rsidRDefault="00AD280C" w:rsidP="001F2A94">
      <w:pPr>
        <w:pStyle w:val="BodyText3"/>
        <w:pBdr>
          <w:bottom w:val="single" w:sz="4" w:space="1" w:color="auto"/>
        </w:pBdr>
        <w:spacing w:line="276" w:lineRule="auto"/>
        <w:jc w:val="left"/>
        <w:rPr>
          <w:rFonts w:cs="Arial"/>
          <w:szCs w:val="24"/>
        </w:rPr>
      </w:pPr>
    </w:p>
    <w:p w14:paraId="3700352B" w14:textId="70E1D125" w:rsidR="002537B1" w:rsidRPr="0046521A" w:rsidRDefault="00A92F87" w:rsidP="00AA0C1D">
      <w:pPr>
        <w:pStyle w:val="Heading2"/>
        <w:spacing w:before="0"/>
      </w:pPr>
      <w:r>
        <w:rPr>
          <w:rFonts w:cs="Arial"/>
        </w:rPr>
        <w:t>45-DAY</w:t>
      </w:r>
      <w:r w:rsidRPr="0046521A">
        <w:t xml:space="preserve"> </w:t>
      </w:r>
      <w:r w:rsidR="00767766" w:rsidRPr="0046521A">
        <w:t>EXPRESS TERMS</w:t>
      </w:r>
    </w:p>
    <w:p w14:paraId="3C2373DE" w14:textId="158CA04B" w:rsidR="00CD71EA" w:rsidRPr="0046521A" w:rsidRDefault="00AA0C1D" w:rsidP="00DE3306">
      <w:pPr>
        <w:pStyle w:val="Heading3"/>
        <w:spacing w:before="0" w:after="0"/>
      </w:pPr>
      <w:r w:rsidRPr="0046521A">
        <w:t>ITEM</w:t>
      </w:r>
      <w:r w:rsidR="00CD71EA" w:rsidRPr="0046521A">
        <w:t xml:space="preserve"> </w:t>
      </w:r>
      <w:r w:rsidR="00F349AA">
        <w:t>1</w:t>
      </w:r>
      <w:r w:rsidR="00C80CD9" w:rsidRPr="0046521A">
        <w:rPr>
          <w:snapToGrid/>
        </w:rPr>
        <w:br/>
      </w:r>
      <w:r w:rsidR="00CD71EA" w:rsidRPr="0046521A">
        <w:t>C</w:t>
      </w:r>
      <w:r w:rsidR="008212EA">
        <w:t>HAPTER</w:t>
      </w:r>
      <w:r w:rsidR="00CD71EA" w:rsidRPr="0046521A">
        <w:t xml:space="preserve"> </w:t>
      </w:r>
      <w:r w:rsidR="00A8713C">
        <w:t>3</w:t>
      </w:r>
      <w:r w:rsidR="00A8713C" w:rsidRPr="00A8713C">
        <w:rPr>
          <w:i/>
          <w:iCs/>
        </w:rPr>
        <w:t>A</w:t>
      </w:r>
      <w:r w:rsidR="00A8713C">
        <w:t xml:space="preserve"> PROVISION FOR ALL COMPLIANCE METHODS</w:t>
      </w:r>
    </w:p>
    <w:p w14:paraId="17B17B53" w14:textId="77777777" w:rsidR="000D5E59" w:rsidRDefault="000D5E59" w:rsidP="008330EB">
      <w:pPr>
        <w:spacing w:after="0"/>
        <w:rPr>
          <w:rFonts w:cs="Arial"/>
        </w:rPr>
      </w:pPr>
      <w:r w:rsidRPr="000D5E59">
        <w:rPr>
          <w:rFonts w:cs="Arial"/>
        </w:rPr>
        <w:t>…</w:t>
      </w:r>
    </w:p>
    <w:p w14:paraId="1CFBE6C8" w14:textId="53CA9B7B" w:rsidR="008212EA" w:rsidRDefault="008212EA" w:rsidP="008330EB">
      <w:pPr>
        <w:pStyle w:val="Heading4"/>
        <w:ind w:left="0"/>
      </w:pPr>
      <w:bookmarkStart w:id="0" w:name="_Hlk209611506"/>
      <w:r w:rsidRPr="008212EA">
        <w:t>SECTION 304</w:t>
      </w:r>
      <w:r w:rsidRPr="008212EA">
        <w:rPr>
          <w:i/>
        </w:rPr>
        <w:t>A</w:t>
      </w:r>
      <w:r w:rsidRPr="008212EA">
        <w:t>—STRUCTURAL DESIGN LOADS AND EVALUATION AND DESIGN PROCEDURES</w:t>
      </w:r>
    </w:p>
    <w:p w14:paraId="60658238" w14:textId="619080CB" w:rsidR="005B70FB" w:rsidRPr="005B70FB" w:rsidRDefault="005B70FB" w:rsidP="000D5E59">
      <w:pPr>
        <w:rPr>
          <w:rFonts w:cs="Arial"/>
          <w:i/>
          <w:iCs/>
        </w:rPr>
      </w:pPr>
      <w:r w:rsidRPr="005B70FB">
        <w:rPr>
          <w:rFonts w:cs="Arial"/>
          <w:b/>
          <w:bCs/>
          <w:i/>
          <w:iCs/>
        </w:rPr>
        <w:t xml:space="preserve">304A.3.5 Modifications to ASCE 41-13 for SPC-2 and SPC-4D. </w:t>
      </w:r>
      <w:bookmarkEnd w:id="0"/>
      <w:r w:rsidRPr="005B70FB">
        <w:rPr>
          <w:rFonts w:cs="Arial"/>
          <w:i/>
          <w:iCs/>
        </w:rPr>
        <w:t>The text of ASCE 41-13 shall be modified as indicated in Sections 304A.3.5.1 through 304A.3.5.</w:t>
      </w:r>
      <w:r w:rsidRPr="00DE2537">
        <w:rPr>
          <w:rFonts w:cs="Arial"/>
          <w:i/>
          <w:iCs/>
          <w:strike/>
        </w:rPr>
        <w:t>17</w:t>
      </w:r>
      <w:r w:rsidR="00DE2537" w:rsidRPr="00DE2537">
        <w:rPr>
          <w:rFonts w:cs="Arial"/>
          <w:i/>
          <w:iCs/>
          <w:u w:val="single"/>
        </w:rPr>
        <w:t>18</w:t>
      </w:r>
      <w:r w:rsidRPr="005B70FB">
        <w:rPr>
          <w:rFonts w:cs="Arial"/>
          <w:i/>
          <w:iCs/>
        </w:rPr>
        <w:t>.</w:t>
      </w:r>
    </w:p>
    <w:p w14:paraId="0ED4D601" w14:textId="77777777" w:rsidR="000D5E59" w:rsidRPr="000D5E59" w:rsidRDefault="000D5E59" w:rsidP="000D5E59">
      <w:pPr>
        <w:rPr>
          <w:rFonts w:cs="Arial"/>
          <w:i/>
          <w:iCs/>
        </w:rPr>
      </w:pPr>
      <w:r w:rsidRPr="000D5E59">
        <w:rPr>
          <w:rFonts w:cs="Arial"/>
          <w:b/>
          <w:bCs/>
          <w:i/>
          <w:iCs/>
        </w:rPr>
        <w:t xml:space="preserve">304A.3.5.13 ASCE 41-13 Section 10.7.1.1. </w:t>
      </w:r>
      <w:r w:rsidRPr="000D5E59">
        <w:rPr>
          <w:rFonts w:cs="Arial"/>
          <w:i/>
          <w:iCs/>
        </w:rPr>
        <w:t>Modify ASCE 41-13 Section 10.7.1.1 with the following:</w:t>
      </w:r>
    </w:p>
    <w:p w14:paraId="16229658" w14:textId="77777777" w:rsidR="000D5E59" w:rsidRPr="000D5E59" w:rsidRDefault="000D5E59" w:rsidP="00E9214D">
      <w:pPr>
        <w:ind w:left="360"/>
        <w:rPr>
          <w:rFonts w:cs="Arial"/>
          <w:i/>
          <w:iCs/>
        </w:rPr>
      </w:pPr>
      <w:r w:rsidRPr="000D5E59">
        <w:rPr>
          <w:rFonts w:cs="Arial"/>
          <w:b/>
          <w:bCs/>
          <w:i/>
          <w:iCs/>
        </w:rPr>
        <w:t xml:space="preserve">Monolithic Reinforced Concrete Shear Walls and Wall Segments. </w:t>
      </w:r>
      <w:r w:rsidRPr="006F5506">
        <w:rPr>
          <w:rFonts w:cs="Arial"/>
          <w:i/>
          <w:iCs/>
        </w:rPr>
        <w:t>For nonlinear procedures,</w:t>
      </w:r>
      <w:r w:rsidRPr="000D5E59">
        <w:rPr>
          <w:rFonts w:cs="Arial"/>
          <w:i/>
          <w:iCs/>
        </w:rPr>
        <w:t xml:space="preserve"> shear walls or wall segments with axial loads greater than 0.35 Po shall be included in the model as primary elements with appropriate strength and stiffness degrading properties assigned to those components subject to the approval of the enforcement agent. For linear procedures, the effects of deformation compatibility shall be investigated using moment-curvature section analyses and cyclic testing results of similar components to determine whether strengthening is necessary to maintain the gravity load-carrying capacity of that component.</w:t>
      </w:r>
    </w:p>
    <w:p w14:paraId="3CFA8132" w14:textId="5073690F" w:rsidR="00E22C1A" w:rsidRPr="00787D9F" w:rsidRDefault="000D5E59" w:rsidP="00E22C1A">
      <w:pPr>
        <w:ind w:left="360" w:firstLine="360"/>
        <w:rPr>
          <w:rFonts w:cs="Arial"/>
          <w:i/>
          <w:iCs/>
          <w:u w:val="single"/>
        </w:rPr>
      </w:pPr>
      <w:r w:rsidRPr="00787D9F">
        <w:rPr>
          <w:rFonts w:cs="Arial"/>
          <w:i/>
          <w:iCs/>
          <w:strike/>
        </w:rPr>
        <w:t xml:space="preserve">Horizontal wall segments or spandrels reinforced similar to vertical wall segments or piers shall be classified as wall segments, not shear wall coupling beams, in </w:t>
      </w:r>
      <w:r w:rsidRPr="00787D9F">
        <w:rPr>
          <w:rFonts w:cs="Arial"/>
          <w:i/>
          <w:iCs/>
          <w:strike/>
        </w:rPr>
        <w:lastRenderedPageBreak/>
        <w:t xml:space="preserve">Tables 10-19 through 10-22. </w:t>
      </w:r>
      <w:r w:rsidR="00E22C1A" w:rsidRPr="00787D9F">
        <w:rPr>
          <w:rFonts w:cs="Arial"/>
          <w:i/>
          <w:iCs/>
          <w:u w:val="single"/>
        </w:rPr>
        <w:t>Horizontal wall segments or spandrels controlled by shear action and reinforced similar to vertical wall segments or piers shall be classified as wall segments, not shear wall coupling beams, in ASCE 41-13 Table 10-20 and Table 10-22.</w:t>
      </w:r>
    </w:p>
    <w:p w14:paraId="713B35D3" w14:textId="72D54792" w:rsidR="00E22C1A" w:rsidRPr="000D5E59" w:rsidRDefault="00E22C1A" w:rsidP="00E22C1A">
      <w:pPr>
        <w:ind w:left="360" w:firstLine="360"/>
        <w:rPr>
          <w:rFonts w:cs="Arial"/>
          <w:i/>
          <w:iCs/>
        </w:rPr>
      </w:pPr>
      <w:r w:rsidRPr="00F11313">
        <w:rPr>
          <w:rFonts w:cs="Arial"/>
          <w:b/>
          <w:bCs/>
          <w:i/>
          <w:iCs/>
          <w:u w:val="single"/>
        </w:rPr>
        <w:t>Exception:</w:t>
      </w:r>
      <w:r w:rsidRPr="00787D9F">
        <w:rPr>
          <w:rFonts w:cs="Arial"/>
          <w:i/>
          <w:iCs/>
          <w:u w:val="single"/>
        </w:rPr>
        <w:t xml:space="preserve"> Shear-controlled horizontal wall segments or spandrels with either closed hoops or stirrups anchored to the longitudinal reinforcing at the top and bottom with a standard hook may be classified as a shear wall coupling beam.</w:t>
      </w:r>
    </w:p>
    <w:p w14:paraId="43B8E6BE" w14:textId="77777777" w:rsidR="000D5E59" w:rsidRDefault="000D5E59" w:rsidP="000D5E59">
      <w:pPr>
        <w:rPr>
          <w:rFonts w:cs="Arial"/>
        </w:rPr>
      </w:pPr>
      <w:r w:rsidRPr="000D5E59">
        <w:rPr>
          <w:rFonts w:cs="Arial"/>
        </w:rPr>
        <w:t>…</w:t>
      </w:r>
    </w:p>
    <w:p w14:paraId="4DC0EC2C" w14:textId="5D234E8E" w:rsidR="00F81537" w:rsidRDefault="00F81537" w:rsidP="00F81537">
      <w:pPr>
        <w:rPr>
          <w:rFonts w:cs="Arial"/>
          <w:i/>
          <w:iCs/>
        </w:rPr>
      </w:pPr>
      <w:r w:rsidRPr="00F81537">
        <w:rPr>
          <w:rFonts w:cs="Arial"/>
          <w:b/>
          <w:bCs/>
          <w:i/>
          <w:iCs/>
        </w:rPr>
        <w:t>304A.3.5.</w:t>
      </w:r>
      <w:r>
        <w:rPr>
          <w:rFonts w:cs="Arial"/>
          <w:b/>
          <w:bCs/>
          <w:i/>
          <w:iCs/>
        </w:rPr>
        <w:t>1</w:t>
      </w:r>
      <w:r w:rsidR="00C50A28">
        <w:rPr>
          <w:rFonts w:cs="Arial"/>
          <w:b/>
          <w:bCs/>
          <w:i/>
          <w:iCs/>
        </w:rPr>
        <w:t>5</w:t>
      </w:r>
      <w:r w:rsidRPr="00F81537">
        <w:rPr>
          <w:rFonts w:cs="Arial"/>
          <w:b/>
          <w:bCs/>
          <w:i/>
          <w:iCs/>
        </w:rPr>
        <w:t xml:space="preserve"> ASCE 41-13 Section </w:t>
      </w:r>
      <w:r>
        <w:rPr>
          <w:rFonts w:cs="Arial"/>
          <w:b/>
          <w:bCs/>
          <w:i/>
          <w:iCs/>
        </w:rPr>
        <w:t>1</w:t>
      </w:r>
      <w:r w:rsidR="00C50A28">
        <w:rPr>
          <w:rFonts w:cs="Arial"/>
          <w:b/>
          <w:bCs/>
          <w:i/>
          <w:iCs/>
        </w:rPr>
        <w:t>1</w:t>
      </w:r>
      <w:r>
        <w:rPr>
          <w:rFonts w:cs="Arial"/>
          <w:b/>
          <w:bCs/>
          <w:i/>
          <w:iCs/>
        </w:rPr>
        <w:t>.1</w:t>
      </w:r>
      <w:r w:rsidR="002D22AE">
        <w:rPr>
          <w:rFonts w:cs="Arial"/>
          <w:b/>
          <w:bCs/>
          <w:i/>
          <w:iCs/>
        </w:rPr>
        <w:t>.</w:t>
      </w:r>
      <w:r>
        <w:rPr>
          <w:rFonts w:cs="Arial"/>
          <w:b/>
          <w:bCs/>
          <w:i/>
          <w:iCs/>
        </w:rPr>
        <w:t xml:space="preserve"> </w:t>
      </w:r>
      <w:r w:rsidRPr="00F81537">
        <w:rPr>
          <w:rFonts w:cs="Arial"/>
          <w:i/>
          <w:iCs/>
        </w:rPr>
        <w:t>Modify ASCE 41-13 Section 1</w:t>
      </w:r>
      <w:r w:rsidR="00C50A28">
        <w:rPr>
          <w:rFonts w:cs="Arial"/>
          <w:i/>
          <w:iCs/>
        </w:rPr>
        <w:t>1</w:t>
      </w:r>
      <w:r w:rsidRPr="00F81537">
        <w:rPr>
          <w:rFonts w:cs="Arial"/>
          <w:i/>
          <w:iCs/>
        </w:rPr>
        <w:t>.1 by the following:</w:t>
      </w:r>
      <w:r>
        <w:rPr>
          <w:rFonts w:cs="Arial"/>
          <w:i/>
          <w:iCs/>
        </w:rPr>
        <w:t xml:space="preserve"> </w:t>
      </w:r>
    </w:p>
    <w:p w14:paraId="287231EC" w14:textId="03DC894A" w:rsidR="00F81537" w:rsidRDefault="00F81537" w:rsidP="00F81537">
      <w:pPr>
        <w:spacing w:after="240"/>
        <w:ind w:firstLine="720"/>
        <w:rPr>
          <w:rFonts w:cs="Arial"/>
          <w:i/>
          <w:iCs/>
        </w:rPr>
      </w:pPr>
      <w:r w:rsidRPr="00F81537">
        <w:rPr>
          <w:rFonts w:cs="Arial"/>
          <w:b/>
          <w:bCs/>
          <w:i/>
          <w:iCs/>
        </w:rPr>
        <w:t xml:space="preserve">Scope: </w:t>
      </w:r>
      <w:r>
        <w:rPr>
          <w:rFonts w:cs="Arial"/>
          <w:i/>
          <w:iCs/>
        </w:rPr>
        <w:t>...</w:t>
      </w:r>
    </w:p>
    <w:p w14:paraId="2778F2D9" w14:textId="4DF45004" w:rsidR="000D5E59" w:rsidRPr="000D5E59" w:rsidRDefault="000D5E59" w:rsidP="000D5E59">
      <w:pPr>
        <w:rPr>
          <w:rFonts w:cs="Arial"/>
          <w:i/>
          <w:iCs/>
          <w:u w:val="single"/>
        </w:rPr>
      </w:pPr>
      <w:bookmarkStart w:id="1" w:name="_Hlk218610993"/>
      <w:r w:rsidRPr="000D5E59">
        <w:rPr>
          <w:rFonts w:cs="Arial"/>
          <w:b/>
          <w:bCs/>
          <w:i/>
          <w:iCs/>
          <w:u w:val="single"/>
        </w:rPr>
        <w:t>304A.3.5.16</w:t>
      </w:r>
      <w:bookmarkEnd w:id="1"/>
      <w:r w:rsidRPr="000D5E59">
        <w:rPr>
          <w:rFonts w:cs="Arial"/>
          <w:b/>
          <w:bCs/>
          <w:i/>
          <w:iCs/>
          <w:u w:val="single"/>
        </w:rPr>
        <w:t xml:space="preserve"> ASCE 41-13 Chapter 13</w:t>
      </w:r>
      <w:r w:rsidR="002D22AE">
        <w:rPr>
          <w:rFonts w:cs="Arial"/>
          <w:b/>
          <w:bCs/>
          <w:i/>
          <w:iCs/>
          <w:u w:val="single"/>
        </w:rPr>
        <w:t>.</w:t>
      </w:r>
    </w:p>
    <w:p w14:paraId="660930EB" w14:textId="29B9C882" w:rsidR="000D5E59" w:rsidRPr="000D5E59" w:rsidRDefault="000D5E59" w:rsidP="000D5E59">
      <w:pPr>
        <w:rPr>
          <w:rFonts w:cs="Arial"/>
          <w:i/>
          <w:iCs/>
          <w:u w:val="single"/>
        </w:rPr>
      </w:pPr>
      <w:r w:rsidRPr="000D5E59">
        <w:rPr>
          <w:rFonts w:cs="Arial"/>
          <w:b/>
          <w:bCs/>
          <w:i/>
          <w:iCs/>
          <w:u w:val="single"/>
        </w:rPr>
        <w:t>Penthouse Structures</w:t>
      </w:r>
      <w:r w:rsidRPr="000D5E59">
        <w:rPr>
          <w:rFonts w:cs="Arial"/>
          <w:i/>
          <w:iCs/>
          <w:u w:val="single"/>
        </w:rPr>
        <w:t xml:space="preserve">: Penthouse structures with aggregate area that is less than one-third of the roof area </w:t>
      </w:r>
      <w:r w:rsidR="00563341">
        <w:rPr>
          <w:rFonts w:cs="Arial"/>
          <w:i/>
          <w:iCs/>
          <w:u w:val="single"/>
        </w:rPr>
        <w:t>and are</w:t>
      </w:r>
      <w:r w:rsidRPr="000D5E59">
        <w:rPr>
          <w:rFonts w:cs="Arial"/>
          <w:i/>
          <w:iCs/>
          <w:u w:val="single"/>
        </w:rPr>
        <w:t xml:space="preserve"> not an extension of the building frame may be evaluated using either criteria 1 or 2 listed below:</w:t>
      </w:r>
    </w:p>
    <w:p w14:paraId="09A68928" w14:textId="77777777" w:rsidR="000D5E59" w:rsidRPr="000D5E59" w:rsidRDefault="000D5E59" w:rsidP="000D5E59">
      <w:pPr>
        <w:numPr>
          <w:ilvl w:val="0"/>
          <w:numId w:val="29"/>
        </w:numPr>
        <w:rPr>
          <w:rFonts w:cs="Arial"/>
          <w:i/>
          <w:iCs/>
          <w:u w:val="single"/>
        </w:rPr>
      </w:pPr>
      <w:r w:rsidRPr="000D5E59">
        <w:rPr>
          <w:rFonts w:cs="Arial"/>
          <w:i/>
          <w:iCs/>
          <w:u w:val="single"/>
        </w:rPr>
        <w:t>ASCE 41-13 Chapter 13 criteria under BSE-1E. The connection to the existing structure shall be designed for amplified omega level (Ω=2) demands.</w:t>
      </w:r>
    </w:p>
    <w:p w14:paraId="54E87894" w14:textId="77777777" w:rsidR="000D5E59" w:rsidRPr="000D5E59" w:rsidRDefault="000D5E59" w:rsidP="000D5E59">
      <w:pPr>
        <w:numPr>
          <w:ilvl w:val="0"/>
          <w:numId w:val="29"/>
        </w:numPr>
        <w:rPr>
          <w:rFonts w:cs="Arial"/>
          <w:i/>
          <w:iCs/>
          <w:u w:val="single"/>
          <w:lang w:val="it-IT"/>
        </w:rPr>
      </w:pPr>
      <w:r w:rsidRPr="000D5E59">
        <w:rPr>
          <w:rFonts w:cs="Arial"/>
          <w:i/>
          <w:iCs/>
          <w:u w:val="single"/>
          <w:lang w:val="it-IT"/>
        </w:rPr>
        <w:t>ASCE 41-13 Chapter 13 criteria under BSE-2E.</w:t>
      </w:r>
    </w:p>
    <w:p w14:paraId="7566B6AE" w14:textId="63ECDE20" w:rsidR="000D5E59" w:rsidRPr="000D5E59" w:rsidRDefault="00831809" w:rsidP="00EE1A84">
      <w:pPr>
        <w:spacing w:after="240"/>
        <w:rPr>
          <w:rFonts w:cs="Arial"/>
          <w:b/>
          <w:bCs/>
          <w:u w:val="single"/>
        </w:rPr>
      </w:pPr>
      <w:r>
        <w:rPr>
          <w:rFonts w:cs="Arial"/>
          <w:i/>
          <w:iCs/>
          <w:u w:val="single"/>
        </w:rPr>
        <w:t>All other p</w:t>
      </w:r>
      <w:r w:rsidRPr="000D5E59">
        <w:rPr>
          <w:rFonts w:cs="Arial"/>
          <w:i/>
          <w:iCs/>
          <w:u w:val="single"/>
        </w:rPr>
        <w:t xml:space="preserve">enthouse </w:t>
      </w:r>
      <w:r w:rsidR="000D5E59" w:rsidRPr="000D5E59">
        <w:rPr>
          <w:rFonts w:cs="Arial"/>
          <w:i/>
          <w:iCs/>
          <w:u w:val="single"/>
        </w:rPr>
        <w:t xml:space="preserve">structures shall be evaluated using their respective material </w:t>
      </w:r>
      <w:proofErr w:type="gramStart"/>
      <w:r w:rsidR="000D5E59" w:rsidRPr="000D5E59">
        <w:rPr>
          <w:rFonts w:cs="Arial"/>
          <w:i/>
          <w:iCs/>
          <w:u w:val="single"/>
        </w:rPr>
        <w:t>chapter</w:t>
      </w:r>
      <w:proofErr w:type="gramEnd"/>
      <w:r w:rsidR="000D5E59" w:rsidRPr="000D5E59">
        <w:rPr>
          <w:rFonts w:cs="Arial"/>
          <w:i/>
          <w:iCs/>
          <w:u w:val="single"/>
        </w:rPr>
        <w:t xml:space="preserve"> for both BSE-1E and BSE-2E against Damage Control and Collapse Prevention respectively.</w:t>
      </w:r>
    </w:p>
    <w:p w14:paraId="007B2727" w14:textId="77777777" w:rsidR="000D5E59" w:rsidRPr="000D5E59" w:rsidRDefault="000D5E59" w:rsidP="000D5E59">
      <w:pPr>
        <w:rPr>
          <w:rFonts w:cs="Arial"/>
          <w:i/>
          <w:iCs/>
        </w:rPr>
      </w:pPr>
      <w:r w:rsidRPr="000D5E59">
        <w:rPr>
          <w:rFonts w:cs="Arial"/>
          <w:b/>
          <w:bCs/>
          <w:i/>
          <w:iCs/>
        </w:rPr>
        <w:t>304A.3.5.</w:t>
      </w:r>
      <w:r w:rsidRPr="00A0734D">
        <w:rPr>
          <w:rFonts w:cs="Arial"/>
          <w:b/>
          <w:bCs/>
          <w:i/>
          <w:iCs/>
          <w:strike/>
        </w:rPr>
        <w:t>16</w:t>
      </w:r>
      <w:r w:rsidRPr="000D5E59">
        <w:rPr>
          <w:rFonts w:cs="Arial"/>
          <w:b/>
          <w:bCs/>
          <w:i/>
          <w:iCs/>
          <w:u w:val="single"/>
        </w:rPr>
        <w:t>17</w:t>
      </w:r>
      <w:r w:rsidRPr="000D5E59">
        <w:rPr>
          <w:rFonts w:cs="Arial"/>
          <w:b/>
          <w:bCs/>
          <w:i/>
          <w:iCs/>
        </w:rPr>
        <w:t xml:space="preserve"> ASCE 41-13 Section 14.1</w:t>
      </w:r>
      <w:r w:rsidRPr="002D22AE">
        <w:rPr>
          <w:rFonts w:cs="Arial"/>
          <w:b/>
          <w:bCs/>
          <w:i/>
          <w:iCs/>
        </w:rPr>
        <w:t>.</w:t>
      </w:r>
      <w:r w:rsidRPr="000D5E59">
        <w:rPr>
          <w:rFonts w:cs="Arial"/>
          <w:i/>
          <w:iCs/>
        </w:rPr>
        <w:t xml:space="preserve"> Modify ASCE 41-13 Section 14.1 by the following:</w:t>
      </w:r>
    </w:p>
    <w:p w14:paraId="0F99B30D" w14:textId="77777777" w:rsidR="000D5E59" w:rsidRPr="000D5E59" w:rsidRDefault="000D5E59" w:rsidP="002D22AE">
      <w:pPr>
        <w:spacing w:after="240"/>
        <w:ind w:left="720"/>
        <w:rPr>
          <w:rFonts w:cs="Arial"/>
          <w:i/>
          <w:iCs/>
        </w:rPr>
      </w:pPr>
      <w:r w:rsidRPr="000D5E59">
        <w:rPr>
          <w:rFonts w:cs="Arial"/>
          <w:b/>
          <w:bCs/>
          <w:i/>
          <w:iCs/>
        </w:rPr>
        <w:t>Scope</w:t>
      </w:r>
      <w:r w:rsidRPr="000D5E59">
        <w:rPr>
          <w:rFonts w:cs="Arial"/>
          <w:i/>
          <w:iCs/>
        </w:rPr>
        <w:t xml:space="preserve">: For buildings located in Seismic Design Category F, verification of the </w:t>
      </w:r>
      <w:proofErr w:type="spellStart"/>
      <w:r w:rsidRPr="000D5E59">
        <w:rPr>
          <w:rFonts w:cs="Arial"/>
          <w:i/>
          <w:iCs/>
        </w:rPr>
        <w:t>interstory</w:t>
      </w:r>
      <w:proofErr w:type="spellEnd"/>
      <w:r w:rsidRPr="000D5E59">
        <w:rPr>
          <w:rFonts w:cs="Arial"/>
          <w:i/>
          <w:iCs/>
        </w:rPr>
        <w:t xml:space="preserve"> lateral displacements, the strength adequacy of the seismic force-resisting system and anchorage to the foundation shall be accomplished using the Nonlinear Dynamic Procedure.</w:t>
      </w:r>
    </w:p>
    <w:p w14:paraId="1676AFD3" w14:textId="77777777" w:rsidR="000D5E59" w:rsidRPr="000D5E59" w:rsidRDefault="000D5E59" w:rsidP="000D5E59">
      <w:pPr>
        <w:rPr>
          <w:rFonts w:cs="Arial"/>
          <w:i/>
          <w:iCs/>
        </w:rPr>
      </w:pPr>
      <w:r w:rsidRPr="000D5E59">
        <w:rPr>
          <w:rFonts w:cs="Arial"/>
          <w:b/>
          <w:bCs/>
          <w:i/>
          <w:iCs/>
        </w:rPr>
        <w:t>304A.3.5.</w:t>
      </w:r>
      <w:r w:rsidRPr="00A0734D">
        <w:rPr>
          <w:rFonts w:cs="Arial"/>
          <w:b/>
          <w:bCs/>
          <w:i/>
          <w:iCs/>
          <w:strike/>
        </w:rPr>
        <w:t>17</w:t>
      </w:r>
      <w:r w:rsidRPr="000D5E59">
        <w:rPr>
          <w:rFonts w:cs="Arial"/>
          <w:b/>
          <w:bCs/>
          <w:i/>
          <w:iCs/>
          <w:u w:val="single"/>
        </w:rPr>
        <w:t>18</w:t>
      </w:r>
      <w:r w:rsidRPr="000D5E59">
        <w:rPr>
          <w:rFonts w:cs="Arial"/>
          <w:b/>
          <w:bCs/>
          <w:i/>
          <w:iCs/>
        </w:rPr>
        <w:t xml:space="preserve"> ASCE 41-13 Chapter 15 and 16. </w:t>
      </w:r>
      <w:r w:rsidRPr="000D5E59">
        <w:rPr>
          <w:rFonts w:cs="Arial"/>
          <w:i/>
          <w:iCs/>
        </w:rPr>
        <w:t>Not permitted by OSHPD.</w:t>
      </w:r>
    </w:p>
    <w:p w14:paraId="25A9FCD0" w14:textId="4460AB23" w:rsidR="000D5E59" w:rsidRDefault="000D5E59" w:rsidP="000D5E59">
      <w:pPr>
        <w:rPr>
          <w:rFonts w:cs="Arial"/>
          <w:i/>
          <w:iCs/>
        </w:rPr>
      </w:pPr>
      <w:r w:rsidRPr="000D5E59">
        <w:rPr>
          <w:rFonts w:cs="Arial"/>
          <w:i/>
          <w:iCs/>
        </w:rPr>
        <w:t>…</w:t>
      </w:r>
    </w:p>
    <w:p w14:paraId="3DACC8D7" w14:textId="77777777" w:rsidR="00B71792" w:rsidRDefault="00B71792" w:rsidP="00B71792">
      <w:pPr>
        <w:spacing w:after="0"/>
        <w:rPr>
          <w:rFonts w:cs="Arial"/>
          <w:i/>
          <w:iCs/>
        </w:rPr>
      </w:pPr>
      <w:r w:rsidRPr="004D4B1F">
        <w:rPr>
          <w:rFonts w:cs="Arial"/>
          <w:b/>
          <w:bCs/>
          <w:i/>
          <w:iCs/>
        </w:rPr>
        <w:t>304A.3.</w:t>
      </w:r>
      <w:r>
        <w:rPr>
          <w:rFonts w:cs="Arial"/>
          <w:b/>
          <w:bCs/>
          <w:i/>
          <w:iCs/>
        </w:rPr>
        <w:t>6</w:t>
      </w:r>
      <w:r w:rsidRPr="004D4B1F">
        <w:rPr>
          <w:rFonts w:cs="Arial"/>
          <w:b/>
          <w:bCs/>
          <w:i/>
          <w:iCs/>
        </w:rPr>
        <w:t xml:space="preserve"> Modifications to ASCE 41-</w:t>
      </w:r>
      <w:r>
        <w:rPr>
          <w:rFonts w:cs="Arial"/>
          <w:b/>
          <w:bCs/>
          <w:i/>
          <w:iCs/>
        </w:rPr>
        <w:t>2</w:t>
      </w:r>
      <w:r w:rsidRPr="004D4B1F">
        <w:rPr>
          <w:rFonts w:cs="Arial"/>
          <w:b/>
          <w:bCs/>
          <w:i/>
          <w:iCs/>
        </w:rPr>
        <w:t>3.</w:t>
      </w:r>
      <w:r>
        <w:rPr>
          <w:rFonts w:cs="Arial"/>
          <w:b/>
          <w:bCs/>
          <w:i/>
          <w:iCs/>
        </w:rPr>
        <w:t xml:space="preserve"> </w:t>
      </w:r>
      <w:r w:rsidRPr="005B70FB">
        <w:rPr>
          <w:rFonts w:cs="Arial"/>
          <w:i/>
          <w:iCs/>
        </w:rPr>
        <w:t>The text of ASCE 41-</w:t>
      </w:r>
      <w:r>
        <w:rPr>
          <w:rFonts w:cs="Arial"/>
          <w:i/>
          <w:iCs/>
        </w:rPr>
        <w:t>2</w:t>
      </w:r>
      <w:r w:rsidRPr="005B70FB">
        <w:rPr>
          <w:rFonts w:cs="Arial"/>
          <w:i/>
          <w:iCs/>
        </w:rPr>
        <w:t>3 shall be modified as indicated in Sections 304A.3.</w:t>
      </w:r>
      <w:r>
        <w:rPr>
          <w:rFonts w:cs="Arial"/>
          <w:i/>
          <w:iCs/>
        </w:rPr>
        <w:t>6</w:t>
      </w:r>
      <w:r w:rsidRPr="005B70FB">
        <w:rPr>
          <w:rFonts w:cs="Arial"/>
          <w:i/>
          <w:iCs/>
        </w:rPr>
        <w:t>.1 through 304A.3.</w:t>
      </w:r>
      <w:r>
        <w:rPr>
          <w:rFonts w:cs="Arial"/>
          <w:i/>
          <w:iCs/>
        </w:rPr>
        <w:t>6</w:t>
      </w:r>
      <w:r w:rsidRPr="005B70FB">
        <w:rPr>
          <w:rFonts w:cs="Arial"/>
          <w:i/>
          <w:iCs/>
        </w:rPr>
        <w:t>.</w:t>
      </w:r>
      <w:r>
        <w:rPr>
          <w:rFonts w:cs="Arial"/>
          <w:i/>
          <w:iCs/>
          <w:strike/>
        </w:rPr>
        <w:t>9</w:t>
      </w:r>
      <w:r w:rsidRPr="00DE2537">
        <w:rPr>
          <w:rFonts w:cs="Arial"/>
          <w:i/>
          <w:iCs/>
          <w:u w:val="single"/>
        </w:rPr>
        <w:t>1</w:t>
      </w:r>
      <w:r>
        <w:rPr>
          <w:rFonts w:cs="Arial"/>
          <w:i/>
          <w:iCs/>
          <w:u w:val="single"/>
        </w:rPr>
        <w:t>0</w:t>
      </w:r>
      <w:r w:rsidRPr="005B70FB">
        <w:rPr>
          <w:rFonts w:cs="Arial"/>
          <w:i/>
          <w:iCs/>
        </w:rPr>
        <w:t>.</w:t>
      </w:r>
    </w:p>
    <w:p w14:paraId="6FDAB4CA" w14:textId="73E50713" w:rsidR="00B71792" w:rsidRPr="005B70FB" w:rsidRDefault="00B71792" w:rsidP="00B71792">
      <w:pPr>
        <w:rPr>
          <w:rFonts w:cs="Arial"/>
          <w:i/>
          <w:iCs/>
        </w:rPr>
      </w:pPr>
      <w:r>
        <w:rPr>
          <w:rFonts w:cs="Arial"/>
          <w:i/>
          <w:iCs/>
        </w:rPr>
        <w:t>...</w:t>
      </w:r>
    </w:p>
    <w:p w14:paraId="05547C33" w14:textId="77777777" w:rsidR="000D5E59" w:rsidRPr="000D5E59" w:rsidRDefault="000D5E59" w:rsidP="000D5E59">
      <w:pPr>
        <w:rPr>
          <w:rFonts w:cs="Arial"/>
          <w:i/>
          <w:iCs/>
        </w:rPr>
      </w:pPr>
      <w:r w:rsidRPr="000D5E59">
        <w:rPr>
          <w:rFonts w:cs="Arial"/>
          <w:b/>
          <w:bCs/>
          <w:i/>
          <w:iCs/>
        </w:rPr>
        <w:t>304A.3.6.8 ASCE 41-23 Section 11.1</w:t>
      </w:r>
      <w:r w:rsidRPr="002D22AE">
        <w:rPr>
          <w:rFonts w:cs="Arial"/>
          <w:b/>
          <w:bCs/>
          <w:i/>
          <w:iCs/>
        </w:rPr>
        <w:t>.</w:t>
      </w:r>
      <w:r w:rsidRPr="000D5E59">
        <w:rPr>
          <w:rFonts w:cs="Arial"/>
          <w:i/>
          <w:iCs/>
        </w:rPr>
        <w:t xml:space="preserve"> Modify ASCE 41-23 Section 11.1 by the following:</w:t>
      </w:r>
    </w:p>
    <w:p w14:paraId="152D72B1" w14:textId="77777777" w:rsidR="000D5E59" w:rsidRPr="000D5E59" w:rsidRDefault="000D5E59" w:rsidP="002D22AE">
      <w:pPr>
        <w:spacing w:after="240"/>
        <w:ind w:left="720"/>
        <w:rPr>
          <w:rFonts w:cs="Arial"/>
          <w:i/>
          <w:iCs/>
        </w:rPr>
      </w:pPr>
      <w:r w:rsidRPr="000D5E59">
        <w:rPr>
          <w:rFonts w:cs="Arial"/>
          <w:b/>
          <w:bCs/>
          <w:i/>
          <w:iCs/>
        </w:rPr>
        <w:t>Scope</w:t>
      </w:r>
      <w:r w:rsidRPr="000D5E59">
        <w:rPr>
          <w:rFonts w:cs="Arial"/>
          <w:i/>
          <w:iCs/>
        </w:rPr>
        <w:t>: Unreinforced masonry walls (including unreinforced infill walls) and partitions are not permitted for General Acute Care (GAC) hospital buildings.</w:t>
      </w:r>
    </w:p>
    <w:p w14:paraId="0B95B2B1" w14:textId="2921764D" w:rsidR="000D5E59" w:rsidRPr="000D5E59" w:rsidRDefault="000D5E59" w:rsidP="000D5E59">
      <w:pPr>
        <w:rPr>
          <w:rFonts w:cs="Arial"/>
          <w:i/>
          <w:iCs/>
          <w:u w:val="single"/>
        </w:rPr>
      </w:pPr>
      <w:r w:rsidRPr="000D5E59">
        <w:rPr>
          <w:rFonts w:cs="Arial"/>
          <w:b/>
          <w:bCs/>
          <w:i/>
          <w:iCs/>
          <w:u w:val="single"/>
        </w:rPr>
        <w:t>304A.3.6.9 ASCE 41-23 Chapter 13</w:t>
      </w:r>
      <w:r w:rsidR="002D22AE" w:rsidRPr="002D22AE">
        <w:rPr>
          <w:rFonts w:cs="Arial"/>
          <w:b/>
          <w:bCs/>
          <w:i/>
          <w:iCs/>
          <w:u w:val="single"/>
        </w:rPr>
        <w:t>.</w:t>
      </w:r>
    </w:p>
    <w:p w14:paraId="08F4E13C" w14:textId="23FB33DB" w:rsidR="000D5E59" w:rsidRPr="000D5E59" w:rsidRDefault="000D5E59" w:rsidP="000D5E59">
      <w:pPr>
        <w:rPr>
          <w:rFonts w:cs="Arial"/>
          <w:i/>
          <w:iCs/>
          <w:u w:val="single"/>
        </w:rPr>
      </w:pPr>
      <w:r w:rsidRPr="000D5E59">
        <w:rPr>
          <w:rFonts w:cs="Arial"/>
          <w:b/>
          <w:bCs/>
          <w:i/>
          <w:iCs/>
          <w:u w:val="single"/>
        </w:rPr>
        <w:t>Penthouse Structures</w:t>
      </w:r>
      <w:r w:rsidRPr="000D5E59">
        <w:rPr>
          <w:rFonts w:cs="Arial"/>
          <w:i/>
          <w:iCs/>
          <w:u w:val="single"/>
        </w:rPr>
        <w:t xml:space="preserve">: Penthouse structures with aggregate area that is less than one-third of the roof area </w:t>
      </w:r>
      <w:r w:rsidR="001B798A">
        <w:rPr>
          <w:rFonts w:cs="Arial"/>
          <w:i/>
          <w:iCs/>
          <w:u w:val="single"/>
        </w:rPr>
        <w:t>and</w:t>
      </w:r>
      <w:r w:rsidR="00563341">
        <w:rPr>
          <w:rFonts w:cs="Arial"/>
          <w:i/>
          <w:iCs/>
          <w:u w:val="single"/>
        </w:rPr>
        <w:t xml:space="preserve"> are</w:t>
      </w:r>
      <w:r w:rsidRPr="000D5E59">
        <w:rPr>
          <w:rFonts w:cs="Arial"/>
          <w:i/>
          <w:iCs/>
          <w:u w:val="single"/>
        </w:rPr>
        <w:t xml:space="preserve"> not an extension of the building frame may be </w:t>
      </w:r>
      <w:r w:rsidRPr="000D5E59">
        <w:rPr>
          <w:rFonts w:cs="Arial"/>
          <w:i/>
          <w:iCs/>
          <w:u w:val="single"/>
        </w:rPr>
        <w:lastRenderedPageBreak/>
        <w:t>evaluated using either criteria 1 or 2 listed below:</w:t>
      </w:r>
    </w:p>
    <w:p w14:paraId="35715F5D" w14:textId="77777777" w:rsidR="000D5E59" w:rsidRPr="000D5E59" w:rsidRDefault="000D5E59" w:rsidP="000D5E59">
      <w:pPr>
        <w:numPr>
          <w:ilvl w:val="0"/>
          <w:numId w:val="30"/>
        </w:numPr>
        <w:rPr>
          <w:rFonts w:cs="Arial"/>
          <w:i/>
          <w:iCs/>
          <w:u w:val="single"/>
        </w:rPr>
      </w:pPr>
      <w:r w:rsidRPr="000D5E59">
        <w:rPr>
          <w:rFonts w:cs="Arial"/>
          <w:i/>
          <w:iCs/>
          <w:u w:val="single"/>
        </w:rPr>
        <w:t>ASCE 41-23 Chapter 13 criteria under BSE-1E. The connection to the existing structure shall be designed for amplified omega level (Ω=2) demands.</w:t>
      </w:r>
    </w:p>
    <w:p w14:paraId="59643ED6" w14:textId="77777777" w:rsidR="000D5E59" w:rsidRPr="000D5E59" w:rsidRDefault="000D5E59" w:rsidP="000D5E59">
      <w:pPr>
        <w:numPr>
          <w:ilvl w:val="0"/>
          <w:numId w:val="30"/>
        </w:numPr>
        <w:rPr>
          <w:rFonts w:cs="Arial"/>
          <w:i/>
          <w:iCs/>
          <w:u w:val="single"/>
          <w:lang w:val="it-IT"/>
        </w:rPr>
      </w:pPr>
      <w:r w:rsidRPr="000D5E59">
        <w:rPr>
          <w:rFonts w:cs="Arial"/>
          <w:i/>
          <w:iCs/>
          <w:u w:val="single"/>
          <w:lang w:val="it-IT"/>
        </w:rPr>
        <w:t>ASCE 41-23 Chapter 13 criteria under BSE-2E.</w:t>
      </w:r>
    </w:p>
    <w:p w14:paraId="75CB7F97" w14:textId="16144DD9" w:rsidR="000D5E59" w:rsidRPr="000D5E59" w:rsidRDefault="00563341" w:rsidP="00EE1A84">
      <w:pPr>
        <w:spacing w:after="240"/>
        <w:rPr>
          <w:rFonts w:cs="Arial"/>
          <w:b/>
          <w:bCs/>
          <w:u w:val="single"/>
        </w:rPr>
      </w:pPr>
      <w:r>
        <w:rPr>
          <w:rFonts w:cs="Arial"/>
          <w:i/>
          <w:iCs/>
          <w:u w:val="single"/>
        </w:rPr>
        <w:t>All other p</w:t>
      </w:r>
      <w:r w:rsidRPr="000D5E59">
        <w:rPr>
          <w:rFonts w:cs="Arial"/>
          <w:i/>
          <w:iCs/>
          <w:u w:val="single"/>
        </w:rPr>
        <w:t xml:space="preserve">enthouse </w:t>
      </w:r>
      <w:r w:rsidR="000D5E59" w:rsidRPr="000D5E59">
        <w:rPr>
          <w:rFonts w:cs="Arial"/>
          <w:i/>
          <w:iCs/>
          <w:u w:val="single"/>
        </w:rPr>
        <w:t xml:space="preserve">structures shall be evaluated using their respective material </w:t>
      </w:r>
      <w:proofErr w:type="gramStart"/>
      <w:r w:rsidR="000D5E59" w:rsidRPr="000D5E59">
        <w:rPr>
          <w:rFonts w:cs="Arial"/>
          <w:i/>
          <w:iCs/>
          <w:u w:val="single"/>
        </w:rPr>
        <w:t>chapter</w:t>
      </w:r>
      <w:proofErr w:type="gramEnd"/>
      <w:r w:rsidR="000D5E59" w:rsidRPr="000D5E59">
        <w:rPr>
          <w:rFonts w:cs="Arial"/>
          <w:i/>
          <w:iCs/>
          <w:u w:val="single"/>
        </w:rPr>
        <w:t xml:space="preserve"> for both BSE-1E and BSE-2E against Damage Control and Collapse Prevention respectively.</w:t>
      </w:r>
      <w:r w:rsidR="000D5E59" w:rsidRPr="000D5E59">
        <w:rPr>
          <w:rFonts w:cs="Arial"/>
          <w:b/>
          <w:bCs/>
          <w:i/>
          <w:iCs/>
          <w:u w:val="single"/>
        </w:rPr>
        <w:t xml:space="preserve"> </w:t>
      </w:r>
    </w:p>
    <w:p w14:paraId="1673514D" w14:textId="77777777" w:rsidR="000D5E59" w:rsidRPr="000D5E59" w:rsidRDefault="000D5E59" w:rsidP="002D22AE">
      <w:pPr>
        <w:rPr>
          <w:rFonts w:cs="Arial"/>
          <w:i/>
          <w:iCs/>
        </w:rPr>
      </w:pPr>
      <w:bookmarkStart w:id="2" w:name="_Hlk217311459"/>
      <w:r w:rsidRPr="000D5E59">
        <w:rPr>
          <w:rFonts w:cs="Arial"/>
          <w:b/>
          <w:bCs/>
          <w:i/>
          <w:iCs/>
        </w:rPr>
        <w:t>304A.3.6.</w:t>
      </w:r>
      <w:r w:rsidRPr="00A0734D">
        <w:rPr>
          <w:rFonts w:cs="Arial"/>
          <w:b/>
          <w:bCs/>
          <w:i/>
          <w:iCs/>
          <w:strike/>
        </w:rPr>
        <w:t>9</w:t>
      </w:r>
      <w:r w:rsidRPr="000D5E59">
        <w:rPr>
          <w:rFonts w:cs="Arial"/>
          <w:b/>
          <w:bCs/>
          <w:i/>
          <w:iCs/>
          <w:u w:val="single"/>
        </w:rPr>
        <w:t>10</w:t>
      </w:r>
      <w:bookmarkEnd w:id="2"/>
      <w:r w:rsidRPr="000D5E59">
        <w:rPr>
          <w:rFonts w:cs="Arial"/>
          <w:b/>
          <w:bCs/>
          <w:i/>
          <w:iCs/>
        </w:rPr>
        <w:t xml:space="preserve"> ASCE 41-23 Chapter 16 and 17</w:t>
      </w:r>
      <w:r w:rsidRPr="002D22AE">
        <w:rPr>
          <w:rFonts w:cs="Arial"/>
          <w:b/>
          <w:bCs/>
          <w:i/>
          <w:iCs/>
        </w:rPr>
        <w:t>.</w:t>
      </w:r>
      <w:r w:rsidRPr="000D5E59">
        <w:rPr>
          <w:rFonts w:cs="Arial"/>
          <w:i/>
          <w:iCs/>
        </w:rPr>
        <w:t xml:space="preserve"> Not permitted by OSHPD.</w:t>
      </w:r>
    </w:p>
    <w:p w14:paraId="52A497B6" w14:textId="0661CB6E" w:rsidR="000D5E59" w:rsidRPr="000D5E59" w:rsidRDefault="000D5E59" w:rsidP="00D53B4C">
      <w:pPr>
        <w:spacing w:after="0"/>
        <w:rPr>
          <w:rFonts w:cs="Arial"/>
          <w:i/>
          <w:iCs/>
        </w:rPr>
      </w:pPr>
      <w:r w:rsidRPr="000D5E59">
        <w:rPr>
          <w:rFonts w:cs="Arial"/>
          <w:i/>
          <w:iCs/>
        </w:rPr>
        <w:t>…</w:t>
      </w:r>
    </w:p>
    <w:p w14:paraId="2C1B2CED" w14:textId="73308086" w:rsidR="00005708" w:rsidRPr="0046521A" w:rsidRDefault="00005708" w:rsidP="003641DE">
      <w:pPr>
        <w:pStyle w:val="Heading4"/>
        <w:ind w:left="0"/>
      </w:pPr>
      <w:r w:rsidRPr="0046521A">
        <w:t>Notation:</w:t>
      </w:r>
    </w:p>
    <w:p w14:paraId="520855ED" w14:textId="77777777" w:rsidR="006E248A" w:rsidRPr="0046521A" w:rsidRDefault="00005708" w:rsidP="006E248A">
      <w:pPr>
        <w:rPr>
          <w:rFonts w:cs="Arial"/>
        </w:rPr>
      </w:pPr>
      <w:r w:rsidRPr="0046521A">
        <w:rPr>
          <w:rFonts w:cs="Arial"/>
        </w:rPr>
        <w:t xml:space="preserve">Authority: </w:t>
      </w:r>
      <w:r w:rsidR="006E248A" w:rsidRPr="0046521A">
        <w:rPr>
          <w:rFonts w:cs="Arial"/>
        </w:rPr>
        <w:t xml:space="preserve">Authority: </w:t>
      </w:r>
      <w:r w:rsidR="006E248A" w:rsidRPr="00390BEC">
        <w:rPr>
          <w:rFonts w:cs="Arial"/>
        </w:rPr>
        <w:t xml:space="preserve">Health and Safety Code, Sections 1275, </w:t>
      </w:r>
      <w:r w:rsidR="006E248A">
        <w:rPr>
          <w:rFonts w:cs="Arial"/>
        </w:rPr>
        <w:t>18942</w:t>
      </w:r>
      <w:r w:rsidR="006E248A" w:rsidRPr="00390BEC">
        <w:rPr>
          <w:rFonts w:cs="Arial"/>
        </w:rPr>
        <w:t>, 129850</w:t>
      </w:r>
    </w:p>
    <w:p w14:paraId="0D1B49AF" w14:textId="745A6195" w:rsidR="00767766" w:rsidRDefault="006E248A" w:rsidP="006E248A">
      <w:pPr>
        <w:spacing w:after="240"/>
        <w:rPr>
          <w:rFonts w:cs="Arial"/>
        </w:rPr>
      </w:pPr>
      <w:r w:rsidRPr="0046521A">
        <w:rPr>
          <w:rFonts w:cs="Arial"/>
        </w:rPr>
        <w:t xml:space="preserve">Reference(s): </w:t>
      </w:r>
      <w:r w:rsidR="006F5506" w:rsidRPr="00390BEC">
        <w:rPr>
          <w:rFonts w:cs="Arial"/>
        </w:rPr>
        <w:t xml:space="preserve">Health and Safety Code, Sections </w:t>
      </w:r>
      <w:r w:rsidRPr="00390BEC">
        <w:rPr>
          <w:rFonts w:cs="Arial"/>
        </w:rPr>
        <w:t>129675-</w:t>
      </w:r>
      <w:r w:rsidR="009E3914" w:rsidRPr="00390BEC">
        <w:rPr>
          <w:rFonts w:cs="Arial"/>
        </w:rPr>
        <w:t>13007</w:t>
      </w:r>
      <w:r w:rsidR="009E3914">
        <w:rPr>
          <w:rFonts w:cs="Arial"/>
        </w:rPr>
        <w:t>9</w:t>
      </w:r>
    </w:p>
    <w:p w14:paraId="719CB28D" w14:textId="77777777" w:rsidR="00813865" w:rsidRPr="00813865" w:rsidRDefault="00813865" w:rsidP="00813865">
      <w:pPr>
        <w:rPr>
          <w:rFonts w:cs="Arial"/>
        </w:rPr>
      </w:pPr>
    </w:p>
    <w:sectPr w:rsidR="00813865" w:rsidRPr="00813865" w:rsidSect="00005708">
      <w:headerReference w:type="default" r:id="rId11"/>
      <w:footerReference w:type="default" r:id="rId12"/>
      <w:endnotePr>
        <w:numFmt w:val="decimal"/>
      </w:endnotePr>
      <w:type w:val="continuous"/>
      <w:pgSz w:w="12240" w:h="15840"/>
      <w:pgMar w:top="1152"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B6059" w14:textId="77777777" w:rsidR="00285BA4" w:rsidRDefault="00285BA4">
      <w:r>
        <w:separator/>
      </w:r>
    </w:p>
  </w:endnote>
  <w:endnote w:type="continuationSeparator" w:id="0">
    <w:p w14:paraId="2384093D" w14:textId="77777777" w:rsidR="00285BA4" w:rsidRDefault="0028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CA4B" w14:textId="77777777" w:rsidR="008908A5" w:rsidRDefault="008908A5" w:rsidP="00AA0C1D">
    <w:pPr>
      <w:pStyle w:val="Footer"/>
      <w:pBdr>
        <w:top w:val="single" w:sz="4" w:space="1" w:color="auto"/>
      </w:pBdr>
      <w:tabs>
        <w:tab w:val="clear" w:pos="4320"/>
        <w:tab w:val="clear" w:pos="8640"/>
        <w:tab w:val="center" w:pos="4788"/>
        <w:tab w:val="right" w:pos="6678"/>
      </w:tabs>
    </w:pPr>
  </w:p>
  <w:p w14:paraId="30356D53" w14:textId="79C5E748" w:rsidR="008908A5" w:rsidRDefault="008908A5" w:rsidP="00AA0C1D">
    <w:pPr>
      <w:pStyle w:val="Footer"/>
      <w:tabs>
        <w:tab w:val="clear" w:pos="4320"/>
        <w:tab w:val="clear" w:pos="8640"/>
        <w:tab w:val="right" w:pos="9180"/>
      </w:tabs>
    </w:pPr>
    <w:r>
      <w:t xml:space="preserve">BSC TP-103 (Rev. </w:t>
    </w:r>
    <w:r w:rsidR="00D71CEC">
      <w:t>0</w:t>
    </w:r>
    <w:r w:rsidR="00F36760">
      <w:t>5</w:t>
    </w:r>
    <w:r>
      <w:t>/</w:t>
    </w:r>
    <w:r w:rsidR="0073368F">
      <w:t>2</w:t>
    </w:r>
    <w:r w:rsidR="00D71CEC">
      <w:t>5</w:t>
    </w:r>
    <w:r w:rsidRPr="004C48A0">
      <w:t>)</w:t>
    </w:r>
    <w:r>
      <w:t xml:space="preserve"> </w:t>
    </w:r>
    <w:r w:rsidR="00400B1D">
      <w:t xml:space="preserve">45-Day </w:t>
    </w:r>
    <w:r>
      <w:t>Express Terms</w:t>
    </w:r>
    <w:r w:rsidR="00A8502F">
      <w:tab/>
    </w:r>
    <w:r w:rsidR="00400B1D">
      <w:t>February 25, 2026</w:t>
    </w:r>
  </w:p>
  <w:p w14:paraId="0CAFC6F9" w14:textId="3688EE8B" w:rsidR="008908A5" w:rsidRDefault="009B37B8" w:rsidP="00AA0C1D">
    <w:pPr>
      <w:pStyle w:val="Footer"/>
      <w:tabs>
        <w:tab w:val="clear" w:pos="4320"/>
        <w:tab w:val="clear" w:pos="8640"/>
        <w:tab w:val="center" w:pos="4860"/>
        <w:tab w:val="right" w:pos="9180"/>
      </w:tabs>
      <w:rPr>
        <w:szCs w:val="16"/>
      </w:rPr>
    </w:pPr>
    <w:r>
      <w:rPr>
        <w:szCs w:val="16"/>
      </w:rPr>
      <w:t>OSHPD 07/25</w:t>
    </w:r>
    <w:r w:rsidR="008908A5">
      <w:rPr>
        <w:szCs w:val="16"/>
      </w:rPr>
      <w:t xml:space="preserve"> - Part</w:t>
    </w:r>
    <w:r w:rsidR="00A8502F">
      <w:rPr>
        <w:szCs w:val="16"/>
      </w:rPr>
      <w:t xml:space="preserve"> </w:t>
    </w:r>
    <w:r w:rsidR="00A8713C">
      <w:rPr>
        <w:szCs w:val="16"/>
      </w:rPr>
      <w:t>10</w:t>
    </w:r>
    <w:r w:rsidR="008908A5">
      <w:rPr>
        <w:szCs w:val="16"/>
      </w:rPr>
      <w:t xml:space="preserve"> -</w:t>
    </w:r>
    <w:r w:rsidR="00A8502F">
      <w:rPr>
        <w:szCs w:val="16"/>
      </w:rPr>
      <w:t xml:space="preserve"> </w:t>
    </w:r>
    <w:r w:rsidR="00A8713C">
      <w:rPr>
        <w:szCs w:val="16"/>
      </w:rPr>
      <w:t>2025</w:t>
    </w:r>
    <w:r w:rsidR="00A8502F">
      <w:rPr>
        <w:szCs w:val="16"/>
      </w:rPr>
      <w:t xml:space="preserve"> Intervening </w:t>
    </w:r>
    <w:r w:rsidR="008908A5" w:rsidRPr="006D1470">
      <w:rPr>
        <w:szCs w:val="16"/>
      </w:rPr>
      <w:t>Code Cycle</w:t>
    </w:r>
    <w:r w:rsidR="0070689B">
      <w:rPr>
        <w:szCs w:val="16"/>
      </w:rPr>
      <w:tab/>
    </w:r>
    <w:r w:rsidR="00A8502F">
      <w:rPr>
        <w:szCs w:val="16"/>
      </w:rPr>
      <w:tab/>
    </w:r>
    <w:r w:rsidR="00400B1D">
      <w:rPr>
        <w:szCs w:val="16"/>
      </w:rPr>
      <w:t>45-Day ET</w:t>
    </w:r>
  </w:p>
  <w:p w14:paraId="4E70EC50" w14:textId="323D318D" w:rsidR="008908A5" w:rsidRDefault="00A8713C" w:rsidP="00A8502F">
    <w:pPr>
      <w:pStyle w:val="Footer"/>
      <w:tabs>
        <w:tab w:val="clear" w:pos="4320"/>
        <w:tab w:val="clear" w:pos="8640"/>
        <w:tab w:val="center" w:pos="4860"/>
        <w:tab w:val="right" w:pos="9180"/>
      </w:tabs>
    </w:pPr>
    <w:r>
      <w:rPr>
        <w:szCs w:val="16"/>
      </w:rPr>
      <w:t>Office of Statewide Hospital Planning and Development</w:t>
    </w:r>
    <w:r w:rsidR="0070689B">
      <w:tab/>
    </w:r>
    <w:r w:rsidR="0070689B">
      <w:rPr>
        <w:rStyle w:val="PageNumber"/>
        <w:rFonts w:cs="Arial"/>
      </w:rPr>
      <w:t xml:space="preserve">Page </w:t>
    </w:r>
    <w:r w:rsidR="0070689B" w:rsidRPr="00B1767F">
      <w:rPr>
        <w:rStyle w:val="PageNumber"/>
        <w:rFonts w:cs="Arial"/>
      </w:rPr>
      <w:fldChar w:fldCharType="begin"/>
    </w:r>
    <w:r w:rsidR="0070689B" w:rsidRPr="00B1767F">
      <w:rPr>
        <w:rStyle w:val="PageNumber"/>
        <w:rFonts w:cs="Arial"/>
      </w:rPr>
      <w:instrText xml:space="preserve"> PAGE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r w:rsidR="0070689B" w:rsidRPr="00B1767F">
      <w:rPr>
        <w:rStyle w:val="PageNumber"/>
        <w:rFonts w:cs="Arial"/>
      </w:rPr>
      <w:t xml:space="preserve"> of </w:t>
    </w:r>
    <w:r w:rsidR="0070689B" w:rsidRPr="00B1767F">
      <w:rPr>
        <w:rStyle w:val="PageNumber"/>
        <w:rFonts w:cs="Arial"/>
      </w:rPr>
      <w:fldChar w:fldCharType="begin"/>
    </w:r>
    <w:r w:rsidR="0070689B" w:rsidRPr="00B1767F">
      <w:rPr>
        <w:rStyle w:val="PageNumber"/>
        <w:rFonts w:cs="Arial"/>
      </w:rPr>
      <w:instrText xml:space="preserve"> NUMPAGES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p>
  <w:p w14:paraId="5D269932" w14:textId="77777777" w:rsidR="009C2981" w:rsidRDefault="009C2981" w:rsidP="00AA0C1D">
    <w:pPr>
      <w:pStyle w:val="Footer"/>
      <w:tabs>
        <w:tab w:val="clear" w:pos="4320"/>
        <w:tab w:val="clear" w:pos="8640"/>
        <w:tab w:val="center" w:pos="4788"/>
        <w:tab w:val="right" w:pos="91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B22E7" w14:textId="77777777" w:rsidR="00285BA4" w:rsidRDefault="00285BA4">
      <w:r>
        <w:separator/>
      </w:r>
    </w:p>
  </w:footnote>
  <w:footnote w:type="continuationSeparator" w:id="0">
    <w:p w14:paraId="2DB36985" w14:textId="77777777" w:rsidR="00285BA4" w:rsidRDefault="00285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C328" w14:textId="77777777" w:rsidR="00ED27E1" w:rsidRDefault="00ED27E1" w:rsidP="00AA0C1D">
    <w:pPr>
      <w:pStyle w:val="Header"/>
      <w:tabs>
        <w:tab w:val="clear" w:pos="8640"/>
        <w:tab w:val="right" w:pos="9360"/>
      </w:tabs>
      <w:jc w:val="both"/>
      <w:rPr>
        <w:b w:val="0"/>
        <w:szCs w:val="16"/>
      </w:rPr>
    </w:pPr>
    <w:r>
      <w:rPr>
        <w:szCs w:val="16"/>
      </w:rPr>
      <w:t>STATE OF CALIFORNIA</w:t>
    </w:r>
  </w:p>
  <w:p w14:paraId="7B9690A5" w14:textId="77777777" w:rsidR="00ED27E1" w:rsidRDefault="00ED27E1" w:rsidP="00AA0C1D">
    <w:pPr>
      <w:pStyle w:val="Header"/>
      <w:tabs>
        <w:tab w:val="clear" w:pos="8640"/>
        <w:tab w:val="right" w:pos="9360"/>
      </w:tabs>
      <w:jc w:val="both"/>
      <w:rPr>
        <w:b w:val="0"/>
        <w:szCs w:val="16"/>
      </w:rPr>
    </w:pPr>
    <w:r>
      <w:rPr>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ED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BB6A2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A6E7C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066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54405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6ECC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026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AE72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08BD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60E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08161C"/>
    <w:multiLevelType w:val="hybridMultilevel"/>
    <w:tmpl w:val="E23CB6F0"/>
    <w:lvl w:ilvl="0" w:tplc="F4B08510">
      <w:start w:val="1"/>
      <w:numFmt w:val="decimal"/>
      <w:lvlText w:val="%1."/>
      <w:lvlJc w:val="left"/>
      <w:pPr>
        <w:tabs>
          <w:tab w:val="num" w:pos="3240"/>
        </w:tabs>
        <w:ind w:left="3240" w:hanging="360"/>
      </w:pPr>
      <w:rPr>
        <w:rFonts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 w15:restartNumberingAfterBreak="0">
    <w:nsid w:val="2FE8080D"/>
    <w:multiLevelType w:val="hybridMultilevel"/>
    <w:tmpl w:val="FDCABE1E"/>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FB7C4C"/>
    <w:multiLevelType w:val="hybridMultilevel"/>
    <w:tmpl w:val="B28E6308"/>
    <w:lvl w:ilvl="0" w:tplc="85C0B0FA">
      <w:start w:val="1"/>
      <w:numFmt w:val="decimal"/>
      <w:lvlText w:val="%1."/>
      <w:lvlJc w:val="left"/>
      <w:pPr>
        <w:tabs>
          <w:tab w:val="num" w:pos="3240"/>
        </w:tabs>
        <w:ind w:left="3240" w:hanging="360"/>
      </w:pPr>
      <w:rPr>
        <w:rFonts w:ascii="Arial" w:hAnsi="Arial"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3" w15:restartNumberingAfterBreak="0">
    <w:nsid w:val="3E2A7F33"/>
    <w:multiLevelType w:val="hybridMultilevel"/>
    <w:tmpl w:val="37EA7B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3D7AAD"/>
    <w:multiLevelType w:val="hybridMultilevel"/>
    <w:tmpl w:val="FD8EC768"/>
    <w:lvl w:ilvl="0" w:tplc="527E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206304"/>
    <w:multiLevelType w:val="hybridMultilevel"/>
    <w:tmpl w:val="B06223E8"/>
    <w:lvl w:ilvl="0" w:tplc="F4B08510">
      <w:start w:val="1"/>
      <w:numFmt w:val="decimal"/>
      <w:lvlText w:val="%1."/>
      <w:lvlJc w:val="left"/>
      <w:pPr>
        <w:tabs>
          <w:tab w:val="num" w:pos="360"/>
        </w:tabs>
        <w:ind w:left="360" w:hanging="360"/>
      </w:pPr>
      <w:rPr>
        <w:rFonts w:hint="default"/>
        <w:b w:val="0"/>
        <w:i w:val="0"/>
        <w:sz w:val="24"/>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6211D05"/>
    <w:multiLevelType w:val="multilevel"/>
    <w:tmpl w:val="FAC61B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A3B09CD"/>
    <w:multiLevelType w:val="multilevel"/>
    <w:tmpl w:val="FAC61B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34841984">
    <w:abstractNumId w:val="12"/>
  </w:num>
  <w:num w:numId="2" w16cid:durableId="79449155">
    <w:abstractNumId w:val="14"/>
  </w:num>
  <w:num w:numId="3" w16cid:durableId="1549343205">
    <w:abstractNumId w:val="10"/>
  </w:num>
  <w:num w:numId="4" w16cid:durableId="1290357534">
    <w:abstractNumId w:val="15"/>
  </w:num>
  <w:num w:numId="5" w16cid:durableId="366837411">
    <w:abstractNumId w:val="17"/>
  </w:num>
  <w:num w:numId="6" w16cid:durableId="707072491">
    <w:abstractNumId w:val="16"/>
  </w:num>
  <w:num w:numId="7" w16cid:durableId="182212069">
    <w:abstractNumId w:val="11"/>
  </w:num>
  <w:num w:numId="8" w16cid:durableId="1689793772">
    <w:abstractNumId w:val="13"/>
  </w:num>
  <w:num w:numId="9" w16cid:durableId="1785074914">
    <w:abstractNumId w:val="9"/>
  </w:num>
  <w:num w:numId="10" w16cid:durableId="1393381900">
    <w:abstractNumId w:val="7"/>
  </w:num>
  <w:num w:numId="11" w16cid:durableId="1804540055">
    <w:abstractNumId w:val="6"/>
  </w:num>
  <w:num w:numId="12" w16cid:durableId="1604072198">
    <w:abstractNumId w:val="5"/>
  </w:num>
  <w:num w:numId="13" w16cid:durableId="633558354">
    <w:abstractNumId w:val="4"/>
  </w:num>
  <w:num w:numId="14" w16cid:durableId="904293254">
    <w:abstractNumId w:val="8"/>
  </w:num>
  <w:num w:numId="15" w16cid:durableId="1984314033">
    <w:abstractNumId w:val="3"/>
  </w:num>
  <w:num w:numId="16" w16cid:durableId="1470200902">
    <w:abstractNumId w:val="2"/>
  </w:num>
  <w:num w:numId="17" w16cid:durableId="323708092">
    <w:abstractNumId w:val="1"/>
  </w:num>
  <w:num w:numId="18" w16cid:durableId="398134602">
    <w:abstractNumId w:val="0"/>
  </w:num>
  <w:num w:numId="19" w16cid:durableId="2005936720">
    <w:abstractNumId w:val="9"/>
  </w:num>
  <w:num w:numId="20" w16cid:durableId="1415006630">
    <w:abstractNumId w:val="7"/>
  </w:num>
  <w:num w:numId="21" w16cid:durableId="1395083084">
    <w:abstractNumId w:val="6"/>
  </w:num>
  <w:num w:numId="22" w16cid:durableId="1830707929">
    <w:abstractNumId w:val="5"/>
  </w:num>
  <w:num w:numId="23" w16cid:durableId="1340740052">
    <w:abstractNumId w:val="4"/>
  </w:num>
  <w:num w:numId="24" w16cid:durableId="1110901691">
    <w:abstractNumId w:val="8"/>
  </w:num>
  <w:num w:numId="25" w16cid:durableId="262960102">
    <w:abstractNumId w:val="3"/>
  </w:num>
  <w:num w:numId="26" w16cid:durableId="159390952">
    <w:abstractNumId w:val="2"/>
  </w:num>
  <w:num w:numId="27" w16cid:durableId="584416404">
    <w:abstractNumId w:val="1"/>
  </w:num>
  <w:num w:numId="28" w16cid:durableId="762263931">
    <w:abstractNumId w:val="0"/>
  </w:num>
  <w:num w:numId="29" w16cid:durableId="14313116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562960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5708"/>
    <w:rsid w:val="00011C04"/>
    <w:rsid w:val="00012D66"/>
    <w:rsid w:val="00024D9E"/>
    <w:rsid w:val="000257AD"/>
    <w:rsid w:val="00054AF0"/>
    <w:rsid w:val="00055D20"/>
    <w:rsid w:val="0006560C"/>
    <w:rsid w:val="00066BC0"/>
    <w:rsid w:val="000755B4"/>
    <w:rsid w:val="00077B06"/>
    <w:rsid w:val="000A351A"/>
    <w:rsid w:val="000B136A"/>
    <w:rsid w:val="000B4609"/>
    <w:rsid w:val="000B5D13"/>
    <w:rsid w:val="000B7C51"/>
    <w:rsid w:val="000D5E59"/>
    <w:rsid w:val="000D6CE2"/>
    <w:rsid w:val="000E24B4"/>
    <w:rsid w:val="000E668B"/>
    <w:rsid w:val="000F3FB9"/>
    <w:rsid w:val="000F44AE"/>
    <w:rsid w:val="00110B4A"/>
    <w:rsid w:val="001120BB"/>
    <w:rsid w:val="0012254E"/>
    <w:rsid w:val="00123F82"/>
    <w:rsid w:val="001339B6"/>
    <w:rsid w:val="00135BE6"/>
    <w:rsid w:val="00136C47"/>
    <w:rsid w:val="00147B22"/>
    <w:rsid w:val="0016061E"/>
    <w:rsid w:val="00164809"/>
    <w:rsid w:val="00167E7F"/>
    <w:rsid w:val="0017029E"/>
    <w:rsid w:val="00175449"/>
    <w:rsid w:val="001826F4"/>
    <w:rsid w:val="00190E7A"/>
    <w:rsid w:val="001A2399"/>
    <w:rsid w:val="001B798A"/>
    <w:rsid w:val="001B7F42"/>
    <w:rsid w:val="001C4F88"/>
    <w:rsid w:val="001D15D1"/>
    <w:rsid w:val="001D6449"/>
    <w:rsid w:val="001E0E55"/>
    <w:rsid w:val="001E2EAA"/>
    <w:rsid w:val="001E635B"/>
    <w:rsid w:val="001E71DE"/>
    <w:rsid w:val="001F2A94"/>
    <w:rsid w:val="001F6735"/>
    <w:rsid w:val="00223B4C"/>
    <w:rsid w:val="0023054F"/>
    <w:rsid w:val="002325A4"/>
    <w:rsid w:val="00232C29"/>
    <w:rsid w:val="00233698"/>
    <w:rsid w:val="00234A84"/>
    <w:rsid w:val="00247D26"/>
    <w:rsid w:val="002537B1"/>
    <w:rsid w:val="002678E5"/>
    <w:rsid w:val="00285BA4"/>
    <w:rsid w:val="002915CB"/>
    <w:rsid w:val="00295E27"/>
    <w:rsid w:val="002965E0"/>
    <w:rsid w:val="002B0AA5"/>
    <w:rsid w:val="002B69DE"/>
    <w:rsid w:val="002C352A"/>
    <w:rsid w:val="002D22AE"/>
    <w:rsid w:val="002D3F86"/>
    <w:rsid w:val="00301808"/>
    <w:rsid w:val="0030639B"/>
    <w:rsid w:val="00332C1D"/>
    <w:rsid w:val="00334F00"/>
    <w:rsid w:val="00351E2B"/>
    <w:rsid w:val="00353B32"/>
    <w:rsid w:val="0036326A"/>
    <w:rsid w:val="003641DE"/>
    <w:rsid w:val="00364971"/>
    <w:rsid w:val="00371125"/>
    <w:rsid w:val="003759F8"/>
    <w:rsid w:val="003821C5"/>
    <w:rsid w:val="003942B6"/>
    <w:rsid w:val="003C4F50"/>
    <w:rsid w:val="003C56D4"/>
    <w:rsid w:val="003D7678"/>
    <w:rsid w:val="003E0D9B"/>
    <w:rsid w:val="00400B1D"/>
    <w:rsid w:val="004102D1"/>
    <w:rsid w:val="00421C03"/>
    <w:rsid w:val="00446845"/>
    <w:rsid w:val="00453DB7"/>
    <w:rsid w:val="00455941"/>
    <w:rsid w:val="00462492"/>
    <w:rsid w:val="00462F93"/>
    <w:rsid w:val="0046521A"/>
    <w:rsid w:val="004704FE"/>
    <w:rsid w:val="00471519"/>
    <w:rsid w:val="00472BE5"/>
    <w:rsid w:val="004800D9"/>
    <w:rsid w:val="004957C8"/>
    <w:rsid w:val="004B2AB9"/>
    <w:rsid w:val="004C48A0"/>
    <w:rsid w:val="004C56DD"/>
    <w:rsid w:val="004E35C7"/>
    <w:rsid w:val="004F6E6A"/>
    <w:rsid w:val="00541492"/>
    <w:rsid w:val="005417DB"/>
    <w:rsid w:val="005435A1"/>
    <w:rsid w:val="00551EE4"/>
    <w:rsid w:val="00553130"/>
    <w:rsid w:val="00563190"/>
    <w:rsid w:val="00563341"/>
    <w:rsid w:val="00587BBF"/>
    <w:rsid w:val="00593DDD"/>
    <w:rsid w:val="00595B66"/>
    <w:rsid w:val="005A3D48"/>
    <w:rsid w:val="005B0C66"/>
    <w:rsid w:val="005B70FB"/>
    <w:rsid w:val="005C2316"/>
    <w:rsid w:val="005D262F"/>
    <w:rsid w:val="005D2835"/>
    <w:rsid w:val="005E162F"/>
    <w:rsid w:val="005E1A6D"/>
    <w:rsid w:val="005E3EEC"/>
    <w:rsid w:val="005F1F14"/>
    <w:rsid w:val="00600471"/>
    <w:rsid w:val="0060397D"/>
    <w:rsid w:val="0061175B"/>
    <w:rsid w:val="006169B9"/>
    <w:rsid w:val="0062061E"/>
    <w:rsid w:val="00640660"/>
    <w:rsid w:val="00642758"/>
    <w:rsid w:val="00642C65"/>
    <w:rsid w:val="006519DF"/>
    <w:rsid w:val="00664F8A"/>
    <w:rsid w:val="0066622F"/>
    <w:rsid w:val="00681068"/>
    <w:rsid w:val="0069558C"/>
    <w:rsid w:val="006A21F1"/>
    <w:rsid w:val="006B2E47"/>
    <w:rsid w:val="006B4C49"/>
    <w:rsid w:val="006B747C"/>
    <w:rsid w:val="006D1418"/>
    <w:rsid w:val="006D1470"/>
    <w:rsid w:val="006E248A"/>
    <w:rsid w:val="006E2B58"/>
    <w:rsid w:val="006F5506"/>
    <w:rsid w:val="007025C3"/>
    <w:rsid w:val="0070689B"/>
    <w:rsid w:val="00706B99"/>
    <w:rsid w:val="00706F6A"/>
    <w:rsid w:val="007133CE"/>
    <w:rsid w:val="007330FF"/>
    <w:rsid w:val="0073368F"/>
    <w:rsid w:val="0073479C"/>
    <w:rsid w:val="00750097"/>
    <w:rsid w:val="007518DF"/>
    <w:rsid w:val="00765AF9"/>
    <w:rsid w:val="00767398"/>
    <w:rsid w:val="00767766"/>
    <w:rsid w:val="00785FDF"/>
    <w:rsid w:val="00787D9F"/>
    <w:rsid w:val="00793190"/>
    <w:rsid w:val="0079386A"/>
    <w:rsid w:val="007B0231"/>
    <w:rsid w:val="007B33B5"/>
    <w:rsid w:val="007B4553"/>
    <w:rsid w:val="007C682A"/>
    <w:rsid w:val="007D4133"/>
    <w:rsid w:val="007E18ED"/>
    <w:rsid w:val="007E399F"/>
    <w:rsid w:val="007F492D"/>
    <w:rsid w:val="00801113"/>
    <w:rsid w:val="0081299A"/>
    <w:rsid w:val="00813865"/>
    <w:rsid w:val="008212EA"/>
    <w:rsid w:val="008236F5"/>
    <w:rsid w:val="0083127A"/>
    <w:rsid w:val="00831809"/>
    <w:rsid w:val="008330EB"/>
    <w:rsid w:val="008347E5"/>
    <w:rsid w:val="00847574"/>
    <w:rsid w:val="008509AC"/>
    <w:rsid w:val="0085515D"/>
    <w:rsid w:val="00860D91"/>
    <w:rsid w:val="00866997"/>
    <w:rsid w:val="00874EF1"/>
    <w:rsid w:val="008908A5"/>
    <w:rsid w:val="008925C8"/>
    <w:rsid w:val="008A2AC5"/>
    <w:rsid w:val="008A2C01"/>
    <w:rsid w:val="008A63B1"/>
    <w:rsid w:val="008A7867"/>
    <w:rsid w:val="008B6F4E"/>
    <w:rsid w:val="008E36A8"/>
    <w:rsid w:val="008F005F"/>
    <w:rsid w:val="008F1AE2"/>
    <w:rsid w:val="008F2193"/>
    <w:rsid w:val="00902992"/>
    <w:rsid w:val="00904F97"/>
    <w:rsid w:val="0090753D"/>
    <w:rsid w:val="009275E1"/>
    <w:rsid w:val="00940868"/>
    <w:rsid w:val="0094228A"/>
    <w:rsid w:val="00942681"/>
    <w:rsid w:val="00953AD1"/>
    <w:rsid w:val="0095602E"/>
    <w:rsid w:val="00965AAB"/>
    <w:rsid w:val="009707A5"/>
    <w:rsid w:val="00975FF7"/>
    <w:rsid w:val="009806FA"/>
    <w:rsid w:val="0099183B"/>
    <w:rsid w:val="0099722B"/>
    <w:rsid w:val="0099787B"/>
    <w:rsid w:val="009A693A"/>
    <w:rsid w:val="009B03E4"/>
    <w:rsid w:val="009B37B8"/>
    <w:rsid w:val="009B7562"/>
    <w:rsid w:val="009B75E7"/>
    <w:rsid w:val="009C2981"/>
    <w:rsid w:val="009C529A"/>
    <w:rsid w:val="009D60C1"/>
    <w:rsid w:val="009D76B9"/>
    <w:rsid w:val="009E0E79"/>
    <w:rsid w:val="009E3914"/>
    <w:rsid w:val="009E481B"/>
    <w:rsid w:val="009E6B12"/>
    <w:rsid w:val="009F23ED"/>
    <w:rsid w:val="009F799F"/>
    <w:rsid w:val="00A0734D"/>
    <w:rsid w:val="00A138AA"/>
    <w:rsid w:val="00A24573"/>
    <w:rsid w:val="00A402D0"/>
    <w:rsid w:val="00A56E6B"/>
    <w:rsid w:val="00A60CA1"/>
    <w:rsid w:val="00A6172C"/>
    <w:rsid w:val="00A76E67"/>
    <w:rsid w:val="00A81002"/>
    <w:rsid w:val="00A8502F"/>
    <w:rsid w:val="00A8713C"/>
    <w:rsid w:val="00A92F87"/>
    <w:rsid w:val="00A945EE"/>
    <w:rsid w:val="00AA0C1D"/>
    <w:rsid w:val="00AA496F"/>
    <w:rsid w:val="00AC1A26"/>
    <w:rsid w:val="00AC1F10"/>
    <w:rsid w:val="00AD280C"/>
    <w:rsid w:val="00AD51EC"/>
    <w:rsid w:val="00AE490B"/>
    <w:rsid w:val="00AF245C"/>
    <w:rsid w:val="00AF4E96"/>
    <w:rsid w:val="00B07EC2"/>
    <w:rsid w:val="00B11AD5"/>
    <w:rsid w:val="00B12076"/>
    <w:rsid w:val="00B20671"/>
    <w:rsid w:val="00B42364"/>
    <w:rsid w:val="00B70601"/>
    <w:rsid w:val="00B71792"/>
    <w:rsid w:val="00B96527"/>
    <w:rsid w:val="00BA0ACD"/>
    <w:rsid w:val="00BC1102"/>
    <w:rsid w:val="00BC304C"/>
    <w:rsid w:val="00BC3F6E"/>
    <w:rsid w:val="00BE48F6"/>
    <w:rsid w:val="00BF251B"/>
    <w:rsid w:val="00C0288E"/>
    <w:rsid w:val="00C36475"/>
    <w:rsid w:val="00C44C36"/>
    <w:rsid w:val="00C50A28"/>
    <w:rsid w:val="00C50BE5"/>
    <w:rsid w:val="00C67B72"/>
    <w:rsid w:val="00C74CC9"/>
    <w:rsid w:val="00C80CD9"/>
    <w:rsid w:val="00CA1AB8"/>
    <w:rsid w:val="00CA4CE5"/>
    <w:rsid w:val="00CB3754"/>
    <w:rsid w:val="00CB4F72"/>
    <w:rsid w:val="00CB6EE3"/>
    <w:rsid w:val="00CC53DD"/>
    <w:rsid w:val="00CC6A00"/>
    <w:rsid w:val="00CD0AB4"/>
    <w:rsid w:val="00CD3F57"/>
    <w:rsid w:val="00CD71EA"/>
    <w:rsid w:val="00CE1FF0"/>
    <w:rsid w:val="00CE406D"/>
    <w:rsid w:val="00CE4443"/>
    <w:rsid w:val="00CE56AD"/>
    <w:rsid w:val="00CF3372"/>
    <w:rsid w:val="00D205E3"/>
    <w:rsid w:val="00D275E7"/>
    <w:rsid w:val="00D31BF6"/>
    <w:rsid w:val="00D53B4C"/>
    <w:rsid w:val="00D631F0"/>
    <w:rsid w:val="00D66A5F"/>
    <w:rsid w:val="00D71CEC"/>
    <w:rsid w:val="00D75ED1"/>
    <w:rsid w:val="00D848F2"/>
    <w:rsid w:val="00D91AE2"/>
    <w:rsid w:val="00DA0769"/>
    <w:rsid w:val="00DA5CDA"/>
    <w:rsid w:val="00DD658C"/>
    <w:rsid w:val="00DE2537"/>
    <w:rsid w:val="00DE3306"/>
    <w:rsid w:val="00DF05A3"/>
    <w:rsid w:val="00E100C3"/>
    <w:rsid w:val="00E11765"/>
    <w:rsid w:val="00E119F2"/>
    <w:rsid w:val="00E16084"/>
    <w:rsid w:val="00E22C1A"/>
    <w:rsid w:val="00E31664"/>
    <w:rsid w:val="00E3790F"/>
    <w:rsid w:val="00E46E3A"/>
    <w:rsid w:val="00E53D35"/>
    <w:rsid w:val="00E57CA6"/>
    <w:rsid w:val="00E645A7"/>
    <w:rsid w:val="00E83A6E"/>
    <w:rsid w:val="00E9214D"/>
    <w:rsid w:val="00E929AD"/>
    <w:rsid w:val="00E9732F"/>
    <w:rsid w:val="00EB257F"/>
    <w:rsid w:val="00EB5206"/>
    <w:rsid w:val="00EB5EA1"/>
    <w:rsid w:val="00EB68C0"/>
    <w:rsid w:val="00EC27FE"/>
    <w:rsid w:val="00EC55B6"/>
    <w:rsid w:val="00ED27E1"/>
    <w:rsid w:val="00ED50C2"/>
    <w:rsid w:val="00ED7F7A"/>
    <w:rsid w:val="00EE1A84"/>
    <w:rsid w:val="00EF26E2"/>
    <w:rsid w:val="00F01D74"/>
    <w:rsid w:val="00F057BF"/>
    <w:rsid w:val="00F11313"/>
    <w:rsid w:val="00F120A1"/>
    <w:rsid w:val="00F152F2"/>
    <w:rsid w:val="00F17139"/>
    <w:rsid w:val="00F21DFC"/>
    <w:rsid w:val="00F31E78"/>
    <w:rsid w:val="00F349AA"/>
    <w:rsid w:val="00F36760"/>
    <w:rsid w:val="00F4291A"/>
    <w:rsid w:val="00F61E87"/>
    <w:rsid w:val="00F768B4"/>
    <w:rsid w:val="00F776D0"/>
    <w:rsid w:val="00F81537"/>
    <w:rsid w:val="00F91FC3"/>
    <w:rsid w:val="00F97C83"/>
    <w:rsid w:val="00FA0A8F"/>
    <w:rsid w:val="00FC5326"/>
    <w:rsid w:val="00FD1281"/>
    <w:rsid w:val="00FD142E"/>
    <w:rsid w:val="00FD45EA"/>
    <w:rsid w:val="00FE4917"/>
    <w:rsid w:val="00FF11EA"/>
    <w:rsid w:val="00FF30B7"/>
    <w:rsid w:val="00FF6F9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3D948"/>
  <w15:docId w15:val="{25E45C31-4687-44D1-94A7-DE019509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553"/>
    <w:pPr>
      <w:widowControl w:val="0"/>
      <w:spacing w:after="120"/>
    </w:pPr>
    <w:rPr>
      <w:rFonts w:ascii="Arial" w:hAnsi="Arial"/>
      <w:snapToGrid w:val="0"/>
      <w:sz w:val="24"/>
    </w:rPr>
  </w:style>
  <w:style w:type="paragraph" w:styleId="Heading1">
    <w:name w:val="heading 1"/>
    <w:basedOn w:val="Normal"/>
    <w:next w:val="Normal"/>
    <w:qFormat/>
    <w:rsid w:val="0073368F"/>
    <w:pPr>
      <w:keepNext/>
      <w:widowControl/>
      <w:tabs>
        <w:tab w:val="center" w:pos="4680"/>
      </w:tabs>
      <w:spacing w:before="80" w:after="60"/>
      <w:outlineLvl w:val="0"/>
    </w:pPr>
    <w:rPr>
      <w:b/>
    </w:rPr>
  </w:style>
  <w:style w:type="paragraph" w:styleId="Heading2">
    <w:name w:val="heading 2"/>
    <w:basedOn w:val="Normal"/>
    <w:next w:val="Normal"/>
    <w:qFormat/>
    <w:rsid w:val="001F2A94"/>
    <w:pPr>
      <w:keepNext/>
      <w:widowControl/>
      <w:spacing w:before="120"/>
      <w:jc w:val="both"/>
      <w:outlineLvl w:val="1"/>
    </w:pPr>
    <w:rPr>
      <w:b/>
    </w:rPr>
  </w:style>
  <w:style w:type="paragraph" w:styleId="Heading3">
    <w:name w:val="heading 3"/>
    <w:basedOn w:val="Normal"/>
    <w:next w:val="Normal"/>
    <w:link w:val="Heading3Char"/>
    <w:unhideWhenUsed/>
    <w:qFormat/>
    <w:rsid w:val="007B4553"/>
    <w:pPr>
      <w:keepNext/>
      <w:keepLines/>
      <w:spacing w:before="240"/>
      <w:outlineLvl w:val="2"/>
    </w:pPr>
    <w:rPr>
      <w:rFonts w:eastAsiaTheme="majorEastAsia" w:cstheme="majorBidi"/>
      <w:b/>
      <w:color w:val="000000" w:themeColor="text1"/>
      <w:szCs w:val="24"/>
    </w:rPr>
  </w:style>
  <w:style w:type="paragraph" w:styleId="Heading4">
    <w:name w:val="heading 4"/>
    <w:basedOn w:val="Normal"/>
    <w:next w:val="Normal"/>
    <w:link w:val="Heading4Char"/>
    <w:unhideWhenUsed/>
    <w:qFormat/>
    <w:rsid w:val="007B4553"/>
    <w:pPr>
      <w:keepNext/>
      <w:keepLines/>
      <w:spacing w:before="240"/>
      <w:ind w:left="36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b/>
      <w:sz w:val="20"/>
      <w:u w:val="single"/>
    </w:rPr>
  </w:style>
  <w:style w:type="paragraph" w:styleId="BodyText2">
    <w:name w:val="Body Text 2"/>
    <w:basedOn w:val="Normal"/>
    <w:pPr>
      <w:widowControl/>
    </w:pPr>
    <w:rPr>
      <w:b/>
      <w:sz w:val="20"/>
    </w:rPr>
  </w:style>
  <w:style w:type="paragraph" w:styleId="Header">
    <w:name w:val="header"/>
    <w:basedOn w:val="Normal"/>
    <w:link w:val="HeaderChar"/>
    <w:qFormat/>
    <w:rsid w:val="00364971"/>
    <w:pPr>
      <w:tabs>
        <w:tab w:val="center" w:pos="4320"/>
        <w:tab w:val="right" w:pos="8640"/>
      </w:tabs>
      <w:spacing w:after="0"/>
    </w:pPr>
    <w:rPr>
      <w:rFonts w:ascii="Arial Narrow" w:eastAsia="Times New Roman" w:hAnsi="Arial Narrow"/>
      <w:b/>
      <w:caps/>
      <w:sz w:val="16"/>
    </w:rPr>
  </w:style>
  <w:style w:type="paragraph" w:styleId="Footer">
    <w:name w:val="footer"/>
    <w:basedOn w:val="Normal"/>
    <w:link w:val="FooterChar"/>
    <w:qFormat/>
    <w:rsid w:val="00364971"/>
    <w:pPr>
      <w:tabs>
        <w:tab w:val="center" w:pos="4320"/>
        <w:tab w:val="right" w:pos="8640"/>
      </w:tabs>
      <w:spacing w:after="0"/>
    </w:pPr>
    <w:rPr>
      <w:rFonts w:eastAsia="Times New Roman"/>
      <w:sz w:val="16"/>
    </w:r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364971"/>
    <w:rPr>
      <w:rFonts w:ascii="Arial Narrow" w:eastAsia="Times New Roman" w:hAnsi="Arial Narrow"/>
      <w:b/>
      <w:caps/>
      <w:snapToGrid w:val="0"/>
      <w:sz w:val="16"/>
    </w:rPr>
  </w:style>
  <w:style w:type="paragraph" w:styleId="Title">
    <w:name w:val="Title"/>
    <w:basedOn w:val="Normal"/>
    <w:next w:val="Normal"/>
    <w:link w:val="TitleChar"/>
    <w:rsid w:val="008908A5"/>
    <w:pPr>
      <w:spacing w:before="240" w:after="60"/>
      <w:jc w:val="center"/>
      <w:outlineLvl w:val="0"/>
    </w:pPr>
    <w:rPr>
      <w:rFonts w:eastAsiaTheme="majorEastAsia" w:cstheme="majorBidi"/>
      <w:b/>
      <w:bCs/>
      <w:kern w:val="28"/>
      <w:szCs w:val="32"/>
    </w:rPr>
  </w:style>
  <w:style w:type="character" w:customStyle="1" w:styleId="TitleChar">
    <w:name w:val="Title Char"/>
    <w:basedOn w:val="DefaultParagraphFont"/>
    <w:link w:val="Title"/>
    <w:rsid w:val="008908A5"/>
    <w:rPr>
      <w:rFonts w:ascii="Arial" w:eastAsiaTheme="majorEastAsia" w:hAnsi="Arial" w:cstheme="majorBidi"/>
      <w:b/>
      <w:bCs/>
      <w:snapToGrid w:val="0"/>
      <w:kern w:val="28"/>
      <w:sz w:val="24"/>
      <w:szCs w:val="32"/>
    </w:rPr>
  </w:style>
  <w:style w:type="paragraph" w:styleId="ListParagraph">
    <w:name w:val="List Paragraph"/>
    <w:basedOn w:val="Normal"/>
    <w:uiPriority w:val="1"/>
    <w:qFormat/>
    <w:rsid w:val="001D6449"/>
    <w:pPr>
      <w:ind w:left="720"/>
      <w:contextualSpacing/>
    </w:pPr>
  </w:style>
  <w:style w:type="character" w:styleId="PlaceholderText">
    <w:name w:val="Placeholder Text"/>
    <w:basedOn w:val="DefaultParagraphFont"/>
    <w:uiPriority w:val="99"/>
    <w:semiHidden/>
    <w:rsid w:val="005417DB"/>
    <w:rPr>
      <w:color w:val="808080"/>
    </w:rPr>
  </w:style>
  <w:style w:type="character" w:customStyle="1" w:styleId="Style1">
    <w:name w:val="Style1"/>
    <w:basedOn w:val="DefaultParagraphFont"/>
    <w:uiPriority w:val="1"/>
    <w:rsid w:val="005417DB"/>
    <w:rPr>
      <w:rFonts w:ascii="Arial" w:hAnsi="Arial"/>
      <w:caps/>
      <w:smallCaps w:val="0"/>
      <w:sz w:val="24"/>
    </w:rPr>
  </w:style>
  <w:style w:type="character" w:customStyle="1" w:styleId="Style2">
    <w:name w:val="Style2"/>
    <w:basedOn w:val="DefaultParagraphFont"/>
    <w:uiPriority w:val="1"/>
    <w:rsid w:val="005417DB"/>
    <w:rPr>
      <w:rFonts w:ascii="Arial Bold" w:hAnsi="Arial Bold"/>
      <w:b/>
      <w:i w:val="0"/>
      <w:sz w:val="24"/>
    </w:rPr>
  </w:style>
  <w:style w:type="character" w:customStyle="1" w:styleId="Style3">
    <w:name w:val="Style3"/>
    <w:basedOn w:val="DefaultParagraphFont"/>
    <w:uiPriority w:val="1"/>
    <w:rsid w:val="003E0D9B"/>
    <w:rPr>
      <w:rFonts w:ascii="Arial" w:hAnsi="Arial"/>
      <w:b/>
      <w:sz w:val="24"/>
    </w:rPr>
  </w:style>
  <w:style w:type="character" w:customStyle="1" w:styleId="Heading3Char">
    <w:name w:val="Heading 3 Char"/>
    <w:basedOn w:val="DefaultParagraphFont"/>
    <w:link w:val="Heading3"/>
    <w:rsid w:val="007B4553"/>
    <w:rPr>
      <w:rFonts w:ascii="Arial" w:eastAsiaTheme="majorEastAsia" w:hAnsi="Arial" w:cstheme="majorBidi"/>
      <w:b/>
      <w:snapToGrid w:val="0"/>
      <w:color w:val="000000" w:themeColor="text1"/>
      <w:sz w:val="24"/>
      <w:szCs w:val="24"/>
    </w:rPr>
  </w:style>
  <w:style w:type="character" w:customStyle="1" w:styleId="BodyTextChar">
    <w:name w:val="Body Text Char"/>
    <w:basedOn w:val="DefaultParagraphFont"/>
    <w:link w:val="BodyText"/>
    <w:rsid w:val="003E0D9B"/>
    <w:rPr>
      <w:rFonts w:ascii="Arial" w:hAnsi="Arial"/>
      <w:b/>
      <w:snapToGrid w:val="0"/>
      <w:u w:val="single"/>
    </w:rPr>
  </w:style>
  <w:style w:type="character" w:customStyle="1" w:styleId="FooterChar">
    <w:name w:val="Footer Char"/>
    <w:link w:val="Footer"/>
    <w:rsid w:val="00364971"/>
    <w:rPr>
      <w:rFonts w:ascii="Arial" w:eastAsia="Times New Roman" w:hAnsi="Arial"/>
      <w:snapToGrid w:val="0"/>
      <w:sz w:val="16"/>
    </w:rPr>
  </w:style>
  <w:style w:type="paragraph" w:styleId="Revision">
    <w:name w:val="Revision"/>
    <w:hidden/>
    <w:uiPriority w:val="99"/>
    <w:semiHidden/>
    <w:rsid w:val="000B5D13"/>
    <w:rPr>
      <w:rFonts w:ascii="Arial" w:hAnsi="Arial"/>
      <w:snapToGrid w:val="0"/>
      <w:sz w:val="24"/>
    </w:rPr>
  </w:style>
  <w:style w:type="character" w:customStyle="1" w:styleId="Heading4Char">
    <w:name w:val="Heading 4 Char"/>
    <w:basedOn w:val="DefaultParagraphFont"/>
    <w:link w:val="Heading4"/>
    <w:rsid w:val="007B4553"/>
    <w:rPr>
      <w:rFonts w:ascii="Arial" w:eastAsiaTheme="majorEastAsia" w:hAnsi="Arial" w:cstheme="majorBidi"/>
      <w:b/>
      <w:iCs/>
      <w:snapToGrid w:val="0"/>
      <w:sz w:val="24"/>
    </w:rPr>
  </w:style>
  <w:style w:type="character" w:styleId="CommentReference">
    <w:name w:val="annotation reference"/>
    <w:basedOn w:val="DefaultParagraphFont"/>
    <w:semiHidden/>
    <w:unhideWhenUsed/>
    <w:rsid w:val="00F81537"/>
    <w:rPr>
      <w:sz w:val="16"/>
      <w:szCs w:val="16"/>
    </w:rPr>
  </w:style>
  <w:style w:type="paragraph" w:styleId="CommentText">
    <w:name w:val="annotation text"/>
    <w:basedOn w:val="Normal"/>
    <w:link w:val="CommentTextChar"/>
    <w:unhideWhenUsed/>
    <w:rsid w:val="00F81537"/>
    <w:rPr>
      <w:sz w:val="20"/>
    </w:rPr>
  </w:style>
  <w:style w:type="character" w:customStyle="1" w:styleId="CommentTextChar">
    <w:name w:val="Comment Text Char"/>
    <w:basedOn w:val="DefaultParagraphFont"/>
    <w:link w:val="CommentText"/>
    <w:rsid w:val="00F81537"/>
    <w:rPr>
      <w:rFonts w:ascii="Arial" w:hAnsi="Arial"/>
      <w:snapToGrid w:val="0"/>
    </w:rPr>
  </w:style>
  <w:style w:type="paragraph" w:styleId="CommentSubject">
    <w:name w:val="annotation subject"/>
    <w:basedOn w:val="CommentText"/>
    <w:next w:val="CommentText"/>
    <w:link w:val="CommentSubjectChar"/>
    <w:semiHidden/>
    <w:unhideWhenUsed/>
    <w:rsid w:val="00F81537"/>
    <w:rPr>
      <w:b/>
      <w:bCs/>
    </w:rPr>
  </w:style>
  <w:style w:type="character" w:customStyle="1" w:styleId="CommentSubjectChar">
    <w:name w:val="Comment Subject Char"/>
    <w:basedOn w:val="CommentTextChar"/>
    <w:link w:val="CommentSubject"/>
    <w:semiHidden/>
    <w:rsid w:val="00F81537"/>
    <w:rPr>
      <w:rFonts w:ascii="Arial" w:hAnsi="Arial"/>
      <w:b/>
      <w:bCs/>
      <w:snapToGrid w:val="0"/>
    </w:rPr>
  </w:style>
  <w:style w:type="character" w:styleId="Hyperlink">
    <w:name w:val="Hyperlink"/>
    <w:basedOn w:val="DefaultParagraphFont"/>
    <w:unhideWhenUsed/>
    <w:rsid w:val="00942681"/>
    <w:rPr>
      <w:color w:val="0000FF" w:themeColor="hyperlink"/>
      <w:u w:val="single"/>
    </w:rPr>
  </w:style>
  <w:style w:type="character" w:styleId="UnresolvedMention">
    <w:name w:val="Unresolved Mention"/>
    <w:basedOn w:val="DefaultParagraphFont"/>
    <w:uiPriority w:val="99"/>
    <w:semiHidden/>
    <w:unhideWhenUsed/>
    <w:rsid w:val="00942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1706">
      <w:bodyDiv w:val="1"/>
      <w:marLeft w:val="0"/>
      <w:marRight w:val="0"/>
      <w:marTop w:val="0"/>
      <w:marBottom w:val="0"/>
      <w:divBdr>
        <w:top w:val="none" w:sz="0" w:space="0" w:color="auto"/>
        <w:left w:val="none" w:sz="0" w:space="0" w:color="auto"/>
        <w:bottom w:val="none" w:sz="0" w:space="0" w:color="auto"/>
        <w:right w:val="none" w:sz="0" w:space="0" w:color="auto"/>
      </w:divBdr>
    </w:div>
    <w:div w:id="353769243">
      <w:bodyDiv w:val="1"/>
      <w:marLeft w:val="0"/>
      <w:marRight w:val="0"/>
      <w:marTop w:val="0"/>
      <w:marBottom w:val="0"/>
      <w:divBdr>
        <w:top w:val="none" w:sz="0" w:space="0" w:color="auto"/>
        <w:left w:val="none" w:sz="0" w:space="0" w:color="auto"/>
        <w:bottom w:val="none" w:sz="0" w:space="0" w:color="auto"/>
        <w:right w:val="none" w:sz="0" w:space="0" w:color="auto"/>
      </w:divBdr>
    </w:div>
    <w:div w:id="445589100">
      <w:bodyDiv w:val="1"/>
      <w:marLeft w:val="0"/>
      <w:marRight w:val="0"/>
      <w:marTop w:val="0"/>
      <w:marBottom w:val="0"/>
      <w:divBdr>
        <w:top w:val="none" w:sz="0" w:space="0" w:color="auto"/>
        <w:left w:val="none" w:sz="0" w:space="0" w:color="auto"/>
        <w:bottom w:val="none" w:sz="0" w:space="0" w:color="auto"/>
        <w:right w:val="none" w:sz="0" w:space="0" w:color="auto"/>
      </w:divBdr>
    </w:div>
    <w:div w:id="494953823">
      <w:bodyDiv w:val="1"/>
      <w:marLeft w:val="0"/>
      <w:marRight w:val="0"/>
      <w:marTop w:val="0"/>
      <w:marBottom w:val="0"/>
      <w:divBdr>
        <w:top w:val="none" w:sz="0" w:space="0" w:color="auto"/>
        <w:left w:val="none" w:sz="0" w:space="0" w:color="auto"/>
        <w:bottom w:val="none" w:sz="0" w:space="0" w:color="auto"/>
        <w:right w:val="none" w:sz="0" w:space="0" w:color="auto"/>
      </w:divBdr>
    </w:div>
    <w:div w:id="530849125">
      <w:bodyDiv w:val="1"/>
      <w:marLeft w:val="0"/>
      <w:marRight w:val="0"/>
      <w:marTop w:val="0"/>
      <w:marBottom w:val="0"/>
      <w:divBdr>
        <w:top w:val="none" w:sz="0" w:space="0" w:color="auto"/>
        <w:left w:val="none" w:sz="0" w:space="0" w:color="auto"/>
        <w:bottom w:val="none" w:sz="0" w:space="0" w:color="auto"/>
        <w:right w:val="none" w:sz="0" w:space="0" w:color="auto"/>
      </w:divBdr>
    </w:div>
    <w:div w:id="669332877">
      <w:bodyDiv w:val="1"/>
      <w:marLeft w:val="0"/>
      <w:marRight w:val="0"/>
      <w:marTop w:val="0"/>
      <w:marBottom w:val="0"/>
      <w:divBdr>
        <w:top w:val="none" w:sz="0" w:space="0" w:color="auto"/>
        <w:left w:val="none" w:sz="0" w:space="0" w:color="auto"/>
        <w:bottom w:val="none" w:sz="0" w:space="0" w:color="auto"/>
        <w:right w:val="none" w:sz="0" w:space="0" w:color="auto"/>
      </w:divBdr>
    </w:div>
    <w:div w:id="809595462">
      <w:bodyDiv w:val="1"/>
      <w:marLeft w:val="0"/>
      <w:marRight w:val="0"/>
      <w:marTop w:val="0"/>
      <w:marBottom w:val="0"/>
      <w:divBdr>
        <w:top w:val="none" w:sz="0" w:space="0" w:color="auto"/>
        <w:left w:val="none" w:sz="0" w:space="0" w:color="auto"/>
        <w:bottom w:val="none" w:sz="0" w:space="0" w:color="auto"/>
        <w:right w:val="none" w:sz="0" w:space="0" w:color="auto"/>
      </w:divBdr>
    </w:div>
    <w:div w:id="1034505626">
      <w:bodyDiv w:val="1"/>
      <w:marLeft w:val="0"/>
      <w:marRight w:val="0"/>
      <w:marTop w:val="0"/>
      <w:marBottom w:val="0"/>
      <w:divBdr>
        <w:top w:val="none" w:sz="0" w:space="0" w:color="auto"/>
        <w:left w:val="none" w:sz="0" w:space="0" w:color="auto"/>
        <w:bottom w:val="none" w:sz="0" w:space="0" w:color="auto"/>
        <w:right w:val="none" w:sz="0" w:space="0" w:color="auto"/>
      </w:divBdr>
    </w:div>
    <w:div w:id="1437795818">
      <w:bodyDiv w:val="1"/>
      <w:marLeft w:val="0"/>
      <w:marRight w:val="0"/>
      <w:marTop w:val="0"/>
      <w:marBottom w:val="0"/>
      <w:divBdr>
        <w:top w:val="none" w:sz="0" w:space="0" w:color="auto"/>
        <w:left w:val="none" w:sz="0" w:space="0" w:color="auto"/>
        <w:bottom w:val="none" w:sz="0" w:space="0" w:color="auto"/>
        <w:right w:val="none" w:sz="0" w:space="0" w:color="auto"/>
      </w:divBdr>
    </w:div>
    <w:div w:id="1758938296">
      <w:bodyDiv w:val="1"/>
      <w:marLeft w:val="0"/>
      <w:marRight w:val="0"/>
      <w:marTop w:val="0"/>
      <w:marBottom w:val="0"/>
      <w:divBdr>
        <w:top w:val="none" w:sz="0" w:space="0" w:color="auto"/>
        <w:left w:val="none" w:sz="0" w:space="0" w:color="auto"/>
        <w:bottom w:val="none" w:sz="0" w:space="0" w:color="auto"/>
        <w:right w:val="none" w:sz="0" w:space="0" w:color="auto"/>
      </w:divBdr>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70DB37DA6D93468B7ECD35F3D62D47" ma:contentTypeVersion="3" ma:contentTypeDescription="Create a new document." ma:contentTypeScope="" ma:versionID="c312453851aa58c6f235000983fc56fa">
  <xsd:schema xmlns:xsd="http://www.w3.org/2001/XMLSchema" xmlns:xs="http://www.w3.org/2001/XMLSchema" xmlns:p="http://schemas.microsoft.com/office/2006/metadata/properties" xmlns:ns2="d08c854e-6660-4123-822d-cb2f4c79ac96" targetNamespace="http://schemas.microsoft.com/office/2006/metadata/properties" ma:root="true" ma:fieldsID="2ab2e178e9a1e4080a559e27b77b3b4a" ns2:_="">
    <xsd:import namespace="d08c854e-6660-4123-822d-cb2f4c79ac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c854e-6660-4123-822d-cb2f4c79a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F6A67-8A93-4C48-BF9D-F8CAD3FEB7C3}">
  <ds:schemaRefs>
    <ds:schemaRef ds:uri="http://purl.org/dc/elements/1.1/"/>
    <ds:schemaRef ds:uri="d08c854e-6660-4123-822d-cb2f4c79ac96"/>
    <ds:schemaRef ds:uri="http://schemas.microsoft.com/office/2006/documentManagement/types"/>
    <ds:schemaRef ds:uri="http://purl.org/dc/dcmitype/"/>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3E8B693-44A2-421C-9378-5DBD2230642F}">
  <ds:schemaRefs>
    <ds:schemaRef ds:uri="http://schemas.microsoft.com/sharepoint/v3/contenttype/forms"/>
  </ds:schemaRefs>
</ds:datastoreItem>
</file>

<file path=customXml/itemProps3.xml><?xml version="1.0" encoding="utf-8"?>
<ds:datastoreItem xmlns:ds="http://schemas.openxmlformats.org/officeDocument/2006/customXml" ds:itemID="{D48CF251-3DFE-438B-BDBB-853C88F9C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c854e-6660-4123-822d-cb2f4c79a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B1B717-4B64-4F66-95AB-8A0C3056896A}">
  <ds:schemaRefs>
    <ds:schemaRef ds:uri="http://schemas.openxmlformats.org/officeDocument/2006/bibliography"/>
  </ds:schemaRefs>
</ds:datastoreItem>
</file>

<file path=docMetadata/LabelInfo.xml><?xml version="1.0" encoding="utf-8"?>
<clbl:labelList xmlns:clbl="http://schemas.microsoft.com/office/2020/mipLabelMetadata">
  <clbl:label id="{2b3a245d-ae0c-41e5-a706-919401278756}" enabled="1" method="Standard" siteId="{28891a93-888f-489f-9930-e78b8f733ca6}"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789</Words>
  <Characters>4571</Characters>
  <Application>Microsoft Office Word</Application>
  <DocSecurity>0</DocSecurity>
  <Lines>94</Lines>
  <Paragraphs>45</Paragraphs>
  <ScaleCrop>false</ScaleCrop>
  <HeadingPairs>
    <vt:vector size="2" baseType="variant">
      <vt:variant>
        <vt:lpstr>Title</vt:lpstr>
      </vt:variant>
      <vt:variant>
        <vt:i4>1</vt:i4>
      </vt:variant>
    </vt:vector>
  </HeadingPairs>
  <TitlesOfParts>
    <vt:vector size="1" baseType="lpstr">
      <vt:lpstr>OSHPD-07-25-ET-PT10-45day</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OSHPD-07-25-ET-PT10-45day</dc:title>
  <dc:creator>CBSC</dc:creator>
  <cp:lastModifiedBy>Severon, Kristina@DGS</cp:lastModifiedBy>
  <cp:revision>2</cp:revision>
  <cp:lastPrinted>2025-09-24T19:28:00Z</cp:lastPrinted>
  <dcterms:created xsi:type="dcterms:W3CDTF">2026-04-01T22:22:00Z</dcterms:created>
  <dcterms:modified xsi:type="dcterms:W3CDTF">2026-04-01T22:22:00Z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0x0101005C70DB37DA6D93468B7ECD35F3D62D47</vt:lpwstr>
  </property>
  <property fmtid="{D5CDD505-2E9C-101B-9397-08002B2CF9AE}" pid="3" name="_MarkAsFinal">
    <vt:bool>true</vt:bool>
  </property>
</Properties>
</file>