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6CF8" w14:textId="77777777" w:rsidR="007F106D" w:rsidRPr="007F106D" w:rsidRDefault="007F106D" w:rsidP="007F106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F106D">
        <w:rPr>
          <w:rFonts w:ascii="Gill Sans MT" w:hAnsi="Gill Sans MT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CCAD779" wp14:editId="3AE43249">
            <wp:simplePos x="0" y="0"/>
            <wp:positionH relativeFrom="margin">
              <wp:posOffset>4657725</wp:posOffset>
            </wp:positionH>
            <wp:positionV relativeFrom="paragraph">
              <wp:posOffset>72390</wp:posOffset>
            </wp:positionV>
            <wp:extent cx="800100" cy="861060"/>
            <wp:effectExtent l="0" t="0" r="0" b="0"/>
            <wp:wrapTight wrapText="bothSides">
              <wp:wrapPolygon edited="0">
                <wp:start x="0" y="0"/>
                <wp:lineTo x="0" y="21027"/>
                <wp:lineTo x="21086" y="21027"/>
                <wp:lineTo x="21086" y="0"/>
                <wp:lineTo x="0" y="0"/>
              </wp:wrapPolygon>
            </wp:wrapTight>
            <wp:docPr id="2" name="Picture 0" descr="Logo of CBIA, California Building Industry Associ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Logo of CBIA, California Building Industry Associatio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06D">
        <w:rPr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38143B8" wp14:editId="410FDAB0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1802130" cy="819150"/>
            <wp:effectExtent l="0" t="0" r="7620" b="0"/>
            <wp:wrapTight wrapText="bothSides">
              <wp:wrapPolygon edited="0">
                <wp:start x="0" y="0"/>
                <wp:lineTo x="0" y="21098"/>
                <wp:lineTo x="21463" y="21098"/>
                <wp:lineTo x="21463" y="0"/>
                <wp:lineTo x="0" y="0"/>
              </wp:wrapPolygon>
            </wp:wrapTight>
            <wp:docPr id="5" name="Picture 5" descr="CBPA Logo Text on 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A Logo Text on Si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</w:t>
      </w:r>
      <w:r w:rsidRPr="007F106D">
        <w:rPr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18455AB2" wp14:editId="3F7767BC">
            <wp:extent cx="747713" cy="897253"/>
            <wp:effectExtent l="0" t="0" r="0" b="0"/>
            <wp:docPr id="3" name="Picture 3" descr="Logo of BOMA Califo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of BOMA Califor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89" cy="90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</w:t>
      </w:r>
      <w:r w:rsidRPr="007F106D">
        <w:rPr>
          <w:rFonts w:eastAsia="Times New Roman"/>
          <w:noProof/>
          <w:color w:val="000000"/>
          <w:kern w:val="2"/>
          <w:sz w:val="24"/>
          <w:szCs w:val="24"/>
          <w14:ligatures w14:val="standardContextual"/>
        </w:rPr>
        <w:drawing>
          <wp:inline distT="0" distB="0" distL="0" distR="0" wp14:anchorId="3AAAC80D" wp14:editId="44C96042">
            <wp:extent cx="727242" cy="964019"/>
            <wp:effectExtent l="0" t="0" r="0" b="7620"/>
            <wp:docPr id="16" name="Picture 16" descr="cid:d2db08a4-0732-4c02-af76-c3ddc5ac07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2db08a4-0732-4c02-af76-c3ddc5ac077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33" cy="97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</w:t>
      </w:r>
    </w:p>
    <w:p w14:paraId="0B3F4628" w14:textId="77777777" w:rsidR="007F106D" w:rsidRDefault="007F106D" w:rsidP="007F106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4BE5029F" w14:textId="77777777" w:rsidR="00733971" w:rsidRDefault="00733971" w:rsidP="007F106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0C94C7B" w14:textId="77777777" w:rsidR="00733971" w:rsidRDefault="00733971" w:rsidP="007F106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09DCFFD" w14:textId="1D88E4C5" w:rsidR="008D312A" w:rsidRPr="007F106D" w:rsidRDefault="008D312A" w:rsidP="007F106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5731AC4" w14:textId="385A761D" w:rsidR="007F106D" w:rsidRPr="007F106D" w:rsidRDefault="007F106D" w:rsidP="007F106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Date:</w:t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="004618B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May 20, 2026</w:t>
      </w:r>
    </w:p>
    <w:p w14:paraId="7BD68773" w14:textId="77777777" w:rsidR="007F106D" w:rsidRPr="007F106D" w:rsidRDefault="007F106D" w:rsidP="007F106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0173418" w14:textId="77777777" w:rsidR="007F106D" w:rsidRPr="007F106D" w:rsidRDefault="007F106D" w:rsidP="007F106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To:</w:t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Stoyan Bumbalov, Executive Director </w:t>
      </w:r>
    </w:p>
    <w:p w14:paraId="45367D85" w14:textId="77777777" w:rsidR="007F106D" w:rsidRPr="007F106D" w:rsidRDefault="007F106D" w:rsidP="007F106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California Building Standards Commission</w:t>
      </w:r>
    </w:p>
    <w:p w14:paraId="567A3A72" w14:textId="77777777" w:rsidR="007F106D" w:rsidRPr="007F106D" w:rsidRDefault="007F106D" w:rsidP="007F106D">
      <w:pPr>
        <w:spacing w:after="0" w:line="240" w:lineRule="auto"/>
        <w:ind w:firstLine="72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hyperlink r:id="rId9" w:history="1">
        <w:r w:rsidRPr="007F106D">
          <w:rPr>
            <w:rFonts w:ascii="Times New Roman" w:hAnsi="Times New Roman" w:cs="Times New Roman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stoyan.bumbalov@dgs.ca.gov</w:t>
        </w:r>
      </w:hyperlink>
    </w:p>
    <w:p w14:paraId="2A210D2B" w14:textId="77777777" w:rsidR="007F106D" w:rsidRPr="007F106D" w:rsidRDefault="007F106D" w:rsidP="007F106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14:paraId="5102F7B9" w14:textId="77777777" w:rsidR="007F106D" w:rsidRPr="007F106D" w:rsidRDefault="007F106D" w:rsidP="007F106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From:</w:t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California Building Industry Association</w:t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California Apartment Association</w:t>
      </w:r>
    </w:p>
    <w:p w14:paraId="79E64A85" w14:textId="77777777" w:rsidR="007F106D" w:rsidRPr="007F106D" w:rsidRDefault="007F106D" w:rsidP="007F106D">
      <w:pPr>
        <w:spacing w:after="0" w:line="240" w:lineRule="auto"/>
        <w:ind w:firstLine="72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California Business Properties Association</w:t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Building Owners &amp; Managers Association</w:t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14:paraId="12C5DA1D" w14:textId="77777777" w:rsidR="007F106D" w:rsidRPr="007F106D" w:rsidRDefault="007F106D" w:rsidP="007F106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14:paraId="4B4D3F82" w14:textId="39711808" w:rsidR="007F106D" w:rsidRPr="00417782" w:rsidRDefault="007F106D" w:rsidP="007F106D">
      <w:pPr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RE:</w:t>
      </w: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7F106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Support for:</w:t>
      </w:r>
      <w:r w:rsidRPr="007F106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="004A797E" w:rsidRPr="00417782">
        <w:rPr>
          <w:rFonts w:ascii="Times New Roman" w:hAnsi="Times New Roman" w:cs="Times New Roman"/>
          <w:b/>
          <w:bCs/>
          <w:kern w:val="2"/>
          <w14:ligatures w14:val="standardContextual"/>
        </w:rPr>
        <w:t>Department of Housing</w:t>
      </w:r>
      <w:r w:rsidR="00417782" w:rsidRPr="00417782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&amp; Community Development</w:t>
      </w:r>
      <w:r w:rsidRPr="00417782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45-Day Express Terms </w:t>
      </w:r>
    </w:p>
    <w:p w14:paraId="4FAD772C" w14:textId="77777777" w:rsidR="005B52C9" w:rsidRDefault="007F106D" w:rsidP="007F106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F106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7F106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7F106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2025 Califor</w:t>
      </w:r>
      <w:r w:rsidR="005D092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nia </w:t>
      </w:r>
      <w:r w:rsidR="00AD483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Building</w:t>
      </w:r>
      <w:r w:rsidR="001665E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Code</w:t>
      </w:r>
      <w:r w:rsidRPr="007F106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, Part</w:t>
      </w:r>
      <w:r w:rsidR="00D12C1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2</w:t>
      </w:r>
      <w:r w:rsidR="005B52C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(HCD 1-AC 01/25)</w:t>
      </w:r>
    </w:p>
    <w:p w14:paraId="359DF220" w14:textId="795FE996" w:rsidR="00845E4E" w:rsidRDefault="00CC0AB0" w:rsidP="00495A29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2025 California Electrical Code, Part 3 (HCD 1-AC 01/25)</w:t>
      </w:r>
      <w:r w:rsidR="007F106D" w:rsidRPr="007F106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5B13806A" w14:textId="02E920F7" w:rsidR="00521F80" w:rsidRDefault="00521F80" w:rsidP="00495A29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2025 California Mechanical Code, Part 4 (HCD 1-AC 01/25)</w:t>
      </w:r>
    </w:p>
    <w:p w14:paraId="54B69D4E" w14:textId="66C70AA6" w:rsidR="00495A29" w:rsidRDefault="00495A29" w:rsidP="00495A29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2025 California Plumbing Code, Part 5 (HCD 1-AC 01/25)</w:t>
      </w:r>
    </w:p>
    <w:p w14:paraId="6D8A482C" w14:textId="37303FAA" w:rsidR="007F106D" w:rsidRPr="007F106D" w:rsidRDefault="00845E4E" w:rsidP="007F106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="007F106D" w:rsidRPr="007F106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6CFFBA0A" w14:textId="77777777" w:rsidR="007F106D" w:rsidRPr="007F106D" w:rsidRDefault="007F106D" w:rsidP="007F106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B9D6288" w14:textId="7D5415FE" w:rsidR="000B5571" w:rsidRDefault="007F106D" w:rsidP="00AE49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0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trade associations cited above, the Industry Coalition, represent California’s residential and non-residential construction and management industries.  The Industry Coalition supports the</w:t>
      </w:r>
      <w:r w:rsidR="000606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61EE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Department of Housing</w:t>
      </w:r>
      <w:r w:rsidR="00B7431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’s proposed changes to the Disabled Accessibility provisions in the </w:t>
      </w:r>
      <w:r w:rsidR="00BA1CB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California Building Code, California Electrical Code, California Mechanical Code, and California Plumbing Code</w:t>
      </w:r>
      <w:r w:rsidR="008656F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5459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(HCD 1-AC 01/25)</w:t>
      </w:r>
      <w:r w:rsidR="00BA1CB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3594E5F" w14:textId="77777777" w:rsidR="00B74382" w:rsidRDefault="00B74382" w:rsidP="000B557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97049B" w14:textId="77777777" w:rsidR="000B5571" w:rsidRDefault="000B5571" w:rsidP="000B55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FE21D" w14:textId="3A4BEA62" w:rsidR="000B5571" w:rsidRDefault="000B5571" w:rsidP="000B55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487AA" w14:textId="77777777" w:rsidR="000B5571" w:rsidRPr="000B5571" w:rsidRDefault="000B5571" w:rsidP="000B55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D362E" w14:textId="77777777" w:rsidR="00B806B5" w:rsidRDefault="00B806B5" w:rsidP="000B5571">
      <w:pPr>
        <w:pStyle w:val="NoSpacing"/>
      </w:pPr>
    </w:p>
    <w:sectPr w:rsidR="00F7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zNDYyNDcxNAZicyUdpeDU4uLM/DyQAsNaAMEQfdIsAAAA"/>
  </w:docVars>
  <w:rsids>
    <w:rsidRoot w:val="000B5571"/>
    <w:rsid w:val="000606EF"/>
    <w:rsid w:val="000B5571"/>
    <w:rsid w:val="001665E4"/>
    <w:rsid w:val="0025003D"/>
    <w:rsid w:val="002505D5"/>
    <w:rsid w:val="00283684"/>
    <w:rsid w:val="002D5B1C"/>
    <w:rsid w:val="00417782"/>
    <w:rsid w:val="004618B4"/>
    <w:rsid w:val="00495A29"/>
    <w:rsid w:val="004A797E"/>
    <w:rsid w:val="00521F80"/>
    <w:rsid w:val="005B52C9"/>
    <w:rsid w:val="005D092C"/>
    <w:rsid w:val="006053D0"/>
    <w:rsid w:val="00615191"/>
    <w:rsid w:val="00685D53"/>
    <w:rsid w:val="006F17AB"/>
    <w:rsid w:val="0070612D"/>
    <w:rsid w:val="00733971"/>
    <w:rsid w:val="0076092E"/>
    <w:rsid w:val="00761AD4"/>
    <w:rsid w:val="007716F6"/>
    <w:rsid w:val="007B27CB"/>
    <w:rsid w:val="007F106D"/>
    <w:rsid w:val="00845E4E"/>
    <w:rsid w:val="00861EE4"/>
    <w:rsid w:val="008656FB"/>
    <w:rsid w:val="008D312A"/>
    <w:rsid w:val="00AD4830"/>
    <w:rsid w:val="00AE4959"/>
    <w:rsid w:val="00B5459B"/>
    <w:rsid w:val="00B7431A"/>
    <w:rsid w:val="00B74382"/>
    <w:rsid w:val="00B806B5"/>
    <w:rsid w:val="00BA1CB5"/>
    <w:rsid w:val="00BF1BA9"/>
    <w:rsid w:val="00CC0AB0"/>
    <w:rsid w:val="00CC361A"/>
    <w:rsid w:val="00CE6FAB"/>
    <w:rsid w:val="00D12C1C"/>
    <w:rsid w:val="00D974BB"/>
    <w:rsid w:val="00DB6D57"/>
    <w:rsid w:val="00E23B2B"/>
    <w:rsid w:val="00EE5613"/>
    <w:rsid w:val="00EF0501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D797"/>
  <w15:chartTrackingRefBased/>
  <w15:docId w15:val="{5DE5DF92-7A07-49F4-A7AB-8A8C9FD1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5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5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5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5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57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B5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2db08a4-0732-4c02-af76-c3ddc5ac077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toyan.bumbalov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977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HCD AC 01-25 Pt 2-5 Industry Coalition - Support Comment</dc:title>
  <dc:subject/>
  <dc:creator>CBSC@dgs.ca.gov</dc:creator>
  <cp:keywords/>
  <dc:description/>
  <cp:lastModifiedBy>Severon, Kristina@DGS</cp:lastModifiedBy>
  <cp:revision>3</cp:revision>
  <dcterms:created xsi:type="dcterms:W3CDTF">2026-05-18T22:00:00Z</dcterms:created>
  <dcterms:modified xsi:type="dcterms:W3CDTF">2026-05-20T22:38:00Z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1ec9d65b-db30-4494-a98b-bff51e1776d2</vt:lpwstr>
  </property>
  <property fmtid="{D5CDD505-2E9C-101B-9397-08002B2CF9AE}" pid="3" name="_MarkAsFinal">
    <vt:bool>true</vt:bool>
  </property>
</Properties>
</file>