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5E7C" w14:textId="34E49CC9" w:rsidR="00494105" w:rsidRPr="00542909" w:rsidRDefault="00D2050B" w:rsidP="00494105">
      <w:pPr>
        <w:pStyle w:val="Heading1"/>
        <w:spacing w:before="0" w:after="0"/>
        <w:ind w:right="-90"/>
        <w:jc w:val="center"/>
        <w:rPr>
          <w:rFonts w:cs="Arial"/>
        </w:rPr>
      </w:pPr>
      <w:r>
        <w:rPr>
          <w:rFonts w:cs="Arial"/>
        </w:rPr>
        <w:t xml:space="preserve">45-DAY </w:t>
      </w:r>
      <w:r w:rsidR="00494105" w:rsidRPr="00542909">
        <w:rPr>
          <w:rFonts w:cs="Arial"/>
          <w:highlight w:val="lightGray"/>
        </w:rPr>
        <w:fldChar w:fldCharType="begin">
          <w:ffData>
            <w:name w:val=""/>
            <w:enabled/>
            <w:calcOnExit w:val="0"/>
            <w:textInput>
              <w:default w:val="[INITIAL, 45-DAY, FINAL]"/>
            </w:textInput>
          </w:ffData>
        </w:fldChar>
      </w:r>
      <w:r w:rsidR="00494105" w:rsidRPr="00542909">
        <w:rPr>
          <w:rFonts w:cs="Arial"/>
          <w:highlight w:val="lightGray"/>
        </w:rPr>
        <w:instrText xml:space="preserve"> FORMTEXT </w:instrText>
      </w:r>
      <w:r w:rsidR="00494105" w:rsidRPr="00542909">
        <w:rPr>
          <w:rFonts w:cs="Arial"/>
          <w:highlight w:val="lightGray"/>
        </w:rPr>
      </w:r>
      <w:r w:rsidR="00494105" w:rsidRPr="00542909">
        <w:rPr>
          <w:rFonts w:cs="Arial"/>
          <w:highlight w:val="lightGray"/>
        </w:rPr>
        <w:fldChar w:fldCharType="separate"/>
      </w:r>
      <w:r w:rsidR="00494105" w:rsidRPr="00542909">
        <w:rPr>
          <w:rFonts w:cs="Arial"/>
          <w:highlight w:val="lightGray"/>
        </w:rPr>
        <w:fldChar w:fldCharType="end"/>
      </w:r>
      <w:r w:rsidR="00494105" w:rsidRPr="00542909">
        <w:rPr>
          <w:rFonts w:cs="Arial"/>
        </w:rPr>
        <w:t>EXPRESS TERMS</w:t>
      </w:r>
      <w:r w:rsidR="00494105" w:rsidRPr="00542909">
        <w:rPr>
          <w:rFonts w:cs="Arial"/>
        </w:rPr>
        <w:br/>
        <w:t>FOR PROPOSED BUILDING STANDARDS OF THE</w:t>
      </w:r>
      <w:r w:rsidR="00494105">
        <w:rPr>
          <w:rFonts w:cs="Arial"/>
        </w:rPr>
        <w:br/>
      </w:r>
      <w:r w:rsidR="00494105" w:rsidRPr="00542909">
        <w:rPr>
          <w:rFonts w:cs="Arial"/>
        </w:rPr>
        <w:t>CALIFORNIA DEPARTMENT OF HOUSING AND COMMUNITY DEVELOPMENT</w:t>
      </w:r>
      <w:r w:rsidR="00494105" w:rsidRPr="00542909">
        <w:rPr>
          <w:rFonts w:cs="Arial"/>
        </w:rPr>
        <w:br/>
        <w:t>REGARDING THE</w:t>
      </w:r>
      <w:r w:rsidR="00494105">
        <w:rPr>
          <w:rFonts w:cs="Arial"/>
        </w:rPr>
        <w:br/>
      </w:r>
      <w:r w:rsidR="00494105" w:rsidRPr="00542909">
        <w:rPr>
          <w:rFonts w:cs="Arial"/>
        </w:rPr>
        <w:t>2025 CALIFORNIA BUILDING CODE</w:t>
      </w:r>
      <w:r w:rsidR="00494105">
        <w:rPr>
          <w:rFonts w:cs="Arial"/>
        </w:rPr>
        <w:t>, 2025 CALIFORNIA ELECTRICAL CODE,</w:t>
      </w:r>
      <w:r w:rsidR="00494105">
        <w:rPr>
          <w:rFonts w:cs="Arial"/>
        </w:rPr>
        <w:br/>
        <w:t>2025 CALIFORNIA MECHANICAL CODE, AND 2025 CALIFORNIA PLUMBING CODE</w:t>
      </w:r>
      <w:r w:rsidR="00494105" w:rsidRPr="00542909">
        <w:rPr>
          <w:rFonts w:cs="Arial"/>
        </w:rPr>
        <w:br/>
        <w:t>CALIFORNIA CODE OF REGULATIONS, TITLE 24</w:t>
      </w:r>
      <w:r w:rsidR="00494105">
        <w:rPr>
          <w:rFonts w:cs="Arial"/>
        </w:rPr>
        <w:t xml:space="preserve"> </w:t>
      </w:r>
      <w:r w:rsidR="00494105" w:rsidRPr="00542909">
        <w:rPr>
          <w:rFonts w:cs="Arial"/>
        </w:rPr>
        <w:t>PART</w:t>
      </w:r>
      <w:r w:rsidR="00494105">
        <w:rPr>
          <w:rFonts w:cs="Arial"/>
        </w:rPr>
        <w:t>S</w:t>
      </w:r>
      <w:r w:rsidR="00494105" w:rsidRPr="00542909">
        <w:rPr>
          <w:rFonts w:cs="Arial"/>
        </w:rPr>
        <w:t xml:space="preserve"> 2</w:t>
      </w:r>
      <w:r w:rsidR="00494105">
        <w:rPr>
          <w:rFonts w:cs="Arial"/>
        </w:rPr>
        <w:t>, 3, 4 &amp; 5</w:t>
      </w:r>
      <w:r w:rsidR="00494105" w:rsidRPr="00542909">
        <w:rPr>
          <w:rFonts w:cs="Arial"/>
        </w:rPr>
        <w:br/>
        <w:t>(</w:t>
      </w:r>
      <w:r w:rsidR="00494105" w:rsidRPr="00CD5167">
        <w:rPr>
          <w:rFonts w:cs="Arial"/>
        </w:rPr>
        <w:t>HCD 1-AC 01/25</w:t>
      </w:r>
      <w:r w:rsidR="00494105" w:rsidRPr="00542909">
        <w:rPr>
          <w:rFonts w:cs="Arial"/>
        </w:rPr>
        <w:t>)</w:t>
      </w:r>
    </w:p>
    <w:p w14:paraId="2178BCDB" w14:textId="04BE0C44"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34A85063" w:rsidR="001D6449" w:rsidRPr="0046521A" w:rsidRDefault="001D6449" w:rsidP="00CD71EA">
      <w:pPr>
        <w:pStyle w:val="ListParagraph"/>
        <w:numPr>
          <w:ilvl w:val="0"/>
          <w:numId w:val="7"/>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7"/>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40C62F53" w:rsidR="00F057BF" w:rsidRPr="0046521A" w:rsidRDefault="00F057BF" w:rsidP="00CD71EA">
      <w:pPr>
        <w:pStyle w:val="ListParagraph"/>
        <w:numPr>
          <w:ilvl w:val="0"/>
          <w:numId w:val="7"/>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22C15AC6" w:rsidR="00BC3F6E" w:rsidRPr="0046521A" w:rsidRDefault="00BC3F6E" w:rsidP="00CD71EA">
      <w:pPr>
        <w:pStyle w:val="ListParagraph"/>
        <w:numPr>
          <w:ilvl w:val="0"/>
          <w:numId w:val="7"/>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CD71EA">
      <w:pPr>
        <w:pStyle w:val="ListParagraph"/>
        <w:numPr>
          <w:ilvl w:val="0"/>
          <w:numId w:val="7"/>
        </w:numPr>
        <w:rPr>
          <w:rFonts w:cs="Arial"/>
        </w:rPr>
      </w:pPr>
      <w:r w:rsidRPr="0046521A">
        <w:rPr>
          <w:rFonts w:cs="Arial"/>
        </w:rPr>
        <w:t xml:space="preserve">Repealed California amendments appear in </w:t>
      </w:r>
      <w:r w:rsidRPr="0046521A">
        <w:rPr>
          <w:rFonts w:cs="Arial"/>
          <w:i/>
          <w:strike/>
        </w:rPr>
        <w:t>italic and strikeout</w:t>
      </w:r>
    </w:p>
    <w:p w14:paraId="52304A07" w14:textId="2264CE08" w:rsidR="00BC3F6E" w:rsidRPr="0046521A" w:rsidRDefault="000B5D13" w:rsidP="00AA0C1D">
      <w:pPr>
        <w:pStyle w:val="ListParagraph"/>
        <w:numPr>
          <w:ilvl w:val="0"/>
          <w:numId w:val="7"/>
        </w:numPr>
        <w:spacing w:after="0"/>
        <w:contextualSpacing w:val="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FF7FE1" w:rsidRDefault="00AD280C" w:rsidP="001F2A94">
      <w:pPr>
        <w:pStyle w:val="BodyText3"/>
        <w:pBdr>
          <w:bottom w:val="single" w:sz="4" w:space="1" w:color="auto"/>
        </w:pBdr>
        <w:spacing w:line="276" w:lineRule="auto"/>
        <w:jc w:val="left"/>
        <w:rPr>
          <w:rFonts w:cs="Arial"/>
          <w:sz w:val="8"/>
          <w:szCs w:val="8"/>
        </w:rPr>
      </w:pPr>
    </w:p>
    <w:p w14:paraId="083E7287" w14:textId="04279280" w:rsidR="00AF11F1" w:rsidRDefault="00D2050B" w:rsidP="00AF11F1">
      <w:pPr>
        <w:pStyle w:val="Heading2"/>
        <w:spacing w:before="0"/>
        <w:rPr>
          <w:szCs w:val="24"/>
        </w:rPr>
      </w:pPr>
      <w:r>
        <w:rPr>
          <w:rFonts w:cs="Arial"/>
        </w:rPr>
        <w:t xml:space="preserve">45-DAY </w:t>
      </w:r>
      <w:r w:rsidR="00AF11F1" w:rsidRPr="00542909">
        <w:rPr>
          <w:szCs w:val="24"/>
        </w:rPr>
        <w:t>EXPRESS TERMS</w:t>
      </w:r>
    </w:p>
    <w:p w14:paraId="2D8FAC81" w14:textId="70505ADD" w:rsidR="000B517F" w:rsidRDefault="00AF11F1" w:rsidP="00F6120A">
      <w:pPr>
        <w:pStyle w:val="Heading3"/>
        <w:keepNext w:val="0"/>
        <w:keepLines w:val="0"/>
        <w:spacing w:before="120"/>
      </w:pPr>
      <w:r w:rsidRPr="00B44A6A">
        <w:t>ITEM 1</w:t>
      </w:r>
      <w:r w:rsidR="00F6120A">
        <w:br/>
      </w:r>
      <w:r w:rsidR="000B517F">
        <w:t xml:space="preserve">2025 CALIFORNIA BUILDING CODE, </w:t>
      </w:r>
      <w:r w:rsidR="00FF7FE1">
        <w:t>PART</w:t>
      </w:r>
      <w:r w:rsidR="000B517F">
        <w:t xml:space="preserve"> 2</w:t>
      </w:r>
    </w:p>
    <w:p w14:paraId="0AFF53ED" w14:textId="415FA216" w:rsidR="00707B3C" w:rsidRDefault="00AF11F1" w:rsidP="009526E9">
      <w:pPr>
        <w:pStyle w:val="Heading4"/>
        <w:keepNext w:val="0"/>
        <w:keepLines w:val="0"/>
        <w:spacing w:before="0"/>
        <w:ind w:left="0"/>
      </w:pPr>
      <w:r>
        <w:t>Chapter 1, Administration, Division I, California Administration, Section 1.8.2.1.2</w:t>
      </w:r>
      <w:r w:rsidRPr="00B44A6A">
        <w:t xml:space="preserve"> Housing accessibility.</w:t>
      </w:r>
    </w:p>
    <w:p w14:paraId="306FD0F4" w14:textId="0CDA0262" w:rsidR="00AF11F1" w:rsidRPr="00FB31B1" w:rsidRDefault="00AF11F1" w:rsidP="00717E4F">
      <w:r w:rsidRPr="00C35E45">
        <w:t>HCD proposes to continue to adopt the above referenced section with amendments as follows:</w:t>
      </w:r>
    </w:p>
    <w:p w14:paraId="22F51E7E" w14:textId="229A1BA8" w:rsidR="0010589F" w:rsidRDefault="00AF11F1" w:rsidP="00AF11F1">
      <w:pPr>
        <w:rPr>
          <w:i/>
        </w:rPr>
      </w:pPr>
      <w:r w:rsidRPr="00A52C40">
        <w:rPr>
          <w:b/>
          <w:bCs/>
          <w:i/>
          <w:iCs/>
        </w:rPr>
        <w:t xml:space="preserve">1.8.2.1.2 Housing </w:t>
      </w:r>
      <w:r>
        <w:rPr>
          <w:b/>
          <w:bCs/>
          <w:i/>
          <w:iCs/>
        </w:rPr>
        <w:t>a</w:t>
      </w:r>
      <w:r w:rsidRPr="00A52C40">
        <w:rPr>
          <w:b/>
          <w:bCs/>
          <w:i/>
          <w:iCs/>
        </w:rPr>
        <w:t>ccessibility.</w:t>
      </w:r>
    </w:p>
    <w:p w14:paraId="4CAFE31A" w14:textId="0D23BC66" w:rsidR="00AF11F1" w:rsidRPr="00FB31B1" w:rsidRDefault="00AF11F1" w:rsidP="00AF11F1">
      <w:pPr>
        <w:rPr>
          <w:b/>
          <w:i/>
        </w:rPr>
      </w:pPr>
      <w:r w:rsidRPr="00A52C40">
        <w:rPr>
          <w:i/>
        </w:rPr>
        <w:t xml:space="preserve">Covered multifamily dwellings as defined in Chapter 2 including, but not limited to, lodging houses, dormitories, timeshares, condominiums, shelters for homeless </w:t>
      </w:r>
      <w:proofErr w:type="gramStart"/>
      <w:r w:rsidRPr="00A52C40">
        <w:rPr>
          <w:i/>
        </w:rPr>
        <w:t>persons</w:t>
      </w:r>
      <w:proofErr w:type="gramEnd"/>
      <w:r w:rsidRPr="00A52C40">
        <w:rPr>
          <w:i/>
        </w:rPr>
        <w:t>, congregate residences, apartments, dwellings, employee housing, factory-built housing and other types of dwellings containing sleeping accommodations with or without common toilet or cooking facilities.</w:t>
      </w:r>
    </w:p>
    <w:p w14:paraId="12A83AB5" w14:textId="2EFF49A8" w:rsidR="00AF11F1" w:rsidRPr="00A52C40" w:rsidRDefault="00AF11F1" w:rsidP="00AF11F1">
      <w:pPr>
        <w:rPr>
          <w:i/>
        </w:rPr>
      </w:pPr>
      <w:r w:rsidRPr="00A52C40">
        <w:rPr>
          <w:i/>
        </w:rPr>
        <w:t>Sections of this code identified by the abbreviation “HCD 1-AC” require specific accommodations for persons with disabilities as defined in Chapter 2. The application of such provisions shall be in conjunction with other requirements of this code and apply only to newly constructed covered multifamily dwellings as defined in Chapter 2. “HCD</w:t>
      </w:r>
      <w:r w:rsidR="00BF7DB0">
        <w:rPr>
          <w:i/>
        </w:rPr>
        <w:t xml:space="preserve"> </w:t>
      </w:r>
      <w:r w:rsidRPr="00A52C40">
        <w:rPr>
          <w:i/>
        </w:rPr>
        <w:t>1-AC” applications include, but are not limited to, the following:</w:t>
      </w:r>
    </w:p>
    <w:p w14:paraId="4F47B878" w14:textId="77777777" w:rsidR="003E2FA9" w:rsidRDefault="00AF11F1" w:rsidP="003E2FA9">
      <w:pPr>
        <w:numPr>
          <w:ilvl w:val="0"/>
          <w:numId w:val="29"/>
        </w:numPr>
        <w:rPr>
          <w:i/>
        </w:rPr>
      </w:pPr>
      <w:r w:rsidRPr="00A52C40">
        <w:rPr>
          <w:i/>
        </w:rPr>
        <w:t>All newly constructed covered multifamily dwellings as defined in Chapter 2.</w:t>
      </w:r>
    </w:p>
    <w:p w14:paraId="523EC73A" w14:textId="77777777" w:rsidR="003E2FA9" w:rsidRDefault="00AF11F1" w:rsidP="003E2FA9">
      <w:pPr>
        <w:numPr>
          <w:ilvl w:val="0"/>
          <w:numId w:val="29"/>
        </w:numPr>
        <w:rPr>
          <w:i/>
        </w:rPr>
      </w:pPr>
      <w:r w:rsidRPr="003E2FA9">
        <w:rPr>
          <w:i/>
        </w:rPr>
        <w:lastRenderedPageBreak/>
        <w:t>New common use areas as defined in Chapter 2, serving existing covered multifamily dwellings.</w:t>
      </w:r>
    </w:p>
    <w:p w14:paraId="2E2F765A" w14:textId="77777777" w:rsidR="003E2FA9" w:rsidRDefault="00AF11F1" w:rsidP="003E2FA9">
      <w:pPr>
        <w:numPr>
          <w:ilvl w:val="0"/>
          <w:numId w:val="29"/>
        </w:numPr>
        <w:rPr>
          <w:i/>
        </w:rPr>
      </w:pPr>
      <w:r w:rsidRPr="003E2FA9">
        <w:rPr>
          <w:i/>
        </w:rPr>
        <w:t>Additions to existing buildings, where the addition alone meets the definition of covered multifamily dwellings as defined in Chapter 2.</w:t>
      </w:r>
    </w:p>
    <w:p w14:paraId="6F652AC3" w14:textId="77777777" w:rsidR="003E2FA9" w:rsidRDefault="00AF11F1" w:rsidP="003E2FA9">
      <w:pPr>
        <w:numPr>
          <w:ilvl w:val="0"/>
          <w:numId w:val="29"/>
        </w:numPr>
        <w:rPr>
          <w:i/>
        </w:rPr>
      </w:pPr>
      <w:r w:rsidRPr="003E2FA9">
        <w:rPr>
          <w:i/>
        </w:rPr>
        <w:t>New common use areas serving new covered multifamily dwellings.</w:t>
      </w:r>
    </w:p>
    <w:p w14:paraId="49233E11" w14:textId="272C73DA" w:rsidR="00AF11F1" w:rsidRPr="003E2FA9" w:rsidRDefault="00AF11F1" w:rsidP="003E2FA9">
      <w:pPr>
        <w:numPr>
          <w:ilvl w:val="0"/>
          <w:numId w:val="29"/>
        </w:numPr>
        <w:rPr>
          <w:i/>
        </w:rPr>
      </w:pPr>
      <w:r w:rsidRPr="003E2FA9">
        <w:rPr>
          <w:i/>
        </w:rPr>
        <w:t>Where any portion of a building’s exterior is preserved, but the interior of the building is removed, including all structural portions of floors and ceilings, the building is considered a new building for determining the application of Chapter 11A.</w:t>
      </w:r>
    </w:p>
    <w:p w14:paraId="6810EE7C" w14:textId="00BDA6DF" w:rsidR="00AF11F1" w:rsidRPr="00A52C40" w:rsidRDefault="006E6E8D" w:rsidP="00AF11F1">
      <w:pPr>
        <w:spacing w:before="120"/>
        <w:rPr>
          <w:i/>
        </w:rPr>
      </w:pPr>
      <w:r>
        <w:rPr>
          <w:i/>
        </w:rPr>
        <w:t>“</w:t>
      </w:r>
      <w:r w:rsidR="00AF11F1" w:rsidRPr="00A52C40">
        <w:rPr>
          <w:i/>
        </w:rPr>
        <w:t>HCD 1-AC</w:t>
      </w:r>
      <w:r>
        <w:rPr>
          <w:i/>
        </w:rPr>
        <w:t>”</w:t>
      </w:r>
      <w:r w:rsidR="00AF11F1" w:rsidRPr="00A52C40">
        <w:rPr>
          <w:i/>
        </w:rPr>
        <w:t xml:space="preserve"> building standards generally do not apply to public use areas or public accommodations such as hotels and motels, and public housing. Public use areas, public accommodations and public housing, as defined in Chapter 2, are subject to the Division of the State </w:t>
      </w:r>
      <w:r w:rsidR="00F12967">
        <w:rPr>
          <w:i/>
        </w:rPr>
        <w:t>A</w:t>
      </w:r>
      <w:r w:rsidR="00F12967" w:rsidRPr="00A52C40">
        <w:rPr>
          <w:i/>
        </w:rPr>
        <w:t xml:space="preserve">rchitect </w:t>
      </w:r>
      <w:r w:rsidR="00AF11F1" w:rsidRPr="00A52C40">
        <w:rPr>
          <w:i/>
        </w:rPr>
        <w:t>(DSA-AC) in Chapter 11B, and are referenced in Section 1.9.1</w:t>
      </w:r>
      <w:r w:rsidR="00AF11F1">
        <w:rPr>
          <w:i/>
        </w:rPr>
        <w:t>.</w:t>
      </w:r>
    </w:p>
    <w:p w14:paraId="6C9A02DB" w14:textId="77777777" w:rsidR="00AF11F1" w:rsidRPr="00830BF0" w:rsidRDefault="00AF11F1" w:rsidP="00AF11F1">
      <w:r w:rsidRPr="00A52C40">
        <w:rPr>
          <w:i/>
        </w:rPr>
        <w:t xml:space="preserve">Newly constructed covered multifamily dwellings, which can also be defined as public housing, shall be subject to the requirements of </w:t>
      </w:r>
      <w:r w:rsidRPr="00A52C40">
        <w:rPr>
          <w:i/>
          <w:strike/>
        </w:rPr>
        <w:t>Chapter 11A</w:t>
      </w:r>
      <w:r w:rsidRPr="00B25EFB">
        <w:rPr>
          <w:strike/>
        </w:rPr>
        <w:t xml:space="preserve"> </w:t>
      </w:r>
      <w:r w:rsidRPr="00B25EFB">
        <w:rPr>
          <w:i/>
          <w:strike/>
        </w:rPr>
        <w:t>and</w:t>
      </w:r>
      <w:r w:rsidRPr="00A52C40">
        <w:rPr>
          <w:i/>
        </w:rPr>
        <w:t xml:space="preserve"> Chapter 11B.</w:t>
      </w:r>
    </w:p>
    <w:p w14:paraId="6B6C7667" w14:textId="77777777" w:rsidR="00AF11F1" w:rsidRPr="00D921A0" w:rsidRDefault="00AF11F1" w:rsidP="00AF11F1">
      <w:pPr>
        <w:pStyle w:val="Heading5"/>
        <w:spacing w:after="120"/>
        <w:rPr>
          <w:rFonts w:ascii="Arial" w:hAnsi="Arial" w:cs="Arial"/>
          <w:b/>
          <w:bCs/>
          <w:color w:val="auto"/>
          <w:szCs w:val="24"/>
        </w:rPr>
      </w:pPr>
      <w:r w:rsidRPr="00D921A0">
        <w:rPr>
          <w:rFonts w:ascii="Arial" w:hAnsi="Arial" w:cs="Arial"/>
          <w:b/>
          <w:bCs/>
          <w:color w:val="auto"/>
        </w:rPr>
        <w:t>Notation:</w:t>
      </w:r>
    </w:p>
    <w:p w14:paraId="3B074E85" w14:textId="3A2CF236" w:rsidR="00AF11F1" w:rsidRPr="00542909" w:rsidRDefault="00AF11F1" w:rsidP="005E57B2">
      <w:pPr>
        <w:widowControl/>
        <w:pBdr>
          <w:bottom w:val="single" w:sz="24" w:space="1" w:color="auto"/>
        </w:pBdr>
        <w:rPr>
          <w:rFonts w:cs="Arial"/>
        </w:rPr>
      </w:pPr>
      <w:bookmarkStart w:id="0" w:name="_Hlk221021355"/>
      <w:r w:rsidRPr="00542909">
        <w:rPr>
          <w:rFonts w:cs="Arial"/>
        </w:rPr>
        <w:t xml:space="preserve">Authority: Health and Safety Code Sections 17040, 17920.9, 17921, 17922, </w:t>
      </w:r>
      <w:r w:rsidR="007344A0">
        <w:rPr>
          <w:rFonts w:cs="Arial"/>
        </w:rPr>
        <w:t>18300</w:t>
      </w:r>
      <w:r w:rsidRPr="00542909" w:rsidDel="00905321">
        <w:rPr>
          <w:rFonts w:cs="Arial"/>
        </w:rPr>
        <w:t xml:space="preserve">, </w:t>
      </w:r>
      <w:r w:rsidRPr="00542909">
        <w:rPr>
          <w:rFonts w:cs="Arial"/>
        </w:rPr>
        <w:t>18620, 18630, 18640, 18670, 18865, 18871.3, 18873, 18873.1 through 18873.5, and 19990; and Government Code Sections 12955.1 and 12955.1.1.</w:t>
      </w:r>
    </w:p>
    <w:p w14:paraId="225C1CF5" w14:textId="6EA7566A" w:rsidR="00AF11F1" w:rsidRDefault="00AF11F1" w:rsidP="00AF11F1">
      <w:pPr>
        <w:widowControl/>
        <w:pBdr>
          <w:bottom w:val="single" w:sz="24" w:space="1" w:color="auto"/>
        </w:pBdr>
        <w:jc w:val="both"/>
      </w:pPr>
      <w:r w:rsidRPr="00542909">
        <w:rPr>
          <w:rFonts w:cs="Arial"/>
        </w:rPr>
        <w:t xml:space="preserve">References: Health and Safety Code Sections 17000 through 17062.5, 17910 through 17995.5, 18200 through 18700, 18860 through 18874, 18941, 19960 through 19997; and Government Code Sections 12955.1 </w:t>
      </w:r>
      <w:r w:rsidR="00DA7796">
        <w:rPr>
          <w:rFonts w:cs="Arial"/>
        </w:rPr>
        <w:t xml:space="preserve">and </w:t>
      </w:r>
      <w:r w:rsidRPr="00542909">
        <w:rPr>
          <w:rFonts w:cs="Arial"/>
        </w:rPr>
        <w:t>12955.1.1.</w:t>
      </w:r>
      <w:r w:rsidR="00787720">
        <w:rPr>
          <w:rFonts w:cs="Arial"/>
        </w:rPr>
        <w:t xml:space="preserve"> </w:t>
      </w:r>
      <w:bookmarkEnd w:id="0"/>
      <w:r w:rsidR="00787720">
        <w:rPr>
          <w:rFonts w:cs="Arial"/>
        </w:rPr>
        <w:t xml:space="preserve"> </w:t>
      </w:r>
    </w:p>
    <w:p w14:paraId="50E4C0F4" w14:textId="7BE80672" w:rsidR="00FF7FE1" w:rsidRDefault="00FF7FE1" w:rsidP="00FF7FE1">
      <w:pPr>
        <w:pStyle w:val="Heading3"/>
        <w:keepNext w:val="0"/>
        <w:keepLines w:val="0"/>
        <w:spacing w:before="0" w:after="0"/>
      </w:pPr>
      <w:r w:rsidRPr="00B44A6A">
        <w:t xml:space="preserve">ITEM </w:t>
      </w:r>
      <w:r>
        <w:t>2</w:t>
      </w:r>
      <w:r>
        <w:br/>
        <w:t>2025 CALIFORNIA BUILDING CODE, PART 2</w:t>
      </w:r>
    </w:p>
    <w:p w14:paraId="1735BD93" w14:textId="70691C03" w:rsidR="00707B3C" w:rsidRPr="00FF7FE1" w:rsidRDefault="00E37357" w:rsidP="00FF7FE1">
      <w:pPr>
        <w:pStyle w:val="Heading4"/>
        <w:spacing w:before="120"/>
        <w:ind w:left="0"/>
      </w:pPr>
      <w:r w:rsidRPr="00FF7FE1">
        <w:t>C</w:t>
      </w:r>
      <w:r w:rsidR="009F3D55" w:rsidRPr="00FF7FE1">
        <w:t xml:space="preserve">hapter 2, </w:t>
      </w:r>
      <w:r w:rsidR="000862B0" w:rsidRPr="00FF7FE1">
        <w:t xml:space="preserve">Section 202, </w:t>
      </w:r>
      <w:r w:rsidR="009F3D55" w:rsidRPr="00FF7FE1">
        <w:t>Definitions</w:t>
      </w:r>
      <w:r w:rsidR="008E0290" w:rsidRPr="00FF7FE1">
        <w:t>.</w:t>
      </w:r>
    </w:p>
    <w:p w14:paraId="592F2FCE" w14:textId="2D59DC57" w:rsidR="008E0290" w:rsidRPr="0034384E" w:rsidRDefault="008E0290" w:rsidP="4ECEDE37">
      <w:r>
        <w:t xml:space="preserve">HCD proposes to </w:t>
      </w:r>
      <w:proofErr w:type="gramStart"/>
      <w:r w:rsidR="00EA094B">
        <w:t>repeal</w:t>
      </w:r>
      <w:proofErr w:type="gramEnd"/>
      <w:r w:rsidR="00EA094B">
        <w:t xml:space="preserve"> </w:t>
      </w:r>
      <w:r w:rsidR="00CA1F1D">
        <w:t xml:space="preserve">and </w:t>
      </w:r>
      <w:r w:rsidR="50E19006" w:rsidRPr="14803CA7">
        <w:rPr>
          <w:rFonts w:eastAsia="Arial" w:cs="Arial"/>
        </w:rPr>
        <w:t>no longer adopt</w:t>
      </w:r>
      <w:r w:rsidR="009F3D55">
        <w:t xml:space="preserve"> </w:t>
      </w:r>
      <w:r w:rsidR="00CA1F1D">
        <w:t xml:space="preserve">the </w:t>
      </w:r>
      <w:r w:rsidR="003325EE">
        <w:t xml:space="preserve">definition </w:t>
      </w:r>
      <w:r w:rsidR="000B300F">
        <w:t xml:space="preserve">of public housing in </w:t>
      </w:r>
      <w:r w:rsidR="003325EE">
        <w:t>the above referenced section as follows</w:t>
      </w:r>
      <w:r w:rsidR="00E563BE">
        <w:t>:</w:t>
      </w:r>
    </w:p>
    <w:p w14:paraId="19685A7B" w14:textId="66CD6AFE" w:rsidR="003325EE" w:rsidRPr="008C4E81" w:rsidRDefault="008C4E81" w:rsidP="00D25491">
      <w:pPr>
        <w:spacing w:before="120"/>
        <w:jc w:val="center"/>
        <w:rPr>
          <w:b/>
          <w:bCs/>
          <w:iCs/>
        </w:rPr>
      </w:pPr>
      <w:r>
        <w:rPr>
          <w:b/>
          <w:bCs/>
          <w:iCs/>
        </w:rPr>
        <w:t>SECTION 202</w:t>
      </w:r>
      <w:r w:rsidR="00952A88">
        <w:rPr>
          <w:b/>
          <w:bCs/>
          <w:iCs/>
        </w:rPr>
        <w:br/>
        <w:t>DEFINITIONS</w:t>
      </w:r>
    </w:p>
    <w:p w14:paraId="6DE2DF8E" w14:textId="1158DECF" w:rsidR="00284AA4" w:rsidRPr="002E2647" w:rsidRDefault="00284AA4" w:rsidP="009F322B">
      <w:pPr>
        <w:rPr>
          <w:i/>
          <w:strike/>
        </w:rPr>
      </w:pPr>
      <w:r w:rsidRPr="008C4E81">
        <w:rPr>
          <w:b/>
          <w:bCs/>
          <w:i/>
          <w:strike/>
        </w:rPr>
        <w:t>PUBLIC HOUSING</w:t>
      </w:r>
      <w:r w:rsidRPr="002E2647">
        <w:rPr>
          <w:i/>
          <w:strike/>
        </w:rPr>
        <w:t>. 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33A74ED6" w14:textId="54D3913C" w:rsidR="00284AA4" w:rsidRPr="002E2647" w:rsidRDefault="00284AA4" w:rsidP="00850990">
      <w:pPr>
        <w:pStyle w:val="ListParagraph"/>
        <w:numPr>
          <w:ilvl w:val="0"/>
          <w:numId w:val="38"/>
        </w:numPr>
        <w:rPr>
          <w:i/>
          <w:strike/>
        </w:rPr>
      </w:pPr>
      <w:r w:rsidRPr="002E2647">
        <w:rPr>
          <w:i/>
          <w:strike/>
        </w:rPr>
        <w:t>One- or two-family dwelling units or congregate residences;</w:t>
      </w:r>
    </w:p>
    <w:p w14:paraId="34883226" w14:textId="62529D61" w:rsidR="00284AA4" w:rsidRPr="002E2647" w:rsidRDefault="00284AA4" w:rsidP="00850990">
      <w:pPr>
        <w:pStyle w:val="ListParagraph"/>
        <w:numPr>
          <w:ilvl w:val="0"/>
          <w:numId w:val="38"/>
        </w:numPr>
        <w:rPr>
          <w:i/>
          <w:strike/>
        </w:rPr>
      </w:pPr>
      <w:r w:rsidRPr="002E2647">
        <w:rPr>
          <w:i/>
          <w:strike/>
        </w:rPr>
        <w:t>Buildings or complexes with three or more residential dwelling units;</w:t>
      </w:r>
    </w:p>
    <w:p w14:paraId="67F89D71" w14:textId="743AD6C7" w:rsidR="00284AA4" w:rsidRPr="002E2647" w:rsidRDefault="00284AA4" w:rsidP="00850990">
      <w:pPr>
        <w:pStyle w:val="ListParagraph"/>
        <w:numPr>
          <w:ilvl w:val="0"/>
          <w:numId w:val="38"/>
        </w:numPr>
        <w:rPr>
          <w:i/>
          <w:strike/>
        </w:rPr>
      </w:pPr>
      <w:r w:rsidRPr="002E2647">
        <w:rPr>
          <w:i/>
          <w:strike/>
        </w:rPr>
        <w:t>Homeless shelters, group homes, halfway houses and similar social service establishments;</w:t>
      </w:r>
    </w:p>
    <w:p w14:paraId="47BCD663" w14:textId="0C873363" w:rsidR="00284AA4" w:rsidRPr="002E2647" w:rsidRDefault="00284AA4" w:rsidP="00850990">
      <w:pPr>
        <w:pStyle w:val="ListParagraph"/>
        <w:numPr>
          <w:ilvl w:val="0"/>
          <w:numId w:val="38"/>
        </w:numPr>
        <w:rPr>
          <w:i/>
          <w:strike/>
        </w:rPr>
      </w:pPr>
      <w:r w:rsidRPr="002E2647">
        <w:rPr>
          <w:i/>
          <w:strike/>
        </w:rPr>
        <w:t xml:space="preserve">Transient lodging, such as hotels, motels, hostels and other facilities providing </w:t>
      </w:r>
      <w:proofErr w:type="gramStart"/>
      <w:r w:rsidRPr="002E2647">
        <w:rPr>
          <w:i/>
          <w:strike/>
        </w:rPr>
        <w:t>accommodations</w:t>
      </w:r>
      <w:proofErr w:type="gramEnd"/>
      <w:r w:rsidRPr="002E2647">
        <w:rPr>
          <w:i/>
          <w:strike/>
        </w:rPr>
        <w:t xml:space="preserve"> of a short-term nature of not more than 30 days </w:t>
      </w:r>
      <w:proofErr w:type="gramStart"/>
      <w:r w:rsidRPr="002E2647">
        <w:rPr>
          <w:i/>
          <w:strike/>
        </w:rPr>
        <w:t>duration;</w:t>
      </w:r>
      <w:proofErr w:type="gramEnd"/>
    </w:p>
    <w:p w14:paraId="327961BE" w14:textId="4877AD98" w:rsidR="00284AA4" w:rsidRDefault="00284AA4" w:rsidP="00850990">
      <w:pPr>
        <w:pStyle w:val="ListParagraph"/>
        <w:numPr>
          <w:ilvl w:val="0"/>
          <w:numId w:val="38"/>
        </w:numPr>
        <w:rPr>
          <w:i/>
          <w:iCs/>
          <w:strike/>
        </w:rPr>
      </w:pPr>
      <w:r w:rsidRPr="002E2647">
        <w:rPr>
          <w:i/>
          <w:strike/>
        </w:rPr>
        <w:t xml:space="preserve">Housing at a place of education, such as housing on or serving a public school, </w:t>
      </w:r>
      <w:r w:rsidRPr="002E2647">
        <w:rPr>
          <w:i/>
          <w:strike/>
        </w:rPr>
        <w:lastRenderedPageBreak/>
        <w:t>public college or public university.</w:t>
      </w:r>
    </w:p>
    <w:p w14:paraId="31CC6E43" w14:textId="2C16E781" w:rsidR="00CF7B29" w:rsidRPr="002E2647" w:rsidRDefault="000E59F3" w:rsidP="798F6AB8">
      <w:pPr>
        <w:rPr>
          <w:i/>
          <w:strike/>
        </w:rPr>
      </w:pPr>
      <w:r w:rsidRPr="798F6AB8">
        <w:rPr>
          <w:i/>
          <w:strike/>
        </w:rPr>
        <w:t>Note:</w:t>
      </w:r>
      <w:r w:rsidR="00E315B7" w:rsidRPr="000E59F3">
        <w:rPr>
          <w:i/>
          <w:iCs/>
          <w:strike/>
        </w:rPr>
        <w:t xml:space="preserve"> </w:t>
      </w:r>
      <w:r w:rsidRPr="000E59F3">
        <w:rPr>
          <w:i/>
          <w:iCs/>
          <w:strike/>
        </w:rPr>
        <w:t xml:space="preserve">A public entity’s program to provide housing may include but is not limited </w:t>
      </w:r>
      <w:proofErr w:type="gramStart"/>
      <w:r w:rsidRPr="000E59F3">
        <w:rPr>
          <w:i/>
          <w:iCs/>
          <w:strike/>
        </w:rPr>
        <w:t>to:</w:t>
      </w:r>
      <w:proofErr w:type="gramEnd"/>
      <w:r w:rsidRPr="000E59F3">
        <w:rPr>
          <w:i/>
          <w:iCs/>
          <w:strike/>
        </w:rPr>
        <w:t xml:space="preserve"> the allocation of local, state or federal financial assistance, Community Development Block Grants, Low Income Housing Tax Credits, the California Multifamily Housing Program, loan agreements and housing bonds. Examples that are not considered a public entity’s program to provide housing may include but are not limited to: density bonuses, the receipt of public funds for the installation of energy efficiency features, seismic strengthening, water conservation and fire safety features. For additional information see “Guide to Public Housing Regulated in </w:t>
      </w:r>
      <w:r w:rsidRPr="00245DD8">
        <w:rPr>
          <w:i/>
          <w:iCs/>
          <w:strike/>
        </w:rPr>
        <w:t>Chapter 11B</w:t>
      </w:r>
      <w:r w:rsidRPr="000E59F3">
        <w:rPr>
          <w:i/>
          <w:iCs/>
          <w:strike/>
        </w:rPr>
        <w:t> </w:t>
      </w:r>
      <w:r w:rsidR="00F96796" w:rsidRPr="00F96796">
        <w:rPr>
          <w:i/>
          <w:iCs/>
          <w:strike/>
        </w:rPr>
        <w:t xml:space="preserve"> </w:t>
      </w:r>
      <w:r w:rsidRPr="000E59F3">
        <w:rPr>
          <w:i/>
          <w:iCs/>
          <w:strike/>
        </w:rPr>
        <w:t>of the California Building Code” and the “California Access Compliance Advisory Reference Manual” available on the Division of the State Architect’s website</w:t>
      </w:r>
      <w:r>
        <w:rPr>
          <w:i/>
          <w:iCs/>
          <w:strike/>
        </w:rPr>
        <w:t>.</w:t>
      </w:r>
    </w:p>
    <w:p w14:paraId="42E09AA5" w14:textId="77777777" w:rsidR="008E0290" w:rsidRPr="00D921A0" w:rsidRDefault="008E0290" w:rsidP="008E0290">
      <w:pPr>
        <w:pStyle w:val="Heading5"/>
        <w:spacing w:after="120"/>
        <w:rPr>
          <w:rFonts w:ascii="Arial" w:hAnsi="Arial" w:cs="Arial"/>
          <w:b/>
          <w:bCs/>
          <w:color w:val="auto"/>
          <w:szCs w:val="24"/>
        </w:rPr>
      </w:pPr>
      <w:r w:rsidRPr="00D921A0">
        <w:rPr>
          <w:rFonts w:ascii="Arial" w:hAnsi="Arial" w:cs="Arial"/>
          <w:b/>
          <w:bCs/>
          <w:color w:val="auto"/>
        </w:rPr>
        <w:t>Notation:</w:t>
      </w:r>
    </w:p>
    <w:p w14:paraId="3D998003" w14:textId="2C8182B5" w:rsidR="008E0290" w:rsidRPr="00542909" w:rsidRDefault="008E0290" w:rsidP="008E0290">
      <w:pPr>
        <w:widowControl/>
        <w:pBdr>
          <w:bottom w:val="single" w:sz="24" w:space="1" w:color="auto"/>
        </w:pBdr>
        <w:jc w:val="both"/>
        <w:rPr>
          <w:rFonts w:eastAsia="Arial" w:cs="Arial"/>
          <w:szCs w:val="24"/>
        </w:rPr>
      </w:pPr>
      <w:bookmarkStart w:id="1" w:name="_Hlk221021373"/>
      <w:r w:rsidRPr="3540AB9E">
        <w:rPr>
          <w:rFonts w:cs="Arial"/>
        </w:rPr>
        <w:t xml:space="preserve">Authority: </w:t>
      </w:r>
      <w:r w:rsidRPr="3540AB9E">
        <w:rPr>
          <w:rFonts w:eastAsia="Arial" w:cs="Arial"/>
          <w:color w:val="000000" w:themeColor="text1"/>
          <w:szCs w:val="24"/>
        </w:rPr>
        <w:t>Health and Safety Code Sections 17040, 17920.9, 17921,</w:t>
      </w:r>
      <w:r w:rsidR="00147A0E">
        <w:rPr>
          <w:rFonts w:eastAsia="Arial" w:cs="Arial"/>
          <w:color w:val="000000" w:themeColor="text1"/>
          <w:szCs w:val="24"/>
        </w:rPr>
        <w:t xml:space="preserve"> </w:t>
      </w:r>
      <w:r w:rsidRPr="3540AB9E">
        <w:rPr>
          <w:rFonts w:eastAsia="Arial" w:cs="Arial"/>
          <w:color w:val="000000" w:themeColor="text1"/>
          <w:szCs w:val="24"/>
        </w:rPr>
        <w:t>17922</w:t>
      </w:r>
      <w:r w:rsidR="00147A0E">
        <w:rPr>
          <w:rFonts w:eastAsia="Arial" w:cs="Arial"/>
          <w:color w:val="000000" w:themeColor="text1"/>
          <w:szCs w:val="24"/>
        </w:rPr>
        <w:t xml:space="preserve">, </w:t>
      </w:r>
      <w:r w:rsidR="00D63502">
        <w:rPr>
          <w:rFonts w:eastAsia="Arial" w:cs="Arial"/>
          <w:color w:val="000000" w:themeColor="text1"/>
          <w:szCs w:val="24"/>
        </w:rPr>
        <w:t>1830</w:t>
      </w:r>
      <w:r w:rsidR="008C3A4E">
        <w:rPr>
          <w:rFonts w:eastAsia="Arial" w:cs="Arial"/>
          <w:color w:val="000000" w:themeColor="text1"/>
          <w:szCs w:val="24"/>
        </w:rPr>
        <w:t>0,</w:t>
      </w:r>
      <w:r w:rsidRPr="3540AB9E">
        <w:rPr>
          <w:rFonts w:eastAsia="Arial" w:cs="Arial"/>
          <w:color w:val="000000" w:themeColor="text1"/>
          <w:szCs w:val="24"/>
        </w:rPr>
        <w:t xml:space="preserve"> 18620, 18630, 18640, 18670, 18865, 18871.3, 18873, and 19990; and Government Code Sections 12955.1 and 12955.1.1.</w:t>
      </w:r>
    </w:p>
    <w:p w14:paraId="44D0C549" w14:textId="74BBB295" w:rsidR="008E0290" w:rsidRPr="00640B88" w:rsidRDefault="008E0290" w:rsidP="008E0290">
      <w:pPr>
        <w:widowControl/>
        <w:pBdr>
          <w:bottom w:val="single" w:sz="24" w:space="1" w:color="auto"/>
        </w:pBdr>
        <w:jc w:val="both"/>
        <w:rPr>
          <w:rFonts w:eastAsia="Arial" w:cs="Arial"/>
        </w:rPr>
      </w:pPr>
      <w:r w:rsidRPr="3540AB9E">
        <w:rPr>
          <w:rFonts w:cs="Arial"/>
        </w:rPr>
        <w:t xml:space="preserve">References: </w:t>
      </w:r>
      <w:r w:rsidRPr="0D43A8EB">
        <w:rPr>
          <w:rFonts w:eastAsia="Arial" w:cs="Arial"/>
          <w:color w:val="000000" w:themeColor="text1"/>
        </w:rPr>
        <w:t xml:space="preserve">Health and Safety Code Sections 17000 through 17062.5, 17910 through 17995.5, 18200 through 18700, 18860 through 18874, 18941, 19960 through 19997; and Government Code Sections 12955.1 and 12955.1.1.  </w:t>
      </w:r>
    </w:p>
    <w:bookmarkEnd w:id="1"/>
    <w:p w14:paraId="4E671A22" w14:textId="3DE0FE74" w:rsidR="00A400FE" w:rsidRDefault="00CF2A5A" w:rsidP="00FF7FE1">
      <w:pPr>
        <w:pStyle w:val="Heading3"/>
        <w:keepNext w:val="0"/>
        <w:keepLines w:val="0"/>
        <w:spacing w:before="0"/>
      </w:pPr>
      <w:r w:rsidRPr="00B44A6A">
        <w:t xml:space="preserve">ITEM </w:t>
      </w:r>
      <w:r>
        <w:t>3</w:t>
      </w:r>
      <w:r w:rsidR="009526E9">
        <w:br/>
      </w:r>
      <w:r w:rsidR="00AF11F1" w:rsidRPr="00BF7DB0">
        <w:rPr>
          <w:bCs/>
        </w:rPr>
        <w:t xml:space="preserve">2025 </w:t>
      </w:r>
      <w:r w:rsidR="000D13AF" w:rsidRPr="00BF7DB0">
        <w:rPr>
          <w:bCs/>
        </w:rPr>
        <w:t xml:space="preserve">CALIFORNIA </w:t>
      </w:r>
      <w:r w:rsidR="00AF11F1" w:rsidRPr="00BF7DB0">
        <w:rPr>
          <w:bCs/>
        </w:rPr>
        <w:t xml:space="preserve">ELECTRICAL CODE, </w:t>
      </w:r>
      <w:r w:rsidR="00FF7FE1">
        <w:rPr>
          <w:bCs/>
        </w:rPr>
        <w:t>PART</w:t>
      </w:r>
      <w:r w:rsidR="00AF11F1" w:rsidRPr="00BF7DB0">
        <w:rPr>
          <w:bCs/>
        </w:rPr>
        <w:t xml:space="preserve"> 3</w:t>
      </w:r>
    </w:p>
    <w:p w14:paraId="32EE5344" w14:textId="2902C2D6" w:rsidR="00696A3E" w:rsidRDefault="00AF11F1" w:rsidP="00FF7FE1">
      <w:pPr>
        <w:pStyle w:val="Heading4"/>
        <w:spacing w:before="0"/>
        <w:ind w:left="0"/>
      </w:pPr>
      <w:r w:rsidRPr="00B44A6A">
        <w:t>Article 89 General Code Provisions, Section 89.108.2.1.2 Housing accessibility.</w:t>
      </w:r>
    </w:p>
    <w:p w14:paraId="35DD2408" w14:textId="69F9643B" w:rsidR="00AF11F1" w:rsidRPr="0034384E" w:rsidRDefault="00AF11F1" w:rsidP="00717E4F">
      <w:r w:rsidRPr="00BC1402">
        <w:t>HCD proposes to continue to adopt the above referenced section with amendments as follows:</w:t>
      </w:r>
    </w:p>
    <w:p w14:paraId="7FBC0F22" w14:textId="1F871922" w:rsidR="00AF11F1" w:rsidRPr="00542909" w:rsidRDefault="00AF11F1" w:rsidP="00AF11F1">
      <w:pPr>
        <w:rPr>
          <w:i/>
        </w:rPr>
      </w:pPr>
      <w:r>
        <w:rPr>
          <w:b/>
          <w:bCs/>
          <w:i/>
          <w:iCs/>
        </w:rPr>
        <w:t>89.</w:t>
      </w:r>
      <w:r w:rsidRPr="00542909">
        <w:rPr>
          <w:b/>
          <w:bCs/>
          <w:i/>
          <w:iCs/>
        </w:rPr>
        <w:t>1</w:t>
      </w:r>
      <w:r>
        <w:rPr>
          <w:b/>
          <w:bCs/>
          <w:i/>
          <w:iCs/>
        </w:rPr>
        <w:t>0</w:t>
      </w:r>
      <w:r w:rsidRPr="00542909">
        <w:rPr>
          <w:b/>
          <w:bCs/>
          <w:i/>
          <w:iCs/>
        </w:rPr>
        <w:t>8.2.1.2 Housing accessibility.</w:t>
      </w:r>
      <w:r w:rsidRPr="00542909">
        <w:rPr>
          <w:i/>
        </w:rPr>
        <w:t xml:space="preserve"> Covered multifamily dwellings as defined in Chapter 2</w:t>
      </w:r>
      <w:r w:rsidR="00092B0B" w:rsidRPr="00092B0B">
        <w:rPr>
          <w:i/>
        </w:rPr>
        <w:t xml:space="preserve"> </w:t>
      </w:r>
      <w:r w:rsidR="00092B0B">
        <w:rPr>
          <w:i/>
        </w:rPr>
        <w:t>of the California Code of Regulations,</w:t>
      </w:r>
      <w:r w:rsidR="006D605C">
        <w:rPr>
          <w:i/>
        </w:rPr>
        <w:t xml:space="preserve"> Title 24</w:t>
      </w:r>
      <w:r w:rsidR="005C5AAA">
        <w:rPr>
          <w:i/>
        </w:rPr>
        <w:t>, Part 2,</w:t>
      </w:r>
      <w:r w:rsidR="00092B0B">
        <w:rPr>
          <w:i/>
        </w:rPr>
        <w:t xml:space="preserve"> also known as the California Building Code, </w:t>
      </w:r>
      <w:r w:rsidRPr="00542909">
        <w:rPr>
          <w:i/>
        </w:rPr>
        <w:t>including, but not limited to, lodging houses, dormitories, timeshares, condominiums, shelters for homeless persons, congregate residences, apartments, dwellings, employee housing, factory-built housing and other types of dwellings containing sleeping accommodations with or without common toilet or cooking facilities.</w:t>
      </w:r>
    </w:p>
    <w:p w14:paraId="6C9D8F73" w14:textId="7AA00BB2" w:rsidR="00AF11F1" w:rsidRPr="00542909" w:rsidRDefault="00AF11F1" w:rsidP="00AF11F1">
      <w:pPr>
        <w:spacing w:after="240"/>
        <w:rPr>
          <w:i/>
        </w:rPr>
      </w:pPr>
      <w:r w:rsidRPr="00542909">
        <w:rPr>
          <w:i/>
        </w:rPr>
        <w:t>Sections of this code identified by the abbreviation “HCD 1-AC” require specific accommodations for persons with disabilities as defined in Chapter 2. The application of such provisions shall be in conjunction with other requirements of this code and apply only to newly constructed covered multifamily dwellings as defined in Chapter 2. “HCD</w:t>
      </w:r>
      <w:r w:rsidR="00CF2A5A">
        <w:rPr>
          <w:i/>
        </w:rPr>
        <w:t> </w:t>
      </w:r>
      <w:r w:rsidRPr="00542909">
        <w:rPr>
          <w:i/>
        </w:rPr>
        <w:t>1-</w:t>
      </w:r>
      <w:proofErr w:type="gramStart"/>
      <w:r w:rsidRPr="00542909">
        <w:rPr>
          <w:i/>
        </w:rPr>
        <w:t xml:space="preserve">AC” </w:t>
      </w:r>
      <w:r w:rsidR="00535439">
        <w:rPr>
          <w:i/>
        </w:rPr>
        <w:t xml:space="preserve"> </w:t>
      </w:r>
      <w:r w:rsidR="00535439" w:rsidRPr="00542909">
        <w:rPr>
          <w:i/>
        </w:rPr>
        <w:t xml:space="preserve"> </w:t>
      </w:r>
      <w:proofErr w:type="gramEnd"/>
      <w:r w:rsidRPr="00542909">
        <w:rPr>
          <w:i/>
        </w:rPr>
        <w:t>include, but are not limited to, the following:</w:t>
      </w:r>
    </w:p>
    <w:p w14:paraId="7395119B" w14:textId="68EDB7A1" w:rsidR="00AF11F1" w:rsidRDefault="00AF11F1" w:rsidP="00AF11F1">
      <w:pPr>
        <w:numPr>
          <w:ilvl w:val="0"/>
          <w:numId w:val="34"/>
        </w:numPr>
        <w:rPr>
          <w:i/>
        </w:rPr>
      </w:pPr>
      <w:r w:rsidRPr="00542909">
        <w:rPr>
          <w:i/>
        </w:rPr>
        <w:t>All newly constructed covered multifamily dwellings as defined in Chapter 2</w:t>
      </w:r>
      <w:r w:rsidR="005C5AAA" w:rsidRPr="005C5AAA">
        <w:rPr>
          <w:i/>
        </w:rPr>
        <w:t xml:space="preserve"> </w:t>
      </w:r>
      <w:r w:rsidR="005C5AAA">
        <w:rPr>
          <w:i/>
        </w:rPr>
        <w:t>of the California Building Code</w:t>
      </w:r>
      <w:r w:rsidRPr="00542909">
        <w:rPr>
          <w:i/>
        </w:rPr>
        <w:t>.</w:t>
      </w:r>
    </w:p>
    <w:p w14:paraId="38D157A0" w14:textId="02AA8105" w:rsidR="00AF11F1" w:rsidRDefault="00AF11F1" w:rsidP="00AF11F1">
      <w:pPr>
        <w:numPr>
          <w:ilvl w:val="0"/>
          <w:numId w:val="34"/>
        </w:numPr>
        <w:rPr>
          <w:i/>
        </w:rPr>
      </w:pPr>
      <w:r w:rsidRPr="00792870">
        <w:rPr>
          <w:i/>
        </w:rPr>
        <w:t>New common use areas as defined in Chapter 2</w:t>
      </w:r>
      <w:r w:rsidR="005C5AAA" w:rsidRPr="005C5AAA">
        <w:rPr>
          <w:i/>
        </w:rPr>
        <w:t xml:space="preserve"> </w:t>
      </w:r>
      <w:r w:rsidR="005C5AAA">
        <w:rPr>
          <w:i/>
        </w:rPr>
        <w:t>of the California Building Code</w:t>
      </w:r>
      <w:r w:rsidRPr="00792870">
        <w:rPr>
          <w:i/>
        </w:rPr>
        <w:t>, serving existing covered multifamily dwellings.</w:t>
      </w:r>
    </w:p>
    <w:p w14:paraId="521B79C1" w14:textId="62245503" w:rsidR="00AF11F1" w:rsidRDefault="00AF11F1" w:rsidP="00AF11F1">
      <w:pPr>
        <w:numPr>
          <w:ilvl w:val="0"/>
          <w:numId w:val="34"/>
        </w:numPr>
        <w:rPr>
          <w:i/>
        </w:rPr>
      </w:pPr>
      <w:r w:rsidRPr="00792870">
        <w:rPr>
          <w:i/>
        </w:rPr>
        <w:t>Additions to existing buildings, where the addition alone meets the definition of covered multifamily dwellings as defined in Chapter 2</w:t>
      </w:r>
      <w:r w:rsidR="005C5AAA" w:rsidRPr="005C5AAA">
        <w:rPr>
          <w:i/>
        </w:rPr>
        <w:t xml:space="preserve"> </w:t>
      </w:r>
      <w:r w:rsidR="005C5AAA">
        <w:rPr>
          <w:i/>
        </w:rPr>
        <w:t>of the California Building Code</w:t>
      </w:r>
      <w:r w:rsidRPr="00792870">
        <w:rPr>
          <w:i/>
        </w:rPr>
        <w:t>.</w:t>
      </w:r>
    </w:p>
    <w:p w14:paraId="031AB8C9" w14:textId="26DE36C6" w:rsidR="00AF11F1" w:rsidRDefault="00AF11F1" w:rsidP="00AF11F1">
      <w:pPr>
        <w:numPr>
          <w:ilvl w:val="0"/>
          <w:numId w:val="34"/>
        </w:numPr>
        <w:rPr>
          <w:i/>
        </w:rPr>
      </w:pPr>
      <w:r w:rsidRPr="00792870">
        <w:rPr>
          <w:i/>
        </w:rPr>
        <w:lastRenderedPageBreak/>
        <w:t>New common use areas serving new covered multifamily dwellings.</w:t>
      </w:r>
    </w:p>
    <w:p w14:paraId="332F9810" w14:textId="35E81CE0" w:rsidR="00AF11F1" w:rsidRPr="00792870" w:rsidRDefault="00AF11F1" w:rsidP="00AF11F1">
      <w:pPr>
        <w:numPr>
          <w:ilvl w:val="0"/>
          <w:numId w:val="34"/>
        </w:numPr>
        <w:rPr>
          <w:i/>
        </w:rPr>
      </w:pPr>
      <w:r w:rsidRPr="00792870">
        <w:rPr>
          <w:i/>
        </w:rPr>
        <w:t>Where any portion of a building’s exterior is preserved, but the interior of the building is removed, including all structural portions of floors and ceilings, the building is considered a new building for determining the application of Chapter 11A.</w:t>
      </w:r>
    </w:p>
    <w:p w14:paraId="43E97BA0" w14:textId="24A89A23" w:rsidR="00AF11F1" w:rsidRPr="00542909" w:rsidRDefault="00C9038B" w:rsidP="00AF11F1">
      <w:pPr>
        <w:spacing w:before="120"/>
        <w:rPr>
          <w:i/>
        </w:rPr>
      </w:pPr>
      <w:r>
        <w:rPr>
          <w:i/>
        </w:rPr>
        <w:t>“</w:t>
      </w:r>
      <w:r w:rsidR="00AF11F1" w:rsidRPr="00542909">
        <w:rPr>
          <w:i/>
        </w:rPr>
        <w:t>HCD 1-AC</w:t>
      </w:r>
      <w:r>
        <w:rPr>
          <w:i/>
        </w:rPr>
        <w:t>”</w:t>
      </w:r>
      <w:r w:rsidR="00AF11F1" w:rsidRPr="00542909">
        <w:rPr>
          <w:i/>
        </w:rPr>
        <w:t xml:space="preserve"> building standards generally do not apply to public use areas or public accommodations such as hotels and motels, and public housing. Public use areas, public accommodations and public housing, as defined in Chapter 2</w:t>
      </w:r>
      <w:r w:rsidR="005C5AAA" w:rsidRPr="005C5AAA">
        <w:rPr>
          <w:i/>
        </w:rPr>
        <w:t xml:space="preserve"> </w:t>
      </w:r>
      <w:r w:rsidR="005C5AAA">
        <w:rPr>
          <w:i/>
        </w:rPr>
        <w:t>of the California Building Code</w:t>
      </w:r>
      <w:r w:rsidR="00AF11F1" w:rsidRPr="00542909">
        <w:rPr>
          <w:i/>
        </w:rPr>
        <w:t xml:space="preserve">, are subject to the Division of the State </w:t>
      </w:r>
      <w:r>
        <w:rPr>
          <w:i/>
        </w:rPr>
        <w:t>A</w:t>
      </w:r>
      <w:r w:rsidRPr="00542909">
        <w:rPr>
          <w:i/>
        </w:rPr>
        <w:t xml:space="preserve">rchitect </w:t>
      </w:r>
      <w:r w:rsidR="00AF11F1" w:rsidRPr="00542909">
        <w:rPr>
          <w:i/>
        </w:rPr>
        <w:t xml:space="preserve">(DSA-AC) in Chapter 11B, and are referenced in Section </w:t>
      </w:r>
      <w:r w:rsidR="000511E8">
        <w:rPr>
          <w:i/>
        </w:rPr>
        <w:t>-</w:t>
      </w:r>
      <w:r w:rsidR="000511E8" w:rsidRPr="000511E8">
        <w:rPr>
          <w:rFonts w:cs="Arial"/>
          <w:i/>
          <w:iCs/>
          <w:szCs w:val="24"/>
        </w:rPr>
        <w:t xml:space="preserve"> </w:t>
      </w:r>
      <w:r w:rsidR="000511E8" w:rsidRPr="000511E8">
        <w:rPr>
          <w:i/>
          <w:iCs/>
        </w:rPr>
        <w:t>89.109.1</w:t>
      </w:r>
      <w:r w:rsidR="000511E8">
        <w:rPr>
          <w:i/>
          <w:iCs/>
        </w:rPr>
        <w:t>.</w:t>
      </w:r>
    </w:p>
    <w:p w14:paraId="6F38837C" w14:textId="77777777" w:rsidR="00AF11F1" w:rsidRPr="00542909" w:rsidRDefault="00AF11F1" w:rsidP="00AF11F1">
      <w:pPr>
        <w:widowControl/>
        <w:textAlignment w:val="baseline"/>
        <w:rPr>
          <w:rFonts w:cs="Arial"/>
          <w:szCs w:val="24"/>
        </w:rPr>
      </w:pPr>
      <w:r w:rsidRPr="00542909">
        <w:rPr>
          <w:i/>
        </w:rPr>
        <w:t xml:space="preserve">Newly constructed covered multifamily dwellings, which can also be defined as public housing, shall be subject to the requirements of </w:t>
      </w:r>
      <w:r w:rsidRPr="00542909">
        <w:rPr>
          <w:i/>
          <w:strike/>
        </w:rPr>
        <w:t>Chapter 11A</w:t>
      </w:r>
      <w:r w:rsidRPr="006646AD">
        <w:rPr>
          <w:strike/>
        </w:rPr>
        <w:t xml:space="preserve"> </w:t>
      </w:r>
      <w:r w:rsidRPr="006646AD">
        <w:rPr>
          <w:i/>
          <w:strike/>
        </w:rPr>
        <w:t>and</w:t>
      </w:r>
      <w:r w:rsidRPr="00542909">
        <w:rPr>
          <w:i/>
        </w:rPr>
        <w:t xml:space="preserve"> Chapter 11B.</w:t>
      </w:r>
    </w:p>
    <w:p w14:paraId="66192E7F" w14:textId="77777777" w:rsidR="00AF11F1" w:rsidRPr="00D921A0" w:rsidRDefault="00AF11F1" w:rsidP="00AF11F1">
      <w:pPr>
        <w:pStyle w:val="Heading5"/>
        <w:spacing w:after="120"/>
        <w:rPr>
          <w:rFonts w:ascii="Arial" w:hAnsi="Arial" w:cs="Arial"/>
          <w:b/>
          <w:bCs/>
          <w:color w:val="auto"/>
          <w:szCs w:val="24"/>
        </w:rPr>
      </w:pPr>
      <w:bookmarkStart w:id="2" w:name="_Hlk162255082"/>
      <w:r w:rsidRPr="00D921A0">
        <w:rPr>
          <w:rFonts w:ascii="Arial" w:hAnsi="Arial" w:cs="Arial"/>
          <w:b/>
          <w:bCs/>
          <w:color w:val="auto"/>
        </w:rPr>
        <w:t>Notation:</w:t>
      </w:r>
    </w:p>
    <w:p w14:paraId="6F19A11D" w14:textId="2EAD1562" w:rsidR="00AF11F1" w:rsidRPr="00542909" w:rsidRDefault="00AF11F1" w:rsidP="00AF11F1">
      <w:pPr>
        <w:widowControl/>
        <w:pBdr>
          <w:bottom w:val="single" w:sz="24" w:space="1" w:color="auto"/>
        </w:pBdr>
        <w:jc w:val="both"/>
        <w:rPr>
          <w:rFonts w:eastAsia="Arial" w:cs="Arial"/>
          <w:szCs w:val="24"/>
        </w:rPr>
      </w:pPr>
      <w:bookmarkStart w:id="3" w:name="_Hlk221021470"/>
      <w:r w:rsidRPr="3540AB9E">
        <w:rPr>
          <w:rFonts w:cs="Arial"/>
        </w:rPr>
        <w:t xml:space="preserve">Authority: </w:t>
      </w:r>
      <w:r w:rsidRPr="3540AB9E">
        <w:rPr>
          <w:rFonts w:eastAsia="Arial" w:cs="Arial"/>
          <w:color w:val="000000" w:themeColor="text1"/>
          <w:szCs w:val="24"/>
        </w:rPr>
        <w:t xml:space="preserve">Health and Safety Code Sections 17040, 17920.9, 17921, 17922, </w:t>
      </w:r>
      <w:r w:rsidR="0092083E">
        <w:rPr>
          <w:rFonts w:eastAsia="Arial" w:cs="Arial"/>
          <w:color w:val="000000" w:themeColor="text1"/>
          <w:szCs w:val="24"/>
        </w:rPr>
        <w:t xml:space="preserve">18300, </w:t>
      </w:r>
      <w:r w:rsidRPr="3540AB9E">
        <w:rPr>
          <w:rFonts w:eastAsia="Arial" w:cs="Arial"/>
          <w:color w:val="000000" w:themeColor="text1"/>
          <w:szCs w:val="24"/>
        </w:rPr>
        <w:t>18620, 18630, 18640, 18670, 18865, 18871.3, 18873, 18873.1 through 18873.5, and 19990; and Government Code Sections 12955.1 and 12955.1.1.</w:t>
      </w:r>
    </w:p>
    <w:p w14:paraId="4546D3B7" w14:textId="732E059B" w:rsidR="00AF11F1" w:rsidRPr="00640B88" w:rsidRDefault="00AF11F1" w:rsidP="00AF11F1">
      <w:pPr>
        <w:widowControl/>
        <w:pBdr>
          <w:bottom w:val="single" w:sz="24" w:space="1" w:color="auto"/>
        </w:pBdr>
        <w:jc w:val="both"/>
        <w:rPr>
          <w:rFonts w:eastAsia="Arial" w:cs="Arial"/>
          <w:szCs w:val="24"/>
        </w:rPr>
      </w:pPr>
      <w:r w:rsidRPr="3540AB9E">
        <w:rPr>
          <w:rFonts w:cs="Arial"/>
        </w:rPr>
        <w:t xml:space="preserve">References: </w:t>
      </w:r>
      <w:bookmarkEnd w:id="2"/>
      <w:r w:rsidRPr="3540AB9E">
        <w:rPr>
          <w:rFonts w:eastAsia="Arial" w:cs="Arial"/>
          <w:color w:val="000000" w:themeColor="text1"/>
          <w:szCs w:val="24"/>
        </w:rPr>
        <w:t xml:space="preserve">Health and Safety Code Sections 17000 through 17062.5, 17910 through 17995.5, 18200 through 18700, 18860 through 18874, 18941, 19960 through 19997; and Government Code Sections 12955.1 </w:t>
      </w:r>
      <w:r w:rsidR="001645D9">
        <w:rPr>
          <w:rFonts w:eastAsia="Arial" w:cs="Arial"/>
          <w:color w:val="000000" w:themeColor="text1"/>
          <w:szCs w:val="24"/>
        </w:rPr>
        <w:t xml:space="preserve">and </w:t>
      </w:r>
      <w:r w:rsidRPr="3540AB9E">
        <w:rPr>
          <w:rFonts w:eastAsia="Arial" w:cs="Arial"/>
          <w:color w:val="000000" w:themeColor="text1"/>
          <w:szCs w:val="24"/>
        </w:rPr>
        <w:t>12955.1.1.</w:t>
      </w:r>
    </w:p>
    <w:bookmarkEnd w:id="3"/>
    <w:p w14:paraId="1C71493B" w14:textId="33CA7181" w:rsidR="00176C45" w:rsidRDefault="00CF2A5A" w:rsidP="00FF7FE1">
      <w:pPr>
        <w:pStyle w:val="Heading3"/>
        <w:keepNext w:val="0"/>
        <w:keepLines w:val="0"/>
        <w:spacing w:before="0" w:after="0"/>
      </w:pPr>
      <w:r w:rsidRPr="00B44A6A">
        <w:t xml:space="preserve">ITEM </w:t>
      </w:r>
      <w:r>
        <w:t>4</w:t>
      </w:r>
      <w:r w:rsidR="009526E9">
        <w:br/>
      </w:r>
      <w:r w:rsidR="00AF11F1" w:rsidRPr="00CF2A5A">
        <w:rPr>
          <w:bCs/>
        </w:rPr>
        <w:t xml:space="preserve">2025 CALIFORNIA MECHANICAL CODE, </w:t>
      </w:r>
      <w:r w:rsidR="00FF7FE1">
        <w:rPr>
          <w:bCs/>
        </w:rPr>
        <w:t>PART</w:t>
      </w:r>
      <w:r w:rsidR="00AF11F1" w:rsidRPr="00CF2A5A">
        <w:rPr>
          <w:bCs/>
        </w:rPr>
        <w:t xml:space="preserve"> 4</w:t>
      </w:r>
    </w:p>
    <w:p w14:paraId="7A29C9CE" w14:textId="76059A6F" w:rsidR="00696A3E" w:rsidRDefault="00AF11F1" w:rsidP="00FF7FE1">
      <w:pPr>
        <w:pStyle w:val="Heading4"/>
        <w:spacing w:before="120" w:after="0"/>
        <w:ind w:left="0"/>
      </w:pPr>
      <w:r>
        <w:t>Chapter 1, Administration, Division I, California Administration, Section 1.8.2.1.2</w:t>
      </w:r>
      <w:r w:rsidRPr="00B44A6A">
        <w:t xml:space="preserve"> Housing accessibility.</w:t>
      </w:r>
    </w:p>
    <w:p w14:paraId="0DD4BC39" w14:textId="500297D3" w:rsidR="00AF11F1" w:rsidRPr="00792870" w:rsidRDefault="00AF11F1" w:rsidP="00E017A5">
      <w:pPr>
        <w:spacing w:before="120"/>
      </w:pPr>
      <w:r w:rsidRPr="00743C47">
        <w:t>HCD proposes to continue to adopt the above referenced section with amendments as follows:</w:t>
      </w:r>
    </w:p>
    <w:p w14:paraId="35459AD1" w14:textId="0E874B1A" w:rsidR="00AF11F1" w:rsidRPr="00A52C40" w:rsidRDefault="00AF11F1" w:rsidP="00AF11F1">
      <w:pPr>
        <w:rPr>
          <w:i/>
        </w:rPr>
      </w:pPr>
      <w:r w:rsidRPr="00A52C40">
        <w:rPr>
          <w:b/>
          <w:bCs/>
          <w:i/>
          <w:iCs/>
        </w:rPr>
        <w:t xml:space="preserve">1.8.2.1.2 Housing </w:t>
      </w:r>
      <w:r>
        <w:rPr>
          <w:b/>
          <w:bCs/>
          <w:i/>
          <w:iCs/>
        </w:rPr>
        <w:t>a</w:t>
      </w:r>
      <w:r w:rsidRPr="00A52C40">
        <w:rPr>
          <w:b/>
          <w:bCs/>
          <w:i/>
          <w:iCs/>
        </w:rPr>
        <w:t>ccessibility.</w:t>
      </w:r>
      <w:r w:rsidRPr="00A52C40">
        <w:rPr>
          <w:i/>
        </w:rPr>
        <w:t xml:space="preserve"> Covered multifamily dwellings as defined in Chapter 2 </w:t>
      </w:r>
      <w:r w:rsidR="00002210">
        <w:rPr>
          <w:i/>
        </w:rPr>
        <w:t xml:space="preserve">of the California Code of Regulations, </w:t>
      </w:r>
      <w:r w:rsidR="00FF2FF6">
        <w:rPr>
          <w:i/>
        </w:rPr>
        <w:t xml:space="preserve">Title 24, Part 2, </w:t>
      </w:r>
      <w:r w:rsidR="00002210">
        <w:rPr>
          <w:i/>
        </w:rPr>
        <w:t xml:space="preserve">also known as the California Building Code, </w:t>
      </w:r>
      <w:r w:rsidRPr="00A52C40">
        <w:rPr>
          <w:i/>
        </w:rPr>
        <w:t>including, but not limited to, lodging houses, dormitories, timeshares, condominiums, shelters for homeless persons, congregate residences, apartments, dwellings, employee housing, factory-built housing and other types of dwellings containing sleeping accommodations with or without common toilet or cooking facilities.</w:t>
      </w:r>
    </w:p>
    <w:p w14:paraId="4A512209" w14:textId="7758E8ED" w:rsidR="00AF11F1" w:rsidRPr="00A52C40" w:rsidRDefault="00AF11F1" w:rsidP="00AF11F1">
      <w:pPr>
        <w:rPr>
          <w:i/>
        </w:rPr>
      </w:pPr>
      <w:r w:rsidRPr="00A52C40">
        <w:rPr>
          <w:i/>
        </w:rPr>
        <w:t>Sections of this code identified by the abbreviation “HCD 1-AC” require specific accommodations for persons with disabilities as defined in Chapter 2</w:t>
      </w:r>
      <w:r w:rsidR="001B594D" w:rsidRPr="001B594D">
        <w:rPr>
          <w:i/>
        </w:rPr>
        <w:t xml:space="preserve"> </w:t>
      </w:r>
      <w:r w:rsidR="001B594D">
        <w:rPr>
          <w:i/>
        </w:rPr>
        <w:t>of the California Building Code</w:t>
      </w:r>
      <w:r w:rsidRPr="00A52C40">
        <w:rPr>
          <w:i/>
        </w:rPr>
        <w:t>. The application of such provisions shall be in conjunction with other requirements of this code and apply only to newly constructed covered multifamily dwellings as defined in Chapter 2. “HCD</w:t>
      </w:r>
      <w:r w:rsidR="00535439">
        <w:rPr>
          <w:i/>
        </w:rPr>
        <w:t xml:space="preserve"> </w:t>
      </w:r>
      <w:r w:rsidRPr="00A52C40">
        <w:rPr>
          <w:i/>
        </w:rPr>
        <w:t>1-AC” applications include, but are not limited to, the following:</w:t>
      </w:r>
    </w:p>
    <w:p w14:paraId="25939281" w14:textId="270540A6" w:rsidR="00AF11F1" w:rsidRDefault="00AF11F1" w:rsidP="00AF11F1">
      <w:pPr>
        <w:numPr>
          <w:ilvl w:val="0"/>
          <w:numId w:val="35"/>
        </w:numPr>
        <w:rPr>
          <w:i/>
        </w:rPr>
      </w:pPr>
      <w:r w:rsidRPr="00A52C40">
        <w:rPr>
          <w:i/>
        </w:rPr>
        <w:t>All newly constructed covered multifamily dwellings as defined in Chapter 2</w:t>
      </w:r>
      <w:r w:rsidR="001B594D" w:rsidRPr="001B594D">
        <w:rPr>
          <w:i/>
        </w:rPr>
        <w:t xml:space="preserve"> </w:t>
      </w:r>
      <w:r w:rsidR="001B594D">
        <w:rPr>
          <w:i/>
        </w:rPr>
        <w:t>of the California Building Code</w:t>
      </w:r>
      <w:r w:rsidRPr="00A52C40">
        <w:rPr>
          <w:i/>
        </w:rPr>
        <w:t>.</w:t>
      </w:r>
    </w:p>
    <w:p w14:paraId="29683389" w14:textId="6CAE096A" w:rsidR="00AF11F1" w:rsidRDefault="00AF11F1" w:rsidP="00AF11F1">
      <w:pPr>
        <w:numPr>
          <w:ilvl w:val="0"/>
          <w:numId w:val="35"/>
        </w:numPr>
        <w:rPr>
          <w:i/>
        </w:rPr>
      </w:pPr>
      <w:r w:rsidRPr="00792870">
        <w:rPr>
          <w:i/>
        </w:rPr>
        <w:t>New common use areas as defined in Chapter 2</w:t>
      </w:r>
      <w:r w:rsidR="00310F3A" w:rsidRPr="00310F3A">
        <w:rPr>
          <w:i/>
        </w:rPr>
        <w:t xml:space="preserve"> </w:t>
      </w:r>
      <w:r w:rsidR="00310F3A">
        <w:rPr>
          <w:i/>
        </w:rPr>
        <w:t>of the California Building Code</w:t>
      </w:r>
      <w:r w:rsidRPr="00792870">
        <w:rPr>
          <w:i/>
        </w:rPr>
        <w:t>, serving existing covered multifamily dwellings.</w:t>
      </w:r>
    </w:p>
    <w:p w14:paraId="1D8DCBFD" w14:textId="68984E86" w:rsidR="00AF11F1" w:rsidRDefault="00AF11F1" w:rsidP="00AF11F1">
      <w:pPr>
        <w:numPr>
          <w:ilvl w:val="0"/>
          <w:numId w:val="35"/>
        </w:numPr>
        <w:rPr>
          <w:i/>
        </w:rPr>
      </w:pPr>
      <w:r w:rsidRPr="00792870">
        <w:rPr>
          <w:i/>
        </w:rPr>
        <w:lastRenderedPageBreak/>
        <w:t>Additions to existing buildings, where the addition alone meets the definition of covered multifamily dwellings as defined in Chapter 2</w:t>
      </w:r>
      <w:r w:rsidR="00310F3A" w:rsidRPr="00310F3A">
        <w:rPr>
          <w:i/>
        </w:rPr>
        <w:t xml:space="preserve"> </w:t>
      </w:r>
      <w:r w:rsidR="00310F3A">
        <w:rPr>
          <w:i/>
        </w:rPr>
        <w:t>of the California Building Code</w:t>
      </w:r>
      <w:r w:rsidRPr="00792870">
        <w:rPr>
          <w:i/>
        </w:rPr>
        <w:t>.</w:t>
      </w:r>
    </w:p>
    <w:p w14:paraId="63D76BBF" w14:textId="77777777" w:rsidR="00AF11F1" w:rsidRDefault="00AF11F1" w:rsidP="00AF11F1">
      <w:pPr>
        <w:numPr>
          <w:ilvl w:val="0"/>
          <w:numId w:val="35"/>
        </w:numPr>
        <w:rPr>
          <w:i/>
        </w:rPr>
      </w:pPr>
      <w:r w:rsidRPr="00792870">
        <w:rPr>
          <w:i/>
        </w:rPr>
        <w:t>New common use areas serving new covered multifamily dwellings.</w:t>
      </w:r>
    </w:p>
    <w:p w14:paraId="5A4D5920" w14:textId="77777777" w:rsidR="00AF11F1" w:rsidRPr="00792870" w:rsidRDefault="00AF11F1" w:rsidP="00AF11F1">
      <w:pPr>
        <w:numPr>
          <w:ilvl w:val="0"/>
          <w:numId w:val="35"/>
        </w:numPr>
        <w:rPr>
          <w:i/>
        </w:rPr>
      </w:pPr>
      <w:r w:rsidRPr="00792870">
        <w:rPr>
          <w:i/>
        </w:rPr>
        <w:t>Where any portion of a building’s exterior is preserved, but the interior of the building is removed, including all structural portions of floors and ceilings, the building is considered a new building for determining the application of Chapter 11A.</w:t>
      </w:r>
    </w:p>
    <w:p w14:paraId="6460F930" w14:textId="2515A998" w:rsidR="00AF11F1" w:rsidRPr="00A52C40" w:rsidRDefault="00A54A28" w:rsidP="00AF11F1">
      <w:pPr>
        <w:spacing w:before="120"/>
        <w:rPr>
          <w:i/>
        </w:rPr>
      </w:pPr>
      <w:r>
        <w:rPr>
          <w:i/>
        </w:rPr>
        <w:t>“</w:t>
      </w:r>
      <w:r w:rsidR="00AF11F1" w:rsidRPr="00A52C40">
        <w:rPr>
          <w:i/>
        </w:rPr>
        <w:t>HCD 1-AC</w:t>
      </w:r>
      <w:r>
        <w:rPr>
          <w:i/>
        </w:rPr>
        <w:t>”</w:t>
      </w:r>
      <w:r w:rsidR="00AF11F1" w:rsidRPr="00A52C40">
        <w:rPr>
          <w:i/>
        </w:rPr>
        <w:t xml:space="preserve"> building standards generally do not apply to public use areas or public accommodations such as hotels and motels, and public housing. Public use areas, public accommodations and public housing, as defined in Chapter 2</w:t>
      </w:r>
      <w:r w:rsidR="0069149F" w:rsidRPr="0069149F">
        <w:rPr>
          <w:i/>
        </w:rPr>
        <w:t xml:space="preserve"> </w:t>
      </w:r>
      <w:r w:rsidR="0069149F">
        <w:rPr>
          <w:i/>
        </w:rPr>
        <w:t>of the California Building Code</w:t>
      </w:r>
      <w:r w:rsidR="00AF11F1" w:rsidRPr="00A52C40">
        <w:rPr>
          <w:i/>
        </w:rPr>
        <w:t xml:space="preserve">, are subject to the Division of the State </w:t>
      </w:r>
      <w:r>
        <w:rPr>
          <w:i/>
        </w:rPr>
        <w:t>A</w:t>
      </w:r>
      <w:r w:rsidR="00AF11F1" w:rsidRPr="00A52C40">
        <w:rPr>
          <w:i/>
        </w:rPr>
        <w:t>rchitect (DSA-AC) in Chapter 11B, and are referenced in Section 1.9.1</w:t>
      </w:r>
      <w:r w:rsidR="00AF11F1">
        <w:rPr>
          <w:i/>
        </w:rPr>
        <w:t>.</w:t>
      </w:r>
    </w:p>
    <w:p w14:paraId="77449B19" w14:textId="77777777" w:rsidR="00AF11F1" w:rsidRPr="00830BF0" w:rsidRDefault="00AF11F1" w:rsidP="00AF11F1">
      <w:r w:rsidRPr="00A52C40">
        <w:rPr>
          <w:i/>
        </w:rPr>
        <w:t xml:space="preserve">Newly constructed covered multifamily dwellings, which can also be defined as public housing, shall be subject to the requirements of </w:t>
      </w:r>
      <w:r w:rsidRPr="00A52C40">
        <w:rPr>
          <w:i/>
          <w:strike/>
        </w:rPr>
        <w:t>Chapter 11A</w:t>
      </w:r>
      <w:r w:rsidRPr="00B25EFB">
        <w:rPr>
          <w:strike/>
        </w:rPr>
        <w:t xml:space="preserve"> </w:t>
      </w:r>
      <w:r w:rsidRPr="00B25EFB">
        <w:rPr>
          <w:i/>
          <w:strike/>
        </w:rPr>
        <w:t>and</w:t>
      </w:r>
      <w:r w:rsidRPr="00A52C40">
        <w:rPr>
          <w:i/>
        </w:rPr>
        <w:t xml:space="preserve"> Chapter 11B.</w:t>
      </w:r>
    </w:p>
    <w:p w14:paraId="1DFF072B" w14:textId="77777777" w:rsidR="00AF11F1" w:rsidRPr="00D921A0" w:rsidRDefault="00AF11F1" w:rsidP="00AF11F1">
      <w:pPr>
        <w:pStyle w:val="Heading5"/>
        <w:spacing w:after="120"/>
        <w:rPr>
          <w:rFonts w:ascii="Arial" w:hAnsi="Arial" w:cs="Arial"/>
          <w:b/>
          <w:bCs/>
          <w:color w:val="auto"/>
          <w:szCs w:val="24"/>
        </w:rPr>
      </w:pPr>
      <w:r w:rsidRPr="00D921A0">
        <w:rPr>
          <w:rFonts w:ascii="Arial" w:hAnsi="Arial" w:cs="Arial"/>
          <w:b/>
          <w:bCs/>
          <w:color w:val="auto"/>
        </w:rPr>
        <w:t>Notation:</w:t>
      </w:r>
    </w:p>
    <w:p w14:paraId="5BC2C47A" w14:textId="3C4CFBD7" w:rsidR="00AF11F1" w:rsidRPr="0046521A" w:rsidRDefault="00AF11F1" w:rsidP="00AF11F1">
      <w:pPr>
        <w:rPr>
          <w:rFonts w:eastAsia="Arial" w:cs="Arial"/>
          <w:szCs w:val="24"/>
        </w:rPr>
      </w:pPr>
      <w:bookmarkStart w:id="4" w:name="_Hlk221021481"/>
      <w:r w:rsidRPr="0046521A">
        <w:rPr>
          <w:rFonts w:cs="Arial"/>
        </w:rPr>
        <w:t xml:space="preserve">Authority: </w:t>
      </w:r>
      <w:r>
        <w:rPr>
          <w:rStyle w:val="normaltextrun"/>
          <w:rFonts w:cs="Arial"/>
          <w:color w:val="000000"/>
          <w:bdr w:val="none" w:sz="0" w:space="0" w:color="auto" w:frame="1"/>
        </w:rPr>
        <w:t xml:space="preserve">Health and Safety Code Sections </w:t>
      </w:r>
      <w:r w:rsidRPr="38C82B0A">
        <w:rPr>
          <w:rFonts w:eastAsia="Arial" w:cs="Arial"/>
          <w:color w:val="000000" w:themeColor="text1"/>
          <w:szCs w:val="24"/>
        </w:rPr>
        <w:t xml:space="preserve">17040, 17920.9, 17921, 17922, </w:t>
      </w:r>
      <w:r w:rsidR="009F7866">
        <w:rPr>
          <w:rFonts w:eastAsia="Arial" w:cs="Arial"/>
          <w:color w:val="000000" w:themeColor="text1"/>
          <w:szCs w:val="24"/>
        </w:rPr>
        <w:t xml:space="preserve">18300, </w:t>
      </w:r>
      <w:r w:rsidRPr="38C82B0A">
        <w:rPr>
          <w:rFonts w:eastAsia="Arial" w:cs="Arial"/>
          <w:color w:val="000000" w:themeColor="text1"/>
          <w:szCs w:val="24"/>
        </w:rPr>
        <w:t>18620, 18630, 18640, 18670, 18865, 18871.3, 18873, 18873.1 through 18873.5, and 19990; and Government Code Sections 12955.1 and 12955.1.1.</w:t>
      </w:r>
    </w:p>
    <w:p w14:paraId="59F85D93" w14:textId="28ECCD0D" w:rsidR="00AF11F1" w:rsidRPr="00D921A0" w:rsidRDefault="00AF11F1" w:rsidP="00AF11F1">
      <w:pPr>
        <w:pBdr>
          <w:bottom w:val="single" w:sz="24" w:space="1" w:color="auto"/>
        </w:pBdr>
        <w:rPr>
          <w:rFonts w:eastAsia="Arial" w:cs="Arial"/>
          <w:szCs w:val="24"/>
        </w:rPr>
      </w:pPr>
      <w:r w:rsidRPr="0046521A">
        <w:rPr>
          <w:rFonts w:cs="Arial"/>
        </w:rPr>
        <w:t>Reference(</w:t>
      </w:r>
      <w:proofErr w:type="gramStart"/>
      <w:r w:rsidRPr="0046521A">
        <w:rPr>
          <w:rFonts w:cs="Arial"/>
        </w:rPr>
        <w:t>s):</w:t>
      </w:r>
      <w:proofErr w:type="gramEnd"/>
      <w:r w:rsidRPr="0046521A">
        <w:rPr>
          <w:rFonts w:cs="Arial"/>
        </w:rPr>
        <w:t xml:space="preserve"> </w:t>
      </w:r>
      <w:r>
        <w:rPr>
          <w:rStyle w:val="normaltextrun"/>
          <w:rFonts w:cs="Arial"/>
          <w:color w:val="000000"/>
          <w:shd w:val="clear" w:color="auto" w:fill="FFFFFF"/>
        </w:rPr>
        <w:t xml:space="preserve">Health and Safety Code Sections </w:t>
      </w:r>
      <w:r w:rsidRPr="38C82B0A">
        <w:rPr>
          <w:rFonts w:eastAsia="Arial" w:cs="Arial"/>
          <w:color w:val="000000" w:themeColor="text1"/>
          <w:szCs w:val="24"/>
        </w:rPr>
        <w:t>17000 through 17062.5, 17910 through 17995.5, 18200 through 18700, 18860 through 18874, 18941</w:t>
      </w:r>
      <w:r w:rsidR="00147F1A">
        <w:rPr>
          <w:rFonts w:eastAsia="Arial" w:cs="Arial"/>
          <w:color w:val="000000" w:themeColor="text1"/>
          <w:szCs w:val="24"/>
        </w:rPr>
        <w:t>,</w:t>
      </w:r>
      <w:r w:rsidRPr="38C82B0A">
        <w:rPr>
          <w:rFonts w:eastAsia="Arial" w:cs="Arial"/>
          <w:color w:val="000000" w:themeColor="text1"/>
          <w:szCs w:val="24"/>
        </w:rPr>
        <w:t xml:space="preserve"> 19960 through 19997;</w:t>
      </w:r>
      <w:r w:rsidR="009D0396">
        <w:rPr>
          <w:rFonts w:eastAsia="Arial" w:cs="Arial"/>
          <w:color w:val="000000" w:themeColor="text1"/>
          <w:szCs w:val="24"/>
        </w:rPr>
        <w:t xml:space="preserve"> and</w:t>
      </w:r>
      <w:r w:rsidRPr="38C82B0A">
        <w:rPr>
          <w:rFonts w:eastAsia="Arial" w:cs="Arial"/>
          <w:color w:val="000000" w:themeColor="text1"/>
          <w:szCs w:val="24"/>
        </w:rPr>
        <w:t xml:space="preserve"> Government Code Sections 12955.1</w:t>
      </w:r>
      <w:r w:rsidR="00456CD7">
        <w:rPr>
          <w:rFonts w:eastAsia="Arial" w:cs="Arial"/>
          <w:color w:val="000000" w:themeColor="text1"/>
          <w:szCs w:val="24"/>
        </w:rPr>
        <w:t xml:space="preserve"> and</w:t>
      </w:r>
      <w:r w:rsidRPr="38C82B0A">
        <w:rPr>
          <w:rFonts w:eastAsia="Arial" w:cs="Arial"/>
          <w:color w:val="000000" w:themeColor="text1"/>
          <w:szCs w:val="24"/>
        </w:rPr>
        <w:t xml:space="preserve"> </w:t>
      </w:r>
      <w:proofErr w:type="gramStart"/>
      <w:r w:rsidRPr="38C82B0A">
        <w:rPr>
          <w:rFonts w:eastAsia="Arial" w:cs="Arial"/>
          <w:color w:val="000000" w:themeColor="text1"/>
          <w:szCs w:val="24"/>
        </w:rPr>
        <w:t>129551.1</w:t>
      </w:r>
      <w:proofErr w:type="gramEnd"/>
      <w:r w:rsidR="00456CD7">
        <w:rPr>
          <w:rFonts w:eastAsia="Arial" w:cs="Arial"/>
          <w:color w:val="000000" w:themeColor="text1"/>
          <w:szCs w:val="24"/>
        </w:rPr>
        <w:t>.</w:t>
      </w:r>
      <w:bookmarkEnd w:id="4"/>
    </w:p>
    <w:p w14:paraId="01A8643F" w14:textId="78378B91" w:rsidR="00951AB9" w:rsidRDefault="00E2264D" w:rsidP="00FF7FE1">
      <w:pPr>
        <w:pStyle w:val="Heading3"/>
        <w:keepNext w:val="0"/>
        <w:keepLines w:val="0"/>
        <w:spacing w:before="0" w:after="0"/>
      </w:pPr>
      <w:r w:rsidRPr="00B44A6A">
        <w:t xml:space="preserve">ITEM </w:t>
      </w:r>
      <w:r>
        <w:t>5</w:t>
      </w:r>
      <w:r w:rsidR="009526E9">
        <w:br/>
      </w:r>
      <w:r w:rsidR="00AF11F1">
        <w:t xml:space="preserve">2025 CALIFORNIA PLUMBING CODE, </w:t>
      </w:r>
      <w:r w:rsidR="00FF7FE1">
        <w:t>PART</w:t>
      </w:r>
      <w:r w:rsidR="00AF11F1">
        <w:t xml:space="preserve"> 5</w:t>
      </w:r>
    </w:p>
    <w:p w14:paraId="3640FCEB" w14:textId="01923C41" w:rsidR="00696A3E" w:rsidRDefault="00AF11F1" w:rsidP="00FF7FE1">
      <w:pPr>
        <w:pStyle w:val="Heading4"/>
        <w:spacing w:before="120" w:after="0"/>
        <w:ind w:left="0"/>
      </w:pPr>
      <w:r>
        <w:t>Chapter 1, Administration, Division I, California Administration, Section 1.8.2.1.2</w:t>
      </w:r>
      <w:r w:rsidRPr="00B44A6A">
        <w:t xml:space="preserve"> Housing accessibility.</w:t>
      </w:r>
    </w:p>
    <w:p w14:paraId="0C3E6B3F" w14:textId="621E3585" w:rsidR="00AF11F1" w:rsidRPr="00EB3CD7" w:rsidRDefault="00AF11F1" w:rsidP="00E017A5">
      <w:pPr>
        <w:spacing w:before="120"/>
      </w:pPr>
      <w:r w:rsidRPr="003F4701">
        <w:t>HCD proposes to continue to adopt the above referenced section with amendments as follows:</w:t>
      </w:r>
    </w:p>
    <w:p w14:paraId="51A4F679" w14:textId="3BF81A17" w:rsidR="00AF11F1" w:rsidRPr="00A52C40" w:rsidRDefault="00AF11F1" w:rsidP="00AF11F1">
      <w:pPr>
        <w:rPr>
          <w:i/>
        </w:rPr>
      </w:pPr>
      <w:r w:rsidRPr="00A52C40">
        <w:rPr>
          <w:b/>
          <w:bCs/>
          <w:i/>
          <w:iCs/>
        </w:rPr>
        <w:t xml:space="preserve">1.8.2.1.2 Housing </w:t>
      </w:r>
      <w:r>
        <w:rPr>
          <w:b/>
          <w:bCs/>
          <w:i/>
          <w:iCs/>
        </w:rPr>
        <w:t>a</w:t>
      </w:r>
      <w:r w:rsidRPr="00A52C40">
        <w:rPr>
          <w:b/>
          <w:bCs/>
          <w:i/>
          <w:iCs/>
        </w:rPr>
        <w:t>ccessibility.</w:t>
      </w:r>
      <w:r w:rsidRPr="00A52C40">
        <w:rPr>
          <w:i/>
        </w:rPr>
        <w:t xml:space="preserve"> Covered multifamily dwellings as defined in Chapter 2 </w:t>
      </w:r>
      <w:r w:rsidR="00D1658D">
        <w:rPr>
          <w:i/>
        </w:rPr>
        <w:t xml:space="preserve">of the </w:t>
      </w:r>
      <w:r w:rsidR="00D10C36">
        <w:rPr>
          <w:i/>
        </w:rPr>
        <w:t xml:space="preserve">California Code of </w:t>
      </w:r>
      <w:r w:rsidR="00D1658D">
        <w:rPr>
          <w:i/>
        </w:rPr>
        <w:t>Regulations</w:t>
      </w:r>
      <w:r w:rsidR="00D10C36">
        <w:rPr>
          <w:i/>
        </w:rPr>
        <w:t xml:space="preserve">, </w:t>
      </w:r>
      <w:r w:rsidR="00054CEA">
        <w:rPr>
          <w:i/>
        </w:rPr>
        <w:t xml:space="preserve">Title 24, Part 2, </w:t>
      </w:r>
      <w:r w:rsidR="00D10C36">
        <w:rPr>
          <w:i/>
        </w:rPr>
        <w:t>also known as the California</w:t>
      </w:r>
      <w:r w:rsidR="00002210">
        <w:rPr>
          <w:i/>
        </w:rPr>
        <w:t xml:space="preserve"> Building Code,</w:t>
      </w:r>
      <w:r w:rsidR="00D10C36">
        <w:rPr>
          <w:i/>
        </w:rPr>
        <w:t xml:space="preserve"> </w:t>
      </w:r>
      <w:r w:rsidRPr="00A52C40">
        <w:rPr>
          <w:i/>
        </w:rPr>
        <w:t>including, but not limited to, lodging houses, dormitories, timeshares, condominiums, shelters for homeless persons, congregate residences, apartments, dwellings, employee housing, factory-built housing and other types of dwellings containing sleeping accommodations with or without common toilet or cooking facilities.</w:t>
      </w:r>
    </w:p>
    <w:p w14:paraId="40906EB4" w14:textId="08C10C53" w:rsidR="00AF11F1" w:rsidRPr="00A52C40" w:rsidRDefault="00AF11F1" w:rsidP="00AF11F1">
      <w:pPr>
        <w:rPr>
          <w:i/>
        </w:rPr>
      </w:pPr>
      <w:r w:rsidRPr="00A52C40">
        <w:rPr>
          <w:i/>
        </w:rPr>
        <w:t>Sections of this code identified by the abbreviation “HCD 1-AC” require specific accommodations for persons with disabilities as defined in Chapter 2</w:t>
      </w:r>
      <w:r w:rsidR="00AE71E4">
        <w:rPr>
          <w:i/>
        </w:rPr>
        <w:t xml:space="preserve"> of the California Building Code</w:t>
      </w:r>
      <w:r w:rsidRPr="00A52C40">
        <w:rPr>
          <w:i/>
        </w:rPr>
        <w:t>. The application of such provisions shall be in conjunction with other requirements of this code and apply only to newly constructed covered multifamily dwellings as defined in Chapter 2</w:t>
      </w:r>
      <w:r w:rsidR="0010464A" w:rsidRPr="0010464A">
        <w:rPr>
          <w:i/>
        </w:rPr>
        <w:t xml:space="preserve"> </w:t>
      </w:r>
      <w:r w:rsidR="0010464A">
        <w:rPr>
          <w:i/>
        </w:rPr>
        <w:t>of the California Building Code</w:t>
      </w:r>
      <w:r w:rsidRPr="00A52C40">
        <w:rPr>
          <w:i/>
        </w:rPr>
        <w:t>. “HCD</w:t>
      </w:r>
      <w:r>
        <w:rPr>
          <w:i/>
        </w:rPr>
        <w:t> </w:t>
      </w:r>
      <w:r w:rsidRPr="00A52C40">
        <w:rPr>
          <w:i/>
        </w:rPr>
        <w:t>1-AC” applications include, but are not limited to, the following:</w:t>
      </w:r>
    </w:p>
    <w:p w14:paraId="7FF3B4B2" w14:textId="51610181" w:rsidR="00AF11F1" w:rsidRDefault="00AF11F1" w:rsidP="00AF11F1">
      <w:pPr>
        <w:numPr>
          <w:ilvl w:val="0"/>
          <w:numId w:val="36"/>
        </w:numPr>
        <w:rPr>
          <w:i/>
        </w:rPr>
      </w:pPr>
      <w:r w:rsidRPr="00A52C40">
        <w:rPr>
          <w:i/>
        </w:rPr>
        <w:t>All newly constructed covered multifamily dwellings as defined in Chapter 2</w:t>
      </w:r>
      <w:r w:rsidR="0010464A" w:rsidRPr="0010464A">
        <w:rPr>
          <w:i/>
        </w:rPr>
        <w:t xml:space="preserve"> </w:t>
      </w:r>
      <w:r w:rsidR="0010464A">
        <w:rPr>
          <w:i/>
        </w:rPr>
        <w:t>of the California Building Code</w:t>
      </w:r>
      <w:r w:rsidRPr="00A52C40">
        <w:rPr>
          <w:i/>
        </w:rPr>
        <w:t>.</w:t>
      </w:r>
    </w:p>
    <w:p w14:paraId="4368118A" w14:textId="1E119726" w:rsidR="00AF11F1" w:rsidRDefault="00AF11F1" w:rsidP="00AF11F1">
      <w:pPr>
        <w:numPr>
          <w:ilvl w:val="0"/>
          <w:numId w:val="36"/>
        </w:numPr>
        <w:rPr>
          <w:i/>
        </w:rPr>
      </w:pPr>
      <w:r w:rsidRPr="00792870">
        <w:rPr>
          <w:i/>
        </w:rPr>
        <w:lastRenderedPageBreak/>
        <w:t>New common use areas as defined in Chapter 2</w:t>
      </w:r>
      <w:r w:rsidR="0010464A" w:rsidRPr="0010464A">
        <w:rPr>
          <w:i/>
        </w:rPr>
        <w:t xml:space="preserve"> </w:t>
      </w:r>
      <w:r w:rsidR="0010464A">
        <w:rPr>
          <w:i/>
        </w:rPr>
        <w:t>of the California Building Code</w:t>
      </w:r>
      <w:r w:rsidRPr="00792870">
        <w:rPr>
          <w:i/>
        </w:rPr>
        <w:t>, serving existing covered multifamily dwellings.</w:t>
      </w:r>
    </w:p>
    <w:p w14:paraId="0A75C529" w14:textId="42C94C03" w:rsidR="00AF11F1" w:rsidRDefault="00AF11F1" w:rsidP="00AF11F1">
      <w:pPr>
        <w:numPr>
          <w:ilvl w:val="0"/>
          <w:numId w:val="36"/>
        </w:numPr>
        <w:rPr>
          <w:i/>
        </w:rPr>
      </w:pPr>
      <w:r w:rsidRPr="00792870">
        <w:rPr>
          <w:i/>
        </w:rPr>
        <w:t>Additions to existing buildings, where the addition alone meets the definition of covered multifamily dwellings as defined in Chapter 2</w:t>
      </w:r>
      <w:r w:rsidR="0010464A" w:rsidRPr="0010464A">
        <w:rPr>
          <w:i/>
        </w:rPr>
        <w:t xml:space="preserve"> </w:t>
      </w:r>
      <w:r w:rsidR="0010464A">
        <w:rPr>
          <w:i/>
        </w:rPr>
        <w:t>of the California Building Code</w:t>
      </w:r>
      <w:r w:rsidRPr="00792870">
        <w:rPr>
          <w:i/>
        </w:rPr>
        <w:t>.</w:t>
      </w:r>
    </w:p>
    <w:p w14:paraId="63196A31" w14:textId="77777777" w:rsidR="00AF11F1" w:rsidRDefault="00AF11F1" w:rsidP="00AF11F1">
      <w:pPr>
        <w:numPr>
          <w:ilvl w:val="0"/>
          <w:numId w:val="36"/>
        </w:numPr>
        <w:rPr>
          <w:i/>
        </w:rPr>
      </w:pPr>
      <w:r w:rsidRPr="00792870">
        <w:rPr>
          <w:i/>
        </w:rPr>
        <w:t>New common use areas serving new covered multifamily dwellings.</w:t>
      </w:r>
    </w:p>
    <w:p w14:paraId="610BD1C2" w14:textId="77777777" w:rsidR="00AF11F1" w:rsidRPr="00792870" w:rsidRDefault="00AF11F1" w:rsidP="00AF11F1">
      <w:pPr>
        <w:numPr>
          <w:ilvl w:val="0"/>
          <w:numId w:val="36"/>
        </w:numPr>
        <w:rPr>
          <w:i/>
        </w:rPr>
      </w:pPr>
      <w:r w:rsidRPr="00792870">
        <w:rPr>
          <w:i/>
        </w:rPr>
        <w:t>Where any portion of a building’s exterior is preserved, but the interior of the building is removed, including all structural portions of floors and ceilings, the building is considered a new building for determining the application of Chapter 11A.</w:t>
      </w:r>
    </w:p>
    <w:p w14:paraId="1D7AF843" w14:textId="50DF11EB" w:rsidR="00AF11F1" w:rsidRPr="00A52C40" w:rsidRDefault="00AF11F1" w:rsidP="00AF11F1">
      <w:pPr>
        <w:spacing w:before="120"/>
        <w:rPr>
          <w:i/>
        </w:rPr>
      </w:pPr>
      <w:r w:rsidRPr="00A52C40">
        <w:rPr>
          <w:i/>
        </w:rPr>
        <w:t>HCD 1-AC building standards generally do not apply to public use areas or public accommodations such as hotels and motels, and public housing. Public use areas, public accommodations and public housing, as defined in Chapter 2</w:t>
      </w:r>
      <w:r w:rsidR="00B17EA5" w:rsidRPr="00B17EA5">
        <w:rPr>
          <w:i/>
        </w:rPr>
        <w:t xml:space="preserve"> </w:t>
      </w:r>
      <w:r w:rsidR="00B17EA5">
        <w:rPr>
          <w:i/>
        </w:rPr>
        <w:t>of the California Building Code</w:t>
      </w:r>
      <w:r w:rsidRPr="00A52C40">
        <w:rPr>
          <w:i/>
        </w:rPr>
        <w:t xml:space="preserve">, are subject to the Division of the State </w:t>
      </w:r>
      <w:r w:rsidR="005D6C1A">
        <w:rPr>
          <w:i/>
        </w:rPr>
        <w:t>A</w:t>
      </w:r>
      <w:r w:rsidRPr="00A52C40">
        <w:rPr>
          <w:i/>
        </w:rPr>
        <w:t>rchitect (DSA-AC) in Chapter 11B, and are referenced in Section 1.9.1</w:t>
      </w:r>
      <w:r>
        <w:rPr>
          <w:i/>
        </w:rPr>
        <w:t>.</w:t>
      </w:r>
    </w:p>
    <w:p w14:paraId="1192F4B0" w14:textId="77777777" w:rsidR="00AF11F1" w:rsidRPr="00830BF0" w:rsidRDefault="00AF11F1" w:rsidP="00AF11F1">
      <w:r w:rsidRPr="00A52C40">
        <w:rPr>
          <w:i/>
        </w:rPr>
        <w:t xml:space="preserve">Newly constructed covered multifamily dwellings, which can also be defined as public housing, shall be subject to the requirements of </w:t>
      </w:r>
      <w:r w:rsidRPr="00A52C40">
        <w:rPr>
          <w:i/>
          <w:strike/>
        </w:rPr>
        <w:t>Chapter 11A</w:t>
      </w:r>
      <w:r w:rsidRPr="00B25EFB">
        <w:rPr>
          <w:strike/>
        </w:rPr>
        <w:t xml:space="preserve"> </w:t>
      </w:r>
      <w:r w:rsidRPr="00B25EFB">
        <w:rPr>
          <w:i/>
          <w:strike/>
        </w:rPr>
        <w:t>and</w:t>
      </w:r>
      <w:r w:rsidRPr="00A52C40">
        <w:rPr>
          <w:i/>
        </w:rPr>
        <w:t xml:space="preserve"> Chapter 11B.</w:t>
      </w:r>
    </w:p>
    <w:p w14:paraId="4DC1CF51" w14:textId="77777777" w:rsidR="00AF11F1" w:rsidRPr="00D921A0" w:rsidRDefault="00AF11F1" w:rsidP="00AF11F1">
      <w:pPr>
        <w:pStyle w:val="Heading5"/>
        <w:spacing w:after="120"/>
        <w:rPr>
          <w:rFonts w:ascii="Arial" w:hAnsi="Arial" w:cs="Arial"/>
          <w:b/>
          <w:bCs/>
          <w:color w:val="auto"/>
          <w:szCs w:val="24"/>
        </w:rPr>
      </w:pPr>
      <w:r w:rsidRPr="00D921A0">
        <w:rPr>
          <w:rFonts w:ascii="Arial" w:hAnsi="Arial" w:cs="Arial"/>
          <w:b/>
          <w:bCs/>
          <w:color w:val="auto"/>
        </w:rPr>
        <w:t>Notation:</w:t>
      </w:r>
    </w:p>
    <w:p w14:paraId="1F3B25ED" w14:textId="380DC371" w:rsidR="00AF11F1" w:rsidRPr="00D11EF2" w:rsidRDefault="00AF11F1" w:rsidP="00AF11F1">
      <w:pPr>
        <w:rPr>
          <w:rFonts w:eastAsia="Times New Roman" w:cs="Arial"/>
        </w:rPr>
      </w:pPr>
      <w:bookmarkStart w:id="5" w:name="_Hlk221021492"/>
      <w:r w:rsidRPr="256A54BF">
        <w:rPr>
          <w:rFonts w:eastAsia="Times New Roman" w:cs="Arial"/>
        </w:rPr>
        <w:t xml:space="preserve">Authority: Health and Safety Code Sections 17040, 17920.9, 17921, 17922, </w:t>
      </w:r>
      <w:r w:rsidR="001C620B">
        <w:rPr>
          <w:rFonts w:eastAsia="Times New Roman" w:cs="Arial"/>
        </w:rPr>
        <w:t xml:space="preserve">18300, </w:t>
      </w:r>
      <w:r w:rsidR="0007312D">
        <w:rPr>
          <w:rFonts w:eastAsia="Times New Roman" w:cs="Arial"/>
        </w:rPr>
        <w:t xml:space="preserve">18620, 18630, 18640, 18670, 18865, </w:t>
      </w:r>
      <w:r w:rsidR="00A001B6">
        <w:rPr>
          <w:rFonts w:eastAsia="Times New Roman" w:cs="Arial"/>
        </w:rPr>
        <w:t>18871.3,</w:t>
      </w:r>
      <w:r w:rsidR="00EF2D9E">
        <w:rPr>
          <w:rFonts w:eastAsia="Times New Roman" w:cs="Arial"/>
        </w:rPr>
        <w:t xml:space="preserve"> 18873, 18873.1 through </w:t>
      </w:r>
      <w:r w:rsidR="00F359EF">
        <w:rPr>
          <w:rFonts w:eastAsia="Times New Roman" w:cs="Arial"/>
        </w:rPr>
        <w:t xml:space="preserve">18873.5 </w:t>
      </w:r>
      <w:r w:rsidRPr="256A54BF">
        <w:rPr>
          <w:rFonts w:eastAsia="Times New Roman" w:cs="Arial"/>
        </w:rPr>
        <w:t>and 19990; and Government Code Section</w:t>
      </w:r>
      <w:r w:rsidR="00395FA2">
        <w:rPr>
          <w:rFonts w:eastAsia="Times New Roman" w:cs="Arial"/>
        </w:rPr>
        <w:t>s</w:t>
      </w:r>
      <w:r w:rsidRPr="256A54BF">
        <w:rPr>
          <w:rFonts w:eastAsia="Times New Roman" w:cs="Arial"/>
        </w:rPr>
        <w:t xml:space="preserve"> 12955.1, </w:t>
      </w:r>
      <w:r w:rsidR="00EF0BF8">
        <w:rPr>
          <w:rFonts w:eastAsia="Times New Roman" w:cs="Arial"/>
        </w:rPr>
        <w:t xml:space="preserve">and </w:t>
      </w:r>
      <w:r w:rsidRPr="256A54BF">
        <w:rPr>
          <w:rFonts w:eastAsia="Times New Roman" w:cs="Arial"/>
        </w:rPr>
        <w:t>12955.1.1.</w:t>
      </w:r>
    </w:p>
    <w:p w14:paraId="0D1B49AF" w14:textId="4A4DAE57" w:rsidR="00767766" w:rsidRPr="0046521A" w:rsidRDefault="00AF11F1" w:rsidP="00E017A5">
      <w:pPr>
        <w:pBdr>
          <w:bottom w:val="single" w:sz="24" w:space="1" w:color="auto"/>
        </w:pBdr>
      </w:pPr>
      <w:r w:rsidRPr="256A54BF">
        <w:rPr>
          <w:rFonts w:eastAsia="Times New Roman" w:cs="Arial"/>
        </w:rPr>
        <w:t>References; Health and Safety Code Sections 17000 through 17062.5, 17910 through 17995.5, 18200 through 18700, 18860 through 18874, 18941, and 19960 through 19997; Government Code Sections 12955.1</w:t>
      </w:r>
      <w:r w:rsidR="003C1336">
        <w:rPr>
          <w:rFonts w:eastAsia="Times New Roman" w:cs="Arial"/>
        </w:rPr>
        <w:t xml:space="preserve"> and</w:t>
      </w:r>
      <w:r w:rsidR="001F1C63">
        <w:rPr>
          <w:rFonts w:eastAsia="Times New Roman" w:cs="Arial"/>
        </w:rPr>
        <w:t xml:space="preserve"> </w:t>
      </w:r>
      <w:r w:rsidRPr="256A54BF">
        <w:rPr>
          <w:rFonts w:eastAsia="Times New Roman" w:cs="Arial"/>
        </w:rPr>
        <w:t>12955.1.1</w:t>
      </w:r>
      <w:r w:rsidR="003C1336">
        <w:rPr>
          <w:rFonts w:eastAsia="Times New Roman" w:cs="Arial"/>
        </w:rPr>
        <w:t>.</w:t>
      </w:r>
      <w:bookmarkEnd w:id="5"/>
    </w:p>
    <w:sectPr w:rsidR="00767766" w:rsidRPr="0046521A"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98E3" w14:textId="77777777" w:rsidR="000377C3" w:rsidRDefault="000377C3">
      <w:r>
        <w:separator/>
      </w:r>
    </w:p>
  </w:endnote>
  <w:endnote w:type="continuationSeparator" w:id="0">
    <w:p w14:paraId="4B3029E9" w14:textId="77777777" w:rsidR="000377C3" w:rsidRDefault="0003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21DC42A2"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816B18">
      <w:t>45-Day</w:t>
    </w:r>
    <w:r>
      <w:t xml:space="preserve"> Express Terms</w:t>
    </w:r>
    <w:r w:rsidR="00A8502F">
      <w:tab/>
    </w:r>
    <w:r w:rsidR="00816B18" w:rsidRPr="00FC5CC9">
      <w:t>March</w:t>
    </w:r>
    <w:r w:rsidR="004D56DC" w:rsidRPr="00FC5CC9">
      <w:t xml:space="preserve"> </w:t>
    </w:r>
    <w:r w:rsidR="00816B18" w:rsidRPr="00FC5CC9">
      <w:t>20</w:t>
    </w:r>
    <w:r w:rsidR="00A8502F" w:rsidRPr="00FC5CC9">
      <w:t xml:space="preserve">, </w:t>
    </w:r>
    <w:r w:rsidR="00AF11F1" w:rsidRPr="00FC5CC9">
      <w:t>202</w:t>
    </w:r>
    <w:r w:rsidR="00816B18" w:rsidRPr="00FC5CC9">
      <w:t>6</w:t>
    </w:r>
  </w:p>
  <w:p w14:paraId="0CAFC6F9" w14:textId="46343A95" w:rsidR="008908A5" w:rsidRDefault="00EE77AF" w:rsidP="00AA0C1D">
    <w:pPr>
      <w:pStyle w:val="Footer"/>
      <w:tabs>
        <w:tab w:val="clear" w:pos="4320"/>
        <w:tab w:val="clear" w:pos="8640"/>
        <w:tab w:val="center" w:pos="4860"/>
        <w:tab w:val="right" w:pos="9180"/>
      </w:tabs>
      <w:rPr>
        <w:szCs w:val="16"/>
      </w:rPr>
    </w:pPr>
    <w:r>
      <w:rPr>
        <w:szCs w:val="16"/>
      </w:rPr>
      <w:t>HCD 1-AC 01/25</w:t>
    </w:r>
    <w:r w:rsidR="008908A5">
      <w:rPr>
        <w:szCs w:val="16"/>
      </w:rPr>
      <w:t xml:space="preserve"> - Part</w:t>
    </w:r>
    <w:r w:rsidR="00317A52">
      <w:rPr>
        <w:szCs w:val="16"/>
      </w:rPr>
      <w:t>s</w:t>
    </w:r>
    <w:r w:rsidR="00A8502F">
      <w:rPr>
        <w:szCs w:val="16"/>
      </w:rPr>
      <w:t xml:space="preserve"> </w:t>
    </w:r>
    <w:r w:rsidR="00AF11F1">
      <w:rPr>
        <w:szCs w:val="16"/>
      </w:rPr>
      <w:t>2, 3, 4, &amp; 5</w:t>
    </w:r>
    <w:r w:rsidR="008908A5">
      <w:rPr>
        <w:szCs w:val="16"/>
      </w:rPr>
      <w:t xml:space="preserve"> -</w:t>
    </w:r>
    <w:r w:rsidR="00A8502F">
      <w:rPr>
        <w:szCs w:val="16"/>
      </w:rPr>
      <w:t xml:space="preserve"> </w:t>
    </w:r>
    <w:r w:rsidR="00AF11F1">
      <w:rPr>
        <w:szCs w:val="16"/>
      </w:rPr>
      <w:t>2025</w:t>
    </w:r>
    <w:r w:rsidR="00A8502F">
      <w:rPr>
        <w:szCs w:val="16"/>
      </w:rPr>
      <w:t xml:space="preserve"> Intervening </w:t>
    </w:r>
    <w:r w:rsidR="008908A5" w:rsidRPr="006D1470">
      <w:rPr>
        <w:szCs w:val="16"/>
      </w:rPr>
      <w:t xml:space="preserve">Code </w:t>
    </w:r>
    <w:r>
      <w:rPr>
        <w:szCs w:val="16"/>
      </w:rPr>
      <w:t xml:space="preserve">Adoption </w:t>
    </w:r>
    <w:r w:rsidR="008908A5" w:rsidRPr="006D1470">
      <w:rPr>
        <w:szCs w:val="16"/>
      </w:rPr>
      <w:t>Cycle</w:t>
    </w:r>
    <w:r w:rsidR="0070689B">
      <w:rPr>
        <w:szCs w:val="16"/>
      </w:rPr>
      <w:tab/>
    </w:r>
    <w:r w:rsidR="00816B18">
      <w:rPr>
        <w:szCs w:val="16"/>
      </w:rPr>
      <w:t xml:space="preserve">45-Day </w:t>
    </w:r>
    <w:r>
      <w:rPr>
        <w:szCs w:val="16"/>
      </w:rPr>
      <w:t>ET</w:t>
    </w:r>
    <w:r>
      <w:rPr>
        <w:szCs w:val="16"/>
      </w:rPr>
      <w:tab/>
    </w:r>
    <w:r w:rsidR="00AF245C">
      <w:rPr>
        <w:szCs w:val="16"/>
      </w:rPr>
      <w:t xml:space="preserve"> </w:t>
    </w:r>
  </w:p>
  <w:p w14:paraId="4E70EC50" w14:textId="056728B6" w:rsidR="008908A5" w:rsidRDefault="00EE77AF" w:rsidP="00A8502F">
    <w:pPr>
      <w:pStyle w:val="Footer"/>
      <w:tabs>
        <w:tab w:val="clear" w:pos="4320"/>
        <w:tab w:val="clear" w:pos="8640"/>
        <w:tab w:val="center" w:pos="4860"/>
        <w:tab w:val="right" w:pos="9180"/>
      </w:tabs>
    </w:pPr>
    <w:r>
      <w:rPr>
        <w:szCs w:val="16"/>
      </w:rPr>
      <w:t>Department of Housing and Community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FCA5" w14:textId="77777777" w:rsidR="000377C3" w:rsidRDefault="000377C3">
      <w:r>
        <w:separator/>
      </w:r>
    </w:p>
  </w:footnote>
  <w:footnote w:type="continuationSeparator" w:id="0">
    <w:p w14:paraId="07BB0E5E" w14:textId="77777777" w:rsidR="000377C3" w:rsidRDefault="00037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197E2BC8"/>
    <w:multiLevelType w:val="hybridMultilevel"/>
    <w:tmpl w:val="A0183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370CA"/>
    <w:multiLevelType w:val="multilevel"/>
    <w:tmpl w:val="92E01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D65B01"/>
    <w:multiLevelType w:val="multilevel"/>
    <w:tmpl w:val="665E82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72D7C"/>
    <w:multiLevelType w:val="multilevel"/>
    <w:tmpl w:val="84680C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C2DDF"/>
    <w:multiLevelType w:val="multilevel"/>
    <w:tmpl w:val="DEE23A96"/>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6F24A3"/>
    <w:multiLevelType w:val="multilevel"/>
    <w:tmpl w:val="854E6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662BF9"/>
    <w:multiLevelType w:val="multilevel"/>
    <w:tmpl w:val="42AA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E1C8C"/>
    <w:multiLevelType w:val="multilevel"/>
    <w:tmpl w:val="D4647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1DE18E0"/>
    <w:multiLevelType w:val="multilevel"/>
    <w:tmpl w:val="F94444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6D5072"/>
    <w:multiLevelType w:val="multilevel"/>
    <w:tmpl w:val="5D2E0F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034841984">
    <w:abstractNumId w:val="15"/>
  </w:num>
  <w:num w:numId="2" w16cid:durableId="79449155">
    <w:abstractNumId w:val="18"/>
  </w:num>
  <w:num w:numId="3" w16cid:durableId="1549343205">
    <w:abstractNumId w:val="10"/>
  </w:num>
  <w:num w:numId="4" w16cid:durableId="1290357534">
    <w:abstractNumId w:val="19"/>
  </w:num>
  <w:num w:numId="5" w16cid:durableId="366837411">
    <w:abstractNumId w:val="25"/>
  </w:num>
  <w:num w:numId="6" w16cid:durableId="707072491">
    <w:abstractNumId w:val="23"/>
  </w:num>
  <w:num w:numId="7" w16cid:durableId="182212069">
    <w:abstractNumId w:val="14"/>
  </w:num>
  <w:num w:numId="8" w16cid:durableId="1689793772">
    <w:abstractNumId w:val="16"/>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230310104">
    <w:abstractNumId w:val="12"/>
  </w:num>
  <w:num w:numId="30" w16cid:durableId="1643803081">
    <w:abstractNumId w:val="21"/>
  </w:num>
  <w:num w:numId="31" w16cid:durableId="422653321">
    <w:abstractNumId w:val="24"/>
  </w:num>
  <w:num w:numId="32" w16cid:durableId="1375619373">
    <w:abstractNumId w:val="20"/>
  </w:num>
  <w:num w:numId="33" w16cid:durableId="1424915485">
    <w:abstractNumId w:val="26"/>
  </w:num>
  <w:num w:numId="34" w16cid:durableId="1571696430">
    <w:abstractNumId w:val="17"/>
  </w:num>
  <w:num w:numId="35" w16cid:durableId="1198422748">
    <w:abstractNumId w:val="13"/>
  </w:num>
  <w:num w:numId="36" w16cid:durableId="990325581">
    <w:abstractNumId w:val="27"/>
  </w:num>
  <w:num w:numId="37" w16cid:durableId="613680698">
    <w:abstractNumId w:val="22"/>
  </w:num>
  <w:num w:numId="38" w16cid:durableId="1181316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2210"/>
    <w:rsid w:val="00005708"/>
    <w:rsid w:val="000219A6"/>
    <w:rsid w:val="00024D9E"/>
    <w:rsid w:val="000257AD"/>
    <w:rsid w:val="00034575"/>
    <w:rsid w:val="00036C10"/>
    <w:rsid w:val="000377C3"/>
    <w:rsid w:val="00044CBD"/>
    <w:rsid w:val="000511E8"/>
    <w:rsid w:val="0005288D"/>
    <w:rsid w:val="0005406D"/>
    <w:rsid w:val="00054CEA"/>
    <w:rsid w:val="00055530"/>
    <w:rsid w:val="00064410"/>
    <w:rsid w:val="00065209"/>
    <w:rsid w:val="0006560C"/>
    <w:rsid w:val="00065BAE"/>
    <w:rsid w:val="00072593"/>
    <w:rsid w:val="0007312D"/>
    <w:rsid w:val="00077B06"/>
    <w:rsid w:val="000837EA"/>
    <w:rsid w:val="000862B0"/>
    <w:rsid w:val="0008759B"/>
    <w:rsid w:val="00092B0B"/>
    <w:rsid w:val="000A25E7"/>
    <w:rsid w:val="000B136A"/>
    <w:rsid w:val="000B300F"/>
    <w:rsid w:val="000B4609"/>
    <w:rsid w:val="000B517F"/>
    <w:rsid w:val="000B5D13"/>
    <w:rsid w:val="000B5EF4"/>
    <w:rsid w:val="000C0461"/>
    <w:rsid w:val="000C224F"/>
    <w:rsid w:val="000C3526"/>
    <w:rsid w:val="000D13AF"/>
    <w:rsid w:val="000E24B4"/>
    <w:rsid w:val="000E59F3"/>
    <w:rsid w:val="000E668B"/>
    <w:rsid w:val="000F2559"/>
    <w:rsid w:val="000F3FB9"/>
    <w:rsid w:val="0010464A"/>
    <w:rsid w:val="0010589F"/>
    <w:rsid w:val="00106339"/>
    <w:rsid w:val="00110B4A"/>
    <w:rsid w:val="0011338B"/>
    <w:rsid w:val="00113A2E"/>
    <w:rsid w:val="0012254E"/>
    <w:rsid w:val="00123441"/>
    <w:rsid w:val="00123F82"/>
    <w:rsid w:val="00125475"/>
    <w:rsid w:val="0012610D"/>
    <w:rsid w:val="0013218E"/>
    <w:rsid w:val="00132C58"/>
    <w:rsid w:val="001411F1"/>
    <w:rsid w:val="00142E43"/>
    <w:rsid w:val="00147A0E"/>
    <w:rsid w:val="00147F1A"/>
    <w:rsid w:val="0015194E"/>
    <w:rsid w:val="00161888"/>
    <w:rsid w:val="001645D9"/>
    <w:rsid w:val="00164809"/>
    <w:rsid w:val="001669CC"/>
    <w:rsid w:val="00167CBC"/>
    <w:rsid w:val="00170EA1"/>
    <w:rsid w:val="00175449"/>
    <w:rsid w:val="00175FCC"/>
    <w:rsid w:val="00176C45"/>
    <w:rsid w:val="00181D58"/>
    <w:rsid w:val="001826F4"/>
    <w:rsid w:val="0019002B"/>
    <w:rsid w:val="00190E7A"/>
    <w:rsid w:val="00193097"/>
    <w:rsid w:val="001937F2"/>
    <w:rsid w:val="0019724D"/>
    <w:rsid w:val="001B3C16"/>
    <w:rsid w:val="001B3C44"/>
    <w:rsid w:val="001B4954"/>
    <w:rsid w:val="001B4A61"/>
    <w:rsid w:val="001B594D"/>
    <w:rsid w:val="001B77F8"/>
    <w:rsid w:val="001B7F7D"/>
    <w:rsid w:val="001C27E7"/>
    <w:rsid w:val="001C4F88"/>
    <w:rsid w:val="001C620B"/>
    <w:rsid w:val="001C66FE"/>
    <w:rsid w:val="001D0BF7"/>
    <w:rsid w:val="001D15D1"/>
    <w:rsid w:val="001D2149"/>
    <w:rsid w:val="001D6449"/>
    <w:rsid w:val="001E0E55"/>
    <w:rsid w:val="001E2EAA"/>
    <w:rsid w:val="001E3B42"/>
    <w:rsid w:val="001E635B"/>
    <w:rsid w:val="001E71DE"/>
    <w:rsid w:val="001F1C63"/>
    <w:rsid w:val="001F2A94"/>
    <w:rsid w:val="001F6735"/>
    <w:rsid w:val="002139B9"/>
    <w:rsid w:val="00213F56"/>
    <w:rsid w:val="00215219"/>
    <w:rsid w:val="00216FC0"/>
    <w:rsid w:val="00234A84"/>
    <w:rsid w:val="00235341"/>
    <w:rsid w:val="0023748D"/>
    <w:rsid w:val="00245DD8"/>
    <w:rsid w:val="002524E0"/>
    <w:rsid w:val="002537B1"/>
    <w:rsid w:val="00262D11"/>
    <w:rsid w:val="00264AEC"/>
    <w:rsid w:val="002678E5"/>
    <w:rsid w:val="00273BB6"/>
    <w:rsid w:val="00284AA4"/>
    <w:rsid w:val="00286725"/>
    <w:rsid w:val="002915CB"/>
    <w:rsid w:val="0029311C"/>
    <w:rsid w:val="0029476C"/>
    <w:rsid w:val="00295E27"/>
    <w:rsid w:val="002962E0"/>
    <w:rsid w:val="002965E0"/>
    <w:rsid w:val="002A6727"/>
    <w:rsid w:val="002A7FAB"/>
    <w:rsid w:val="002B0095"/>
    <w:rsid w:val="002B04AD"/>
    <w:rsid w:val="002B2773"/>
    <w:rsid w:val="002B5C04"/>
    <w:rsid w:val="002C0467"/>
    <w:rsid w:val="002C41B0"/>
    <w:rsid w:val="002D0D80"/>
    <w:rsid w:val="002D3F86"/>
    <w:rsid w:val="002E0E97"/>
    <w:rsid w:val="002E0EF0"/>
    <w:rsid w:val="002E2647"/>
    <w:rsid w:val="002E70CB"/>
    <w:rsid w:val="002F28AD"/>
    <w:rsid w:val="00301808"/>
    <w:rsid w:val="003039D9"/>
    <w:rsid w:val="0030639B"/>
    <w:rsid w:val="00310F3A"/>
    <w:rsid w:val="00317A52"/>
    <w:rsid w:val="00327010"/>
    <w:rsid w:val="003325EE"/>
    <w:rsid w:val="00332C1D"/>
    <w:rsid w:val="003364BC"/>
    <w:rsid w:val="00343D33"/>
    <w:rsid w:val="00346101"/>
    <w:rsid w:val="00351E2B"/>
    <w:rsid w:val="00353B32"/>
    <w:rsid w:val="00353F7E"/>
    <w:rsid w:val="00354925"/>
    <w:rsid w:val="00357065"/>
    <w:rsid w:val="003641DE"/>
    <w:rsid w:val="00364971"/>
    <w:rsid w:val="00366FD6"/>
    <w:rsid w:val="003759F8"/>
    <w:rsid w:val="0038236D"/>
    <w:rsid w:val="0039030D"/>
    <w:rsid w:val="003942B6"/>
    <w:rsid w:val="00395FA2"/>
    <w:rsid w:val="003A5333"/>
    <w:rsid w:val="003C0952"/>
    <w:rsid w:val="003C1336"/>
    <w:rsid w:val="003C3947"/>
    <w:rsid w:val="003C56D4"/>
    <w:rsid w:val="003C6A54"/>
    <w:rsid w:val="003C781E"/>
    <w:rsid w:val="003C7C1B"/>
    <w:rsid w:val="003D0716"/>
    <w:rsid w:val="003D30CF"/>
    <w:rsid w:val="003D6138"/>
    <w:rsid w:val="003D750E"/>
    <w:rsid w:val="003E0D9B"/>
    <w:rsid w:val="003E2FA9"/>
    <w:rsid w:val="003E4A7F"/>
    <w:rsid w:val="003F0B85"/>
    <w:rsid w:val="003F285C"/>
    <w:rsid w:val="003F703F"/>
    <w:rsid w:val="004024DE"/>
    <w:rsid w:val="004161C1"/>
    <w:rsid w:val="004177AD"/>
    <w:rsid w:val="00421331"/>
    <w:rsid w:val="00421C03"/>
    <w:rsid w:val="004223C8"/>
    <w:rsid w:val="00446845"/>
    <w:rsid w:val="00456CD7"/>
    <w:rsid w:val="00457577"/>
    <w:rsid w:val="00462492"/>
    <w:rsid w:val="0046521A"/>
    <w:rsid w:val="00472223"/>
    <w:rsid w:val="00472435"/>
    <w:rsid w:val="004765FA"/>
    <w:rsid w:val="00494105"/>
    <w:rsid w:val="004952FD"/>
    <w:rsid w:val="004957C8"/>
    <w:rsid w:val="004B26E2"/>
    <w:rsid w:val="004B2AB9"/>
    <w:rsid w:val="004C48A0"/>
    <w:rsid w:val="004C51A7"/>
    <w:rsid w:val="004C56DD"/>
    <w:rsid w:val="004C61E1"/>
    <w:rsid w:val="004C769A"/>
    <w:rsid w:val="004D56DC"/>
    <w:rsid w:val="004E257E"/>
    <w:rsid w:val="004E4076"/>
    <w:rsid w:val="004F0A3C"/>
    <w:rsid w:val="00507B4A"/>
    <w:rsid w:val="00511F68"/>
    <w:rsid w:val="00525F1F"/>
    <w:rsid w:val="00535439"/>
    <w:rsid w:val="00541492"/>
    <w:rsid w:val="005417DB"/>
    <w:rsid w:val="0054386E"/>
    <w:rsid w:val="00544378"/>
    <w:rsid w:val="0055178C"/>
    <w:rsid w:val="005520DB"/>
    <w:rsid w:val="00552A8C"/>
    <w:rsid w:val="005575C7"/>
    <w:rsid w:val="00563190"/>
    <w:rsid w:val="00564DC1"/>
    <w:rsid w:val="005671C3"/>
    <w:rsid w:val="005738A4"/>
    <w:rsid w:val="00574A48"/>
    <w:rsid w:val="00574C56"/>
    <w:rsid w:val="00575AB4"/>
    <w:rsid w:val="00584D18"/>
    <w:rsid w:val="00593DDD"/>
    <w:rsid w:val="005A7897"/>
    <w:rsid w:val="005C5AAA"/>
    <w:rsid w:val="005C7395"/>
    <w:rsid w:val="005D11C3"/>
    <w:rsid w:val="005D12CA"/>
    <w:rsid w:val="005D2607"/>
    <w:rsid w:val="005D3165"/>
    <w:rsid w:val="005D6C1A"/>
    <w:rsid w:val="005E162F"/>
    <w:rsid w:val="005E3C8A"/>
    <w:rsid w:val="005E57B2"/>
    <w:rsid w:val="005F1F14"/>
    <w:rsid w:val="005F4EFE"/>
    <w:rsid w:val="00600471"/>
    <w:rsid w:val="006028A0"/>
    <w:rsid w:val="0061175B"/>
    <w:rsid w:val="006169B9"/>
    <w:rsid w:val="00622853"/>
    <w:rsid w:val="006261E9"/>
    <w:rsid w:val="0063525B"/>
    <w:rsid w:val="00642758"/>
    <w:rsid w:val="006469DF"/>
    <w:rsid w:val="00647F9F"/>
    <w:rsid w:val="0065523A"/>
    <w:rsid w:val="006637B7"/>
    <w:rsid w:val="00664F8A"/>
    <w:rsid w:val="0066622F"/>
    <w:rsid w:val="00680C54"/>
    <w:rsid w:val="0069149F"/>
    <w:rsid w:val="0069558C"/>
    <w:rsid w:val="00696A3E"/>
    <w:rsid w:val="006A059E"/>
    <w:rsid w:val="006A21F1"/>
    <w:rsid w:val="006B0F47"/>
    <w:rsid w:val="006B46F5"/>
    <w:rsid w:val="006B5E14"/>
    <w:rsid w:val="006B747C"/>
    <w:rsid w:val="006C130D"/>
    <w:rsid w:val="006C404E"/>
    <w:rsid w:val="006C7CC2"/>
    <w:rsid w:val="006D07B1"/>
    <w:rsid w:val="006D1470"/>
    <w:rsid w:val="006D605C"/>
    <w:rsid w:val="006E04A1"/>
    <w:rsid w:val="006E6E8D"/>
    <w:rsid w:val="006F16CA"/>
    <w:rsid w:val="006F7BCD"/>
    <w:rsid w:val="0070689B"/>
    <w:rsid w:val="00707B3C"/>
    <w:rsid w:val="00711926"/>
    <w:rsid w:val="00717E4F"/>
    <w:rsid w:val="007274AF"/>
    <w:rsid w:val="0073368F"/>
    <w:rsid w:val="007344A0"/>
    <w:rsid w:val="00734501"/>
    <w:rsid w:val="0073479C"/>
    <w:rsid w:val="00740C65"/>
    <w:rsid w:val="00743001"/>
    <w:rsid w:val="00745429"/>
    <w:rsid w:val="00750097"/>
    <w:rsid w:val="007518DF"/>
    <w:rsid w:val="007650C8"/>
    <w:rsid w:val="00767398"/>
    <w:rsid w:val="00767766"/>
    <w:rsid w:val="0077433D"/>
    <w:rsid w:val="00777CB4"/>
    <w:rsid w:val="0078582C"/>
    <w:rsid w:val="00787720"/>
    <w:rsid w:val="007926FC"/>
    <w:rsid w:val="007A27E3"/>
    <w:rsid w:val="007B0231"/>
    <w:rsid w:val="007B4553"/>
    <w:rsid w:val="007C3499"/>
    <w:rsid w:val="007C682A"/>
    <w:rsid w:val="007D0D7F"/>
    <w:rsid w:val="007D1972"/>
    <w:rsid w:val="007D37F6"/>
    <w:rsid w:val="007D4133"/>
    <w:rsid w:val="007D42BE"/>
    <w:rsid w:val="007E61BF"/>
    <w:rsid w:val="007F35C2"/>
    <w:rsid w:val="007F5C68"/>
    <w:rsid w:val="007F6E56"/>
    <w:rsid w:val="00801113"/>
    <w:rsid w:val="00804AD9"/>
    <w:rsid w:val="0081299A"/>
    <w:rsid w:val="00814987"/>
    <w:rsid w:val="00816B18"/>
    <w:rsid w:val="00817EBA"/>
    <w:rsid w:val="008236F5"/>
    <w:rsid w:val="0083127A"/>
    <w:rsid w:val="00831584"/>
    <w:rsid w:val="0083159C"/>
    <w:rsid w:val="008375FB"/>
    <w:rsid w:val="00846E9E"/>
    <w:rsid w:val="00850990"/>
    <w:rsid w:val="00851A12"/>
    <w:rsid w:val="00852AFB"/>
    <w:rsid w:val="00860D91"/>
    <w:rsid w:val="0086118F"/>
    <w:rsid w:val="008615C6"/>
    <w:rsid w:val="008726EF"/>
    <w:rsid w:val="00877B6A"/>
    <w:rsid w:val="00883D7B"/>
    <w:rsid w:val="00886378"/>
    <w:rsid w:val="008908A5"/>
    <w:rsid w:val="00892DE5"/>
    <w:rsid w:val="008A2AC5"/>
    <w:rsid w:val="008A63B1"/>
    <w:rsid w:val="008A7AEE"/>
    <w:rsid w:val="008B4477"/>
    <w:rsid w:val="008B6F4E"/>
    <w:rsid w:val="008C011A"/>
    <w:rsid w:val="008C3A4E"/>
    <w:rsid w:val="008C4C86"/>
    <w:rsid w:val="008C4E81"/>
    <w:rsid w:val="008C7DAD"/>
    <w:rsid w:val="008D515F"/>
    <w:rsid w:val="008E0290"/>
    <w:rsid w:val="008E36A8"/>
    <w:rsid w:val="008F1AE2"/>
    <w:rsid w:val="008F2193"/>
    <w:rsid w:val="00904F97"/>
    <w:rsid w:val="00905321"/>
    <w:rsid w:val="00907440"/>
    <w:rsid w:val="0090753D"/>
    <w:rsid w:val="0092083E"/>
    <w:rsid w:val="00932A28"/>
    <w:rsid w:val="0094010F"/>
    <w:rsid w:val="00940ACF"/>
    <w:rsid w:val="00940EB7"/>
    <w:rsid w:val="009426F4"/>
    <w:rsid w:val="00944CD4"/>
    <w:rsid w:val="009505BF"/>
    <w:rsid w:val="00951AB9"/>
    <w:rsid w:val="009526E9"/>
    <w:rsid w:val="00952A88"/>
    <w:rsid w:val="00954D31"/>
    <w:rsid w:val="00965AAB"/>
    <w:rsid w:val="009678C5"/>
    <w:rsid w:val="00975FF7"/>
    <w:rsid w:val="009824DE"/>
    <w:rsid w:val="009A17D4"/>
    <w:rsid w:val="009A693A"/>
    <w:rsid w:val="009A7645"/>
    <w:rsid w:val="009A7A87"/>
    <w:rsid w:val="009B0006"/>
    <w:rsid w:val="009B5F4B"/>
    <w:rsid w:val="009B75E7"/>
    <w:rsid w:val="009C11BD"/>
    <w:rsid w:val="009C2981"/>
    <w:rsid w:val="009C529A"/>
    <w:rsid w:val="009D0396"/>
    <w:rsid w:val="009D60C1"/>
    <w:rsid w:val="009E0E79"/>
    <w:rsid w:val="009E4185"/>
    <w:rsid w:val="009E6B12"/>
    <w:rsid w:val="009E6C2C"/>
    <w:rsid w:val="009F1414"/>
    <w:rsid w:val="009F23ED"/>
    <w:rsid w:val="009F2639"/>
    <w:rsid w:val="009F322B"/>
    <w:rsid w:val="009F3D55"/>
    <w:rsid w:val="009F7866"/>
    <w:rsid w:val="00A001B6"/>
    <w:rsid w:val="00A01E2C"/>
    <w:rsid w:val="00A0358B"/>
    <w:rsid w:val="00A138AA"/>
    <w:rsid w:val="00A2168E"/>
    <w:rsid w:val="00A36AAB"/>
    <w:rsid w:val="00A400FE"/>
    <w:rsid w:val="00A4106B"/>
    <w:rsid w:val="00A450F8"/>
    <w:rsid w:val="00A467F2"/>
    <w:rsid w:val="00A506AD"/>
    <w:rsid w:val="00A54A28"/>
    <w:rsid w:val="00A56E6B"/>
    <w:rsid w:val="00A60CA1"/>
    <w:rsid w:val="00A6257B"/>
    <w:rsid w:val="00A65E2C"/>
    <w:rsid w:val="00A67ABB"/>
    <w:rsid w:val="00A71055"/>
    <w:rsid w:val="00A72E60"/>
    <w:rsid w:val="00A75394"/>
    <w:rsid w:val="00A76E67"/>
    <w:rsid w:val="00A81002"/>
    <w:rsid w:val="00A8502F"/>
    <w:rsid w:val="00A9284D"/>
    <w:rsid w:val="00A945EE"/>
    <w:rsid w:val="00A952F0"/>
    <w:rsid w:val="00AA0C1D"/>
    <w:rsid w:val="00AA0D6A"/>
    <w:rsid w:val="00AA4F64"/>
    <w:rsid w:val="00AB55EB"/>
    <w:rsid w:val="00AC1F10"/>
    <w:rsid w:val="00AC44A6"/>
    <w:rsid w:val="00AC6651"/>
    <w:rsid w:val="00AD2668"/>
    <w:rsid w:val="00AD280C"/>
    <w:rsid w:val="00AD36D7"/>
    <w:rsid w:val="00AD4CD7"/>
    <w:rsid w:val="00AE71E4"/>
    <w:rsid w:val="00AF11F1"/>
    <w:rsid w:val="00AF245C"/>
    <w:rsid w:val="00AF4E96"/>
    <w:rsid w:val="00B01A7F"/>
    <w:rsid w:val="00B05274"/>
    <w:rsid w:val="00B11AD5"/>
    <w:rsid w:val="00B12076"/>
    <w:rsid w:val="00B15E4F"/>
    <w:rsid w:val="00B16F72"/>
    <w:rsid w:val="00B17EA5"/>
    <w:rsid w:val="00B232D1"/>
    <w:rsid w:val="00B27A2D"/>
    <w:rsid w:val="00B33E2A"/>
    <w:rsid w:val="00B40F1D"/>
    <w:rsid w:val="00B47A2D"/>
    <w:rsid w:val="00B51CCE"/>
    <w:rsid w:val="00B57C01"/>
    <w:rsid w:val="00B74689"/>
    <w:rsid w:val="00BA15DF"/>
    <w:rsid w:val="00BA2E50"/>
    <w:rsid w:val="00BB74B0"/>
    <w:rsid w:val="00BC07D8"/>
    <w:rsid w:val="00BC1102"/>
    <w:rsid w:val="00BC2588"/>
    <w:rsid w:val="00BC3F6E"/>
    <w:rsid w:val="00BC7445"/>
    <w:rsid w:val="00BC7BC8"/>
    <w:rsid w:val="00BD4025"/>
    <w:rsid w:val="00BD695C"/>
    <w:rsid w:val="00BE48F6"/>
    <w:rsid w:val="00BE6DE3"/>
    <w:rsid w:val="00BF20EC"/>
    <w:rsid w:val="00BF251B"/>
    <w:rsid w:val="00BF363D"/>
    <w:rsid w:val="00BF7DB0"/>
    <w:rsid w:val="00BF7DE8"/>
    <w:rsid w:val="00C01AD8"/>
    <w:rsid w:val="00C3111E"/>
    <w:rsid w:val="00C36475"/>
    <w:rsid w:val="00C41641"/>
    <w:rsid w:val="00C41F6F"/>
    <w:rsid w:val="00C4203B"/>
    <w:rsid w:val="00C43AB4"/>
    <w:rsid w:val="00C440DA"/>
    <w:rsid w:val="00C44C36"/>
    <w:rsid w:val="00C67B72"/>
    <w:rsid w:val="00C71262"/>
    <w:rsid w:val="00C725CD"/>
    <w:rsid w:val="00C74CC9"/>
    <w:rsid w:val="00C74F9B"/>
    <w:rsid w:val="00C80CD9"/>
    <w:rsid w:val="00C83392"/>
    <w:rsid w:val="00C83A92"/>
    <w:rsid w:val="00C9038B"/>
    <w:rsid w:val="00C929AE"/>
    <w:rsid w:val="00C9430F"/>
    <w:rsid w:val="00C957D9"/>
    <w:rsid w:val="00CA1879"/>
    <w:rsid w:val="00CA1F1D"/>
    <w:rsid w:val="00CA2374"/>
    <w:rsid w:val="00CA4CE5"/>
    <w:rsid w:val="00CB19C0"/>
    <w:rsid w:val="00CB4F72"/>
    <w:rsid w:val="00CD088E"/>
    <w:rsid w:val="00CD71EA"/>
    <w:rsid w:val="00CE406D"/>
    <w:rsid w:val="00CE56AD"/>
    <w:rsid w:val="00CF0307"/>
    <w:rsid w:val="00CF03E2"/>
    <w:rsid w:val="00CF238A"/>
    <w:rsid w:val="00CF2A5A"/>
    <w:rsid w:val="00CF3372"/>
    <w:rsid w:val="00CF528B"/>
    <w:rsid w:val="00CF7B29"/>
    <w:rsid w:val="00D05FCA"/>
    <w:rsid w:val="00D10C36"/>
    <w:rsid w:val="00D1658D"/>
    <w:rsid w:val="00D17391"/>
    <w:rsid w:val="00D2050B"/>
    <w:rsid w:val="00D205E3"/>
    <w:rsid w:val="00D20EE1"/>
    <w:rsid w:val="00D21A4A"/>
    <w:rsid w:val="00D25491"/>
    <w:rsid w:val="00D275E7"/>
    <w:rsid w:val="00D30AAB"/>
    <w:rsid w:val="00D32E2B"/>
    <w:rsid w:val="00D33291"/>
    <w:rsid w:val="00D40D0A"/>
    <w:rsid w:val="00D634CF"/>
    <w:rsid w:val="00D63502"/>
    <w:rsid w:val="00D6549B"/>
    <w:rsid w:val="00D70D6A"/>
    <w:rsid w:val="00D71CEC"/>
    <w:rsid w:val="00D75969"/>
    <w:rsid w:val="00D75ED1"/>
    <w:rsid w:val="00D81ED7"/>
    <w:rsid w:val="00D82043"/>
    <w:rsid w:val="00D830BA"/>
    <w:rsid w:val="00D848F2"/>
    <w:rsid w:val="00D91AE2"/>
    <w:rsid w:val="00D94D56"/>
    <w:rsid w:val="00DA40C6"/>
    <w:rsid w:val="00DA4A52"/>
    <w:rsid w:val="00DA5CDA"/>
    <w:rsid w:val="00DA7796"/>
    <w:rsid w:val="00DC1141"/>
    <w:rsid w:val="00DC3425"/>
    <w:rsid w:val="00DE4FFB"/>
    <w:rsid w:val="00DF09F4"/>
    <w:rsid w:val="00DF180A"/>
    <w:rsid w:val="00DF2EA8"/>
    <w:rsid w:val="00E017A5"/>
    <w:rsid w:val="00E0716F"/>
    <w:rsid w:val="00E100C3"/>
    <w:rsid w:val="00E119F2"/>
    <w:rsid w:val="00E13321"/>
    <w:rsid w:val="00E138F1"/>
    <w:rsid w:val="00E16084"/>
    <w:rsid w:val="00E20855"/>
    <w:rsid w:val="00E2264D"/>
    <w:rsid w:val="00E27674"/>
    <w:rsid w:val="00E3139C"/>
    <w:rsid w:val="00E315B7"/>
    <w:rsid w:val="00E3165B"/>
    <w:rsid w:val="00E37357"/>
    <w:rsid w:val="00E3790F"/>
    <w:rsid w:val="00E46E3A"/>
    <w:rsid w:val="00E50225"/>
    <w:rsid w:val="00E50984"/>
    <w:rsid w:val="00E52E5F"/>
    <w:rsid w:val="00E53D35"/>
    <w:rsid w:val="00E557E0"/>
    <w:rsid w:val="00E563BE"/>
    <w:rsid w:val="00E57A4C"/>
    <w:rsid w:val="00E645A7"/>
    <w:rsid w:val="00E71532"/>
    <w:rsid w:val="00E73084"/>
    <w:rsid w:val="00E73C0B"/>
    <w:rsid w:val="00E910F8"/>
    <w:rsid w:val="00E92980"/>
    <w:rsid w:val="00E929AD"/>
    <w:rsid w:val="00EA094B"/>
    <w:rsid w:val="00EA1361"/>
    <w:rsid w:val="00EA3803"/>
    <w:rsid w:val="00EB257F"/>
    <w:rsid w:val="00EB6937"/>
    <w:rsid w:val="00EB715C"/>
    <w:rsid w:val="00EB7B87"/>
    <w:rsid w:val="00EC27FE"/>
    <w:rsid w:val="00EC55B6"/>
    <w:rsid w:val="00EC75E7"/>
    <w:rsid w:val="00EC7B2F"/>
    <w:rsid w:val="00ED08AB"/>
    <w:rsid w:val="00ED2597"/>
    <w:rsid w:val="00ED27E1"/>
    <w:rsid w:val="00ED7F7A"/>
    <w:rsid w:val="00EE7170"/>
    <w:rsid w:val="00EE77AF"/>
    <w:rsid w:val="00EF05BF"/>
    <w:rsid w:val="00EF0BF8"/>
    <w:rsid w:val="00EF26E2"/>
    <w:rsid w:val="00EF2970"/>
    <w:rsid w:val="00EF2D9E"/>
    <w:rsid w:val="00F057BF"/>
    <w:rsid w:val="00F0613B"/>
    <w:rsid w:val="00F12967"/>
    <w:rsid w:val="00F152F2"/>
    <w:rsid w:val="00F1673B"/>
    <w:rsid w:val="00F17139"/>
    <w:rsid w:val="00F20B34"/>
    <w:rsid w:val="00F27CAD"/>
    <w:rsid w:val="00F27F34"/>
    <w:rsid w:val="00F359EF"/>
    <w:rsid w:val="00F36760"/>
    <w:rsid w:val="00F41E76"/>
    <w:rsid w:val="00F4291A"/>
    <w:rsid w:val="00F5009A"/>
    <w:rsid w:val="00F57D70"/>
    <w:rsid w:val="00F6120A"/>
    <w:rsid w:val="00F61E87"/>
    <w:rsid w:val="00F65EF3"/>
    <w:rsid w:val="00F768B4"/>
    <w:rsid w:val="00F96796"/>
    <w:rsid w:val="00F97C83"/>
    <w:rsid w:val="00FC5CC9"/>
    <w:rsid w:val="00FC7EE9"/>
    <w:rsid w:val="00FD45EA"/>
    <w:rsid w:val="00FE4917"/>
    <w:rsid w:val="00FE59B9"/>
    <w:rsid w:val="00FF11EA"/>
    <w:rsid w:val="00FF2B2C"/>
    <w:rsid w:val="00FF2BFD"/>
    <w:rsid w:val="00FF2FF6"/>
    <w:rsid w:val="00FF73CF"/>
    <w:rsid w:val="00FF7FE1"/>
    <w:rsid w:val="0D43A8EB"/>
    <w:rsid w:val="0E13729F"/>
    <w:rsid w:val="14803CA7"/>
    <w:rsid w:val="1C5F0A70"/>
    <w:rsid w:val="232086D2"/>
    <w:rsid w:val="4ECEDE37"/>
    <w:rsid w:val="50E19006"/>
    <w:rsid w:val="726FBD36"/>
    <w:rsid w:val="798F6AB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0CE8BD5C-30DE-4DE9-8442-FEA5F197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5">
    <w:name w:val="heading 5"/>
    <w:basedOn w:val="Normal"/>
    <w:next w:val="Normal"/>
    <w:link w:val="Heading5Char"/>
    <w:unhideWhenUsed/>
    <w:qFormat/>
    <w:rsid w:val="00AF11F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customStyle="1" w:styleId="Heading5Char">
    <w:name w:val="Heading 5 Char"/>
    <w:basedOn w:val="DefaultParagraphFont"/>
    <w:link w:val="Heading5"/>
    <w:rsid w:val="00AF11F1"/>
    <w:rPr>
      <w:rFonts w:asciiTheme="majorHAnsi" w:eastAsiaTheme="majorEastAsia" w:hAnsiTheme="majorHAnsi" w:cstheme="majorBidi"/>
      <w:snapToGrid w:val="0"/>
      <w:color w:val="365F91" w:themeColor="accent1" w:themeShade="BF"/>
      <w:sz w:val="24"/>
    </w:rPr>
  </w:style>
  <w:style w:type="character" w:customStyle="1" w:styleId="normaltextrun">
    <w:name w:val="normaltextrun"/>
    <w:basedOn w:val="DefaultParagraphFont"/>
    <w:rsid w:val="00AF11F1"/>
  </w:style>
  <w:style w:type="character" w:styleId="CommentReference">
    <w:name w:val="annotation reference"/>
    <w:basedOn w:val="DefaultParagraphFont"/>
    <w:uiPriority w:val="99"/>
    <w:unhideWhenUsed/>
    <w:rsid w:val="00213F56"/>
    <w:rPr>
      <w:sz w:val="16"/>
      <w:szCs w:val="16"/>
    </w:rPr>
  </w:style>
  <w:style w:type="paragraph" w:styleId="CommentText">
    <w:name w:val="annotation text"/>
    <w:basedOn w:val="Normal"/>
    <w:link w:val="CommentTextChar"/>
    <w:uiPriority w:val="99"/>
    <w:unhideWhenUsed/>
    <w:rsid w:val="00213F56"/>
    <w:rPr>
      <w:sz w:val="20"/>
    </w:rPr>
  </w:style>
  <w:style w:type="character" w:customStyle="1" w:styleId="CommentTextChar">
    <w:name w:val="Comment Text Char"/>
    <w:basedOn w:val="DefaultParagraphFont"/>
    <w:link w:val="CommentText"/>
    <w:uiPriority w:val="99"/>
    <w:rsid w:val="00213F56"/>
    <w:rPr>
      <w:rFonts w:ascii="Arial" w:hAnsi="Arial"/>
      <w:snapToGrid w:val="0"/>
    </w:rPr>
  </w:style>
  <w:style w:type="paragraph" w:styleId="CommentSubject">
    <w:name w:val="annotation subject"/>
    <w:basedOn w:val="CommentText"/>
    <w:next w:val="CommentText"/>
    <w:link w:val="CommentSubjectChar"/>
    <w:semiHidden/>
    <w:unhideWhenUsed/>
    <w:rsid w:val="00213F56"/>
    <w:rPr>
      <w:b/>
      <w:bCs/>
    </w:rPr>
  </w:style>
  <w:style w:type="character" w:customStyle="1" w:styleId="CommentSubjectChar">
    <w:name w:val="Comment Subject Char"/>
    <w:basedOn w:val="CommentTextChar"/>
    <w:link w:val="CommentSubject"/>
    <w:semiHidden/>
    <w:rsid w:val="00213F56"/>
    <w:rPr>
      <w:rFonts w:ascii="Arial" w:hAnsi="Arial"/>
      <w:b/>
      <w:bCs/>
      <w:snapToGrid w:val="0"/>
    </w:rPr>
  </w:style>
  <w:style w:type="character" w:styleId="Hyperlink">
    <w:name w:val="Hyperlink"/>
    <w:basedOn w:val="DefaultParagraphFont"/>
    <w:unhideWhenUsed/>
    <w:rsid w:val="007926FC"/>
    <w:rPr>
      <w:color w:val="0000FF" w:themeColor="hyperlink"/>
      <w:u w:val="single"/>
    </w:rPr>
  </w:style>
  <w:style w:type="character" w:styleId="UnresolvedMention">
    <w:name w:val="Unresolved Mention"/>
    <w:basedOn w:val="DefaultParagraphFont"/>
    <w:uiPriority w:val="99"/>
    <w:semiHidden/>
    <w:unhideWhenUsed/>
    <w:rsid w:val="00792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009068236">
      <w:bodyDiv w:val="1"/>
      <w:marLeft w:val="0"/>
      <w:marRight w:val="0"/>
      <w:marTop w:val="0"/>
      <w:marBottom w:val="0"/>
      <w:divBdr>
        <w:top w:val="none" w:sz="0" w:space="0" w:color="auto"/>
        <w:left w:val="none" w:sz="0" w:space="0" w:color="auto"/>
        <w:bottom w:val="none" w:sz="0" w:space="0" w:color="auto"/>
        <w:right w:val="none" w:sz="0" w:space="0" w:color="auto"/>
      </w:divBdr>
      <w:divsChild>
        <w:div w:id="351298769">
          <w:marLeft w:val="0"/>
          <w:marRight w:val="0"/>
          <w:marTop w:val="0"/>
          <w:marBottom w:val="0"/>
          <w:divBdr>
            <w:top w:val="none" w:sz="0" w:space="0" w:color="auto"/>
            <w:left w:val="none" w:sz="0" w:space="0" w:color="auto"/>
            <w:bottom w:val="none" w:sz="0" w:space="0" w:color="auto"/>
            <w:right w:val="none" w:sz="0" w:space="0" w:color="auto"/>
          </w:divBdr>
        </w:div>
      </w:divsChild>
    </w:div>
    <w:div w:id="1458722303">
      <w:bodyDiv w:val="1"/>
      <w:marLeft w:val="0"/>
      <w:marRight w:val="0"/>
      <w:marTop w:val="0"/>
      <w:marBottom w:val="0"/>
      <w:divBdr>
        <w:top w:val="none" w:sz="0" w:space="0" w:color="auto"/>
        <w:left w:val="none" w:sz="0" w:space="0" w:color="auto"/>
        <w:bottom w:val="none" w:sz="0" w:space="0" w:color="auto"/>
        <w:right w:val="none" w:sz="0" w:space="0" w:color="auto"/>
      </w:divBdr>
      <w:divsChild>
        <w:div w:id="1562865304">
          <w:marLeft w:val="0"/>
          <w:marRight w:val="0"/>
          <w:marTop w:val="0"/>
          <w:marBottom w:val="0"/>
          <w:divBdr>
            <w:top w:val="none" w:sz="0" w:space="0" w:color="auto"/>
            <w:left w:val="none" w:sz="0" w:space="0" w:color="auto"/>
            <w:bottom w:val="none" w:sz="0" w:space="0" w:color="auto"/>
            <w:right w:val="none" w:sz="0" w:space="0" w:color="auto"/>
          </w:divBdr>
        </w:div>
      </w:divsChild>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0178B-A896-410E-8B35-15A8A1FF6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3.xml><?xml version="1.0" encoding="utf-8"?>
<ds:datastoreItem xmlns:ds="http://schemas.openxmlformats.org/officeDocument/2006/customXml" ds:itemID="{ED9F6A67-8A93-4C48-BF9D-F8CAD3FEB7C3}">
  <ds:schemaRef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d08c854e-6660-4123-822d-cb2f4c79ac96"/>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3E8B693-44A2-421C-9378-5DBD2230642F}">
  <ds:schemaRefs>
    <ds:schemaRef ds:uri="http://schemas.microsoft.com/sharepoint/v3/contenttype/forms"/>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2190</Words>
  <Characters>12788</Characters>
  <Application>Microsoft Office Word</Application>
  <DocSecurity>0</DocSecurity>
  <Lines>233</Lines>
  <Paragraphs>86</Paragraphs>
  <ScaleCrop>false</ScaleCrop>
  <HeadingPairs>
    <vt:vector size="2" baseType="variant">
      <vt:variant>
        <vt:lpstr>Title</vt:lpstr>
      </vt:variant>
      <vt:variant>
        <vt:i4>1</vt:i4>
      </vt:variant>
    </vt:vector>
  </HeadingPairs>
  <TitlesOfParts>
    <vt:vector size="1" baseType="lpstr">
      <vt:lpstr>HCD-1-AC-01-25-45dayET-PTs.2-3-4-5</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HCD-1-AC-01-25-45dayET-PTs.2-3-4-5</dc:title>
  <dc:subject/>
  <dc:creator>CBSC</dc:creator>
  <cp:keywords/>
  <cp:lastModifiedBy>Severon, Kristina@DGS</cp:lastModifiedBy>
  <cp:revision>2</cp:revision>
  <cp:lastPrinted>2020-02-18T23:46:00Z</cp:lastPrinted>
  <dcterms:created xsi:type="dcterms:W3CDTF">2026-04-07T22:36:00Z</dcterms:created>
  <dcterms:modified xsi:type="dcterms:W3CDTF">2026-04-07T22:36:00Z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MarkAsFinal">
    <vt:bool>true</vt:bool>
  </property>
</Properties>
</file>