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4B245" w14:textId="77777777" w:rsidR="00FF443F" w:rsidRDefault="00FF443F" w:rsidP="006B4573">
      <w:pPr>
        <w:pStyle w:val="EnvelopeReturn"/>
        <w:tabs>
          <w:tab w:val="decimal" w:pos="7200"/>
        </w:tabs>
        <w:ind w:right="36"/>
        <w:rPr>
          <w:rFonts w:ascii="Century Gothic" w:hAnsi="Century Gothic" w:cs="Times New Roman"/>
        </w:rPr>
      </w:pPr>
    </w:p>
    <w:p w14:paraId="42C7E997" w14:textId="77777777" w:rsidR="005555E1" w:rsidRPr="00DF5453" w:rsidRDefault="00DF5453" w:rsidP="006B4573">
      <w:pPr>
        <w:pStyle w:val="EnvelopeReturn"/>
        <w:tabs>
          <w:tab w:val="decimal" w:pos="7200"/>
        </w:tabs>
        <w:ind w:right="36"/>
        <w:rPr>
          <w:rFonts w:ascii="Century Gothic" w:hAnsi="Century Gothic" w:cs="Times New Roman"/>
        </w:rPr>
      </w:pPr>
      <w:r w:rsidRPr="00DF5453">
        <w:rPr>
          <w:rFonts w:ascii="Century Gothic" w:hAnsi="Century Gothic" w:cs="Times New Roman"/>
        </w:rPr>
        <w:t>June 1, 2026</w:t>
      </w:r>
    </w:p>
    <w:p w14:paraId="0A592E9C" w14:textId="77777777" w:rsidR="00E11957" w:rsidRDefault="00E11957" w:rsidP="006B4573">
      <w:pPr>
        <w:tabs>
          <w:tab w:val="decimal" w:pos="7200"/>
        </w:tabs>
        <w:ind w:right="36"/>
        <w:rPr>
          <w:rFonts w:ascii="Century Gothic" w:hAnsi="Century Gothic"/>
          <w:sz w:val="20"/>
          <w:szCs w:val="20"/>
        </w:rPr>
      </w:pPr>
    </w:p>
    <w:p w14:paraId="1A5DC79A" w14:textId="77777777" w:rsidR="00FF443F" w:rsidRPr="00DF5453" w:rsidRDefault="00FF443F" w:rsidP="006B4573">
      <w:pPr>
        <w:tabs>
          <w:tab w:val="decimal" w:pos="7200"/>
        </w:tabs>
        <w:ind w:right="36"/>
        <w:rPr>
          <w:rFonts w:ascii="Century Gothic" w:hAnsi="Century Gothic"/>
          <w:sz w:val="20"/>
          <w:szCs w:val="20"/>
        </w:rPr>
      </w:pPr>
    </w:p>
    <w:p w14:paraId="1ABF29E0" w14:textId="77777777" w:rsidR="00DF5453" w:rsidRDefault="00DF5453" w:rsidP="00DF5453">
      <w:pPr>
        <w:autoSpaceDE w:val="0"/>
        <w:autoSpaceDN w:val="0"/>
        <w:adjustRightInd w:val="0"/>
        <w:rPr>
          <w:rFonts w:ascii="Century Gothic" w:hAnsi="Century Gothic" w:cs="Calibri"/>
          <w:b/>
          <w:bCs/>
          <w:sz w:val="20"/>
          <w:szCs w:val="20"/>
        </w:rPr>
      </w:pPr>
      <w:r w:rsidRPr="00DF5453">
        <w:rPr>
          <w:rFonts w:ascii="Century Gothic" w:hAnsi="Century Gothic" w:cs="Calibri"/>
          <w:b/>
          <w:bCs/>
          <w:sz w:val="20"/>
          <w:szCs w:val="20"/>
        </w:rPr>
        <w:t>California Building Standards Commission</w:t>
      </w:r>
    </w:p>
    <w:p w14:paraId="32B6426E" w14:textId="77777777" w:rsidR="006C3D02" w:rsidRPr="006C3D02" w:rsidRDefault="006C3D02" w:rsidP="00DF5453">
      <w:pPr>
        <w:autoSpaceDE w:val="0"/>
        <w:autoSpaceDN w:val="0"/>
        <w:adjustRightInd w:val="0"/>
        <w:rPr>
          <w:rFonts w:ascii="Century Gothic" w:hAnsi="Century Gothic" w:cs="Calibri"/>
          <w:sz w:val="20"/>
          <w:szCs w:val="20"/>
        </w:rPr>
      </w:pPr>
      <w:r w:rsidRPr="006C3D02">
        <w:rPr>
          <w:rFonts w:ascii="Century Gothic" w:hAnsi="Century Gothic" w:cs="Calibri"/>
          <w:sz w:val="20"/>
          <w:szCs w:val="20"/>
        </w:rPr>
        <w:t>Attn: Public Comments</w:t>
      </w:r>
    </w:p>
    <w:p w14:paraId="151F3774" w14:textId="77777777" w:rsidR="00DF5453" w:rsidRPr="00DF5453" w:rsidRDefault="00DF5453" w:rsidP="00DF5453">
      <w:pPr>
        <w:autoSpaceDE w:val="0"/>
        <w:autoSpaceDN w:val="0"/>
        <w:adjustRightInd w:val="0"/>
        <w:rPr>
          <w:rFonts w:ascii="Century Gothic" w:hAnsi="Century Gothic" w:cs="Calibri"/>
          <w:sz w:val="20"/>
          <w:szCs w:val="20"/>
        </w:rPr>
      </w:pPr>
      <w:r w:rsidRPr="00DF5453">
        <w:rPr>
          <w:rFonts w:ascii="Century Gothic" w:hAnsi="Century Gothic" w:cs="Calibri"/>
          <w:sz w:val="20"/>
          <w:szCs w:val="20"/>
        </w:rPr>
        <w:t xml:space="preserve">2525 Natomas Park Drive, Suite 130 </w:t>
      </w:r>
    </w:p>
    <w:p w14:paraId="699F072C" w14:textId="77777777" w:rsidR="005555E1" w:rsidRPr="00DF5453" w:rsidRDefault="00DF5453" w:rsidP="00DF5453">
      <w:pPr>
        <w:tabs>
          <w:tab w:val="decimal" w:pos="7200"/>
        </w:tabs>
        <w:ind w:right="36"/>
        <w:rPr>
          <w:rFonts w:ascii="Century Gothic" w:hAnsi="Century Gothic" w:cs="Calibri"/>
          <w:sz w:val="20"/>
          <w:szCs w:val="20"/>
        </w:rPr>
      </w:pPr>
      <w:r w:rsidRPr="00DF5453">
        <w:rPr>
          <w:rFonts w:ascii="Century Gothic" w:hAnsi="Century Gothic" w:cs="Calibri"/>
          <w:sz w:val="20"/>
          <w:szCs w:val="20"/>
        </w:rPr>
        <w:t>Sacramento, California 95833</w:t>
      </w:r>
    </w:p>
    <w:p w14:paraId="14E31F5E" w14:textId="77777777" w:rsidR="00DF5453" w:rsidRPr="00DF5453" w:rsidRDefault="00DF5453" w:rsidP="00DF5453">
      <w:pPr>
        <w:tabs>
          <w:tab w:val="decimal" w:pos="7200"/>
        </w:tabs>
        <w:ind w:right="36"/>
        <w:rPr>
          <w:rFonts w:ascii="Century Gothic" w:hAnsi="Century Gothic"/>
          <w:sz w:val="16"/>
          <w:szCs w:val="16"/>
        </w:rPr>
      </w:pPr>
    </w:p>
    <w:p w14:paraId="683720B4" w14:textId="77777777" w:rsidR="00DF5453" w:rsidRPr="00DF5453" w:rsidRDefault="00ED0CD2" w:rsidP="006C3D02">
      <w:pPr>
        <w:pStyle w:val="Default"/>
        <w:tabs>
          <w:tab w:val="left" w:pos="360"/>
        </w:tabs>
        <w:ind w:left="450" w:hanging="450"/>
        <w:rPr>
          <w:rFonts w:ascii="Century Gothic" w:hAnsi="Century Gothic"/>
          <w:b/>
          <w:color w:val="auto"/>
          <w:sz w:val="20"/>
          <w:szCs w:val="20"/>
        </w:rPr>
      </w:pPr>
      <w:r w:rsidRPr="00DF5453">
        <w:rPr>
          <w:rFonts w:ascii="Century Gothic" w:hAnsi="Century Gothic"/>
          <w:color w:val="auto"/>
          <w:sz w:val="20"/>
          <w:szCs w:val="20"/>
        </w:rPr>
        <w:t>Re</w:t>
      </w:r>
      <w:proofErr w:type="gramStart"/>
      <w:r w:rsidRPr="00DF5453">
        <w:rPr>
          <w:rFonts w:ascii="Century Gothic" w:hAnsi="Century Gothic"/>
          <w:color w:val="auto"/>
          <w:sz w:val="20"/>
          <w:szCs w:val="20"/>
        </w:rPr>
        <w:t>:</w:t>
      </w:r>
      <w:r w:rsidR="00302D6F" w:rsidRPr="00DF5453">
        <w:rPr>
          <w:rFonts w:ascii="Century Gothic" w:hAnsi="Century Gothic"/>
          <w:color w:val="auto"/>
          <w:sz w:val="20"/>
          <w:szCs w:val="20"/>
        </w:rPr>
        <w:t xml:space="preserve"> </w:t>
      </w:r>
      <w:r w:rsidR="00DF5453" w:rsidRPr="00DF5453">
        <w:rPr>
          <w:rFonts w:ascii="Calibri" w:hAnsi="Calibri" w:cs="Calibri"/>
          <w:color w:val="auto"/>
        </w:rPr>
        <w:t xml:space="preserve"> </w:t>
      </w:r>
      <w:r w:rsidR="006C3D02">
        <w:rPr>
          <w:rFonts w:ascii="Century Gothic" w:hAnsi="Century Gothic" w:cs="Calibri"/>
          <w:b/>
          <w:bCs/>
          <w:color w:val="auto"/>
          <w:sz w:val="20"/>
          <w:szCs w:val="20"/>
        </w:rPr>
        <w:t>45</w:t>
      </w:r>
      <w:proofErr w:type="gramEnd"/>
      <w:r w:rsidR="006C3D02">
        <w:rPr>
          <w:rFonts w:ascii="Century Gothic" w:hAnsi="Century Gothic" w:cs="Calibri"/>
          <w:b/>
          <w:bCs/>
          <w:color w:val="auto"/>
          <w:sz w:val="20"/>
          <w:szCs w:val="20"/>
        </w:rPr>
        <w:t xml:space="preserve">-Day Public Comment Period for Proposed Building Standards for the California Building Code, Title 24 of the California Code of Regulations Division of the State Architect </w:t>
      </w:r>
      <w:r w:rsidR="00DF5453" w:rsidRPr="00DF5453">
        <w:rPr>
          <w:rFonts w:ascii="Century Gothic" w:hAnsi="Century Gothic" w:cs="Calibri"/>
          <w:b/>
          <w:bCs/>
          <w:color w:val="auto"/>
          <w:sz w:val="20"/>
          <w:szCs w:val="20"/>
        </w:rPr>
        <w:t xml:space="preserve"> </w:t>
      </w:r>
      <w:r w:rsidR="00977360" w:rsidRPr="00DF5453">
        <w:rPr>
          <w:rFonts w:ascii="Century Gothic" w:hAnsi="Century Gothic"/>
          <w:b/>
          <w:color w:val="auto"/>
          <w:sz w:val="20"/>
          <w:szCs w:val="20"/>
        </w:rPr>
        <w:t xml:space="preserve"> </w:t>
      </w:r>
    </w:p>
    <w:p w14:paraId="25EE8524" w14:textId="77777777" w:rsidR="006C4E6A" w:rsidRPr="00DF5453" w:rsidRDefault="00977360" w:rsidP="00DF5453">
      <w:pPr>
        <w:pStyle w:val="Default"/>
        <w:rPr>
          <w:rFonts w:ascii="Century Gothic" w:hAnsi="Century Gothic"/>
          <w:color w:val="auto"/>
          <w:sz w:val="16"/>
          <w:szCs w:val="16"/>
        </w:rPr>
      </w:pPr>
      <w:r w:rsidRPr="00DF5453">
        <w:rPr>
          <w:rFonts w:ascii="Century Gothic" w:hAnsi="Century Gothic"/>
          <w:b/>
          <w:color w:val="auto"/>
          <w:sz w:val="20"/>
          <w:szCs w:val="20"/>
        </w:rPr>
        <w:t xml:space="preserve">      </w:t>
      </w:r>
    </w:p>
    <w:p w14:paraId="4A767132" w14:textId="77777777" w:rsidR="006B4573" w:rsidRPr="00DF5453" w:rsidRDefault="00984BE3" w:rsidP="006B4573">
      <w:pPr>
        <w:autoSpaceDE w:val="0"/>
        <w:autoSpaceDN w:val="0"/>
        <w:adjustRightInd w:val="0"/>
        <w:ind w:right="36"/>
        <w:rPr>
          <w:rFonts w:ascii="Century Gothic" w:hAnsi="Century Gothic" w:cs="Calibri"/>
          <w:bCs/>
          <w:sz w:val="20"/>
          <w:szCs w:val="20"/>
        </w:rPr>
      </w:pPr>
      <w:r>
        <w:rPr>
          <w:rFonts w:ascii="Century Gothic" w:hAnsi="Century Gothic" w:cs="Calibri"/>
          <w:bCs/>
          <w:sz w:val="20"/>
          <w:szCs w:val="20"/>
        </w:rPr>
        <w:t>Dear Commissioners,</w:t>
      </w:r>
    </w:p>
    <w:p w14:paraId="3CE17111" w14:textId="77777777" w:rsidR="006B4573" w:rsidRPr="00DF5453" w:rsidRDefault="006B4573" w:rsidP="006B4573">
      <w:pPr>
        <w:autoSpaceDE w:val="0"/>
        <w:autoSpaceDN w:val="0"/>
        <w:adjustRightInd w:val="0"/>
        <w:ind w:right="36"/>
        <w:rPr>
          <w:rFonts w:ascii="Century Gothic" w:hAnsi="Century Gothic" w:cs="Calibri"/>
          <w:bCs/>
          <w:sz w:val="20"/>
          <w:szCs w:val="20"/>
        </w:rPr>
      </w:pPr>
    </w:p>
    <w:p w14:paraId="2FBB7437" w14:textId="77777777" w:rsidR="006B4573" w:rsidRPr="00DF5453" w:rsidRDefault="006B4573" w:rsidP="006B4573">
      <w:pPr>
        <w:autoSpaceDE w:val="0"/>
        <w:autoSpaceDN w:val="0"/>
        <w:adjustRightInd w:val="0"/>
        <w:ind w:right="36"/>
        <w:rPr>
          <w:rFonts w:ascii="Century Gothic" w:hAnsi="Century Gothic" w:cs="Calibri"/>
          <w:bCs/>
          <w:sz w:val="20"/>
          <w:szCs w:val="20"/>
        </w:rPr>
      </w:pPr>
      <w:r w:rsidRPr="00DF5453">
        <w:rPr>
          <w:rFonts w:ascii="Century Gothic" w:hAnsi="Century Gothic" w:cs="Calibri"/>
          <w:bCs/>
          <w:sz w:val="20"/>
          <w:szCs w:val="20"/>
        </w:rPr>
        <w:t xml:space="preserve">I am writing in general opposition to DSA-AC’s proposed changes to 2025 CBC Chapter 11B as they pertain to public housing. My opposition is based on the fact that many of the proposed changes are ostensibly intended to incorporate UFAS requirements for public housing into CBC Chapter 11B; however, the proposed changes do not capture all instances where UFAS is stricter than the and the 2010 ADA Standards. </w:t>
      </w:r>
    </w:p>
    <w:p w14:paraId="4566300E" w14:textId="77777777" w:rsidR="006B4573" w:rsidRPr="00DF5453" w:rsidRDefault="006B4573" w:rsidP="006B4573">
      <w:pPr>
        <w:autoSpaceDE w:val="0"/>
        <w:autoSpaceDN w:val="0"/>
        <w:adjustRightInd w:val="0"/>
        <w:ind w:right="36"/>
        <w:rPr>
          <w:rFonts w:ascii="Century Gothic" w:hAnsi="Century Gothic" w:cs="Calibri"/>
          <w:bCs/>
          <w:sz w:val="20"/>
          <w:szCs w:val="20"/>
        </w:rPr>
      </w:pPr>
    </w:p>
    <w:p w14:paraId="7C4E6D43" w14:textId="77777777" w:rsidR="006B4573" w:rsidRPr="00DF5453" w:rsidRDefault="006B4573" w:rsidP="006B4573">
      <w:pPr>
        <w:autoSpaceDE w:val="0"/>
        <w:autoSpaceDN w:val="0"/>
        <w:adjustRightInd w:val="0"/>
        <w:ind w:right="36"/>
        <w:rPr>
          <w:rFonts w:ascii="Century Gothic" w:hAnsi="Century Gothic"/>
          <w:iCs/>
          <w:snapToGrid w:val="0"/>
          <w:sz w:val="20"/>
          <w:szCs w:val="20"/>
        </w:rPr>
      </w:pPr>
      <w:r w:rsidRPr="00DF5453">
        <w:rPr>
          <w:rFonts w:ascii="Century Gothic" w:hAnsi="Century Gothic"/>
          <w:iCs/>
          <w:snapToGrid w:val="0"/>
          <w:sz w:val="20"/>
          <w:szCs w:val="20"/>
        </w:rPr>
        <w:t>In Item 3-</w:t>
      </w:r>
      <w:proofErr w:type="gramStart"/>
      <w:r w:rsidRPr="00DF5453">
        <w:rPr>
          <w:rFonts w:ascii="Century Gothic" w:hAnsi="Century Gothic"/>
          <w:iCs/>
          <w:snapToGrid w:val="0"/>
          <w:sz w:val="20"/>
          <w:szCs w:val="20"/>
        </w:rPr>
        <w:t>4,Note</w:t>
      </w:r>
      <w:proofErr w:type="gramEnd"/>
      <w:r w:rsidRPr="00DF5453">
        <w:rPr>
          <w:rFonts w:ascii="Century Gothic" w:hAnsi="Century Gothic"/>
          <w:iCs/>
          <w:snapToGrid w:val="0"/>
          <w:sz w:val="20"/>
          <w:szCs w:val="20"/>
        </w:rPr>
        <w:t>, DSA writes:</w:t>
      </w:r>
      <w:r w:rsidRPr="00DF5453">
        <w:rPr>
          <w:rFonts w:ascii="Century Gothic" w:hAnsi="Century Gothic"/>
          <w:i/>
          <w:snapToGrid w:val="0"/>
          <w:sz w:val="20"/>
          <w:szCs w:val="20"/>
        </w:rPr>
        <w:t xml:space="preserve"> “…Public housing programs require compliance with the Americans with Disabilities Act Standards and </w:t>
      </w:r>
      <w:r w:rsidRPr="00DF5453">
        <w:rPr>
          <w:rFonts w:ascii="Century Gothic" w:hAnsi="Century Gothic"/>
          <w:i/>
          <w:iCs/>
          <w:snapToGrid w:val="0"/>
          <w:sz w:val="20"/>
          <w:szCs w:val="20"/>
        </w:rPr>
        <w:t xml:space="preserve">the HUD Deeming Notice, which covers </w:t>
      </w:r>
      <w:r w:rsidRPr="00DF5453">
        <w:rPr>
          <w:rFonts w:ascii="Century Gothic" w:hAnsi="Century Gothic"/>
          <w:i/>
          <w:snapToGrid w:val="0"/>
          <w:sz w:val="20"/>
          <w:szCs w:val="20"/>
        </w:rPr>
        <w:t xml:space="preserve">HUD Section 504 regulations…”. </w:t>
      </w:r>
      <w:r w:rsidRPr="00DF5453">
        <w:rPr>
          <w:rFonts w:ascii="Century Gothic" w:hAnsi="Century Gothic"/>
          <w:iCs/>
          <w:snapToGrid w:val="0"/>
          <w:sz w:val="20"/>
          <w:szCs w:val="20"/>
        </w:rPr>
        <w:t>However, this is not correct. UFAS is the federal standard by which compliance with Section 504 is measured, and HUD’s so-called 2014 Deeming Notice fails to capture all instances where UFAS provides a higher level of accessibility than the 2010 ADA Standards does.</w:t>
      </w:r>
    </w:p>
    <w:p w14:paraId="67C29DEC" w14:textId="77777777" w:rsidR="006B4573" w:rsidRPr="00DF5453" w:rsidRDefault="006B4573" w:rsidP="006B4573">
      <w:pPr>
        <w:autoSpaceDE w:val="0"/>
        <w:autoSpaceDN w:val="0"/>
        <w:adjustRightInd w:val="0"/>
        <w:ind w:right="36"/>
        <w:rPr>
          <w:rFonts w:ascii="Century Gothic" w:hAnsi="Century Gothic"/>
          <w:iCs/>
          <w:snapToGrid w:val="0"/>
          <w:sz w:val="20"/>
          <w:szCs w:val="20"/>
        </w:rPr>
      </w:pPr>
    </w:p>
    <w:p w14:paraId="303146DE" w14:textId="77777777" w:rsidR="006B4573" w:rsidRPr="00DF5453" w:rsidRDefault="006B4573" w:rsidP="006B4573">
      <w:pPr>
        <w:autoSpaceDE w:val="0"/>
        <w:autoSpaceDN w:val="0"/>
        <w:adjustRightInd w:val="0"/>
        <w:ind w:right="36"/>
        <w:rPr>
          <w:rFonts w:ascii="Century Gothic" w:hAnsi="Century Gothic"/>
          <w:iCs/>
          <w:snapToGrid w:val="0"/>
          <w:sz w:val="20"/>
          <w:szCs w:val="20"/>
        </w:rPr>
      </w:pPr>
      <w:r w:rsidRPr="00DF5453">
        <w:rPr>
          <w:rFonts w:ascii="Century Gothic" w:hAnsi="Century Gothic"/>
          <w:iCs/>
          <w:snapToGrid w:val="0"/>
          <w:sz w:val="20"/>
          <w:szCs w:val="20"/>
        </w:rPr>
        <w:t>HUD’s 2014 Deeming Notice allows one to use “…</w:t>
      </w:r>
      <w:r w:rsidRPr="00DF5453">
        <w:rPr>
          <w:rFonts w:ascii="Century Gothic" w:hAnsi="Century Gothic"/>
          <w:i/>
          <w:snapToGrid w:val="0"/>
          <w:sz w:val="20"/>
          <w:szCs w:val="20"/>
        </w:rPr>
        <w:t>an alternative accessibility standard for the purposes of complying with Section 504 of the Rehabilitation Act of 1973 (Section 504) and HUD’s implementing regulation at 24 CFR Part 8 (Section 504 regulation) until HUD formerly revises its Section 504 regulation to adopt an updated accessibility standard.</w:t>
      </w:r>
      <w:r w:rsidRPr="00DF5453">
        <w:rPr>
          <w:rFonts w:ascii="Century Gothic" w:hAnsi="Century Gothic"/>
          <w:iCs/>
          <w:snapToGrid w:val="0"/>
          <w:sz w:val="20"/>
          <w:szCs w:val="20"/>
        </w:rPr>
        <w:t>”</w:t>
      </w:r>
    </w:p>
    <w:p w14:paraId="6D788E35" w14:textId="77777777" w:rsidR="006B4573" w:rsidRPr="00DF5453" w:rsidRDefault="006B4573" w:rsidP="006B4573">
      <w:pPr>
        <w:autoSpaceDE w:val="0"/>
        <w:autoSpaceDN w:val="0"/>
        <w:adjustRightInd w:val="0"/>
        <w:ind w:right="36"/>
        <w:rPr>
          <w:rFonts w:ascii="Century Gothic" w:hAnsi="Century Gothic"/>
          <w:iCs/>
          <w:snapToGrid w:val="0"/>
          <w:sz w:val="20"/>
          <w:szCs w:val="20"/>
        </w:rPr>
      </w:pPr>
      <w:r w:rsidRPr="00DF5453">
        <w:rPr>
          <w:rFonts w:ascii="Century Gothic" w:hAnsi="Century Gothic"/>
          <w:iCs/>
          <w:snapToGrid w:val="0"/>
          <w:sz w:val="20"/>
          <w:szCs w:val="20"/>
        </w:rPr>
        <w:t xml:space="preserve">The </w:t>
      </w:r>
      <w:r w:rsidRPr="00DF5453">
        <w:rPr>
          <w:rFonts w:ascii="Century Gothic" w:hAnsi="Century Gothic"/>
          <w:i/>
          <w:snapToGrid w:val="0"/>
          <w:sz w:val="20"/>
          <w:szCs w:val="20"/>
        </w:rPr>
        <w:t>alternative accessibility standard</w:t>
      </w:r>
      <w:r w:rsidRPr="00DF5453">
        <w:rPr>
          <w:rFonts w:ascii="Century Gothic" w:hAnsi="Century Gothic"/>
          <w:iCs/>
          <w:snapToGrid w:val="0"/>
          <w:sz w:val="20"/>
          <w:szCs w:val="20"/>
        </w:rPr>
        <w:t xml:space="preserve"> is a combination of the 2010 ADA Standards along with 11 so-called UFAS Exceptions which HUD has identified as providing a higher level of access than the 2010 ADA Standards does.</w:t>
      </w:r>
    </w:p>
    <w:p w14:paraId="44F4861C" w14:textId="77777777" w:rsidR="006B4573" w:rsidRPr="00DF5453" w:rsidRDefault="006B4573" w:rsidP="006B4573">
      <w:pPr>
        <w:autoSpaceDE w:val="0"/>
        <w:autoSpaceDN w:val="0"/>
        <w:adjustRightInd w:val="0"/>
        <w:ind w:right="36"/>
        <w:rPr>
          <w:rFonts w:ascii="Century Gothic" w:hAnsi="Century Gothic" w:cs="Calibri"/>
          <w:bCs/>
          <w:iCs/>
          <w:sz w:val="20"/>
          <w:szCs w:val="20"/>
        </w:rPr>
      </w:pPr>
    </w:p>
    <w:p w14:paraId="73C9A793" w14:textId="77777777" w:rsidR="006B4573" w:rsidRPr="00DF5453" w:rsidRDefault="006B4573" w:rsidP="006B4573">
      <w:pPr>
        <w:autoSpaceDE w:val="0"/>
        <w:autoSpaceDN w:val="0"/>
        <w:adjustRightInd w:val="0"/>
        <w:ind w:right="36"/>
        <w:rPr>
          <w:rFonts w:ascii="Century Gothic" w:hAnsi="Century Gothic"/>
          <w:iCs/>
          <w:snapToGrid w:val="0"/>
          <w:sz w:val="20"/>
          <w:szCs w:val="20"/>
        </w:rPr>
      </w:pPr>
      <w:r w:rsidRPr="00DF5453">
        <w:rPr>
          <w:rFonts w:ascii="Century Gothic" w:hAnsi="Century Gothic"/>
          <w:iCs/>
          <w:snapToGrid w:val="0"/>
          <w:sz w:val="20"/>
          <w:szCs w:val="20"/>
        </w:rPr>
        <w:t>In Section IV of the Deeming Notice, HUD states: “</w:t>
      </w:r>
      <w:r w:rsidRPr="00DF5453">
        <w:rPr>
          <w:rFonts w:ascii="Century Gothic" w:hAnsi="Century Gothic"/>
          <w:i/>
          <w:snapToGrid w:val="0"/>
          <w:sz w:val="20"/>
          <w:szCs w:val="20"/>
        </w:rPr>
        <w:t xml:space="preserve">HUD is not permitting use of certain identified provisions of the 2010 [ADA] Standards because those provisions provide a lower level of accessibility than is currently required under UFAS and/or HUD’s Section 504 regulation and </w:t>
      </w:r>
      <w:r w:rsidRPr="00DF5453">
        <w:rPr>
          <w:rFonts w:ascii="Century Gothic" w:hAnsi="Century Gothic"/>
          <w:b/>
          <w:bCs/>
          <w:i/>
          <w:snapToGrid w:val="0"/>
          <w:sz w:val="20"/>
          <w:szCs w:val="20"/>
        </w:rPr>
        <w:t>HUD cannot reduce the level of accessibility provided under its Section 504 regulation without engaging in notice and comment rulemaking</w:t>
      </w:r>
      <w:r w:rsidRPr="00DF5453">
        <w:rPr>
          <w:rFonts w:ascii="Century Gothic" w:hAnsi="Century Gothic"/>
          <w:iCs/>
          <w:snapToGrid w:val="0"/>
          <w:sz w:val="20"/>
          <w:szCs w:val="20"/>
        </w:rPr>
        <w:t>.” [emphasis added] The Deeming Notice identifies 11 instances where the 2010 ADA Standards provides a lower level of accessibility than UFAS does. These are the so-called 11 UFAS Exceptions.</w:t>
      </w:r>
    </w:p>
    <w:p w14:paraId="1A2EB694" w14:textId="77777777" w:rsidR="006B4573" w:rsidRPr="00DF5453" w:rsidRDefault="006B4573" w:rsidP="006B4573">
      <w:pPr>
        <w:autoSpaceDE w:val="0"/>
        <w:autoSpaceDN w:val="0"/>
        <w:adjustRightInd w:val="0"/>
        <w:ind w:right="36"/>
        <w:rPr>
          <w:rFonts w:ascii="Century Gothic" w:hAnsi="Century Gothic"/>
          <w:iCs/>
          <w:snapToGrid w:val="0"/>
          <w:sz w:val="20"/>
          <w:szCs w:val="20"/>
        </w:rPr>
      </w:pPr>
    </w:p>
    <w:p w14:paraId="0D1F0F21" w14:textId="77777777" w:rsidR="006B4573" w:rsidRPr="00DF5453" w:rsidRDefault="006B4573" w:rsidP="006B4573">
      <w:pPr>
        <w:autoSpaceDE w:val="0"/>
        <w:autoSpaceDN w:val="0"/>
        <w:adjustRightInd w:val="0"/>
        <w:ind w:right="36"/>
        <w:rPr>
          <w:rFonts w:ascii="Century Gothic" w:hAnsi="Century Gothic"/>
          <w:iCs/>
          <w:snapToGrid w:val="0"/>
          <w:sz w:val="20"/>
          <w:szCs w:val="20"/>
        </w:rPr>
      </w:pPr>
      <w:r w:rsidRPr="00DF5453">
        <w:rPr>
          <w:rFonts w:ascii="Century Gothic" w:hAnsi="Century Gothic"/>
          <w:iCs/>
          <w:snapToGrid w:val="0"/>
          <w:sz w:val="20"/>
          <w:szCs w:val="20"/>
        </w:rPr>
        <w:t>In Section V of the Deeming Notice, HUD states: “</w:t>
      </w:r>
      <w:r w:rsidRPr="00DF5453">
        <w:rPr>
          <w:rFonts w:ascii="Century Gothic" w:hAnsi="Century Gothic"/>
          <w:i/>
          <w:snapToGrid w:val="0"/>
          <w:sz w:val="20"/>
          <w:szCs w:val="20"/>
        </w:rPr>
        <w:t xml:space="preserve">These exceptions are necessary to ensure that HUD recipients construct or alter buildings and facilities with at least the same degree of accessibility as is currently required under HUD’s Section 504 regulation and UFAS. </w:t>
      </w:r>
      <w:r w:rsidRPr="00DF5453">
        <w:rPr>
          <w:rFonts w:ascii="Century Gothic" w:hAnsi="Century Gothic"/>
          <w:b/>
          <w:bCs/>
          <w:i/>
          <w:snapToGrid w:val="0"/>
          <w:sz w:val="20"/>
          <w:szCs w:val="20"/>
        </w:rPr>
        <w:t xml:space="preserve">The Department lacks the authority </w:t>
      </w:r>
      <w:r w:rsidRPr="00DF5453">
        <w:rPr>
          <w:rFonts w:ascii="Century Gothic" w:hAnsi="Century Gothic"/>
          <w:i/>
          <w:snapToGrid w:val="0"/>
          <w:sz w:val="20"/>
          <w:szCs w:val="20"/>
        </w:rPr>
        <w:t xml:space="preserve">to </w:t>
      </w:r>
      <w:r w:rsidRPr="00DF5453">
        <w:rPr>
          <w:rFonts w:ascii="Century Gothic" w:hAnsi="Century Gothic"/>
          <w:b/>
          <w:bCs/>
          <w:i/>
          <w:snapToGrid w:val="0"/>
          <w:sz w:val="20"/>
          <w:szCs w:val="20"/>
        </w:rPr>
        <w:t>allow the use of an alternative standard</w:t>
      </w:r>
      <w:r w:rsidRPr="00DF5453">
        <w:rPr>
          <w:rFonts w:ascii="Century Gothic" w:hAnsi="Century Gothic"/>
          <w:i/>
          <w:snapToGrid w:val="0"/>
          <w:sz w:val="20"/>
          <w:szCs w:val="20"/>
        </w:rPr>
        <w:t xml:space="preserve"> </w:t>
      </w:r>
      <w:r w:rsidRPr="00DF5453">
        <w:rPr>
          <w:rFonts w:ascii="Century Gothic" w:hAnsi="Century Gothic"/>
          <w:b/>
          <w:bCs/>
          <w:i/>
          <w:snapToGrid w:val="0"/>
          <w:sz w:val="20"/>
          <w:szCs w:val="20"/>
        </w:rPr>
        <w:t>that would reduce accessibility or usability</w:t>
      </w:r>
      <w:r w:rsidRPr="00DF5453">
        <w:rPr>
          <w:rFonts w:ascii="Century Gothic" w:hAnsi="Century Gothic"/>
          <w:i/>
          <w:snapToGrid w:val="0"/>
          <w:sz w:val="20"/>
          <w:szCs w:val="20"/>
        </w:rPr>
        <w:t xml:space="preserve"> </w:t>
      </w:r>
      <w:r w:rsidR="00DF5453" w:rsidRPr="00DF5453">
        <w:rPr>
          <w:rFonts w:ascii="Century Gothic" w:hAnsi="Century Gothic"/>
          <w:iCs/>
          <w:snapToGrid w:val="0"/>
          <w:sz w:val="20"/>
          <w:szCs w:val="20"/>
        </w:rPr>
        <w:t xml:space="preserve">[emphasis added] </w:t>
      </w:r>
      <w:r w:rsidRPr="00DF5453">
        <w:rPr>
          <w:rFonts w:ascii="Century Gothic" w:hAnsi="Century Gothic"/>
          <w:i/>
          <w:snapToGrid w:val="0"/>
          <w:sz w:val="20"/>
          <w:szCs w:val="20"/>
        </w:rPr>
        <w:t>for individuals with disabilities in housing settings below the level required by its Section 504 regulation without engaging in Notice and comment rulemaking</w:t>
      </w:r>
      <w:r w:rsidRPr="00DF5453">
        <w:rPr>
          <w:rFonts w:ascii="Century Gothic" w:hAnsi="Century Gothic"/>
          <w:iCs/>
          <w:snapToGrid w:val="0"/>
          <w:sz w:val="20"/>
          <w:szCs w:val="20"/>
        </w:rPr>
        <w:t>.”</w:t>
      </w:r>
    </w:p>
    <w:p w14:paraId="7B9423C6" w14:textId="77777777" w:rsidR="00935C5D" w:rsidRPr="00DF5453" w:rsidRDefault="00935C5D" w:rsidP="006B4573">
      <w:pPr>
        <w:autoSpaceDE w:val="0"/>
        <w:autoSpaceDN w:val="0"/>
        <w:adjustRightInd w:val="0"/>
        <w:ind w:right="36"/>
        <w:rPr>
          <w:rFonts w:ascii="Century Gothic" w:hAnsi="Century Gothic"/>
          <w:iCs/>
          <w:snapToGrid w:val="0"/>
          <w:sz w:val="20"/>
          <w:szCs w:val="20"/>
        </w:rPr>
      </w:pPr>
    </w:p>
    <w:p w14:paraId="7D2D6B5F" w14:textId="77777777" w:rsidR="006B4573" w:rsidRPr="00984BE3" w:rsidRDefault="006B4573" w:rsidP="006B4573">
      <w:pPr>
        <w:autoSpaceDE w:val="0"/>
        <w:autoSpaceDN w:val="0"/>
        <w:adjustRightInd w:val="0"/>
        <w:ind w:right="36"/>
        <w:rPr>
          <w:rFonts w:ascii="Century Gothic" w:hAnsi="Century Gothic" w:cs="Calibri"/>
          <w:bCs/>
          <w:sz w:val="20"/>
          <w:szCs w:val="20"/>
        </w:rPr>
      </w:pPr>
      <w:r w:rsidRPr="00DF5453">
        <w:rPr>
          <w:rFonts w:ascii="Century Gothic" w:hAnsi="Century Gothic" w:cs="Calibri"/>
          <w:bCs/>
          <w:sz w:val="20"/>
          <w:szCs w:val="20"/>
        </w:rPr>
        <w:t xml:space="preserve">The problem with the Deeming Notice is HUD failed to identify all instances where UFAS provides a higher level of accessibility than the 2010 ADA Standards does. And this failure to   of the cases where </w:t>
      </w:r>
      <w:r w:rsidRPr="00DF5453">
        <w:rPr>
          <w:rFonts w:ascii="Century Gothic" w:hAnsi="Century Gothic" w:cs="Calibri"/>
          <w:bCs/>
          <w:sz w:val="20"/>
          <w:szCs w:val="20"/>
        </w:rPr>
        <w:lastRenderedPageBreak/>
        <w:t>UFAS is stricter than the 2010 ADAS cannot be brushed away by saying that HUD recognized all such</w:t>
      </w:r>
      <w:r w:rsidRPr="00935C5D">
        <w:rPr>
          <w:rFonts w:ascii="Century Gothic" w:hAnsi="Century Gothic" w:cs="Calibri"/>
          <w:bCs/>
          <w:color w:val="000099"/>
          <w:sz w:val="20"/>
          <w:szCs w:val="20"/>
        </w:rPr>
        <w:t xml:space="preserve"> </w:t>
      </w:r>
      <w:r w:rsidRPr="00984BE3">
        <w:rPr>
          <w:rFonts w:ascii="Century Gothic" w:hAnsi="Century Gothic" w:cs="Calibri"/>
          <w:bCs/>
          <w:sz w:val="20"/>
          <w:szCs w:val="20"/>
        </w:rPr>
        <w:t>cases and determined that they need not be complied with. As they state multiple deeming Notice, they lack the authority to do that.</w:t>
      </w:r>
    </w:p>
    <w:p w14:paraId="527D12DF" w14:textId="77777777" w:rsidR="006B4573" w:rsidRPr="00984BE3" w:rsidRDefault="006B4573" w:rsidP="006B4573">
      <w:pPr>
        <w:autoSpaceDE w:val="0"/>
        <w:autoSpaceDN w:val="0"/>
        <w:adjustRightInd w:val="0"/>
        <w:ind w:right="36"/>
        <w:rPr>
          <w:rFonts w:ascii="Century Gothic" w:hAnsi="Century Gothic" w:cs="Calibri"/>
          <w:bCs/>
          <w:sz w:val="20"/>
          <w:szCs w:val="20"/>
        </w:rPr>
      </w:pPr>
    </w:p>
    <w:p w14:paraId="2349DC7D" w14:textId="77777777" w:rsidR="006B4573" w:rsidRPr="00984BE3" w:rsidRDefault="006B4573" w:rsidP="006B4573">
      <w:pPr>
        <w:ind w:right="36"/>
        <w:rPr>
          <w:rFonts w:ascii="Century Gothic" w:hAnsi="Century Gothic" w:cs="Calibri"/>
          <w:sz w:val="20"/>
          <w:szCs w:val="20"/>
        </w:rPr>
      </w:pPr>
      <w:r w:rsidRPr="00984BE3">
        <w:rPr>
          <w:rFonts w:ascii="Century Gothic" w:hAnsi="Century Gothic" w:cs="Calibri"/>
          <w:sz w:val="20"/>
          <w:szCs w:val="20"/>
        </w:rPr>
        <w:t>Additionally, in 2023 HUD published an Advanced Notice of Proposed Rule Making (ANPRM) in the Federal Register. It may be found at this link:</w:t>
      </w:r>
    </w:p>
    <w:p w14:paraId="639C7B54" w14:textId="77777777" w:rsidR="006B4573" w:rsidRDefault="006B4573" w:rsidP="006B4573">
      <w:pPr>
        <w:ind w:right="36"/>
        <w:rPr>
          <w:rFonts w:ascii="Calibri" w:hAnsi="Calibri" w:cs="Calibri"/>
          <w:sz w:val="22"/>
          <w:szCs w:val="22"/>
        </w:rPr>
      </w:pPr>
    </w:p>
    <w:p w14:paraId="05343024" w14:textId="77777777" w:rsidR="006B4573" w:rsidRPr="00984BE3" w:rsidRDefault="006B4573" w:rsidP="00935C5D">
      <w:pPr>
        <w:ind w:right="36"/>
        <w:rPr>
          <w:rFonts w:ascii="Calibri" w:hAnsi="Calibri" w:cs="Calibri"/>
          <w:color w:val="000099"/>
          <w:sz w:val="22"/>
          <w:szCs w:val="22"/>
        </w:rPr>
      </w:pPr>
      <w:hyperlink r:id="rId8" w:history="1">
        <w:r w:rsidRPr="00984BE3">
          <w:rPr>
            <w:rStyle w:val="Hyperlink"/>
            <w:rFonts w:ascii="Calibri" w:hAnsi="Calibri" w:cs="Calibri"/>
            <w:color w:val="000099"/>
            <w:sz w:val="22"/>
            <w:szCs w:val="22"/>
          </w:rPr>
          <w:t>https://www.federalregister.gov/documents/2023/04/25/2023-08464/nondiscrimination-on-the-basis-of-disability-updates-to-huds-section-504-regulations</w:t>
        </w:r>
      </w:hyperlink>
    </w:p>
    <w:p w14:paraId="3E279AC3" w14:textId="77777777" w:rsidR="006B4573" w:rsidRDefault="006B4573" w:rsidP="006B4573">
      <w:pPr>
        <w:ind w:right="36"/>
        <w:rPr>
          <w:rFonts w:ascii="Calibri" w:hAnsi="Calibri" w:cs="Calibri"/>
          <w:sz w:val="22"/>
          <w:szCs w:val="22"/>
        </w:rPr>
      </w:pPr>
    </w:p>
    <w:p w14:paraId="106901D6" w14:textId="77777777" w:rsidR="006B4573" w:rsidRPr="00984BE3" w:rsidRDefault="006B4573" w:rsidP="006B4573">
      <w:pPr>
        <w:ind w:right="36"/>
        <w:rPr>
          <w:rFonts w:ascii="Century Gothic" w:hAnsi="Century Gothic" w:cs="Calibri"/>
          <w:sz w:val="20"/>
          <w:szCs w:val="20"/>
        </w:rPr>
      </w:pPr>
      <w:r w:rsidRPr="00984BE3">
        <w:rPr>
          <w:rFonts w:ascii="Century Gothic" w:hAnsi="Century Gothic" w:cs="Calibri"/>
          <w:sz w:val="20"/>
          <w:szCs w:val="20"/>
        </w:rPr>
        <w:t>In the ANPRM</w:t>
      </w:r>
      <w:r w:rsidR="00984BE3">
        <w:rPr>
          <w:rFonts w:ascii="Century Gothic" w:hAnsi="Century Gothic" w:cs="Calibri"/>
          <w:sz w:val="20"/>
          <w:szCs w:val="20"/>
        </w:rPr>
        <w:t xml:space="preserve">, HUD asks </w:t>
      </w:r>
      <w:r w:rsidRPr="00984BE3">
        <w:rPr>
          <w:rFonts w:ascii="Century Gothic" w:hAnsi="Century Gothic" w:cs="Calibri"/>
          <w:sz w:val="20"/>
          <w:szCs w:val="20"/>
        </w:rPr>
        <w:t xml:space="preserve">several questions of potential commenters. </w:t>
      </w:r>
      <w:r w:rsidRPr="00984BE3">
        <w:rPr>
          <w:rFonts w:ascii="Century Gothic" w:hAnsi="Century Gothic" w:cs="Calibri"/>
          <w:i/>
          <w:iCs/>
          <w:sz w:val="20"/>
          <w:szCs w:val="20"/>
        </w:rPr>
        <w:t>Question for Comment 7</w:t>
      </w:r>
      <w:r w:rsidRPr="00984BE3">
        <w:rPr>
          <w:rFonts w:ascii="Century Gothic" w:hAnsi="Century Gothic" w:cs="Calibri"/>
          <w:sz w:val="20"/>
          <w:szCs w:val="20"/>
        </w:rPr>
        <w:t xml:space="preserve"> is most relevant to this discussion as it serves as an acknowledgement by HUD that they may not have captured in the Deeming Notice all of instances where UFAS requirements provide a higher level of accessibility than the 2010 ADA Standards. Here is that question:</w:t>
      </w:r>
    </w:p>
    <w:p w14:paraId="27781DCD" w14:textId="77777777" w:rsidR="006B4573" w:rsidRPr="00B920E8" w:rsidRDefault="006B4573" w:rsidP="006B4573">
      <w:pPr>
        <w:ind w:right="36"/>
        <w:rPr>
          <w:rFonts w:ascii="Calibri" w:hAnsi="Calibri" w:cs="Calibri"/>
          <w:color w:val="000099"/>
        </w:rPr>
      </w:pPr>
    </w:p>
    <w:p w14:paraId="461BF7A5" w14:textId="77777777" w:rsidR="006B4573" w:rsidRPr="00984BE3" w:rsidRDefault="006B4573" w:rsidP="00935C5D">
      <w:pPr>
        <w:ind w:right="36"/>
        <w:rPr>
          <w:i/>
          <w:iCs/>
          <w:color w:val="000099"/>
        </w:rPr>
      </w:pPr>
      <w:r w:rsidRPr="00984BE3">
        <w:rPr>
          <w:b/>
          <w:bCs/>
          <w:i/>
          <w:iCs/>
          <w:color w:val="000099"/>
        </w:rPr>
        <w:t>Question for Comment 7:</w:t>
      </w:r>
      <w:r w:rsidRPr="00984BE3">
        <w:rPr>
          <w:i/>
          <w:iCs/>
          <w:color w:val="000099"/>
        </w:rPr>
        <w:t xml:space="preserve"> HUD's Deeming Notice allowed HUD recipients to use the 2010 ADA Standards under Title II of the ADA—with identified exceptions, as an alternative accessibility standard in lieu of UFAS for purposes of Section 504 compliance. The Deeming Notice identified eleven (11) exceptions where UFAS provides greater accessibility than the 2010 ADA Standards and must continue to be utilized. Are there other UFAS provisions that HUD did not identify in its Deeming Notice that should be retained to further accessibility in HUD-assisted programs?</w:t>
      </w:r>
    </w:p>
    <w:p w14:paraId="39F85B4B" w14:textId="77777777" w:rsidR="006B4573" w:rsidRPr="00B920E8" w:rsidRDefault="006B4573" w:rsidP="006B4573">
      <w:pPr>
        <w:ind w:right="36"/>
        <w:rPr>
          <w:rFonts w:ascii="Calibri" w:hAnsi="Calibri" w:cs="Calibri"/>
          <w:i/>
          <w:iCs/>
          <w:color w:val="000099"/>
        </w:rPr>
      </w:pPr>
    </w:p>
    <w:p w14:paraId="07D32ABC" w14:textId="77777777" w:rsidR="006B4573" w:rsidRPr="00984BE3" w:rsidRDefault="006B4573" w:rsidP="006B4573">
      <w:pPr>
        <w:autoSpaceDE w:val="0"/>
        <w:autoSpaceDN w:val="0"/>
        <w:adjustRightInd w:val="0"/>
        <w:ind w:right="36"/>
        <w:rPr>
          <w:rFonts w:ascii="Century Gothic" w:hAnsi="Century Gothic" w:cs="Calibri"/>
          <w:bCs/>
          <w:sz w:val="20"/>
          <w:szCs w:val="20"/>
        </w:rPr>
      </w:pPr>
      <w:r w:rsidRPr="00984BE3">
        <w:rPr>
          <w:rFonts w:ascii="Century Gothic" w:hAnsi="Century Gothic" w:cs="Calibri"/>
          <w:sz w:val="20"/>
          <w:szCs w:val="20"/>
        </w:rPr>
        <w:t xml:space="preserve">Yes, there are. </w:t>
      </w:r>
      <w:r w:rsidRPr="00984BE3">
        <w:rPr>
          <w:rFonts w:ascii="Century Gothic" w:hAnsi="Century Gothic" w:cs="Calibri"/>
          <w:bCs/>
          <w:sz w:val="20"/>
          <w:szCs w:val="20"/>
        </w:rPr>
        <w:t xml:space="preserve">I have identified 9 UFAS requirements in addition to the 11 UFAS Exceptions that provide or may provide a higher level of accessibility than the 2010 ADA Standards (and CBC Chapter 11B). They are explained in detail at the end of this letter. There may be more. </w:t>
      </w:r>
    </w:p>
    <w:p w14:paraId="4B1B23A5" w14:textId="77777777" w:rsidR="006B4573" w:rsidRPr="00984BE3" w:rsidRDefault="006B4573" w:rsidP="006B4573">
      <w:pPr>
        <w:autoSpaceDE w:val="0"/>
        <w:autoSpaceDN w:val="0"/>
        <w:adjustRightInd w:val="0"/>
        <w:ind w:right="36"/>
        <w:rPr>
          <w:rFonts w:ascii="Century Gothic" w:hAnsi="Century Gothic" w:cs="Calibri"/>
          <w:bCs/>
          <w:sz w:val="20"/>
          <w:szCs w:val="20"/>
        </w:rPr>
      </w:pPr>
    </w:p>
    <w:p w14:paraId="6B33575E" w14:textId="77777777" w:rsidR="006B4573" w:rsidRPr="00984BE3" w:rsidRDefault="006B4573" w:rsidP="006B4573">
      <w:pPr>
        <w:autoSpaceDE w:val="0"/>
        <w:autoSpaceDN w:val="0"/>
        <w:adjustRightInd w:val="0"/>
        <w:ind w:right="36"/>
        <w:rPr>
          <w:rFonts w:ascii="Century Gothic" w:hAnsi="Century Gothic" w:cs="Calibri"/>
          <w:b/>
          <w:sz w:val="20"/>
          <w:szCs w:val="20"/>
        </w:rPr>
      </w:pPr>
      <w:r w:rsidRPr="00984BE3">
        <w:rPr>
          <w:rFonts w:ascii="Century Gothic" w:hAnsi="Century Gothic" w:cs="Calibri"/>
          <w:b/>
          <w:sz w:val="20"/>
          <w:szCs w:val="20"/>
        </w:rPr>
        <w:t xml:space="preserve">If DSA intends for the proposed changes to ensure that compliance with CBC Chapter 11B will also ensure compliance with HUD’s Section 504 regulation and UFAS, they must not rely solely on the 2010 ADA Standards and the 11 UFAS Exceptions because that </w:t>
      </w:r>
      <w:r w:rsidRPr="00984BE3">
        <w:rPr>
          <w:rFonts w:ascii="Century Gothic" w:hAnsi="Century Gothic" w:cs="Calibri"/>
          <w:b/>
          <w:i/>
          <w:iCs/>
          <w:sz w:val="20"/>
          <w:szCs w:val="20"/>
        </w:rPr>
        <w:t>alternative accessibility standard</w:t>
      </w:r>
      <w:r w:rsidRPr="00984BE3">
        <w:rPr>
          <w:rFonts w:ascii="Century Gothic" w:hAnsi="Century Gothic" w:cs="Calibri"/>
          <w:b/>
          <w:sz w:val="20"/>
          <w:szCs w:val="20"/>
        </w:rPr>
        <w:t xml:space="preserve"> provides a lower level of accessibility than UFAS does.</w:t>
      </w:r>
    </w:p>
    <w:p w14:paraId="2BAB969A" w14:textId="77777777" w:rsidR="006B4573" w:rsidRPr="00984BE3" w:rsidRDefault="006B4573" w:rsidP="006B4573">
      <w:pPr>
        <w:autoSpaceDE w:val="0"/>
        <w:autoSpaceDN w:val="0"/>
        <w:adjustRightInd w:val="0"/>
        <w:ind w:right="36"/>
        <w:rPr>
          <w:rFonts w:ascii="Century Gothic" w:hAnsi="Century Gothic" w:cs="Calibri"/>
          <w:b/>
          <w:sz w:val="20"/>
          <w:szCs w:val="20"/>
        </w:rPr>
      </w:pPr>
    </w:p>
    <w:p w14:paraId="70BD69AF" w14:textId="77777777" w:rsidR="006B4573" w:rsidRPr="00984BE3" w:rsidRDefault="006B4573" w:rsidP="006B4573">
      <w:pPr>
        <w:autoSpaceDE w:val="0"/>
        <w:autoSpaceDN w:val="0"/>
        <w:adjustRightInd w:val="0"/>
        <w:spacing w:after="200"/>
        <w:ind w:right="36"/>
        <w:rPr>
          <w:rFonts w:ascii="Century Gothic" w:hAnsi="Century Gothic" w:cs="Calibri"/>
          <w:bCs/>
          <w:sz w:val="20"/>
          <w:szCs w:val="20"/>
        </w:rPr>
      </w:pPr>
      <w:r w:rsidRPr="00984BE3">
        <w:rPr>
          <w:rFonts w:ascii="Century Gothic" w:hAnsi="Century Gothic" w:cs="Calibri"/>
          <w:bCs/>
          <w:sz w:val="20"/>
          <w:szCs w:val="20"/>
        </w:rPr>
        <w:t xml:space="preserve">Below are 9 instances I have found where UFAS provides or may provide a higher level of access than the 2010 ADA </w:t>
      </w:r>
      <w:proofErr w:type="gramStart"/>
      <w:r w:rsidRPr="00984BE3">
        <w:rPr>
          <w:rFonts w:ascii="Century Gothic" w:hAnsi="Century Gothic" w:cs="Calibri"/>
          <w:bCs/>
          <w:sz w:val="20"/>
          <w:szCs w:val="20"/>
        </w:rPr>
        <w:t>Standards does</w:t>
      </w:r>
      <w:proofErr w:type="gramEnd"/>
      <w:r w:rsidRPr="00984BE3">
        <w:rPr>
          <w:rFonts w:ascii="Century Gothic" w:hAnsi="Century Gothic" w:cs="Calibri"/>
          <w:bCs/>
          <w:sz w:val="20"/>
          <w:szCs w:val="20"/>
        </w:rPr>
        <w:t xml:space="preserve"> that are not included in the so-called 11 UFAS Exceptions. In one case (Item G), the CBC Chapter 11B requirement provides the same level of access as UFAS. But that should not diminish the main thesis of this letter, which is that the </w:t>
      </w:r>
      <w:r w:rsidRPr="00984BE3">
        <w:rPr>
          <w:rFonts w:ascii="Century Gothic" w:hAnsi="Century Gothic" w:cs="Calibri"/>
          <w:bCs/>
          <w:i/>
          <w:iCs/>
          <w:sz w:val="20"/>
          <w:szCs w:val="20"/>
        </w:rPr>
        <w:t>alternative accessibility standard</w:t>
      </w:r>
      <w:r w:rsidRPr="00984BE3">
        <w:rPr>
          <w:rFonts w:ascii="Century Gothic" w:hAnsi="Century Gothic" w:cs="Calibri"/>
          <w:bCs/>
          <w:sz w:val="20"/>
          <w:szCs w:val="20"/>
        </w:rPr>
        <w:t xml:space="preserve"> provides a lower level of accessibility than UFAS.</w:t>
      </w:r>
    </w:p>
    <w:p w14:paraId="2D8C5350" w14:textId="77777777" w:rsidR="006B4573" w:rsidRPr="00984BE3" w:rsidRDefault="006B4573" w:rsidP="006B4573">
      <w:pPr>
        <w:pStyle w:val="ListParagraph"/>
        <w:numPr>
          <w:ilvl w:val="0"/>
          <w:numId w:val="3"/>
        </w:numPr>
        <w:autoSpaceDE w:val="0"/>
        <w:autoSpaceDN w:val="0"/>
        <w:adjustRightInd w:val="0"/>
        <w:ind w:left="0" w:right="36" w:firstLine="0"/>
        <w:rPr>
          <w:rFonts w:ascii="Century Gothic" w:hAnsi="Century Gothic"/>
          <w:sz w:val="20"/>
          <w:szCs w:val="20"/>
        </w:rPr>
      </w:pPr>
      <w:bookmarkStart w:id="0" w:name="_Hlk141099177"/>
      <w:r w:rsidRPr="00984BE3">
        <w:rPr>
          <w:rFonts w:ascii="Century Gothic" w:hAnsi="Century Gothic"/>
          <w:bCs/>
          <w:sz w:val="20"/>
          <w:szCs w:val="20"/>
        </w:rPr>
        <w:t>Per UFAS, when parking spaces are p</w:t>
      </w:r>
      <w:bookmarkEnd w:id="0"/>
      <w:r w:rsidRPr="00984BE3">
        <w:rPr>
          <w:rFonts w:ascii="Century Gothic" w:hAnsi="Century Gothic"/>
          <w:bCs/>
          <w:sz w:val="20"/>
          <w:szCs w:val="20"/>
        </w:rPr>
        <w:t>rovided for all residents, one accessible parking space must be provided for each accessible dwelling unit.  I read this to mean each accessible dwelling unit provided. Per the 2010 ADAS, in the same situation, one accessible parking space must be provided for each accessible dwelling unit required. Required by whom is not clarified, but presumably it means required by the ADAS. Nevertheless, if more than the required number of accessible dwelling units are provided, the 2010 ADAS requirement is less stringent than the UFAS requirement.</w:t>
      </w:r>
    </w:p>
    <w:p w14:paraId="7B64FDE6" w14:textId="77777777" w:rsidR="006B4573" w:rsidRPr="00A17FE0" w:rsidRDefault="006B4573" w:rsidP="006B4573">
      <w:pPr>
        <w:pStyle w:val="ListParagraph"/>
        <w:autoSpaceDE w:val="0"/>
        <w:autoSpaceDN w:val="0"/>
        <w:adjustRightInd w:val="0"/>
        <w:ind w:left="0" w:right="36"/>
      </w:pPr>
    </w:p>
    <w:p w14:paraId="6C6D5896" w14:textId="77777777" w:rsidR="006B4573" w:rsidRPr="00984BE3" w:rsidRDefault="006B4573" w:rsidP="006B4573">
      <w:pPr>
        <w:pStyle w:val="ListParagraph"/>
        <w:autoSpaceDE w:val="0"/>
        <w:autoSpaceDN w:val="0"/>
        <w:adjustRightInd w:val="0"/>
        <w:ind w:left="0" w:right="36"/>
        <w:rPr>
          <w:b/>
          <w:bCs/>
          <w:sz w:val="24"/>
          <w:szCs w:val="24"/>
        </w:rPr>
      </w:pPr>
      <w:r w:rsidRPr="00984BE3">
        <w:rPr>
          <w:b/>
          <w:bCs/>
          <w:sz w:val="24"/>
          <w:szCs w:val="24"/>
        </w:rPr>
        <w:t>UFAS:</w:t>
      </w:r>
    </w:p>
    <w:p w14:paraId="39EC7265" w14:textId="77777777" w:rsidR="006B4573" w:rsidRPr="00984BE3" w:rsidRDefault="006B4573" w:rsidP="006B4573">
      <w:pPr>
        <w:pStyle w:val="Default"/>
        <w:ind w:right="36"/>
        <w:rPr>
          <w:color w:val="000099"/>
        </w:rPr>
      </w:pPr>
      <w:r w:rsidRPr="00984BE3">
        <w:rPr>
          <w:color w:val="000099"/>
        </w:rPr>
        <w:t xml:space="preserve"> </w:t>
      </w:r>
      <w:proofErr w:type="gramStart"/>
      <w:r w:rsidRPr="00984BE3">
        <w:rPr>
          <w:b/>
          <w:bCs/>
          <w:color w:val="000099"/>
        </w:rPr>
        <w:t>4.1.1  ACCESSIBLE</w:t>
      </w:r>
      <w:proofErr w:type="gramEnd"/>
      <w:r w:rsidRPr="00984BE3">
        <w:rPr>
          <w:b/>
          <w:bCs/>
          <w:color w:val="000099"/>
        </w:rPr>
        <w:t xml:space="preserve"> SITES AND EXTERIOR FACILITIES: NEW CONSTRUCTION. </w:t>
      </w:r>
      <w:r w:rsidRPr="00984BE3">
        <w:rPr>
          <w:color w:val="000099"/>
        </w:rPr>
        <w:t>An accessible site shall meet the following minimum requirements:</w:t>
      </w:r>
    </w:p>
    <w:p w14:paraId="3EED68EE" w14:textId="77777777" w:rsidR="006B4573" w:rsidRPr="00984BE3" w:rsidRDefault="006B4573" w:rsidP="006B4573">
      <w:pPr>
        <w:autoSpaceDE w:val="0"/>
        <w:autoSpaceDN w:val="0"/>
        <w:adjustRightInd w:val="0"/>
        <w:ind w:right="36"/>
        <w:rPr>
          <w:color w:val="000099"/>
        </w:rPr>
      </w:pPr>
      <w:r w:rsidRPr="00984BE3">
        <w:rPr>
          <w:color w:val="000099"/>
        </w:rPr>
        <w:t xml:space="preserve"> (5) (d) Parking spaces at accessible housing complying with 4.6 shall be provided in accordance with the following:</w:t>
      </w:r>
    </w:p>
    <w:p w14:paraId="34DF3CF1" w14:textId="77777777" w:rsidR="006B4573" w:rsidRPr="00984BE3" w:rsidRDefault="006B4573" w:rsidP="006B4573">
      <w:pPr>
        <w:pStyle w:val="ListParagraph"/>
        <w:autoSpaceDE w:val="0"/>
        <w:autoSpaceDN w:val="0"/>
        <w:adjustRightInd w:val="0"/>
        <w:ind w:left="0" w:right="36"/>
        <w:rPr>
          <w:rFonts w:ascii="Times New Roman" w:hAnsi="Times New Roman" w:cs="Times New Roman"/>
          <w:color w:val="000099"/>
          <w:sz w:val="24"/>
          <w:szCs w:val="24"/>
        </w:rPr>
      </w:pPr>
      <w:r w:rsidRPr="00984BE3">
        <w:rPr>
          <w:rFonts w:ascii="Times New Roman" w:hAnsi="Times New Roman" w:cs="Times New Roman"/>
          <w:color w:val="000099"/>
          <w:sz w:val="24"/>
          <w:szCs w:val="24"/>
        </w:rPr>
        <w:lastRenderedPageBreak/>
        <w:t>(i) Where parking is provided for all residents, one accessible parking space shall be provided for each accessible dwelling unit; and</w:t>
      </w:r>
    </w:p>
    <w:p w14:paraId="7331B227" w14:textId="77777777" w:rsidR="006B4573" w:rsidRDefault="006B4573" w:rsidP="006B4573">
      <w:pPr>
        <w:pStyle w:val="ListParagraph"/>
        <w:autoSpaceDE w:val="0"/>
        <w:autoSpaceDN w:val="0"/>
        <w:adjustRightInd w:val="0"/>
        <w:ind w:left="0" w:right="36"/>
        <w:rPr>
          <w:rFonts w:ascii="Times New Roman" w:hAnsi="Times New Roman" w:cs="Times New Roman"/>
          <w:sz w:val="24"/>
          <w:szCs w:val="24"/>
        </w:rPr>
      </w:pPr>
    </w:p>
    <w:p w14:paraId="548C82BE" w14:textId="77777777" w:rsidR="006B4573" w:rsidRPr="00984BE3" w:rsidRDefault="006B4573" w:rsidP="006B4573">
      <w:pPr>
        <w:pStyle w:val="ListParagraph"/>
        <w:autoSpaceDE w:val="0"/>
        <w:autoSpaceDN w:val="0"/>
        <w:adjustRightInd w:val="0"/>
        <w:ind w:left="0" w:right="36"/>
        <w:rPr>
          <w:b/>
          <w:bCs/>
          <w:sz w:val="24"/>
          <w:szCs w:val="24"/>
        </w:rPr>
      </w:pPr>
      <w:r w:rsidRPr="00984BE3">
        <w:rPr>
          <w:b/>
          <w:bCs/>
          <w:sz w:val="24"/>
          <w:szCs w:val="24"/>
        </w:rPr>
        <w:t>2010 ADAS:</w:t>
      </w:r>
    </w:p>
    <w:p w14:paraId="2D80A78A" w14:textId="77777777" w:rsidR="006B4573" w:rsidRPr="00984BE3" w:rsidRDefault="006B4573" w:rsidP="006B4573">
      <w:pPr>
        <w:autoSpaceDE w:val="0"/>
        <w:autoSpaceDN w:val="0"/>
        <w:adjustRightInd w:val="0"/>
        <w:ind w:right="36"/>
        <w:rPr>
          <w:rFonts w:ascii="Arial" w:hAnsi="Arial" w:cs="Arial"/>
          <w:color w:val="000099"/>
          <w:sz w:val="22"/>
          <w:szCs w:val="22"/>
        </w:rPr>
      </w:pPr>
      <w:r w:rsidRPr="00984BE3">
        <w:rPr>
          <w:rFonts w:ascii="Arial" w:hAnsi="Arial" w:cs="Arial"/>
          <w:b/>
          <w:bCs/>
          <w:color w:val="000099"/>
          <w:sz w:val="22"/>
          <w:szCs w:val="22"/>
        </w:rPr>
        <w:t xml:space="preserve">208.2.3 Residential Facilities. </w:t>
      </w:r>
      <w:r w:rsidRPr="00984BE3">
        <w:rPr>
          <w:rFonts w:ascii="Arial" w:hAnsi="Arial" w:cs="Arial"/>
          <w:color w:val="000099"/>
          <w:sz w:val="22"/>
          <w:szCs w:val="22"/>
        </w:rPr>
        <w:t xml:space="preserve">Parking </w:t>
      </w:r>
      <w:r w:rsidRPr="00984BE3">
        <w:rPr>
          <w:rFonts w:ascii="Arial" w:hAnsi="Arial" w:cs="Arial"/>
          <w:i/>
          <w:iCs/>
          <w:color w:val="000099"/>
          <w:sz w:val="22"/>
          <w:szCs w:val="22"/>
        </w:rPr>
        <w:t xml:space="preserve">spaces </w:t>
      </w:r>
      <w:r w:rsidRPr="00984BE3">
        <w:rPr>
          <w:rFonts w:ascii="Arial" w:hAnsi="Arial" w:cs="Arial"/>
          <w:color w:val="000099"/>
          <w:sz w:val="22"/>
          <w:szCs w:val="22"/>
        </w:rPr>
        <w:t xml:space="preserve">provided to serve residential </w:t>
      </w:r>
      <w:r w:rsidRPr="00984BE3">
        <w:rPr>
          <w:rFonts w:ascii="Arial" w:hAnsi="Arial" w:cs="Arial"/>
          <w:i/>
          <w:iCs/>
          <w:color w:val="000099"/>
          <w:sz w:val="22"/>
          <w:szCs w:val="22"/>
        </w:rPr>
        <w:t xml:space="preserve">facilities </w:t>
      </w:r>
      <w:r w:rsidRPr="00984BE3">
        <w:rPr>
          <w:rFonts w:ascii="Arial" w:hAnsi="Arial" w:cs="Arial"/>
          <w:color w:val="000099"/>
          <w:sz w:val="22"/>
          <w:szCs w:val="22"/>
        </w:rPr>
        <w:t>shall comply with 208.2.3.</w:t>
      </w:r>
    </w:p>
    <w:p w14:paraId="3BA81DEB" w14:textId="77777777" w:rsidR="006B4573" w:rsidRPr="00984BE3" w:rsidRDefault="006B4573" w:rsidP="006B4573">
      <w:pPr>
        <w:autoSpaceDE w:val="0"/>
        <w:autoSpaceDN w:val="0"/>
        <w:adjustRightInd w:val="0"/>
        <w:ind w:right="36"/>
        <w:rPr>
          <w:rFonts w:ascii="Arial" w:hAnsi="Arial" w:cs="Arial"/>
          <w:i/>
          <w:iCs/>
          <w:color w:val="000099"/>
          <w:sz w:val="22"/>
          <w:szCs w:val="22"/>
        </w:rPr>
      </w:pPr>
      <w:r w:rsidRPr="00984BE3">
        <w:rPr>
          <w:rFonts w:ascii="Arial" w:hAnsi="Arial" w:cs="Arial"/>
          <w:b/>
          <w:bCs/>
          <w:color w:val="000099"/>
          <w:sz w:val="22"/>
          <w:szCs w:val="22"/>
        </w:rPr>
        <w:t xml:space="preserve">208.2.3.1 Parking for Residents. </w:t>
      </w:r>
      <w:r w:rsidRPr="00984BE3">
        <w:rPr>
          <w:rFonts w:ascii="Arial" w:hAnsi="Arial" w:cs="Arial"/>
          <w:color w:val="000099"/>
          <w:sz w:val="22"/>
          <w:szCs w:val="22"/>
        </w:rPr>
        <w:t xml:space="preserve">Where at least one parking </w:t>
      </w:r>
      <w:r w:rsidRPr="00984BE3">
        <w:rPr>
          <w:rFonts w:ascii="Arial" w:hAnsi="Arial" w:cs="Arial"/>
          <w:i/>
          <w:iCs/>
          <w:color w:val="000099"/>
          <w:sz w:val="22"/>
          <w:szCs w:val="22"/>
        </w:rPr>
        <w:t xml:space="preserve">space </w:t>
      </w:r>
      <w:r w:rsidRPr="00984BE3">
        <w:rPr>
          <w:rFonts w:ascii="Arial" w:hAnsi="Arial" w:cs="Arial"/>
          <w:color w:val="000099"/>
          <w:sz w:val="22"/>
          <w:szCs w:val="22"/>
        </w:rPr>
        <w:t xml:space="preserve">is provided for each </w:t>
      </w:r>
      <w:r w:rsidRPr="00984BE3">
        <w:rPr>
          <w:rFonts w:ascii="Arial" w:hAnsi="Arial" w:cs="Arial"/>
          <w:i/>
          <w:iCs/>
          <w:color w:val="000099"/>
          <w:sz w:val="22"/>
          <w:szCs w:val="22"/>
        </w:rPr>
        <w:t>residential dwelling unit</w:t>
      </w:r>
      <w:r w:rsidRPr="00984BE3">
        <w:rPr>
          <w:rFonts w:ascii="Arial" w:hAnsi="Arial" w:cs="Arial"/>
          <w:color w:val="000099"/>
          <w:sz w:val="22"/>
          <w:szCs w:val="22"/>
        </w:rPr>
        <w:t xml:space="preserve">, at least one parking </w:t>
      </w:r>
      <w:r w:rsidRPr="00984BE3">
        <w:rPr>
          <w:rFonts w:ascii="Arial" w:hAnsi="Arial" w:cs="Arial"/>
          <w:i/>
          <w:iCs/>
          <w:color w:val="000099"/>
          <w:sz w:val="22"/>
          <w:szCs w:val="22"/>
        </w:rPr>
        <w:t xml:space="preserve">space </w:t>
      </w:r>
      <w:r w:rsidRPr="00984BE3">
        <w:rPr>
          <w:rFonts w:ascii="Arial" w:hAnsi="Arial" w:cs="Arial"/>
          <w:color w:val="000099"/>
          <w:sz w:val="22"/>
          <w:szCs w:val="22"/>
        </w:rPr>
        <w:t xml:space="preserve">complying with 502 shall be provided for each </w:t>
      </w:r>
      <w:r w:rsidRPr="00984BE3">
        <w:rPr>
          <w:rFonts w:ascii="Arial" w:hAnsi="Arial" w:cs="Arial"/>
          <w:i/>
          <w:iCs/>
          <w:color w:val="000099"/>
          <w:sz w:val="22"/>
          <w:szCs w:val="22"/>
        </w:rPr>
        <w:t xml:space="preserve">residential </w:t>
      </w:r>
    </w:p>
    <w:p w14:paraId="3B909078" w14:textId="77777777" w:rsidR="006B4573" w:rsidRPr="00984BE3" w:rsidRDefault="006B4573" w:rsidP="006B4573">
      <w:pPr>
        <w:autoSpaceDE w:val="0"/>
        <w:autoSpaceDN w:val="0"/>
        <w:adjustRightInd w:val="0"/>
        <w:ind w:right="36"/>
        <w:rPr>
          <w:rFonts w:ascii="Arial" w:hAnsi="Arial" w:cs="Arial"/>
          <w:color w:val="000099"/>
          <w:sz w:val="22"/>
          <w:szCs w:val="22"/>
        </w:rPr>
      </w:pPr>
      <w:r w:rsidRPr="00984BE3">
        <w:rPr>
          <w:rFonts w:ascii="Arial" w:hAnsi="Arial" w:cs="Arial"/>
          <w:i/>
          <w:iCs/>
          <w:color w:val="000099"/>
          <w:sz w:val="22"/>
          <w:szCs w:val="22"/>
        </w:rPr>
        <w:t xml:space="preserve">dwelling unit </w:t>
      </w:r>
      <w:r w:rsidRPr="00984BE3">
        <w:rPr>
          <w:rFonts w:ascii="Arial" w:hAnsi="Arial" w:cs="Arial"/>
          <w:color w:val="000099"/>
          <w:sz w:val="22"/>
          <w:szCs w:val="22"/>
        </w:rPr>
        <w:t>required to provide mobility features complying with 809.2 through 809.4.</w:t>
      </w:r>
    </w:p>
    <w:p w14:paraId="34032C1A" w14:textId="77777777" w:rsidR="006B4573" w:rsidRDefault="006B4573" w:rsidP="006B4573">
      <w:pPr>
        <w:autoSpaceDE w:val="0"/>
        <w:autoSpaceDN w:val="0"/>
        <w:adjustRightInd w:val="0"/>
        <w:ind w:right="36"/>
        <w:rPr>
          <w:rFonts w:ascii="Arial" w:hAnsi="Arial" w:cs="Arial"/>
        </w:rPr>
      </w:pPr>
    </w:p>
    <w:p w14:paraId="78BFB97C" w14:textId="77777777" w:rsidR="00935C5D" w:rsidRPr="00984BE3" w:rsidRDefault="00935C5D" w:rsidP="006B4573">
      <w:pPr>
        <w:autoSpaceDE w:val="0"/>
        <w:autoSpaceDN w:val="0"/>
        <w:adjustRightInd w:val="0"/>
        <w:ind w:right="36"/>
        <w:rPr>
          <w:rFonts w:ascii="Arial" w:hAnsi="Arial" w:cs="Arial"/>
        </w:rPr>
      </w:pPr>
    </w:p>
    <w:p w14:paraId="6E3BB44B" w14:textId="77777777" w:rsidR="006B4573" w:rsidRPr="00984BE3" w:rsidRDefault="00935C5D" w:rsidP="006B4573">
      <w:pPr>
        <w:pStyle w:val="ListParagraph"/>
        <w:numPr>
          <w:ilvl w:val="0"/>
          <w:numId w:val="3"/>
        </w:numPr>
        <w:autoSpaceDE w:val="0"/>
        <w:autoSpaceDN w:val="0"/>
        <w:adjustRightInd w:val="0"/>
        <w:ind w:right="36"/>
        <w:rPr>
          <w:rFonts w:ascii="Century Gothic" w:hAnsi="Century Gothic"/>
          <w:bCs/>
          <w:sz w:val="20"/>
          <w:szCs w:val="20"/>
        </w:rPr>
      </w:pPr>
      <w:r w:rsidRPr="00984BE3">
        <w:rPr>
          <w:rFonts w:ascii="Century Gothic" w:hAnsi="Century Gothic"/>
          <w:bCs/>
          <w:sz w:val="20"/>
          <w:szCs w:val="20"/>
        </w:rPr>
        <w:t xml:space="preserve">      </w:t>
      </w:r>
      <w:r w:rsidR="006B4573" w:rsidRPr="00984BE3">
        <w:rPr>
          <w:rFonts w:ascii="Century Gothic" w:hAnsi="Century Gothic"/>
          <w:bCs/>
          <w:sz w:val="20"/>
          <w:szCs w:val="20"/>
        </w:rPr>
        <w:t>Consumer Information is required by UFAS, but not by the 2010 ADAS.</w:t>
      </w:r>
    </w:p>
    <w:p w14:paraId="038090F8" w14:textId="77777777" w:rsidR="006B4573" w:rsidRPr="00984BE3" w:rsidRDefault="006B4573" w:rsidP="006B4573">
      <w:pPr>
        <w:pStyle w:val="ListParagraph"/>
        <w:autoSpaceDE w:val="0"/>
        <w:autoSpaceDN w:val="0"/>
        <w:adjustRightInd w:val="0"/>
        <w:ind w:left="0" w:right="36"/>
        <w:rPr>
          <w:bCs/>
          <w:sz w:val="24"/>
          <w:szCs w:val="24"/>
        </w:rPr>
      </w:pPr>
    </w:p>
    <w:p w14:paraId="764626F9" w14:textId="77777777" w:rsidR="006B4573" w:rsidRPr="00984BE3" w:rsidRDefault="006B4573" w:rsidP="006B4573">
      <w:pPr>
        <w:pStyle w:val="ListParagraph"/>
        <w:autoSpaceDE w:val="0"/>
        <w:autoSpaceDN w:val="0"/>
        <w:adjustRightInd w:val="0"/>
        <w:ind w:left="0" w:right="36"/>
        <w:rPr>
          <w:b/>
          <w:bCs/>
          <w:sz w:val="24"/>
          <w:szCs w:val="24"/>
        </w:rPr>
      </w:pPr>
      <w:r w:rsidRPr="00984BE3">
        <w:rPr>
          <w:b/>
          <w:bCs/>
          <w:sz w:val="24"/>
          <w:szCs w:val="24"/>
        </w:rPr>
        <w:t>UFAS:</w:t>
      </w:r>
    </w:p>
    <w:p w14:paraId="7C521717" w14:textId="77777777" w:rsidR="006B4573" w:rsidRDefault="006B4573" w:rsidP="006B4573">
      <w:pPr>
        <w:ind w:right="36"/>
      </w:pPr>
      <w:r w:rsidRPr="00984BE3">
        <w:rPr>
          <w:b/>
          <w:bCs/>
          <w:color w:val="000099"/>
        </w:rPr>
        <w:t xml:space="preserve">4.34.4 CONSUMER INFORMATION. </w:t>
      </w:r>
      <w:r w:rsidRPr="00984BE3">
        <w:rPr>
          <w:color w:val="000099"/>
        </w:rPr>
        <w:t>To ensure that the existence of adaptable features will be known to the owner or occupant of a dwelling, the following consumer information shall be provided in each adaptable dwelling unit available for occupancy</w:t>
      </w:r>
      <w:r w:rsidRPr="001666CD">
        <w:t>:</w:t>
      </w:r>
    </w:p>
    <w:p w14:paraId="744CB846" w14:textId="77777777" w:rsidR="006B4573" w:rsidRPr="001666CD" w:rsidRDefault="006B4573" w:rsidP="006B4573">
      <w:pPr>
        <w:ind w:right="36"/>
      </w:pPr>
    </w:p>
    <w:p w14:paraId="3E465D6D" w14:textId="77777777" w:rsidR="006B4573" w:rsidRPr="00984BE3" w:rsidRDefault="006B4573" w:rsidP="006B4573">
      <w:pPr>
        <w:pStyle w:val="ListParagraph"/>
        <w:autoSpaceDE w:val="0"/>
        <w:autoSpaceDN w:val="0"/>
        <w:adjustRightInd w:val="0"/>
        <w:ind w:left="0" w:right="36"/>
        <w:rPr>
          <w:b/>
          <w:bCs/>
          <w:sz w:val="24"/>
          <w:szCs w:val="24"/>
        </w:rPr>
      </w:pPr>
      <w:r w:rsidRPr="00984BE3">
        <w:rPr>
          <w:b/>
          <w:bCs/>
          <w:sz w:val="24"/>
          <w:szCs w:val="24"/>
        </w:rPr>
        <w:t>2010 ADAS:</w:t>
      </w:r>
    </w:p>
    <w:p w14:paraId="2C7AEC26" w14:textId="77777777" w:rsidR="006B4573" w:rsidRPr="00984BE3" w:rsidRDefault="006B4573" w:rsidP="006B4573">
      <w:pPr>
        <w:ind w:right="36"/>
        <w:rPr>
          <w:rFonts w:ascii="Century Gothic" w:hAnsi="Century Gothic" w:cs="Calibri"/>
          <w:bCs/>
          <w:sz w:val="20"/>
          <w:szCs w:val="20"/>
        </w:rPr>
      </w:pPr>
      <w:r w:rsidRPr="00984BE3">
        <w:rPr>
          <w:rFonts w:ascii="Century Gothic" w:hAnsi="Century Gothic" w:cs="Calibri"/>
          <w:bCs/>
          <w:sz w:val="20"/>
          <w:szCs w:val="20"/>
        </w:rPr>
        <w:t>I have not been able to find a comparable requirement in the 2010 ADA Standards.</w:t>
      </w:r>
    </w:p>
    <w:p w14:paraId="02C24793" w14:textId="77777777" w:rsidR="006B4573" w:rsidRPr="00984BE3" w:rsidRDefault="006B4573" w:rsidP="006B4573">
      <w:pPr>
        <w:ind w:right="36"/>
        <w:rPr>
          <w:rFonts w:cs="Calibri"/>
          <w:bCs/>
        </w:rPr>
      </w:pPr>
    </w:p>
    <w:p w14:paraId="724076BD" w14:textId="77777777" w:rsidR="00935C5D" w:rsidRPr="00984BE3" w:rsidRDefault="00935C5D" w:rsidP="006B4573">
      <w:pPr>
        <w:ind w:right="36"/>
        <w:rPr>
          <w:rFonts w:cs="Calibri"/>
          <w:bCs/>
        </w:rPr>
      </w:pPr>
    </w:p>
    <w:p w14:paraId="2E18348A" w14:textId="77777777" w:rsidR="006B4573" w:rsidRPr="00984BE3" w:rsidRDefault="006B4573" w:rsidP="00935C5D">
      <w:pPr>
        <w:pStyle w:val="ListParagraph"/>
        <w:numPr>
          <w:ilvl w:val="0"/>
          <w:numId w:val="3"/>
        </w:numPr>
        <w:autoSpaceDE w:val="0"/>
        <w:autoSpaceDN w:val="0"/>
        <w:adjustRightInd w:val="0"/>
        <w:ind w:left="0" w:right="36" w:firstLine="0"/>
        <w:rPr>
          <w:rFonts w:ascii="Century Gothic" w:hAnsi="Century Gothic" w:cs="Arial"/>
          <w:sz w:val="20"/>
          <w:szCs w:val="20"/>
        </w:rPr>
      </w:pPr>
      <w:r w:rsidRPr="00984BE3">
        <w:rPr>
          <w:rFonts w:ascii="Century Gothic" w:hAnsi="Century Gothic"/>
          <w:bCs/>
          <w:sz w:val="20"/>
          <w:szCs w:val="20"/>
        </w:rPr>
        <w:t xml:space="preserve">UFAS requires a 60” turning space in accessible spaces, which include patios.  The 2010 ADAS exempts exterior spaces &lt; 30” wide from having to provide a 60” turning space. Providing balconies that are accessible and usable by able-bodied residents but not wheelchair users strikes me as a violation of the ADA Regulations prohibitions </w:t>
      </w:r>
      <w:proofErr w:type="gramStart"/>
      <w:r w:rsidRPr="00984BE3">
        <w:rPr>
          <w:rFonts w:ascii="Century Gothic" w:hAnsi="Century Gothic"/>
          <w:bCs/>
          <w:sz w:val="20"/>
          <w:szCs w:val="20"/>
        </w:rPr>
        <w:t>against  denial</w:t>
      </w:r>
      <w:proofErr w:type="gramEnd"/>
      <w:r w:rsidRPr="00984BE3">
        <w:rPr>
          <w:rFonts w:ascii="Century Gothic" w:hAnsi="Century Gothic"/>
          <w:bCs/>
          <w:sz w:val="20"/>
          <w:szCs w:val="20"/>
        </w:rPr>
        <w:t xml:space="preserve"> of participation and participation in unequal benefit.</w:t>
      </w:r>
    </w:p>
    <w:p w14:paraId="71A450B2" w14:textId="77777777" w:rsidR="006B4573" w:rsidRPr="00A17FE0" w:rsidRDefault="006B4573" w:rsidP="006B4573">
      <w:pPr>
        <w:pStyle w:val="ListParagraph"/>
        <w:autoSpaceDE w:val="0"/>
        <w:autoSpaceDN w:val="0"/>
        <w:adjustRightInd w:val="0"/>
        <w:ind w:left="0" w:right="36"/>
      </w:pPr>
    </w:p>
    <w:p w14:paraId="47B8B034" w14:textId="77777777" w:rsidR="006B4573" w:rsidRPr="00984BE3" w:rsidRDefault="006B4573" w:rsidP="006B4573">
      <w:pPr>
        <w:pStyle w:val="ListParagraph"/>
        <w:autoSpaceDE w:val="0"/>
        <w:autoSpaceDN w:val="0"/>
        <w:adjustRightInd w:val="0"/>
        <w:ind w:left="0" w:right="36"/>
        <w:rPr>
          <w:b/>
          <w:bCs/>
          <w:sz w:val="24"/>
          <w:szCs w:val="24"/>
        </w:rPr>
      </w:pPr>
      <w:r w:rsidRPr="00984BE3">
        <w:rPr>
          <w:b/>
          <w:bCs/>
          <w:sz w:val="24"/>
          <w:szCs w:val="24"/>
        </w:rPr>
        <w:t>UFAS:</w:t>
      </w:r>
    </w:p>
    <w:p w14:paraId="134C9854" w14:textId="77777777" w:rsidR="006B4573" w:rsidRPr="00984BE3" w:rsidRDefault="006B4573" w:rsidP="006B4573">
      <w:pPr>
        <w:pStyle w:val="ListParagraph"/>
        <w:autoSpaceDE w:val="0"/>
        <w:autoSpaceDN w:val="0"/>
        <w:adjustRightInd w:val="0"/>
        <w:ind w:left="0" w:right="36"/>
        <w:rPr>
          <w:rFonts w:ascii="Times New Roman" w:hAnsi="Times New Roman" w:cs="Times New Roman"/>
          <w:color w:val="000099"/>
          <w:sz w:val="24"/>
          <w:szCs w:val="24"/>
        </w:rPr>
      </w:pPr>
      <w:r w:rsidRPr="00984BE3">
        <w:rPr>
          <w:rFonts w:ascii="Times New Roman" w:hAnsi="Times New Roman" w:cs="Times New Roman"/>
          <w:b/>
          <w:bCs/>
          <w:color w:val="000099"/>
          <w:sz w:val="24"/>
          <w:szCs w:val="24"/>
        </w:rPr>
        <w:t xml:space="preserve">4.2.3* Wheelchair Turning Space. </w:t>
      </w:r>
      <w:r w:rsidRPr="00984BE3">
        <w:rPr>
          <w:rFonts w:ascii="Times New Roman" w:hAnsi="Times New Roman" w:cs="Times New Roman"/>
          <w:color w:val="000099"/>
          <w:sz w:val="24"/>
          <w:szCs w:val="24"/>
        </w:rPr>
        <w:t>The space required for a wheelchair to make a 180-degree turn is a clear space of 60 in (1525 mm) diameter (see Fig. 3(a)) or a T-shaped space (see Fig. 3(b)).</w:t>
      </w:r>
    </w:p>
    <w:p w14:paraId="7C7C9565" w14:textId="77777777" w:rsidR="006B4573" w:rsidRPr="00984BE3" w:rsidRDefault="006B4573" w:rsidP="006B4573">
      <w:pPr>
        <w:pStyle w:val="ListParagraph"/>
        <w:autoSpaceDE w:val="0"/>
        <w:autoSpaceDN w:val="0"/>
        <w:adjustRightInd w:val="0"/>
        <w:ind w:left="0" w:right="36"/>
        <w:rPr>
          <w:rFonts w:ascii="Times New Roman" w:hAnsi="Times New Roman" w:cs="Times New Roman"/>
          <w:color w:val="000099"/>
          <w:sz w:val="24"/>
          <w:szCs w:val="24"/>
        </w:rPr>
      </w:pPr>
    </w:p>
    <w:p w14:paraId="527C3D73" w14:textId="77777777" w:rsidR="006B4573" w:rsidRPr="00984BE3" w:rsidRDefault="006B4573" w:rsidP="006B4573">
      <w:pPr>
        <w:pStyle w:val="Default"/>
        <w:ind w:right="36"/>
        <w:rPr>
          <w:color w:val="000099"/>
        </w:rPr>
      </w:pPr>
      <w:r w:rsidRPr="00984BE3">
        <w:rPr>
          <w:b/>
          <w:bCs/>
          <w:color w:val="000099"/>
        </w:rPr>
        <w:t xml:space="preserve">4.34.1 GENERAL. </w:t>
      </w:r>
      <w:r w:rsidRPr="00984BE3">
        <w:rPr>
          <w:color w:val="000099"/>
        </w:rPr>
        <w:t xml:space="preserve">The requirements of 4.34 apply to dwelling units required to be accessible by 4.1. </w:t>
      </w:r>
    </w:p>
    <w:p w14:paraId="034E4510" w14:textId="77777777" w:rsidR="006B4573" w:rsidRPr="00984BE3" w:rsidRDefault="006B4573" w:rsidP="006B4573">
      <w:pPr>
        <w:pStyle w:val="Default"/>
        <w:ind w:right="36"/>
        <w:rPr>
          <w:color w:val="000099"/>
        </w:rPr>
      </w:pPr>
      <w:r w:rsidRPr="00984BE3">
        <w:rPr>
          <w:b/>
          <w:bCs/>
          <w:color w:val="000099"/>
        </w:rPr>
        <w:t xml:space="preserve">4.34.2* MINIMUM REQUIREMENTS. </w:t>
      </w:r>
      <w:r w:rsidRPr="00984BE3">
        <w:rPr>
          <w:color w:val="000099"/>
        </w:rPr>
        <w:t xml:space="preserve">An accessible dwelling unit shall be on an accessible route. An accessible dwelling unit shall have the following accessible elements and spaces as a minimum: </w:t>
      </w:r>
    </w:p>
    <w:p w14:paraId="6CBC39F2" w14:textId="77777777" w:rsidR="006B4573" w:rsidRPr="00984BE3" w:rsidRDefault="006B4573" w:rsidP="006B4573">
      <w:pPr>
        <w:pStyle w:val="ListParagraph"/>
        <w:autoSpaceDE w:val="0"/>
        <w:autoSpaceDN w:val="0"/>
        <w:adjustRightInd w:val="0"/>
        <w:ind w:left="0" w:right="36"/>
        <w:rPr>
          <w:rFonts w:ascii="Times New Roman" w:hAnsi="Times New Roman" w:cs="Times New Roman"/>
          <w:color w:val="000099"/>
          <w:sz w:val="16"/>
          <w:szCs w:val="16"/>
        </w:rPr>
      </w:pPr>
    </w:p>
    <w:p w14:paraId="0C07EF88" w14:textId="77777777" w:rsidR="006B4573" w:rsidRPr="00984BE3" w:rsidRDefault="006B4573" w:rsidP="006B4573">
      <w:pPr>
        <w:pStyle w:val="ListParagraph"/>
        <w:autoSpaceDE w:val="0"/>
        <w:autoSpaceDN w:val="0"/>
        <w:adjustRightInd w:val="0"/>
        <w:ind w:left="0" w:right="36"/>
        <w:rPr>
          <w:rFonts w:ascii="Times New Roman" w:hAnsi="Times New Roman" w:cs="Times New Roman"/>
          <w:color w:val="000099"/>
          <w:sz w:val="24"/>
          <w:szCs w:val="24"/>
        </w:rPr>
      </w:pPr>
      <w:r w:rsidRPr="00984BE3">
        <w:rPr>
          <w:rFonts w:ascii="Times New Roman" w:hAnsi="Times New Roman" w:cs="Times New Roman"/>
          <w:color w:val="000099"/>
          <w:sz w:val="24"/>
          <w:szCs w:val="24"/>
        </w:rPr>
        <w:t xml:space="preserve"> (2) Accessible spaces shall have </w:t>
      </w:r>
      <w:proofErr w:type="gramStart"/>
      <w:r w:rsidRPr="00984BE3">
        <w:rPr>
          <w:rFonts w:ascii="Times New Roman" w:hAnsi="Times New Roman" w:cs="Times New Roman"/>
          <w:color w:val="000099"/>
          <w:sz w:val="24"/>
          <w:szCs w:val="24"/>
        </w:rPr>
        <w:t>maneuvering</w:t>
      </w:r>
      <w:proofErr w:type="gramEnd"/>
      <w:r w:rsidRPr="00984BE3">
        <w:rPr>
          <w:rFonts w:ascii="Times New Roman" w:hAnsi="Times New Roman" w:cs="Times New Roman"/>
          <w:color w:val="000099"/>
          <w:sz w:val="24"/>
          <w:szCs w:val="24"/>
        </w:rPr>
        <w:t xml:space="preserve"> space complying with 4.2.2 and 4.2.3 and surfaces complying with 4.5.</w:t>
      </w:r>
    </w:p>
    <w:p w14:paraId="277CED21" w14:textId="77777777" w:rsidR="006B4573" w:rsidRPr="00984BE3" w:rsidRDefault="006B4573" w:rsidP="006B4573">
      <w:pPr>
        <w:pStyle w:val="ListParagraph"/>
        <w:autoSpaceDE w:val="0"/>
        <w:autoSpaceDN w:val="0"/>
        <w:adjustRightInd w:val="0"/>
        <w:ind w:left="0" w:right="36"/>
        <w:rPr>
          <w:rFonts w:ascii="Times New Roman" w:hAnsi="Times New Roman" w:cs="Times New Roman"/>
          <w:color w:val="000099"/>
          <w:sz w:val="16"/>
          <w:szCs w:val="16"/>
        </w:rPr>
      </w:pPr>
    </w:p>
    <w:p w14:paraId="7EA1D1B8" w14:textId="77777777" w:rsidR="006B4573" w:rsidRPr="00984BE3" w:rsidRDefault="006B4573" w:rsidP="006B4573">
      <w:pPr>
        <w:pStyle w:val="ListParagraph"/>
        <w:autoSpaceDE w:val="0"/>
        <w:autoSpaceDN w:val="0"/>
        <w:adjustRightInd w:val="0"/>
        <w:ind w:left="0" w:right="36"/>
        <w:rPr>
          <w:rFonts w:ascii="Times New Roman" w:hAnsi="Times New Roman" w:cs="Times New Roman"/>
          <w:color w:val="000099"/>
          <w:sz w:val="24"/>
          <w:szCs w:val="24"/>
        </w:rPr>
      </w:pPr>
      <w:r w:rsidRPr="00984BE3">
        <w:rPr>
          <w:rFonts w:ascii="Times New Roman" w:hAnsi="Times New Roman" w:cs="Times New Roman"/>
          <w:color w:val="000099"/>
          <w:sz w:val="24"/>
          <w:szCs w:val="24"/>
        </w:rPr>
        <w:t>(15) The following spaces shall be accessible and shall be on an accessible route:</w:t>
      </w:r>
    </w:p>
    <w:p w14:paraId="20F76BAB" w14:textId="77777777" w:rsidR="006B4573" w:rsidRPr="00984BE3" w:rsidRDefault="006B4573" w:rsidP="006B4573">
      <w:pPr>
        <w:pStyle w:val="ListParagraph"/>
        <w:autoSpaceDE w:val="0"/>
        <w:autoSpaceDN w:val="0"/>
        <w:adjustRightInd w:val="0"/>
        <w:ind w:left="0" w:right="36"/>
        <w:rPr>
          <w:rFonts w:ascii="Times New Roman" w:hAnsi="Times New Roman" w:cs="Times New Roman"/>
          <w:color w:val="000099"/>
          <w:sz w:val="24"/>
          <w:szCs w:val="24"/>
        </w:rPr>
      </w:pPr>
      <w:r w:rsidRPr="00984BE3">
        <w:rPr>
          <w:rFonts w:ascii="Times New Roman" w:hAnsi="Times New Roman" w:cs="Times New Roman"/>
          <w:color w:val="000099"/>
          <w:sz w:val="24"/>
          <w:szCs w:val="24"/>
        </w:rPr>
        <w:t>(d) Patios, terraces, balconies, carports, and garages, if provided with the dwelling unit.</w:t>
      </w:r>
    </w:p>
    <w:p w14:paraId="4EEA4148" w14:textId="77777777" w:rsidR="006B4573" w:rsidRDefault="006B4573" w:rsidP="006B4573">
      <w:pPr>
        <w:pStyle w:val="ListParagraph"/>
        <w:autoSpaceDE w:val="0"/>
        <w:autoSpaceDN w:val="0"/>
        <w:adjustRightInd w:val="0"/>
        <w:ind w:left="0" w:right="36"/>
        <w:rPr>
          <w:rFonts w:ascii="Times New Roman" w:hAnsi="Times New Roman" w:cs="Times New Roman"/>
          <w:sz w:val="24"/>
          <w:szCs w:val="24"/>
        </w:rPr>
      </w:pPr>
    </w:p>
    <w:p w14:paraId="0BD74FE9" w14:textId="77777777" w:rsidR="006B4573" w:rsidRPr="00984BE3" w:rsidRDefault="006B4573" w:rsidP="006B4573">
      <w:pPr>
        <w:pStyle w:val="ListParagraph"/>
        <w:autoSpaceDE w:val="0"/>
        <w:autoSpaceDN w:val="0"/>
        <w:adjustRightInd w:val="0"/>
        <w:ind w:left="0" w:right="36"/>
        <w:rPr>
          <w:b/>
          <w:bCs/>
          <w:sz w:val="24"/>
          <w:szCs w:val="24"/>
        </w:rPr>
      </w:pPr>
      <w:r w:rsidRPr="00984BE3">
        <w:rPr>
          <w:b/>
          <w:bCs/>
          <w:sz w:val="24"/>
          <w:szCs w:val="24"/>
        </w:rPr>
        <w:t>2010 ADAS:</w:t>
      </w:r>
    </w:p>
    <w:p w14:paraId="5E214E92" w14:textId="77777777" w:rsidR="006B4573" w:rsidRPr="00984BE3" w:rsidRDefault="006B4573" w:rsidP="006B4573">
      <w:pPr>
        <w:autoSpaceDE w:val="0"/>
        <w:autoSpaceDN w:val="0"/>
        <w:adjustRightInd w:val="0"/>
        <w:ind w:right="36"/>
        <w:rPr>
          <w:rFonts w:ascii="Arial" w:hAnsi="Arial" w:cs="Arial"/>
          <w:color w:val="000099"/>
          <w:sz w:val="22"/>
          <w:szCs w:val="22"/>
        </w:rPr>
      </w:pPr>
      <w:r w:rsidRPr="00984BE3">
        <w:rPr>
          <w:rFonts w:ascii="Arial" w:hAnsi="Arial" w:cs="Arial"/>
          <w:b/>
          <w:bCs/>
          <w:color w:val="000099"/>
          <w:sz w:val="22"/>
          <w:szCs w:val="22"/>
        </w:rPr>
        <w:t xml:space="preserve">809.2.2 Turning Space. </w:t>
      </w:r>
      <w:r w:rsidRPr="00984BE3">
        <w:rPr>
          <w:rFonts w:ascii="Arial" w:hAnsi="Arial" w:cs="Arial"/>
          <w:color w:val="000099"/>
          <w:sz w:val="22"/>
          <w:szCs w:val="22"/>
        </w:rPr>
        <w:t xml:space="preserve">All rooms served by an </w:t>
      </w:r>
      <w:r w:rsidRPr="00984BE3">
        <w:rPr>
          <w:rFonts w:ascii="Arial" w:hAnsi="Arial" w:cs="Arial"/>
          <w:i/>
          <w:iCs/>
          <w:color w:val="000099"/>
          <w:sz w:val="22"/>
          <w:szCs w:val="22"/>
        </w:rPr>
        <w:t xml:space="preserve">accessible </w:t>
      </w:r>
      <w:r w:rsidRPr="00984BE3">
        <w:rPr>
          <w:rFonts w:ascii="Arial" w:hAnsi="Arial" w:cs="Arial"/>
          <w:color w:val="000099"/>
          <w:sz w:val="22"/>
          <w:szCs w:val="22"/>
        </w:rPr>
        <w:t xml:space="preserve">route shall provide a turning </w:t>
      </w:r>
      <w:r w:rsidRPr="00984BE3">
        <w:rPr>
          <w:rFonts w:ascii="Arial" w:hAnsi="Arial" w:cs="Arial"/>
          <w:i/>
          <w:iCs/>
          <w:color w:val="000099"/>
          <w:sz w:val="22"/>
          <w:szCs w:val="22"/>
        </w:rPr>
        <w:t xml:space="preserve">space </w:t>
      </w:r>
      <w:r w:rsidRPr="00984BE3">
        <w:rPr>
          <w:rFonts w:ascii="Arial" w:hAnsi="Arial" w:cs="Arial"/>
          <w:color w:val="000099"/>
          <w:sz w:val="22"/>
          <w:szCs w:val="22"/>
        </w:rPr>
        <w:t>complying with 304.</w:t>
      </w:r>
    </w:p>
    <w:p w14:paraId="3ED02855" w14:textId="77777777" w:rsidR="006B4573" w:rsidRPr="00984BE3" w:rsidRDefault="006B4573" w:rsidP="006B4573">
      <w:pPr>
        <w:autoSpaceDE w:val="0"/>
        <w:autoSpaceDN w:val="0"/>
        <w:adjustRightInd w:val="0"/>
        <w:ind w:right="36"/>
        <w:rPr>
          <w:rFonts w:ascii="Arial" w:hAnsi="Arial" w:cs="Arial"/>
          <w:color w:val="000099"/>
          <w:sz w:val="22"/>
          <w:szCs w:val="22"/>
        </w:rPr>
      </w:pPr>
      <w:r w:rsidRPr="00984BE3">
        <w:rPr>
          <w:rFonts w:ascii="Arial" w:hAnsi="Arial" w:cs="Arial"/>
          <w:b/>
          <w:bCs/>
          <w:color w:val="000099"/>
          <w:sz w:val="22"/>
          <w:szCs w:val="22"/>
        </w:rPr>
        <w:t xml:space="preserve">EXCEPTION: </w:t>
      </w:r>
      <w:r w:rsidRPr="00984BE3">
        <w:rPr>
          <w:rFonts w:ascii="Arial" w:hAnsi="Arial" w:cs="Arial"/>
          <w:color w:val="000099"/>
          <w:sz w:val="22"/>
          <w:szCs w:val="22"/>
        </w:rPr>
        <w:t xml:space="preserve">Turning </w:t>
      </w:r>
      <w:r w:rsidRPr="00984BE3">
        <w:rPr>
          <w:rFonts w:ascii="Arial" w:hAnsi="Arial" w:cs="Arial"/>
          <w:i/>
          <w:iCs/>
          <w:color w:val="000099"/>
          <w:sz w:val="22"/>
          <w:szCs w:val="22"/>
        </w:rPr>
        <w:t xml:space="preserve">space </w:t>
      </w:r>
      <w:r w:rsidRPr="00984BE3">
        <w:rPr>
          <w:rFonts w:ascii="Arial" w:hAnsi="Arial" w:cs="Arial"/>
          <w:color w:val="000099"/>
          <w:sz w:val="22"/>
          <w:szCs w:val="22"/>
        </w:rPr>
        <w:t xml:space="preserve">shall not be required in exterior </w:t>
      </w:r>
      <w:r w:rsidRPr="00984BE3">
        <w:rPr>
          <w:rFonts w:ascii="Arial" w:hAnsi="Arial" w:cs="Arial"/>
          <w:i/>
          <w:iCs/>
          <w:color w:val="000099"/>
          <w:sz w:val="22"/>
          <w:szCs w:val="22"/>
        </w:rPr>
        <w:t xml:space="preserve">spaces </w:t>
      </w:r>
      <w:r w:rsidRPr="00984BE3">
        <w:rPr>
          <w:rFonts w:ascii="Arial" w:hAnsi="Arial" w:cs="Arial"/>
          <w:color w:val="000099"/>
          <w:sz w:val="22"/>
          <w:szCs w:val="22"/>
        </w:rPr>
        <w:t>30 inches (760 mm) maximum in depth or width.</w:t>
      </w:r>
    </w:p>
    <w:p w14:paraId="52A810EE" w14:textId="77777777" w:rsidR="006B4573" w:rsidRDefault="006B4573" w:rsidP="006B4573">
      <w:pPr>
        <w:autoSpaceDE w:val="0"/>
        <w:autoSpaceDN w:val="0"/>
        <w:adjustRightInd w:val="0"/>
        <w:ind w:right="36"/>
        <w:rPr>
          <w:rFonts w:ascii="Arial" w:hAnsi="Arial" w:cs="Arial"/>
        </w:rPr>
      </w:pPr>
    </w:p>
    <w:p w14:paraId="149E6251" w14:textId="77777777" w:rsidR="00935C5D" w:rsidRDefault="00935C5D" w:rsidP="006B4573">
      <w:pPr>
        <w:autoSpaceDE w:val="0"/>
        <w:autoSpaceDN w:val="0"/>
        <w:adjustRightInd w:val="0"/>
        <w:ind w:right="36"/>
        <w:rPr>
          <w:rFonts w:ascii="Arial" w:hAnsi="Arial" w:cs="Arial"/>
        </w:rPr>
      </w:pPr>
    </w:p>
    <w:p w14:paraId="1B2E6777" w14:textId="77777777" w:rsidR="006B4573" w:rsidRPr="00984BE3" w:rsidRDefault="006B4573" w:rsidP="00935C5D">
      <w:pPr>
        <w:pStyle w:val="ListParagraph"/>
        <w:numPr>
          <w:ilvl w:val="0"/>
          <w:numId w:val="3"/>
        </w:numPr>
        <w:autoSpaceDE w:val="0"/>
        <w:autoSpaceDN w:val="0"/>
        <w:adjustRightInd w:val="0"/>
        <w:ind w:left="0" w:right="36" w:firstLine="0"/>
        <w:rPr>
          <w:rFonts w:ascii="Century Gothic" w:hAnsi="Century Gothic"/>
          <w:sz w:val="20"/>
          <w:szCs w:val="20"/>
        </w:rPr>
      </w:pPr>
      <w:r w:rsidRPr="00984BE3">
        <w:rPr>
          <w:rFonts w:ascii="Century Gothic" w:hAnsi="Century Gothic"/>
          <w:bCs/>
          <w:sz w:val="20"/>
          <w:szCs w:val="20"/>
        </w:rPr>
        <w:t>UFAS prohibits doors from swinging across the clear floor space required for any fixture in accessible dwelling unit (accessible) bathrooms. The 2010 ADAS allows doors to swing across fixture clear floor spaces when a 30”x48” clear floor space is provided in the bathroom outside the swing of the door.</w:t>
      </w:r>
    </w:p>
    <w:p w14:paraId="5E43EFE2" w14:textId="77777777" w:rsidR="006B4573" w:rsidRPr="00A17FE0" w:rsidRDefault="006B4573" w:rsidP="006B4573">
      <w:pPr>
        <w:pStyle w:val="ListParagraph"/>
        <w:autoSpaceDE w:val="0"/>
        <w:autoSpaceDN w:val="0"/>
        <w:adjustRightInd w:val="0"/>
        <w:ind w:left="0" w:right="36"/>
      </w:pPr>
    </w:p>
    <w:p w14:paraId="6F569F05" w14:textId="77777777" w:rsidR="006B4573" w:rsidRPr="00984BE3" w:rsidRDefault="006B4573" w:rsidP="006B4573">
      <w:pPr>
        <w:pStyle w:val="ListParagraph"/>
        <w:autoSpaceDE w:val="0"/>
        <w:autoSpaceDN w:val="0"/>
        <w:adjustRightInd w:val="0"/>
        <w:ind w:left="0" w:right="36"/>
        <w:rPr>
          <w:b/>
          <w:bCs/>
          <w:sz w:val="24"/>
          <w:szCs w:val="24"/>
        </w:rPr>
      </w:pPr>
      <w:r w:rsidRPr="00984BE3">
        <w:rPr>
          <w:b/>
          <w:bCs/>
          <w:sz w:val="24"/>
          <w:szCs w:val="24"/>
        </w:rPr>
        <w:t>UFAS:</w:t>
      </w:r>
    </w:p>
    <w:p w14:paraId="691F6E90" w14:textId="77777777" w:rsidR="006B4573" w:rsidRPr="00984BE3" w:rsidRDefault="006B4573" w:rsidP="006B4573">
      <w:pPr>
        <w:pStyle w:val="Default"/>
        <w:ind w:right="36"/>
        <w:rPr>
          <w:color w:val="000099"/>
        </w:rPr>
      </w:pPr>
      <w:r w:rsidRPr="00984BE3">
        <w:rPr>
          <w:b/>
          <w:bCs/>
          <w:color w:val="000099"/>
        </w:rPr>
        <w:t xml:space="preserve">4.34.5* BATHROOMS. </w:t>
      </w:r>
      <w:r w:rsidRPr="00984BE3">
        <w:rPr>
          <w:color w:val="000099"/>
        </w:rPr>
        <w:t xml:space="preserve">Accessible or adaptable bathrooms shall be on an accessible route and shall comply with the requirements of 4.34.5. </w:t>
      </w:r>
    </w:p>
    <w:p w14:paraId="75E16BF1" w14:textId="77777777" w:rsidR="006B4573" w:rsidRPr="00984BE3" w:rsidRDefault="006B4573" w:rsidP="006B4573">
      <w:pPr>
        <w:pStyle w:val="ListParagraph"/>
        <w:autoSpaceDE w:val="0"/>
        <w:autoSpaceDN w:val="0"/>
        <w:adjustRightInd w:val="0"/>
        <w:ind w:left="0" w:right="36"/>
        <w:rPr>
          <w:rFonts w:ascii="Times New Roman" w:hAnsi="Times New Roman" w:cs="Times New Roman"/>
          <w:b/>
          <w:bCs/>
          <w:color w:val="000099"/>
          <w:sz w:val="24"/>
          <w:szCs w:val="24"/>
        </w:rPr>
      </w:pPr>
      <w:r w:rsidRPr="00984BE3">
        <w:rPr>
          <w:rFonts w:ascii="Times New Roman" w:hAnsi="Times New Roman" w:cs="Times New Roman"/>
          <w:b/>
          <w:bCs/>
          <w:color w:val="000099"/>
          <w:sz w:val="24"/>
          <w:szCs w:val="24"/>
        </w:rPr>
        <w:t xml:space="preserve">4.34.5.1 DOORS. </w:t>
      </w:r>
      <w:r w:rsidRPr="00984BE3">
        <w:rPr>
          <w:rFonts w:ascii="Times New Roman" w:hAnsi="Times New Roman" w:cs="Times New Roman"/>
          <w:color w:val="000099"/>
          <w:sz w:val="24"/>
          <w:szCs w:val="24"/>
        </w:rPr>
        <w:t>Doors shall not swing into the clear floor space required for any fixture.</w:t>
      </w:r>
    </w:p>
    <w:p w14:paraId="63F6F063" w14:textId="77777777" w:rsidR="006B4573" w:rsidRPr="006B4573" w:rsidRDefault="006B4573" w:rsidP="006B4573">
      <w:pPr>
        <w:pStyle w:val="ListParagraph"/>
        <w:autoSpaceDE w:val="0"/>
        <w:autoSpaceDN w:val="0"/>
        <w:adjustRightInd w:val="0"/>
        <w:ind w:left="0" w:right="36"/>
        <w:rPr>
          <w:b/>
          <w:bCs/>
          <w:color w:val="000099"/>
          <w:sz w:val="24"/>
          <w:szCs w:val="24"/>
        </w:rPr>
      </w:pPr>
    </w:p>
    <w:p w14:paraId="1370FF47" w14:textId="77777777" w:rsidR="006B4573" w:rsidRPr="00984BE3" w:rsidRDefault="006B4573" w:rsidP="006B4573">
      <w:pPr>
        <w:pStyle w:val="ListParagraph"/>
        <w:autoSpaceDE w:val="0"/>
        <w:autoSpaceDN w:val="0"/>
        <w:adjustRightInd w:val="0"/>
        <w:ind w:left="0" w:right="36"/>
        <w:rPr>
          <w:b/>
          <w:bCs/>
          <w:sz w:val="24"/>
          <w:szCs w:val="24"/>
        </w:rPr>
      </w:pPr>
      <w:r w:rsidRPr="00984BE3">
        <w:rPr>
          <w:b/>
          <w:bCs/>
          <w:sz w:val="24"/>
          <w:szCs w:val="24"/>
        </w:rPr>
        <w:t>2010 ADAS:</w:t>
      </w:r>
    </w:p>
    <w:p w14:paraId="70FDFD30" w14:textId="77777777" w:rsidR="006B4573" w:rsidRPr="00984BE3" w:rsidRDefault="006B4573" w:rsidP="006B4573">
      <w:pPr>
        <w:autoSpaceDE w:val="0"/>
        <w:autoSpaceDN w:val="0"/>
        <w:adjustRightInd w:val="0"/>
        <w:ind w:right="36"/>
        <w:rPr>
          <w:rFonts w:ascii="Arial" w:hAnsi="Arial" w:cs="Arial"/>
          <w:color w:val="000099"/>
          <w:sz w:val="22"/>
          <w:szCs w:val="22"/>
        </w:rPr>
      </w:pPr>
      <w:r w:rsidRPr="00984BE3">
        <w:rPr>
          <w:rFonts w:ascii="Arial" w:hAnsi="Arial" w:cs="Arial"/>
          <w:b/>
          <w:bCs/>
          <w:color w:val="000099"/>
          <w:sz w:val="22"/>
          <w:szCs w:val="22"/>
        </w:rPr>
        <w:t xml:space="preserve">603.2.3 Door Swing. </w:t>
      </w:r>
      <w:r w:rsidRPr="00984BE3">
        <w:rPr>
          <w:rFonts w:ascii="Arial" w:hAnsi="Arial" w:cs="Arial"/>
          <w:color w:val="000099"/>
          <w:sz w:val="22"/>
          <w:szCs w:val="22"/>
        </w:rPr>
        <w:t xml:space="preserve">Doors shall not swing into the clear floor </w:t>
      </w:r>
      <w:r w:rsidRPr="00984BE3">
        <w:rPr>
          <w:rFonts w:ascii="Arial" w:hAnsi="Arial" w:cs="Arial"/>
          <w:i/>
          <w:iCs/>
          <w:color w:val="000099"/>
          <w:sz w:val="22"/>
          <w:szCs w:val="22"/>
        </w:rPr>
        <w:t xml:space="preserve">space </w:t>
      </w:r>
      <w:r w:rsidRPr="00984BE3">
        <w:rPr>
          <w:rFonts w:ascii="Arial" w:hAnsi="Arial" w:cs="Arial"/>
          <w:color w:val="000099"/>
          <w:sz w:val="22"/>
          <w:szCs w:val="22"/>
        </w:rPr>
        <w:t xml:space="preserve">or clearance required for any fixture. Doors shall be permitted to swing into the required turning </w:t>
      </w:r>
      <w:r w:rsidRPr="00984BE3">
        <w:rPr>
          <w:rFonts w:ascii="Arial" w:hAnsi="Arial" w:cs="Arial"/>
          <w:i/>
          <w:iCs/>
          <w:color w:val="000099"/>
          <w:sz w:val="22"/>
          <w:szCs w:val="22"/>
        </w:rPr>
        <w:t>space</w:t>
      </w:r>
      <w:r w:rsidRPr="00984BE3">
        <w:rPr>
          <w:rFonts w:ascii="Arial" w:hAnsi="Arial" w:cs="Arial"/>
          <w:color w:val="000099"/>
          <w:sz w:val="22"/>
          <w:szCs w:val="22"/>
        </w:rPr>
        <w:t>.</w:t>
      </w:r>
    </w:p>
    <w:p w14:paraId="5AE715B1" w14:textId="77777777" w:rsidR="006B4573" w:rsidRPr="00984BE3" w:rsidRDefault="006B4573" w:rsidP="006B4573">
      <w:pPr>
        <w:autoSpaceDE w:val="0"/>
        <w:autoSpaceDN w:val="0"/>
        <w:adjustRightInd w:val="0"/>
        <w:ind w:right="36"/>
        <w:rPr>
          <w:rFonts w:ascii="Arial" w:hAnsi="Arial" w:cs="Arial"/>
          <w:color w:val="000099"/>
          <w:sz w:val="22"/>
          <w:szCs w:val="22"/>
        </w:rPr>
      </w:pPr>
      <w:r w:rsidRPr="00984BE3">
        <w:rPr>
          <w:rFonts w:ascii="Arial" w:hAnsi="Arial" w:cs="Arial"/>
          <w:b/>
          <w:bCs/>
          <w:color w:val="000099"/>
          <w:sz w:val="22"/>
          <w:szCs w:val="22"/>
        </w:rPr>
        <w:t>EXCEPTIONS</w:t>
      </w:r>
      <w:proofErr w:type="gramStart"/>
      <w:r w:rsidRPr="00984BE3">
        <w:rPr>
          <w:rFonts w:ascii="Arial" w:hAnsi="Arial" w:cs="Arial"/>
          <w:b/>
          <w:bCs/>
          <w:color w:val="000099"/>
          <w:sz w:val="22"/>
          <w:szCs w:val="22"/>
        </w:rPr>
        <w:t>:  2</w:t>
      </w:r>
      <w:proofErr w:type="gramEnd"/>
      <w:r w:rsidRPr="00984BE3">
        <w:rPr>
          <w:rFonts w:ascii="Arial" w:hAnsi="Arial" w:cs="Arial"/>
          <w:b/>
          <w:bCs/>
          <w:color w:val="000099"/>
          <w:sz w:val="22"/>
          <w:szCs w:val="22"/>
        </w:rPr>
        <w:t xml:space="preserve">. </w:t>
      </w:r>
      <w:r w:rsidRPr="00984BE3">
        <w:rPr>
          <w:rFonts w:ascii="Arial" w:hAnsi="Arial" w:cs="Arial"/>
          <w:color w:val="000099"/>
          <w:sz w:val="22"/>
          <w:szCs w:val="22"/>
        </w:rPr>
        <w:t xml:space="preserve">Where the toilet room or bathing room is for individual use and a clear floor </w:t>
      </w:r>
      <w:r w:rsidRPr="00984BE3">
        <w:rPr>
          <w:rFonts w:ascii="Arial" w:hAnsi="Arial" w:cs="Arial"/>
          <w:i/>
          <w:iCs/>
          <w:color w:val="000099"/>
          <w:sz w:val="22"/>
          <w:szCs w:val="22"/>
        </w:rPr>
        <w:t xml:space="preserve">space </w:t>
      </w:r>
      <w:r w:rsidRPr="00984BE3">
        <w:rPr>
          <w:rFonts w:ascii="Arial" w:hAnsi="Arial" w:cs="Arial"/>
          <w:color w:val="000099"/>
          <w:sz w:val="22"/>
          <w:szCs w:val="22"/>
        </w:rPr>
        <w:t xml:space="preserve">complying with 305.3 is provided within the room beyond the arc of the door swing, doors shall be permitted to swing into the clear floor </w:t>
      </w:r>
      <w:r w:rsidRPr="00984BE3">
        <w:rPr>
          <w:rFonts w:ascii="Arial" w:hAnsi="Arial" w:cs="Arial"/>
          <w:i/>
          <w:iCs/>
          <w:color w:val="000099"/>
          <w:sz w:val="22"/>
          <w:szCs w:val="22"/>
        </w:rPr>
        <w:t xml:space="preserve">space </w:t>
      </w:r>
      <w:r w:rsidRPr="00984BE3">
        <w:rPr>
          <w:rFonts w:ascii="Arial" w:hAnsi="Arial" w:cs="Arial"/>
          <w:color w:val="000099"/>
          <w:sz w:val="22"/>
          <w:szCs w:val="22"/>
        </w:rPr>
        <w:t>or clearance required for any fixture.</w:t>
      </w:r>
    </w:p>
    <w:p w14:paraId="6E381FDC" w14:textId="77777777" w:rsidR="006B4573" w:rsidRPr="00984BE3" w:rsidRDefault="006B4573" w:rsidP="006B4573">
      <w:pPr>
        <w:autoSpaceDE w:val="0"/>
        <w:autoSpaceDN w:val="0"/>
        <w:adjustRightInd w:val="0"/>
        <w:ind w:right="36"/>
        <w:rPr>
          <w:rFonts w:ascii="Arial" w:hAnsi="Arial" w:cs="Arial"/>
          <w:b/>
          <w:bCs/>
          <w:color w:val="000099"/>
          <w:sz w:val="22"/>
          <w:szCs w:val="22"/>
        </w:rPr>
      </w:pPr>
    </w:p>
    <w:p w14:paraId="7A2B1EB9" w14:textId="77777777" w:rsidR="006B4573" w:rsidRDefault="006B4573" w:rsidP="006B4573">
      <w:pPr>
        <w:autoSpaceDE w:val="0"/>
        <w:autoSpaceDN w:val="0"/>
        <w:adjustRightInd w:val="0"/>
        <w:ind w:right="36"/>
        <w:rPr>
          <w:rFonts w:ascii="Arial" w:hAnsi="Arial" w:cs="Arial"/>
        </w:rPr>
      </w:pPr>
      <w:r w:rsidRPr="00984BE3">
        <w:rPr>
          <w:rFonts w:ascii="Arial" w:hAnsi="Arial" w:cs="Arial"/>
          <w:b/>
          <w:bCs/>
          <w:color w:val="000099"/>
          <w:sz w:val="22"/>
          <w:szCs w:val="22"/>
        </w:rPr>
        <w:t xml:space="preserve">809.4 Toilet Facilities and Bathing Facilities. </w:t>
      </w:r>
      <w:r w:rsidRPr="00984BE3">
        <w:rPr>
          <w:rFonts w:ascii="Arial" w:hAnsi="Arial" w:cs="Arial"/>
          <w:color w:val="000099"/>
          <w:sz w:val="22"/>
          <w:szCs w:val="22"/>
        </w:rPr>
        <w:t xml:space="preserve">At least one bathroom shall comply with 603. No fewer than one of each type of fixture provided shall comply with applicable requirements of 603 through 610. Toilet and bathing fixtures required to comply with 603 through 610 shall be located in the same toilet and bathing area, such that travel between fixtures does not require travel between other parts of the </w:t>
      </w:r>
      <w:r w:rsidRPr="00984BE3">
        <w:rPr>
          <w:rFonts w:ascii="Arial" w:hAnsi="Arial" w:cs="Arial"/>
          <w:i/>
          <w:iCs/>
          <w:color w:val="000099"/>
          <w:sz w:val="22"/>
          <w:szCs w:val="22"/>
        </w:rPr>
        <w:t>residential dwelling unit</w:t>
      </w:r>
      <w:r>
        <w:rPr>
          <w:rFonts w:ascii="Arial" w:hAnsi="Arial" w:cs="Arial"/>
        </w:rPr>
        <w:t>.</w:t>
      </w:r>
    </w:p>
    <w:p w14:paraId="63469D4F" w14:textId="77777777" w:rsidR="006B4573" w:rsidRDefault="006B4573" w:rsidP="006B4573">
      <w:pPr>
        <w:autoSpaceDE w:val="0"/>
        <w:autoSpaceDN w:val="0"/>
        <w:adjustRightInd w:val="0"/>
        <w:ind w:right="36"/>
        <w:rPr>
          <w:rFonts w:cs="Calibri"/>
        </w:rPr>
      </w:pPr>
    </w:p>
    <w:p w14:paraId="270DD484" w14:textId="77777777" w:rsidR="00935C5D" w:rsidRPr="006B4573" w:rsidRDefault="00935C5D" w:rsidP="006B4573">
      <w:pPr>
        <w:autoSpaceDE w:val="0"/>
        <w:autoSpaceDN w:val="0"/>
        <w:adjustRightInd w:val="0"/>
        <w:ind w:right="36"/>
        <w:rPr>
          <w:rFonts w:cs="Calibri"/>
        </w:rPr>
      </w:pPr>
    </w:p>
    <w:p w14:paraId="589E863F" w14:textId="77777777" w:rsidR="006B4573" w:rsidRPr="00984BE3" w:rsidRDefault="006B4573" w:rsidP="00935C5D">
      <w:pPr>
        <w:pStyle w:val="ListParagraph"/>
        <w:numPr>
          <w:ilvl w:val="0"/>
          <w:numId w:val="3"/>
        </w:numPr>
        <w:autoSpaceDE w:val="0"/>
        <w:autoSpaceDN w:val="0"/>
        <w:adjustRightInd w:val="0"/>
        <w:ind w:left="0" w:right="36" w:firstLine="0"/>
        <w:rPr>
          <w:rFonts w:ascii="Century Gothic" w:hAnsi="Century Gothic"/>
          <w:bCs/>
          <w:sz w:val="20"/>
          <w:szCs w:val="20"/>
        </w:rPr>
      </w:pPr>
      <w:r w:rsidRPr="00984BE3">
        <w:rPr>
          <w:rFonts w:ascii="Century Gothic" w:hAnsi="Century Gothic"/>
          <w:bCs/>
          <w:sz w:val="20"/>
          <w:szCs w:val="20"/>
        </w:rPr>
        <w:t xml:space="preserve">UFAS requires </w:t>
      </w:r>
      <w:proofErr w:type="gramStart"/>
      <w:r w:rsidRPr="00984BE3">
        <w:rPr>
          <w:rFonts w:ascii="Century Gothic" w:hAnsi="Century Gothic"/>
          <w:bCs/>
          <w:sz w:val="20"/>
          <w:szCs w:val="20"/>
        </w:rPr>
        <w:t>the</w:t>
      </w:r>
      <w:proofErr w:type="gramEnd"/>
      <w:r w:rsidRPr="00984BE3">
        <w:rPr>
          <w:rFonts w:ascii="Century Gothic" w:hAnsi="Century Gothic"/>
          <w:bCs/>
          <w:sz w:val="20"/>
          <w:szCs w:val="20"/>
        </w:rPr>
        <w:t xml:space="preserve"> seat in an accessible shower in a Mobility Unit to be secured in place. </w:t>
      </w:r>
      <w:proofErr w:type="gramStart"/>
      <w:r w:rsidRPr="00984BE3">
        <w:rPr>
          <w:rFonts w:ascii="Century Gothic" w:hAnsi="Century Gothic"/>
          <w:bCs/>
          <w:sz w:val="20"/>
          <w:szCs w:val="20"/>
        </w:rPr>
        <w:t>Both the</w:t>
      </w:r>
      <w:proofErr w:type="gramEnd"/>
      <w:r w:rsidRPr="00984BE3">
        <w:rPr>
          <w:rFonts w:ascii="Century Gothic" w:hAnsi="Century Gothic"/>
          <w:bCs/>
          <w:sz w:val="20"/>
          <w:szCs w:val="20"/>
        </w:rPr>
        <w:t xml:space="preserve"> 2010 ADAS allows bathtub seats to be removable. I do not know enough about this topic to have an opinion as to which requirement is more advantageous. I am certain different users will prefer/require different accommodations, so the flexibility that 2010 ADAS allows may be preferable.  </w:t>
      </w:r>
    </w:p>
    <w:p w14:paraId="549104DD" w14:textId="77777777" w:rsidR="006B4573" w:rsidRPr="00984BE3" w:rsidRDefault="006B4573" w:rsidP="006B4573">
      <w:pPr>
        <w:pStyle w:val="ListParagraph"/>
        <w:autoSpaceDE w:val="0"/>
        <w:autoSpaceDN w:val="0"/>
        <w:adjustRightInd w:val="0"/>
        <w:ind w:left="0" w:right="36"/>
        <w:rPr>
          <w:sz w:val="24"/>
          <w:szCs w:val="24"/>
        </w:rPr>
      </w:pPr>
    </w:p>
    <w:p w14:paraId="5A74744A" w14:textId="77777777" w:rsidR="006B4573" w:rsidRPr="00984BE3" w:rsidRDefault="006B4573" w:rsidP="006B4573">
      <w:pPr>
        <w:pStyle w:val="ListParagraph"/>
        <w:autoSpaceDE w:val="0"/>
        <w:autoSpaceDN w:val="0"/>
        <w:adjustRightInd w:val="0"/>
        <w:ind w:left="0" w:right="36"/>
        <w:rPr>
          <w:b/>
          <w:bCs/>
          <w:sz w:val="24"/>
          <w:szCs w:val="24"/>
        </w:rPr>
      </w:pPr>
      <w:r w:rsidRPr="00984BE3">
        <w:rPr>
          <w:b/>
          <w:bCs/>
          <w:sz w:val="24"/>
          <w:szCs w:val="24"/>
        </w:rPr>
        <w:t>UFAS:</w:t>
      </w:r>
    </w:p>
    <w:p w14:paraId="409E2B33" w14:textId="77777777" w:rsidR="006B4573" w:rsidRPr="00984BE3" w:rsidRDefault="006B4573" w:rsidP="006B4573">
      <w:pPr>
        <w:autoSpaceDE w:val="0"/>
        <w:autoSpaceDN w:val="0"/>
        <w:adjustRightInd w:val="0"/>
        <w:ind w:right="36"/>
        <w:rPr>
          <w:color w:val="000099"/>
        </w:rPr>
      </w:pPr>
      <w:r w:rsidRPr="00984BE3">
        <w:rPr>
          <w:b/>
          <w:bCs/>
          <w:color w:val="000099"/>
        </w:rPr>
        <w:t xml:space="preserve">4.34.5.5 SHOWERS. </w:t>
      </w:r>
      <w:r w:rsidRPr="00984BE3">
        <w:rPr>
          <w:color w:val="000099"/>
        </w:rPr>
        <w:t>If a shower is provided, it shall have the following features:</w:t>
      </w:r>
    </w:p>
    <w:p w14:paraId="0EEC2816" w14:textId="77777777" w:rsidR="006B4573" w:rsidRPr="00984BE3" w:rsidRDefault="006B4573" w:rsidP="006B4573">
      <w:pPr>
        <w:pStyle w:val="ListParagraph"/>
        <w:autoSpaceDE w:val="0"/>
        <w:autoSpaceDN w:val="0"/>
        <w:adjustRightInd w:val="0"/>
        <w:ind w:left="0" w:right="36"/>
        <w:rPr>
          <w:color w:val="000099"/>
          <w:sz w:val="24"/>
          <w:szCs w:val="24"/>
        </w:rPr>
      </w:pPr>
      <w:r w:rsidRPr="00984BE3">
        <w:rPr>
          <w:color w:val="000099"/>
          <w:sz w:val="24"/>
          <w:szCs w:val="24"/>
        </w:rPr>
        <w:t xml:space="preserve">(2) Seat. A seat shall be provided in the shower stall in Fig. 35(a) as shown in Fig. 36. The seat shall be 17 </w:t>
      </w:r>
      <w:proofErr w:type="gramStart"/>
      <w:r w:rsidRPr="00984BE3">
        <w:rPr>
          <w:color w:val="000099"/>
          <w:sz w:val="24"/>
          <w:szCs w:val="24"/>
        </w:rPr>
        <w:t>in to</w:t>
      </w:r>
      <w:proofErr w:type="gramEnd"/>
      <w:r w:rsidRPr="00984BE3">
        <w:rPr>
          <w:color w:val="000099"/>
          <w:sz w:val="24"/>
          <w:szCs w:val="24"/>
        </w:rPr>
        <w:t xml:space="preserve"> 19 in (430 mm to 485 mm) high measured from the bathroom floor and shall extend the full depth of the stall. The seat shall be on the wall opposite the controls. The structural strength of</w:t>
      </w:r>
    </w:p>
    <w:p w14:paraId="14CA7E54" w14:textId="77777777" w:rsidR="006B4573" w:rsidRPr="00984BE3" w:rsidRDefault="006B4573" w:rsidP="006B4573">
      <w:pPr>
        <w:pStyle w:val="ListParagraph"/>
        <w:autoSpaceDE w:val="0"/>
        <w:autoSpaceDN w:val="0"/>
        <w:adjustRightInd w:val="0"/>
        <w:ind w:left="0" w:right="36"/>
        <w:rPr>
          <w:color w:val="000099"/>
          <w:sz w:val="24"/>
          <w:szCs w:val="24"/>
        </w:rPr>
      </w:pPr>
      <w:r w:rsidRPr="00984BE3">
        <w:rPr>
          <w:color w:val="000099"/>
          <w:sz w:val="24"/>
          <w:szCs w:val="24"/>
        </w:rPr>
        <w:t>seats and their attachments shall comply with 4.26.3. Seats shall be mounted securely and shall not slip during use.</w:t>
      </w:r>
    </w:p>
    <w:p w14:paraId="375D280B" w14:textId="77777777" w:rsidR="006B4573" w:rsidRDefault="006B4573" w:rsidP="006B4573">
      <w:pPr>
        <w:autoSpaceDE w:val="0"/>
        <w:autoSpaceDN w:val="0"/>
        <w:adjustRightInd w:val="0"/>
        <w:ind w:right="36"/>
      </w:pPr>
    </w:p>
    <w:p w14:paraId="0BD60B6F" w14:textId="77777777" w:rsidR="006B4573" w:rsidRPr="00984BE3" w:rsidRDefault="006B4573" w:rsidP="006B4573">
      <w:pPr>
        <w:pStyle w:val="ListParagraph"/>
        <w:autoSpaceDE w:val="0"/>
        <w:autoSpaceDN w:val="0"/>
        <w:adjustRightInd w:val="0"/>
        <w:ind w:left="0" w:right="36"/>
        <w:rPr>
          <w:b/>
          <w:bCs/>
          <w:sz w:val="24"/>
          <w:szCs w:val="24"/>
        </w:rPr>
      </w:pPr>
      <w:r w:rsidRPr="00984BE3">
        <w:rPr>
          <w:b/>
          <w:bCs/>
          <w:sz w:val="24"/>
          <w:szCs w:val="24"/>
        </w:rPr>
        <w:t>2010 ADAS:</w:t>
      </w:r>
    </w:p>
    <w:p w14:paraId="2D816835" w14:textId="77777777" w:rsidR="006B4573" w:rsidRPr="00984BE3" w:rsidRDefault="006B4573" w:rsidP="006B4573">
      <w:pPr>
        <w:autoSpaceDE w:val="0"/>
        <w:autoSpaceDN w:val="0"/>
        <w:adjustRightInd w:val="0"/>
        <w:ind w:right="36"/>
        <w:rPr>
          <w:rFonts w:ascii="Arial" w:hAnsi="Arial" w:cs="Arial"/>
          <w:b/>
          <w:bCs/>
          <w:color w:val="000099"/>
          <w:sz w:val="22"/>
          <w:szCs w:val="22"/>
        </w:rPr>
      </w:pPr>
      <w:r w:rsidRPr="00984BE3">
        <w:rPr>
          <w:rFonts w:ascii="Arial" w:hAnsi="Arial" w:cs="Arial"/>
          <w:b/>
          <w:bCs/>
          <w:color w:val="000099"/>
          <w:sz w:val="22"/>
          <w:szCs w:val="22"/>
        </w:rPr>
        <w:t xml:space="preserve">607.1 General. </w:t>
      </w:r>
      <w:r w:rsidRPr="00984BE3">
        <w:rPr>
          <w:rFonts w:ascii="Arial" w:hAnsi="Arial" w:cs="Arial"/>
          <w:color w:val="000099"/>
          <w:sz w:val="22"/>
          <w:szCs w:val="22"/>
        </w:rPr>
        <w:t>Bathtubs shall comply with 607.</w:t>
      </w:r>
    </w:p>
    <w:p w14:paraId="58878CA6" w14:textId="77777777" w:rsidR="006B4573" w:rsidRDefault="006B4573" w:rsidP="006B4573">
      <w:pPr>
        <w:autoSpaceDE w:val="0"/>
        <w:autoSpaceDN w:val="0"/>
        <w:adjustRightInd w:val="0"/>
        <w:ind w:right="36"/>
        <w:rPr>
          <w:rFonts w:ascii="Arial" w:hAnsi="Arial" w:cs="Arial"/>
        </w:rPr>
      </w:pPr>
      <w:r w:rsidRPr="00984BE3">
        <w:rPr>
          <w:rFonts w:ascii="Arial" w:hAnsi="Arial" w:cs="Arial"/>
          <w:b/>
          <w:bCs/>
          <w:color w:val="000099"/>
          <w:sz w:val="22"/>
          <w:szCs w:val="22"/>
        </w:rPr>
        <w:t xml:space="preserve">607.3 Seat. </w:t>
      </w:r>
      <w:r w:rsidRPr="00984BE3">
        <w:rPr>
          <w:rFonts w:ascii="Arial" w:hAnsi="Arial" w:cs="Arial"/>
          <w:color w:val="000099"/>
          <w:sz w:val="22"/>
          <w:szCs w:val="22"/>
        </w:rPr>
        <w:t>A permanent seat at the head end of the bathtub or a removable in-tub seat shall be provided. Seats shall comply with 610</w:t>
      </w:r>
      <w:r>
        <w:rPr>
          <w:rFonts w:ascii="Arial" w:hAnsi="Arial" w:cs="Arial"/>
        </w:rPr>
        <w:t>.</w:t>
      </w:r>
    </w:p>
    <w:p w14:paraId="632B9C83" w14:textId="77777777" w:rsidR="006B4573" w:rsidRDefault="006B4573" w:rsidP="006B4573">
      <w:pPr>
        <w:autoSpaceDE w:val="0"/>
        <w:autoSpaceDN w:val="0"/>
        <w:adjustRightInd w:val="0"/>
        <w:ind w:right="36"/>
        <w:rPr>
          <w:rFonts w:ascii="Arial" w:hAnsi="Arial" w:cs="Arial"/>
          <w:sz w:val="22"/>
          <w:szCs w:val="22"/>
        </w:rPr>
      </w:pPr>
    </w:p>
    <w:p w14:paraId="1B203020" w14:textId="77777777" w:rsidR="00935C5D" w:rsidRPr="00984BE3" w:rsidRDefault="00935C5D" w:rsidP="006B4573">
      <w:pPr>
        <w:autoSpaceDE w:val="0"/>
        <w:autoSpaceDN w:val="0"/>
        <w:adjustRightInd w:val="0"/>
        <w:ind w:right="36"/>
        <w:rPr>
          <w:rFonts w:ascii="Arial" w:hAnsi="Arial" w:cs="Arial"/>
          <w:sz w:val="22"/>
          <w:szCs w:val="22"/>
        </w:rPr>
      </w:pPr>
    </w:p>
    <w:p w14:paraId="3CE2E9A2" w14:textId="77777777" w:rsidR="006B4573" w:rsidRPr="00984BE3" w:rsidRDefault="006B4573" w:rsidP="00935C5D">
      <w:pPr>
        <w:pStyle w:val="ListParagraph"/>
        <w:numPr>
          <w:ilvl w:val="0"/>
          <w:numId w:val="3"/>
        </w:numPr>
        <w:autoSpaceDE w:val="0"/>
        <w:autoSpaceDN w:val="0"/>
        <w:adjustRightInd w:val="0"/>
        <w:ind w:left="0" w:right="36" w:firstLine="0"/>
        <w:rPr>
          <w:rFonts w:ascii="Century Gothic" w:hAnsi="Century Gothic"/>
          <w:sz w:val="20"/>
          <w:szCs w:val="20"/>
        </w:rPr>
      </w:pPr>
      <w:r w:rsidRPr="00984BE3">
        <w:rPr>
          <w:rFonts w:ascii="Century Gothic" w:hAnsi="Century Gothic"/>
          <w:bCs/>
          <w:sz w:val="20"/>
          <w:szCs w:val="20"/>
        </w:rPr>
        <w:t xml:space="preserve">UFAS requires at least one shelf of all cabinets and storage shelves mounted above work counters in accessible dwelling unit kitchens to be located within reach range (48” Max. AFF). It is not clear if this refers only to the (30” min. wide) work surface required in these kitchens, or if all kitchen counters are considered work counters over which accessible shelves must be located. The 2010 </w:t>
      </w:r>
      <w:r w:rsidRPr="00984BE3">
        <w:rPr>
          <w:rFonts w:ascii="Century Gothic" w:hAnsi="Century Gothic"/>
          <w:bCs/>
          <w:sz w:val="20"/>
          <w:szCs w:val="20"/>
        </w:rPr>
        <w:lastRenderedPageBreak/>
        <w:t xml:space="preserve">ADAS calls for 50% of shelf space in kitchen storage facilities to be located within reach range. It is unlikely that this 50% requirement can be met without the bottom shelves of upper cabinets being located within reach range; however, the 2010 ADAS does not specifically require an accessible shelf above kitchen work counters/surfaces. </w:t>
      </w:r>
    </w:p>
    <w:p w14:paraId="6829B38E" w14:textId="77777777" w:rsidR="006B4573" w:rsidRPr="00F13F68" w:rsidRDefault="006B4573" w:rsidP="006B4573">
      <w:pPr>
        <w:pStyle w:val="ListParagraph"/>
        <w:autoSpaceDE w:val="0"/>
        <w:autoSpaceDN w:val="0"/>
        <w:adjustRightInd w:val="0"/>
        <w:ind w:left="0" w:right="36"/>
        <w:rPr>
          <w:sz w:val="24"/>
          <w:szCs w:val="24"/>
        </w:rPr>
      </w:pPr>
    </w:p>
    <w:p w14:paraId="22DA4846" w14:textId="77777777" w:rsidR="006B4573" w:rsidRPr="00984BE3" w:rsidRDefault="006B4573" w:rsidP="006B4573">
      <w:pPr>
        <w:pStyle w:val="ListParagraph"/>
        <w:autoSpaceDE w:val="0"/>
        <w:autoSpaceDN w:val="0"/>
        <w:adjustRightInd w:val="0"/>
        <w:ind w:left="0" w:right="36"/>
        <w:rPr>
          <w:b/>
          <w:bCs/>
          <w:sz w:val="24"/>
          <w:szCs w:val="24"/>
        </w:rPr>
      </w:pPr>
      <w:r w:rsidRPr="00984BE3">
        <w:rPr>
          <w:b/>
          <w:bCs/>
          <w:sz w:val="24"/>
          <w:szCs w:val="24"/>
        </w:rPr>
        <w:t>UFAS:</w:t>
      </w:r>
    </w:p>
    <w:p w14:paraId="2B13584F" w14:textId="77777777" w:rsidR="006B4573" w:rsidRPr="00984BE3" w:rsidRDefault="006B4573" w:rsidP="006B4573">
      <w:pPr>
        <w:autoSpaceDE w:val="0"/>
        <w:autoSpaceDN w:val="0"/>
        <w:adjustRightInd w:val="0"/>
        <w:ind w:right="36"/>
        <w:rPr>
          <w:color w:val="000099"/>
        </w:rPr>
      </w:pPr>
      <w:r w:rsidRPr="00984BE3">
        <w:rPr>
          <w:b/>
          <w:bCs/>
          <w:color w:val="000099"/>
        </w:rPr>
        <w:t xml:space="preserve">4.1.3 ACCESSIBLE HOUSING. </w:t>
      </w:r>
      <w:r w:rsidRPr="00984BE3">
        <w:rPr>
          <w:color w:val="000099"/>
        </w:rPr>
        <w:t>Accessible housing shall comply with the requirements of 4.1 and 4.34 except as noted below:</w:t>
      </w:r>
    </w:p>
    <w:p w14:paraId="202F8EFD" w14:textId="77777777" w:rsidR="006B4573" w:rsidRPr="00984BE3" w:rsidRDefault="006B4573" w:rsidP="006B4573">
      <w:pPr>
        <w:pStyle w:val="Default"/>
        <w:ind w:right="36"/>
        <w:rPr>
          <w:color w:val="000099"/>
        </w:rPr>
      </w:pPr>
      <w:r w:rsidRPr="00984BE3">
        <w:rPr>
          <w:b/>
          <w:bCs/>
          <w:color w:val="000099"/>
        </w:rPr>
        <w:t xml:space="preserve">4.34.6.10* KITCHEN STORAGE. </w:t>
      </w:r>
      <w:r w:rsidRPr="00984BE3">
        <w:rPr>
          <w:color w:val="000099"/>
        </w:rPr>
        <w:t xml:space="preserve">Cabinets, drawers, and shelf areas shall comply with 4.25 and shall have the following features: </w:t>
      </w:r>
    </w:p>
    <w:p w14:paraId="5B8D53E7" w14:textId="77777777" w:rsidR="006B4573" w:rsidRPr="00984BE3" w:rsidRDefault="006B4573" w:rsidP="006B4573">
      <w:pPr>
        <w:autoSpaceDE w:val="0"/>
        <w:autoSpaceDN w:val="0"/>
        <w:adjustRightInd w:val="0"/>
        <w:ind w:right="36"/>
        <w:rPr>
          <w:color w:val="000099"/>
        </w:rPr>
      </w:pPr>
      <w:r w:rsidRPr="00984BE3">
        <w:rPr>
          <w:color w:val="000099"/>
        </w:rPr>
        <w:t>(1) Maximum height shall be 48 in (1220 mm) for at least one shelf of all cabinets and storage shelves mounted above work counters (see Fig. 50).</w:t>
      </w:r>
    </w:p>
    <w:p w14:paraId="57D8B682" w14:textId="77777777" w:rsidR="006B4573" w:rsidRPr="00B9779E" w:rsidRDefault="006B4573" w:rsidP="006B4573">
      <w:pPr>
        <w:autoSpaceDE w:val="0"/>
        <w:autoSpaceDN w:val="0"/>
        <w:adjustRightInd w:val="0"/>
        <w:ind w:right="36"/>
      </w:pPr>
    </w:p>
    <w:p w14:paraId="2FDE8127" w14:textId="77777777" w:rsidR="006B4573" w:rsidRPr="00984BE3" w:rsidRDefault="006B4573" w:rsidP="006B4573">
      <w:pPr>
        <w:pStyle w:val="ListParagraph"/>
        <w:autoSpaceDE w:val="0"/>
        <w:autoSpaceDN w:val="0"/>
        <w:adjustRightInd w:val="0"/>
        <w:ind w:left="0" w:right="36"/>
        <w:rPr>
          <w:b/>
          <w:bCs/>
          <w:sz w:val="24"/>
          <w:szCs w:val="24"/>
        </w:rPr>
      </w:pPr>
      <w:r w:rsidRPr="00984BE3">
        <w:rPr>
          <w:b/>
          <w:bCs/>
          <w:sz w:val="24"/>
          <w:szCs w:val="24"/>
        </w:rPr>
        <w:t>2010 ADAS:</w:t>
      </w:r>
    </w:p>
    <w:p w14:paraId="060D8C8A" w14:textId="77777777" w:rsidR="006B4573" w:rsidRPr="00984BE3" w:rsidRDefault="006B4573" w:rsidP="006B4573">
      <w:pPr>
        <w:autoSpaceDE w:val="0"/>
        <w:autoSpaceDN w:val="0"/>
        <w:adjustRightInd w:val="0"/>
        <w:ind w:right="36"/>
        <w:rPr>
          <w:rFonts w:ascii="Arial" w:hAnsi="Arial" w:cs="Arial"/>
          <w:b/>
          <w:bCs/>
          <w:color w:val="000099"/>
          <w:sz w:val="22"/>
          <w:szCs w:val="22"/>
        </w:rPr>
      </w:pPr>
      <w:r w:rsidRPr="00984BE3">
        <w:rPr>
          <w:rFonts w:ascii="Arial" w:hAnsi="Arial" w:cs="Arial"/>
          <w:b/>
          <w:bCs/>
          <w:color w:val="000099"/>
          <w:sz w:val="22"/>
          <w:szCs w:val="22"/>
        </w:rPr>
        <w:t>804 Kitchens and Kitchenettes</w:t>
      </w:r>
    </w:p>
    <w:p w14:paraId="50D535AA" w14:textId="77777777" w:rsidR="006B4573" w:rsidRPr="00984BE3" w:rsidRDefault="006B4573" w:rsidP="006B4573">
      <w:pPr>
        <w:autoSpaceDE w:val="0"/>
        <w:autoSpaceDN w:val="0"/>
        <w:adjustRightInd w:val="0"/>
        <w:ind w:right="36"/>
        <w:rPr>
          <w:rFonts w:ascii="Arial" w:hAnsi="Arial" w:cs="Arial"/>
          <w:color w:val="000099"/>
          <w:sz w:val="22"/>
          <w:szCs w:val="22"/>
        </w:rPr>
      </w:pPr>
      <w:r w:rsidRPr="00984BE3">
        <w:rPr>
          <w:rFonts w:ascii="Arial" w:hAnsi="Arial" w:cs="Arial"/>
          <w:b/>
          <w:bCs/>
          <w:color w:val="000099"/>
          <w:sz w:val="22"/>
          <w:szCs w:val="22"/>
        </w:rPr>
        <w:t xml:space="preserve">804.5 Storage. </w:t>
      </w:r>
      <w:r w:rsidRPr="00984BE3">
        <w:rPr>
          <w:rFonts w:ascii="Arial" w:hAnsi="Arial" w:cs="Arial"/>
          <w:color w:val="000099"/>
          <w:sz w:val="22"/>
          <w:szCs w:val="22"/>
        </w:rPr>
        <w:t xml:space="preserve">At least 50 percent of shelf </w:t>
      </w:r>
      <w:r w:rsidRPr="00984BE3">
        <w:rPr>
          <w:rFonts w:ascii="Arial" w:hAnsi="Arial" w:cs="Arial"/>
          <w:i/>
          <w:iCs/>
          <w:color w:val="000099"/>
          <w:sz w:val="22"/>
          <w:szCs w:val="22"/>
        </w:rPr>
        <w:t xml:space="preserve">space </w:t>
      </w:r>
      <w:r w:rsidRPr="00984BE3">
        <w:rPr>
          <w:rFonts w:ascii="Arial" w:hAnsi="Arial" w:cs="Arial"/>
          <w:color w:val="000099"/>
          <w:sz w:val="22"/>
          <w:szCs w:val="22"/>
        </w:rPr>
        <w:t xml:space="preserve">in storage </w:t>
      </w:r>
      <w:r w:rsidRPr="00984BE3">
        <w:rPr>
          <w:rFonts w:ascii="Arial" w:hAnsi="Arial" w:cs="Arial"/>
          <w:i/>
          <w:iCs/>
          <w:color w:val="000099"/>
          <w:sz w:val="22"/>
          <w:szCs w:val="22"/>
        </w:rPr>
        <w:t xml:space="preserve">facilities </w:t>
      </w:r>
      <w:r w:rsidRPr="00984BE3">
        <w:rPr>
          <w:rFonts w:ascii="Arial" w:hAnsi="Arial" w:cs="Arial"/>
          <w:color w:val="000099"/>
          <w:sz w:val="22"/>
          <w:szCs w:val="22"/>
        </w:rPr>
        <w:t>shall comply with 811.</w:t>
      </w:r>
    </w:p>
    <w:p w14:paraId="1E78A90E" w14:textId="77777777" w:rsidR="006B4573" w:rsidRPr="00984BE3" w:rsidRDefault="006B4573" w:rsidP="006B4573">
      <w:pPr>
        <w:autoSpaceDE w:val="0"/>
        <w:autoSpaceDN w:val="0"/>
        <w:adjustRightInd w:val="0"/>
        <w:ind w:right="36"/>
        <w:rPr>
          <w:rFonts w:ascii="Arial" w:hAnsi="Arial" w:cs="Arial"/>
          <w:color w:val="000099"/>
          <w:sz w:val="22"/>
          <w:szCs w:val="22"/>
        </w:rPr>
      </w:pPr>
    </w:p>
    <w:p w14:paraId="15FA3FF3" w14:textId="77777777" w:rsidR="006B4573" w:rsidRPr="00984BE3" w:rsidRDefault="006B4573" w:rsidP="006B4573">
      <w:pPr>
        <w:autoSpaceDE w:val="0"/>
        <w:autoSpaceDN w:val="0"/>
        <w:adjustRightInd w:val="0"/>
        <w:ind w:right="36"/>
        <w:rPr>
          <w:rFonts w:ascii="Arial" w:hAnsi="Arial" w:cs="Arial"/>
          <w:b/>
          <w:bCs/>
          <w:color w:val="000099"/>
          <w:sz w:val="22"/>
          <w:szCs w:val="22"/>
        </w:rPr>
      </w:pPr>
      <w:r w:rsidRPr="00984BE3">
        <w:rPr>
          <w:rFonts w:ascii="Arial" w:hAnsi="Arial" w:cs="Arial"/>
          <w:b/>
          <w:bCs/>
          <w:color w:val="000099"/>
          <w:sz w:val="22"/>
          <w:szCs w:val="22"/>
        </w:rPr>
        <w:t>809 Residential Dwelling Units</w:t>
      </w:r>
    </w:p>
    <w:p w14:paraId="3C741A28" w14:textId="77777777" w:rsidR="006B4573" w:rsidRPr="00984BE3" w:rsidRDefault="006B4573" w:rsidP="006B4573">
      <w:pPr>
        <w:autoSpaceDE w:val="0"/>
        <w:autoSpaceDN w:val="0"/>
        <w:adjustRightInd w:val="0"/>
        <w:ind w:right="36"/>
        <w:rPr>
          <w:rFonts w:ascii="Arial" w:hAnsi="Arial" w:cs="Arial"/>
          <w:color w:val="000099"/>
          <w:sz w:val="22"/>
          <w:szCs w:val="22"/>
        </w:rPr>
      </w:pPr>
      <w:r w:rsidRPr="00984BE3">
        <w:rPr>
          <w:rFonts w:ascii="Arial" w:hAnsi="Arial" w:cs="Arial"/>
          <w:b/>
          <w:bCs/>
          <w:color w:val="000099"/>
          <w:sz w:val="22"/>
          <w:szCs w:val="22"/>
        </w:rPr>
        <w:t xml:space="preserve">809.3 Kitchen. </w:t>
      </w:r>
      <w:r w:rsidRPr="00984BE3">
        <w:rPr>
          <w:rFonts w:ascii="Arial" w:hAnsi="Arial" w:cs="Arial"/>
          <w:color w:val="000099"/>
          <w:sz w:val="22"/>
          <w:szCs w:val="22"/>
        </w:rPr>
        <w:t>Where a kitchen is provided, it shall comply with 804.</w:t>
      </w:r>
    </w:p>
    <w:p w14:paraId="4D1C31F1" w14:textId="77777777" w:rsidR="006B4573" w:rsidRDefault="006B4573" w:rsidP="006B4573">
      <w:pPr>
        <w:autoSpaceDE w:val="0"/>
        <w:autoSpaceDN w:val="0"/>
        <w:adjustRightInd w:val="0"/>
        <w:ind w:right="36"/>
        <w:rPr>
          <w:rFonts w:ascii="Arial" w:hAnsi="Arial" w:cs="Arial"/>
        </w:rPr>
      </w:pPr>
    </w:p>
    <w:p w14:paraId="4DB4DA58" w14:textId="77777777" w:rsidR="00984BE3" w:rsidRDefault="00984BE3" w:rsidP="006B4573">
      <w:pPr>
        <w:autoSpaceDE w:val="0"/>
        <w:autoSpaceDN w:val="0"/>
        <w:adjustRightInd w:val="0"/>
        <w:ind w:right="36"/>
        <w:rPr>
          <w:rFonts w:ascii="Arial" w:hAnsi="Arial" w:cs="Arial"/>
        </w:rPr>
      </w:pPr>
    </w:p>
    <w:p w14:paraId="2E293C1C" w14:textId="77777777" w:rsidR="006B4573" w:rsidRPr="00984BE3" w:rsidRDefault="006B4573" w:rsidP="00935C5D">
      <w:pPr>
        <w:pStyle w:val="ListParagraph"/>
        <w:numPr>
          <w:ilvl w:val="0"/>
          <w:numId w:val="3"/>
        </w:numPr>
        <w:autoSpaceDE w:val="0"/>
        <w:autoSpaceDN w:val="0"/>
        <w:adjustRightInd w:val="0"/>
        <w:ind w:left="0" w:right="36" w:firstLine="0"/>
        <w:rPr>
          <w:rFonts w:ascii="Century Gothic" w:hAnsi="Century Gothic"/>
          <w:bCs/>
          <w:sz w:val="20"/>
          <w:szCs w:val="20"/>
        </w:rPr>
      </w:pPr>
      <w:r w:rsidRPr="00984BE3">
        <w:rPr>
          <w:rFonts w:ascii="Century Gothic" w:hAnsi="Century Gothic"/>
          <w:bCs/>
          <w:sz w:val="20"/>
          <w:szCs w:val="20"/>
        </w:rPr>
        <w:t xml:space="preserve">UFAS requires a shelf no higher than 44” AFF in accessible bathroom medicine cabinets in Mobility Units. While the </w:t>
      </w:r>
      <w:proofErr w:type="gramStart"/>
      <w:r w:rsidRPr="00984BE3">
        <w:rPr>
          <w:rFonts w:ascii="Century Gothic" w:hAnsi="Century Gothic"/>
          <w:bCs/>
          <w:sz w:val="20"/>
          <w:szCs w:val="20"/>
        </w:rPr>
        <w:t>CBC  also</w:t>
      </w:r>
      <w:proofErr w:type="gramEnd"/>
      <w:r w:rsidRPr="00984BE3">
        <w:rPr>
          <w:rFonts w:ascii="Century Gothic" w:hAnsi="Century Gothic"/>
          <w:bCs/>
          <w:sz w:val="20"/>
          <w:szCs w:val="20"/>
        </w:rPr>
        <w:t xml:space="preserve"> requires this, the 2010 ADAS does not.  Per the 2010 ADAS, shelves may be as high as 48” AFF. As medicine cabinets are not specifically mentioned in the 2010 ADAS, presumably this applies to them as well.</w:t>
      </w:r>
    </w:p>
    <w:p w14:paraId="7EF3C55A" w14:textId="77777777" w:rsidR="006B4573" w:rsidRPr="006B4573" w:rsidRDefault="006B4573" w:rsidP="006B4573">
      <w:pPr>
        <w:pStyle w:val="ListParagraph"/>
        <w:autoSpaceDE w:val="0"/>
        <w:autoSpaceDN w:val="0"/>
        <w:adjustRightInd w:val="0"/>
        <w:ind w:left="0" w:right="36"/>
        <w:rPr>
          <w:bCs/>
          <w:color w:val="000099"/>
          <w:sz w:val="24"/>
          <w:szCs w:val="24"/>
        </w:rPr>
      </w:pPr>
    </w:p>
    <w:p w14:paraId="68E6FCF6" w14:textId="77777777" w:rsidR="006B4573" w:rsidRPr="00984BE3" w:rsidRDefault="006B4573" w:rsidP="006B4573">
      <w:pPr>
        <w:pStyle w:val="ListParagraph"/>
        <w:autoSpaceDE w:val="0"/>
        <w:autoSpaceDN w:val="0"/>
        <w:adjustRightInd w:val="0"/>
        <w:ind w:left="0" w:right="36"/>
        <w:rPr>
          <w:b/>
          <w:bCs/>
          <w:sz w:val="24"/>
          <w:szCs w:val="24"/>
        </w:rPr>
      </w:pPr>
      <w:r w:rsidRPr="00984BE3">
        <w:rPr>
          <w:b/>
          <w:bCs/>
          <w:sz w:val="24"/>
          <w:szCs w:val="24"/>
        </w:rPr>
        <w:t>UFAS:</w:t>
      </w:r>
    </w:p>
    <w:p w14:paraId="00835F89" w14:textId="77777777" w:rsidR="006B4573" w:rsidRPr="00984BE3" w:rsidRDefault="006B4573" w:rsidP="006B4573">
      <w:pPr>
        <w:ind w:right="36"/>
        <w:rPr>
          <w:color w:val="000099"/>
        </w:rPr>
      </w:pPr>
      <w:r w:rsidRPr="00984BE3">
        <w:rPr>
          <w:b/>
          <w:bCs/>
          <w:color w:val="000099"/>
        </w:rPr>
        <w:t>4.34.5.3 LAVATORY, MIRRORS, AND MEDICINE CABINETS.</w:t>
      </w:r>
    </w:p>
    <w:p w14:paraId="4AF4A90A" w14:textId="77777777" w:rsidR="006B4573" w:rsidRPr="00984BE3" w:rsidRDefault="006B4573" w:rsidP="006B4573">
      <w:pPr>
        <w:ind w:right="36"/>
        <w:rPr>
          <w:color w:val="000099"/>
        </w:rPr>
      </w:pPr>
      <w:r w:rsidRPr="00984BE3">
        <w:rPr>
          <w:color w:val="000099"/>
        </w:rPr>
        <w:t>(3) If a medicine cabinet is provided above the lavatory, then the bottom of the medicine cabinet shall be located with a usable shelf no higher than 44 in (1120 mm) above the floor.</w:t>
      </w:r>
    </w:p>
    <w:p w14:paraId="2705CD29" w14:textId="77777777" w:rsidR="006B4573" w:rsidRPr="002B09B7" w:rsidRDefault="006B4573" w:rsidP="006B4573">
      <w:pPr>
        <w:ind w:right="36"/>
      </w:pPr>
    </w:p>
    <w:p w14:paraId="249C6BBF" w14:textId="77777777" w:rsidR="006B4573" w:rsidRPr="00984BE3" w:rsidRDefault="006B4573" w:rsidP="006B4573">
      <w:pPr>
        <w:pStyle w:val="ListParagraph"/>
        <w:autoSpaceDE w:val="0"/>
        <w:autoSpaceDN w:val="0"/>
        <w:adjustRightInd w:val="0"/>
        <w:ind w:left="0" w:right="36"/>
        <w:rPr>
          <w:b/>
          <w:bCs/>
          <w:sz w:val="24"/>
          <w:szCs w:val="24"/>
        </w:rPr>
      </w:pPr>
      <w:r w:rsidRPr="00984BE3">
        <w:rPr>
          <w:b/>
          <w:bCs/>
          <w:sz w:val="24"/>
          <w:szCs w:val="24"/>
        </w:rPr>
        <w:t>2010 ADAS:</w:t>
      </w:r>
    </w:p>
    <w:p w14:paraId="1FDE4DAA" w14:textId="77777777" w:rsidR="006B4573" w:rsidRPr="00984BE3" w:rsidRDefault="006B4573" w:rsidP="006B4573">
      <w:pPr>
        <w:autoSpaceDE w:val="0"/>
        <w:autoSpaceDN w:val="0"/>
        <w:ind w:right="36"/>
        <w:rPr>
          <w:rFonts w:ascii="Arial" w:hAnsi="Arial" w:cs="Arial"/>
          <w:color w:val="000099"/>
          <w:sz w:val="22"/>
          <w:szCs w:val="22"/>
        </w:rPr>
      </w:pPr>
      <w:r w:rsidRPr="00984BE3">
        <w:rPr>
          <w:rFonts w:ascii="Arial" w:hAnsi="Arial" w:cs="Arial"/>
          <w:b/>
          <w:bCs/>
          <w:color w:val="000099"/>
          <w:sz w:val="22"/>
          <w:szCs w:val="22"/>
        </w:rPr>
        <w:t xml:space="preserve">603.4 Coat Hooks and Shelves. </w:t>
      </w:r>
      <w:r w:rsidRPr="00984BE3">
        <w:rPr>
          <w:rFonts w:ascii="Arial" w:hAnsi="Arial" w:cs="Arial"/>
          <w:color w:val="000099"/>
          <w:sz w:val="22"/>
          <w:szCs w:val="22"/>
        </w:rPr>
        <w:t>Coat hooks shall be located within one of the reach ranges specified in 308. Shelves shall be located 40 inches (1015 mm) minimum and 48 inches (1220 mm) maximum above the finish floor.</w:t>
      </w:r>
    </w:p>
    <w:p w14:paraId="2E562CFA" w14:textId="77777777" w:rsidR="00984BE3" w:rsidRPr="002B09B7" w:rsidRDefault="00984BE3" w:rsidP="006B4573">
      <w:pPr>
        <w:autoSpaceDE w:val="0"/>
        <w:autoSpaceDN w:val="0"/>
        <w:ind w:right="36"/>
        <w:rPr>
          <w:rFonts w:ascii="Arial" w:hAnsi="Arial" w:cs="Arial"/>
        </w:rPr>
      </w:pPr>
    </w:p>
    <w:p w14:paraId="3B0851D4" w14:textId="77777777" w:rsidR="006B4573" w:rsidRPr="00984BE3" w:rsidRDefault="006B4573" w:rsidP="006B4573">
      <w:pPr>
        <w:pStyle w:val="ListParagraph"/>
        <w:autoSpaceDE w:val="0"/>
        <w:autoSpaceDN w:val="0"/>
        <w:adjustRightInd w:val="0"/>
        <w:ind w:left="0" w:right="36"/>
        <w:rPr>
          <w:b/>
          <w:bCs/>
          <w:sz w:val="24"/>
          <w:szCs w:val="24"/>
        </w:rPr>
      </w:pPr>
      <w:r w:rsidRPr="00984BE3">
        <w:rPr>
          <w:b/>
          <w:bCs/>
          <w:sz w:val="24"/>
          <w:szCs w:val="24"/>
        </w:rPr>
        <w:t>2025 CBC:</w:t>
      </w:r>
    </w:p>
    <w:p w14:paraId="49381825" w14:textId="77777777" w:rsidR="006B4573" w:rsidRPr="00984BE3" w:rsidRDefault="006B4573" w:rsidP="006B4573">
      <w:pPr>
        <w:autoSpaceDE w:val="0"/>
        <w:autoSpaceDN w:val="0"/>
        <w:ind w:right="36"/>
        <w:rPr>
          <w:i/>
          <w:iCs/>
          <w:color w:val="000099"/>
        </w:rPr>
      </w:pPr>
      <w:r w:rsidRPr="00984BE3">
        <w:rPr>
          <w:b/>
          <w:bCs/>
          <w:i/>
          <w:iCs/>
          <w:color w:val="000099"/>
        </w:rPr>
        <w:t>11B-</w:t>
      </w:r>
      <w:r w:rsidRPr="00984BE3">
        <w:rPr>
          <w:b/>
          <w:bCs/>
          <w:color w:val="000099"/>
        </w:rPr>
        <w:t xml:space="preserve">603.4 Coat hooks, shelves </w:t>
      </w:r>
      <w:r w:rsidRPr="00984BE3">
        <w:rPr>
          <w:b/>
          <w:bCs/>
          <w:i/>
          <w:iCs/>
          <w:color w:val="000099"/>
        </w:rPr>
        <w:t>and medicine cabinets</w:t>
      </w:r>
      <w:r w:rsidRPr="00984BE3">
        <w:rPr>
          <w:b/>
          <w:bCs/>
          <w:color w:val="000099"/>
        </w:rPr>
        <w:t xml:space="preserve">. </w:t>
      </w:r>
      <w:r w:rsidRPr="00984BE3">
        <w:rPr>
          <w:color w:val="000099"/>
        </w:rPr>
        <w:t xml:space="preserve">Coat hooks shall be located within one of the reach ranges specified in </w:t>
      </w:r>
      <w:r w:rsidRPr="00984BE3">
        <w:rPr>
          <w:i/>
          <w:iCs/>
          <w:color w:val="000099"/>
        </w:rPr>
        <w:t>Section 11B-</w:t>
      </w:r>
      <w:r w:rsidRPr="00984BE3">
        <w:rPr>
          <w:color w:val="000099"/>
        </w:rPr>
        <w:t>308. Shelves shall be located 40 inches (</w:t>
      </w:r>
      <w:r w:rsidRPr="00984BE3">
        <w:rPr>
          <w:i/>
          <w:iCs/>
          <w:color w:val="000099"/>
        </w:rPr>
        <w:t xml:space="preserve">1016 </w:t>
      </w:r>
      <w:r w:rsidRPr="00984BE3">
        <w:rPr>
          <w:color w:val="000099"/>
        </w:rPr>
        <w:t>mm) minimum and 48 inches (</w:t>
      </w:r>
      <w:r w:rsidRPr="00984BE3">
        <w:rPr>
          <w:i/>
          <w:iCs/>
          <w:color w:val="000099"/>
        </w:rPr>
        <w:t xml:space="preserve">1219 </w:t>
      </w:r>
      <w:r w:rsidRPr="00984BE3">
        <w:rPr>
          <w:color w:val="000099"/>
        </w:rPr>
        <w:t xml:space="preserve">mm) maximum above the finish floor. </w:t>
      </w:r>
      <w:r w:rsidRPr="00984BE3">
        <w:rPr>
          <w:i/>
          <w:iCs/>
          <w:color w:val="000099"/>
        </w:rPr>
        <w:t>Medicine cabinets shall be located with a usable shelf no higher than 44 inches (1118 mm) maximum above the finish floor.</w:t>
      </w:r>
    </w:p>
    <w:p w14:paraId="08030D06" w14:textId="77777777" w:rsidR="00935C5D" w:rsidRDefault="00935C5D" w:rsidP="006B4573">
      <w:pPr>
        <w:autoSpaceDE w:val="0"/>
        <w:autoSpaceDN w:val="0"/>
        <w:ind w:right="36"/>
        <w:rPr>
          <w:i/>
          <w:iCs/>
        </w:rPr>
      </w:pPr>
    </w:p>
    <w:p w14:paraId="781760E4" w14:textId="77777777" w:rsidR="00935C5D" w:rsidRDefault="00935C5D" w:rsidP="006B4573">
      <w:pPr>
        <w:autoSpaceDE w:val="0"/>
        <w:autoSpaceDN w:val="0"/>
        <w:ind w:right="36"/>
        <w:rPr>
          <w:i/>
          <w:iCs/>
        </w:rPr>
      </w:pPr>
    </w:p>
    <w:p w14:paraId="33ECF022" w14:textId="77777777" w:rsidR="006B4573" w:rsidRPr="00984BE3" w:rsidRDefault="006B4573" w:rsidP="00935C5D">
      <w:pPr>
        <w:pStyle w:val="ListParagraph"/>
        <w:numPr>
          <w:ilvl w:val="0"/>
          <w:numId w:val="3"/>
        </w:numPr>
        <w:ind w:left="0" w:right="36" w:firstLine="0"/>
        <w:rPr>
          <w:rFonts w:ascii="Century Gothic" w:hAnsi="Century Gothic"/>
          <w:bCs/>
          <w:sz w:val="20"/>
          <w:szCs w:val="20"/>
        </w:rPr>
      </w:pPr>
      <w:r w:rsidRPr="00984BE3">
        <w:rPr>
          <w:rFonts w:ascii="Century Gothic" w:hAnsi="Century Gothic"/>
          <w:bCs/>
          <w:sz w:val="20"/>
          <w:szCs w:val="20"/>
        </w:rPr>
        <w:t xml:space="preserve">UFAS says the vertical clearance at (and to?) van accessible parking spaces </w:t>
      </w:r>
      <w:r w:rsidRPr="00984BE3">
        <w:rPr>
          <w:rFonts w:ascii="Century Gothic" w:hAnsi="Century Gothic"/>
          <w:bCs/>
          <w:sz w:val="20"/>
          <w:szCs w:val="20"/>
          <w:u w:val="single"/>
        </w:rPr>
        <w:t>should</w:t>
      </w:r>
      <w:r w:rsidRPr="00984BE3">
        <w:rPr>
          <w:rFonts w:ascii="Century Gothic" w:hAnsi="Century Gothic"/>
          <w:bCs/>
          <w:sz w:val="20"/>
          <w:szCs w:val="20"/>
        </w:rPr>
        <w:t xml:space="preserve"> be 114”.  Per the 2010 ADAS and the 2019 CBC, a minimum vertical clearance of 98” is </w:t>
      </w:r>
      <w:r w:rsidRPr="00984BE3">
        <w:rPr>
          <w:rFonts w:ascii="Century Gothic" w:hAnsi="Century Gothic"/>
          <w:bCs/>
          <w:sz w:val="20"/>
          <w:szCs w:val="20"/>
          <w:u w:val="single"/>
        </w:rPr>
        <w:t>required</w:t>
      </w:r>
      <w:r w:rsidRPr="00984BE3">
        <w:rPr>
          <w:rFonts w:ascii="Century Gothic" w:hAnsi="Century Gothic"/>
          <w:bCs/>
          <w:sz w:val="20"/>
          <w:szCs w:val="20"/>
        </w:rPr>
        <w:t>.</w:t>
      </w:r>
    </w:p>
    <w:p w14:paraId="23C51202" w14:textId="77777777" w:rsidR="006B4573" w:rsidRPr="00984BE3" w:rsidRDefault="006B4573" w:rsidP="006B4573">
      <w:pPr>
        <w:pStyle w:val="ListParagraph"/>
        <w:ind w:left="0" w:right="36"/>
        <w:rPr>
          <w:bCs/>
          <w:sz w:val="24"/>
          <w:szCs w:val="24"/>
        </w:rPr>
      </w:pPr>
    </w:p>
    <w:p w14:paraId="5A509F68" w14:textId="77777777" w:rsidR="006B4573" w:rsidRPr="00984BE3" w:rsidRDefault="006B4573" w:rsidP="006B4573">
      <w:pPr>
        <w:pStyle w:val="ListParagraph"/>
        <w:autoSpaceDE w:val="0"/>
        <w:autoSpaceDN w:val="0"/>
        <w:adjustRightInd w:val="0"/>
        <w:ind w:left="0" w:right="36"/>
        <w:rPr>
          <w:b/>
          <w:bCs/>
          <w:sz w:val="24"/>
          <w:szCs w:val="24"/>
        </w:rPr>
      </w:pPr>
      <w:r w:rsidRPr="00984BE3">
        <w:rPr>
          <w:b/>
          <w:bCs/>
          <w:sz w:val="24"/>
          <w:szCs w:val="24"/>
        </w:rPr>
        <w:t>UFAS:</w:t>
      </w:r>
    </w:p>
    <w:p w14:paraId="620039F6" w14:textId="77777777" w:rsidR="006B4573" w:rsidRPr="00984BE3" w:rsidRDefault="006B4573" w:rsidP="006B4573">
      <w:pPr>
        <w:autoSpaceDE w:val="0"/>
        <w:autoSpaceDN w:val="0"/>
        <w:adjustRightInd w:val="0"/>
        <w:ind w:right="36"/>
        <w:rPr>
          <w:rFonts w:cs="Calibri"/>
          <w:bCs/>
          <w:color w:val="000099"/>
        </w:rPr>
      </w:pPr>
      <w:r w:rsidRPr="00984BE3">
        <w:rPr>
          <w:rFonts w:cs="Calibri"/>
          <w:b/>
          <w:bCs/>
          <w:iCs/>
          <w:color w:val="000099"/>
        </w:rPr>
        <w:lastRenderedPageBreak/>
        <w:t xml:space="preserve">4.6.6 Vertical Clearance. </w:t>
      </w:r>
      <w:r w:rsidRPr="00984BE3">
        <w:rPr>
          <w:rFonts w:cs="Calibri"/>
          <w:iCs/>
          <w:color w:val="000099"/>
        </w:rPr>
        <w:t>Provide minimum vertical clearance of 114 in (2895 mm) at accessible passenger loading zones and along at least one vehicle access route to such areas from site entrances. If accessible van parking spaces are provided, then the minimum vertical clearance should be 114”.</w:t>
      </w:r>
    </w:p>
    <w:p w14:paraId="3DBC82C3" w14:textId="77777777" w:rsidR="006B4573" w:rsidRPr="006B4573" w:rsidRDefault="006B4573" w:rsidP="006B4573">
      <w:pPr>
        <w:ind w:right="36"/>
        <w:rPr>
          <w:rFonts w:cs="Calibri"/>
          <w:bCs/>
          <w:color w:val="000099"/>
        </w:rPr>
      </w:pPr>
    </w:p>
    <w:p w14:paraId="03F13801" w14:textId="77777777" w:rsidR="006B4573" w:rsidRPr="00984BE3" w:rsidRDefault="006B4573" w:rsidP="006B4573">
      <w:pPr>
        <w:pStyle w:val="ListParagraph"/>
        <w:autoSpaceDE w:val="0"/>
        <w:autoSpaceDN w:val="0"/>
        <w:adjustRightInd w:val="0"/>
        <w:ind w:left="0" w:right="36"/>
        <w:rPr>
          <w:b/>
          <w:bCs/>
          <w:sz w:val="24"/>
          <w:szCs w:val="24"/>
        </w:rPr>
      </w:pPr>
      <w:r w:rsidRPr="00984BE3">
        <w:rPr>
          <w:b/>
          <w:bCs/>
          <w:sz w:val="24"/>
          <w:szCs w:val="24"/>
        </w:rPr>
        <w:t>2010 ADAS:</w:t>
      </w:r>
    </w:p>
    <w:p w14:paraId="57FE2493" w14:textId="77777777" w:rsidR="006B4573" w:rsidRPr="00984BE3" w:rsidRDefault="006B4573" w:rsidP="006B4573">
      <w:pPr>
        <w:autoSpaceDE w:val="0"/>
        <w:autoSpaceDN w:val="0"/>
        <w:adjustRightInd w:val="0"/>
        <w:ind w:right="36"/>
        <w:rPr>
          <w:rFonts w:ascii="Arial" w:hAnsi="Arial" w:cs="Arial"/>
          <w:color w:val="000099"/>
          <w:sz w:val="22"/>
          <w:szCs w:val="22"/>
        </w:rPr>
      </w:pPr>
      <w:r w:rsidRPr="00984BE3">
        <w:rPr>
          <w:rFonts w:ascii="Arial" w:hAnsi="Arial" w:cs="Arial"/>
          <w:b/>
          <w:bCs/>
          <w:color w:val="000099"/>
          <w:sz w:val="22"/>
          <w:szCs w:val="22"/>
        </w:rPr>
        <w:t xml:space="preserve">502.5 Vertical Clearance. </w:t>
      </w:r>
      <w:r w:rsidRPr="00984BE3">
        <w:rPr>
          <w:rFonts w:ascii="Arial" w:hAnsi="Arial" w:cs="Arial"/>
          <w:color w:val="000099"/>
          <w:sz w:val="22"/>
          <w:szCs w:val="22"/>
        </w:rPr>
        <w:t xml:space="preserve">Parking </w:t>
      </w:r>
      <w:r w:rsidRPr="00984BE3">
        <w:rPr>
          <w:rFonts w:ascii="Arial" w:hAnsi="Arial" w:cs="Arial"/>
          <w:i/>
          <w:iCs/>
          <w:color w:val="000099"/>
          <w:sz w:val="22"/>
          <w:szCs w:val="22"/>
        </w:rPr>
        <w:t xml:space="preserve">spaces </w:t>
      </w:r>
      <w:r w:rsidRPr="00984BE3">
        <w:rPr>
          <w:rFonts w:ascii="Arial" w:hAnsi="Arial" w:cs="Arial"/>
          <w:color w:val="000099"/>
          <w:sz w:val="22"/>
          <w:szCs w:val="22"/>
        </w:rPr>
        <w:t>for vans and access aisles and vehicular routes serving</w:t>
      </w:r>
    </w:p>
    <w:p w14:paraId="4BCE0DAB" w14:textId="77777777" w:rsidR="006B4573" w:rsidRPr="00984BE3" w:rsidRDefault="006B4573" w:rsidP="006B4573">
      <w:pPr>
        <w:ind w:right="36"/>
        <w:rPr>
          <w:rFonts w:ascii="Arial" w:hAnsi="Arial" w:cs="Arial"/>
          <w:color w:val="000099"/>
          <w:sz w:val="22"/>
          <w:szCs w:val="22"/>
        </w:rPr>
      </w:pPr>
      <w:r w:rsidRPr="00984BE3">
        <w:rPr>
          <w:rFonts w:ascii="Arial" w:hAnsi="Arial" w:cs="Arial"/>
          <w:color w:val="000099"/>
          <w:sz w:val="22"/>
          <w:szCs w:val="22"/>
        </w:rPr>
        <w:t>them shall provide a vertical clearance of 98 inches (2490 mm) minimum.</w:t>
      </w:r>
    </w:p>
    <w:p w14:paraId="3AEF3309" w14:textId="77777777" w:rsidR="006B4573" w:rsidRPr="00984BE3" w:rsidRDefault="006B4573" w:rsidP="006B4573">
      <w:pPr>
        <w:ind w:right="36"/>
        <w:rPr>
          <w:rFonts w:cs="Calibri"/>
          <w:bCs/>
          <w:color w:val="000099"/>
        </w:rPr>
      </w:pPr>
    </w:p>
    <w:p w14:paraId="0585B8EA" w14:textId="77777777" w:rsidR="006B4573" w:rsidRPr="00984BE3" w:rsidRDefault="006B4573" w:rsidP="006B4573">
      <w:pPr>
        <w:pStyle w:val="ListParagraph"/>
        <w:autoSpaceDE w:val="0"/>
        <w:autoSpaceDN w:val="0"/>
        <w:adjustRightInd w:val="0"/>
        <w:ind w:left="0" w:right="36"/>
        <w:rPr>
          <w:b/>
          <w:bCs/>
          <w:sz w:val="24"/>
          <w:szCs w:val="24"/>
        </w:rPr>
      </w:pPr>
      <w:r w:rsidRPr="00984BE3">
        <w:rPr>
          <w:b/>
          <w:bCs/>
          <w:sz w:val="24"/>
          <w:szCs w:val="24"/>
        </w:rPr>
        <w:t>2025 CBC:</w:t>
      </w:r>
    </w:p>
    <w:p w14:paraId="761397E9" w14:textId="77777777" w:rsidR="006B4573" w:rsidRPr="00984BE3" w:rsidRDefault="006B4573" w:rsidP="006B4573">
      <w:pPr>
        <w:autoSpaceDE w:val="0"/>
        <w:autoSpaceDN w:val="0"/>
        <w:adjustRightInd w:val="0"/>
        <w:ind w:right="36"/>
        <w:rPr>
          <w:color w:val="000099"/>
        </w:rPr>
      </w:pPr>
      <w:r w:rsidRPr="00984BE3">
        <w:rPr>
          <w:b/>
          <w:bCs/>
          <w:i/>
          <w:iCs/>
          <w:color w:val="000099"/>
        </w:rPr>
        <w:t>11B-</w:t>
      </w:r>
      <w:r w:rsidRPr="00984BE3">
        <w:rPr>
          <w:b/>
          <w:bCs/>
          <w:color w:val="000099"/>
        </w:rPr>
        <w:t xml:space="preserve">502.5 Vertical clearance. </w:t>
      </w:r>
      <w:r w:rsidRPr="00984BE3">
        <w:rPr>
          <w:color w:val="000099"/>
        </w:rPr>
        <w:t xml:space="preserve">Parking </w:t>
      </w:r>
      <w:r w:rsidRPr="00984BE3">
        <w:rPr>
          <w:i/>
          <w:iCs/>
          <w:color w:val="000099"/>
        </w:rPr>
        <w:t>spaces</w:t>
      </w:r>
      <w:r w:rsidRPr="00984BE3">
        <w:rPr>
          <w:color w:val="000099"/>
        </w:rPr>
        <w:t>, access aisles and vehicular routes serving them shall provide a vertical clearance of 98 inches (</w:t>
      </w:r>
      <w:r w:rsidRPr="00984BE3">
        <w:rPr>
          <w:i/>
          <w:iCs/>
          <w:color w:val="000099"/>
        </w:rPr>
        <w:t xml:space="preserve">2489 </w:t>
      </w:r>
      <w:r w:rsidRPr="00984BE3">
        <w:rPr>
          <w:color w:val="000099"/>
        </w:rPr>
        <w:t>mm) minimum.</w:t>
      </w:r>
    </w:p>
    <w:p w14:paraId="68B7BA9B" w14:textId="77777777" w:rsidR="006B4573" w:rsidRPr="00984BE3" w:rsidRDefault="006B4573" w:rsidP="006B4573">
      <w:pPr>
        <w:autoSpaceDE w:val="0"/>
        <w:autoSpaceDN w:val="0"/>
        <w:adjustRightInd w:val="0"/>
        <w:ind w:right="36"/>
        <w:rPr>
          <w:i/>
          <w:iCs/>
          <w:color w:val="000099"/>
        </w:rPr>
      </w:pPr>
      <w:r w:rsidRPr="00984BE3">
        <w:rPr>
          <w:b/>
          <w:bCs/>
          <w:i/>
          <w:iCs/>
          <w:color w:val="000099"/>
        </w:rPr>
        <w:t xml:space="preserve">Exception: </w:t>
      </w:r>
      <w:r w:rsidRPr="00984BE3">
        <w:rPr>
          <w:i/>
          <w:iCs/>
          <w:color w:val="000099"/>
        </w:rPr>
        <w:t>In existing multistory parking facilities, car parking spaces, access aisles and vehicular routes serving them shall provide a vertical clearance of 80 inches (2032 mm) minimum. Existing vertical clearance in excess of 80 inches (2032 mm) and less than 98 inches (2489 mm) shall be maintained. This exception shall not apply to van parking spaces, access aisles, or vehicular routes serving them.</w:t>
      </w:r>
    </w:p>
    <w:p w14:paraId="6B7EBAFA" w14:textId="77777777" w:rsidR="006B4573" w:rsidRDefault="006B4573" w:rsidP="006B4573">
      <w:pPr>
        <w:autoSpaceDE w:val="0"/>
        <w:autoSpaceDN w:val="0"/>
        <w:adjustRightInd w:val="0"/>
        <w:ind w:right="36"/>
        <w:rPr>
          <w:rFonts w:cs="Calibri"/>
          <w:bCs/>
          <w:color w:val="000099"/>
        </w:rPr>
      </w:pPr>
    </w:p>
    <w:p w14:paraId="77D7ED85" w14:textId="77777777" w:rsidR="00935C5D" w:rsidRPr="00984BE3" w:rsidRDefault="00935C5D" w:rsidP="006B4573">
      <w:pPr>
        <w:autoSpaceDE w:val="0"/>
        <w:autoSpaceDN w:val="0"/>
        <w:adjustRightInd w:val="0"/>
        <w:ind w:right="36"/>
        <w:rPr>
          <w:rFonts w:cs="Calibri"/>
          <w:bCs/>
        </w:rPr>
      </w:pPr>
    </w:p>
    <w:p w14:paraId="31C00C51" w14:textId="77777777" w:rsidR="006B4573" w:rsidRPr="00984BE3" w:rsidRDefault="006B4573" w:rsidP="00935C5D">
      <w:pPr>
        <w:pStyle w:val="ListParagraph"/>
        <w:numPr>
          <w:ilvl w:val="0"/>
          <w:numId w:val="3"/>
        </w:numPr>
        <w:ind w:left="0" w:right="36" w:firstLine="0"/>
        <w:rPr>
          <w:rFonts w:ascii="Century Gothic" w:hAnsi="Century Gothic"/>
          <w:bCs/>
          <w:sz w:val="20"/>
          <w:szCs w:val="20"/>
        </w:rPr>
      </w:pPr>
      <w:r w:rsidRPr="00984BE3">
        <w:rPr>
          <w:rFonts w:ascii="Century Gothic" w:hAnsi="Century Gothic"/>
          <w:bCs/>
          <w:sz w:val="20"/>
          <w:szCs w:val="20"/>
        </w:rPr>
        <w:t xml:space="preserve">UFAS requires at least one of each type of common area and amenity in each project to be accessible. Sinks in common areas are required to have clear floor space beneath them for forward </w:t>
      </w:r>
      <w:proofErr w:type="gramStart"/>
      <w:r w:rsidRPr="00984BE3">
        <w:rPr>
          <w:rFonts w:ascii="Century Gothic" w:hAnsi="Century Gothic"/>
          <w:bCs/>
          <w:sz w:val="20"/>
          <w:szCs w:val="20"/>
        </w:rPr>
        <w:t>approach  access</w:t>
      </w:r>
      <w:proofErr w:type="gramEnd"/>
      <w:r w:rsidRPr="00984BE3">
        <w:rPr>
          <w:rFonts w:ascii="Century Gothic" w:hAnsi="Century Gothic"/>
          <w:bCs/>
          <w:sz w:val="20"/>
          <w:szCs w:val="20"/>
        </w:rPr>
        <w:t>. Per the 2010 ADAS and the 2019 CBC, parallel approach access is allowed to a kitchen sink in a space where a cook top or conventional range is not provided and to wet bars.</w:t>
      </w:r>
    </w:p>
    <w:p w14:paraId="2FA542CA" w14:textId="77777777" w:rsidR="006B4573" w:rsidRPr="00984BE3" w:rsidRDefault="006B4573" w:rsidP="006B4573">
      <w:pPr>
        <w:pStyle w:val="ListParagraph"/>
        <w:ind w:left="0" w:right="36"/>
        <w:rPr>
          <w:bCs/>
          <w:sz w:val="24"/>
          <w:szCs w:val="24"/>
        </w:rPr>
      </w:pPr>
    </w:p>
    <w:p w14:paraId="71FFFE2C" w14:textId="77777777" w:rsidR="006B4573" w:rsidRPr="00984BE3" w:rsidRDefault="006B4573" w:rsidP="006B4573">
      <w:pPr>
        <w:pStyle w:val="ListParagraph"/>
        <w:autoSpaceDE w:val="0"/>
        <w:autoSpaceDN w:val="0"/>
        <w:adjustRightInd w:val="0"/>
        <w:ind w:left="0" w:right="36"/>
        <w:rPr>
          <w:b/>
          <w:bCs/>
          <w:sz w:val="24"/>
          <w:szCs w:val="24"/>
        </w:rPr>
      </w:pPr>
      <w:r w:rsidRPr="00984BE3">
        <w:rPr>
          <w:b/>
          <w:bCs/>
          <w:sz w:val="24"/>
          <w:szCs w:val="24"/>
        </w:rPr>
        <w:t>UFAS:</w:t>
      </w:r>
    </w:p>
    <w:p w14:paraId="04C6C012" w14:textId="77777777" w:rsidR="006B4573" w:rsidRPr="00984BE3" w:rsidRDefault="006B4573" w:rsidP="006B4573">
      <w:pPr>
        <w:ind w:right="36"/>
        <w:rPr>
          <w:rFonts w:cs="Calibri"/>
          <w:bCs/>
          <w:color w:val="000099"/>
        </w:rPr>
      </w:pPr>
      <w:r w:rsidRPr="00984BE3">
        <w:rPr>
          <w:rFonts w:cs="Calibri"/>
          <w:b/>
          <w:bCs/>
          <w:color w:val="000099"/>
        </w:rPr>
        <w:t xml:space="preserve">4.1.3 ACCESSIBLE HOUSING. </w:t>
      </w:r>
      <w:r w:rsidRPr="00984BE3">
        <w:rPr>
          <w:rFonts w:cs="Calibri"/>
          <w:color w:val="000099"/>
        </w:rPr>
        <w:t>Accessible housing shall comply with the requirements of 4.1 and 4.34 except as noted below:</w:t>
      </w:r>
    </w:p>
    <w:p w14:paraId="57C31D2C" w14:textId="77777777" w:rsidR="006B4573" w:rsidRPr="00984BE3" w:rsidRDefault="006B4573" w:rsidP="006B4573">
      <w:pPr>
        <w:ind w:right="36"/>
        <w:rPr>
          <w:rFonts w:cs="Calibri"/>
          <w:color w:val="000099"/>
        </w:rPr>
      </w:pPr>
      <w:r w:rsidRPr="00984BE3">
        <w:rPr>
          <w:rFonts w:cs="Calibri"/>
          <w:b/>
          <w:bCs/>
          <w:color w:val="000099"/>
        </w:rPr>
        <w:t xml:space="preserve">(3) COMMON AREAS. </w:t>
      </w:r>
      <w:r w:rsidRPr="00984BE3">
        <w:rPr>
          <w:rFonts w:cs="Calibri"/>
          <w:color w:val="000099"/>
        </w:rPr>
        <w:t>At least one of each type of common area and amenity in each project shall be accessible and shall be located on an accessible route to any accessible dwelling unit.</w:t>
      </w:r>
    </w:p>
    <w:p w14:paraId="73430862" w14:textId="77777777" w:rsidR="006B4573" w:rsidRPr="00984BE3" w:rsidRDefault="006B4573" w:rsidP="006B4573">
      <w:pPr>
        <w:ind w:right="36"/>
        <w:rPr>
          <w:rFonts w:cs="Calibri"/>
          <w:color w:val="000099"/>
          <w:sz w:val="16"/>
          <w:szCs w:val="16"/>
        </w:rPr>
      </w:pPr>
    </w:p>
    <w:p w14:paraId="6DA58AEA" w14:textId="77777777" w:rsidR="006B4573" w:rsidRPr="00984BE3" w:rsidRDefault="006B4573" w:rsidP="006B4573">
      <w:pPr>
        <w:pStyle w:val="Default"/>
        <w:ind w:right="36"/>
        <w:rPr>
          <w:rFonts w:ascii="Calibri" w:hAnsi="Calibri" w:cs="Calibri"/>
          <w:color w:val="000099"/>
        </w:rPr>
      </w:pPr>
      <w:r w:rsidRPr="00984BE3">
        <w:rPr>
          <w:rFonts w:ascii="Calibri" w:hAnsi="Calibri" w:cs="Calibri"/>
          <w:b/>
          <w:bCs/>
          <w:color w:val="000099"/>
        </w:rPr>
        <w:t xml:space="preserve">4.24 SINKS. </w:t>
      </w:r>
    </w:p>
    <w:p w14:paraId="02CF21D5" w14:textId="77777777" w:rsidR="006B4573" w:rsidRPr="00984BE3" w:rsidRDefault="006B4573" w:rsidP="006B4573">
      <w:pPr>
        <w:ind w:right="36"/>
        <w:rPr>
          <w:rFonts w:cs="Calibri"/>
          <w:color w:val="000099"/>
        </w:rPr>
      </w:pPr>
      <w:r w:rsidRPr="00984BE3">
        <w:rPr>
          <w:rFonts w:cs="Calibri"/>
          <w:b/>
          <w:bCs/>
          <w:color w:val="000099"/>
        </w:rPr>
        <w:t xml:space="preserve">4.24.1 GENERAL. </w:t>
      </w:r>
      <w:r w:rsidRPr="00984BE3">
        <w:rPr>
          <w:rFonts w:cs="Calibri"/>
          <w:color w:val="000099"/>
        </w:rPr>
        <w:t>Sinks required to be accessible by 4.1 shall comply with 4.24. Sinks in kitchens of accessible dwelling units shall comply with 4.34.6.5.</w:t>
      </w:r>
    </w:p>
    <w:p w14:paraId="5F518E5E" w14:textId="77777777" w:rsidR="006B4573" w:rsidRPr="00984BE3" w:rsidRDefault="006B4573" w:rsidP="006B4573">
      <w:pPr>
        <w:ind w:right="36"/>
        <w:rPr>
          <w:rFonts w:cs="Calibri"/>
          <w:color w:val="000099"/>
          <w:sz w:val="16"/>
          <w:szCs w:val="16"/>
        </w:rPr>
      </w:pPr>
    </w:p>
    <w:p w14:paraId="56CF8983" w14:textId="77777777" w:rsidR="006B4573" w:rsidRPr="00984BE3" w:rsidRDefault="006B4573" w:rsidP="006B4573">
      <w:pPr>
        <w:autoSpaceDE w:val="0"/>
        <w:autoSpaceDN w:val="0"/>
        <w:adjustRightInd w:val="0"/>
        <w:ind w:right="36"/>
        <w:rPr>
          <w:rFonts w:cs="Calibri"/>
          <w:color w:val="000099"/>
        </w:rPr>
      </w:pPr>
      <w:r w:rsidRPr="00984BE3">
        <w:rPr>
          <w:rFonts w:cs="Calibri"/>
          <w:b/>
          <w:bCs/>
          <w:color w:val="000099"/>
        </w:rPr>
        <w:t xml:space="preserve">4.24.5 Clear Floor Space. </w:t>
      </w:r>
      <w:r w:rsidRPr="00984BE3">
        <w:rPr>
          <w:rFonts w:cs="Calibri"/>
          <w:color w:val="000099"/>
        </w:rPr>
        <w:t>A clear floor space at least 30 in by 48 in (760 mm by 1220 mm) complying with 4.2.4 shall be provided in front of a sink to allow forward approach. The clear</w:t>
      </w:r>
    </w:p>
    <w:p w14:paraId="72DB3D81" w14:textId="77777777" w:rsidR="006B4573" w:rsidRPr="00984BE3" w:rsidRDefault="006B4573" w:rsidP="006B4573">
      <w:pPr>
        <w:autoSpaceDE w:val="0"/>
        <w:autoSpaceDN w:val="0"/>
        <w:adjustRightInd w:val="0"/>
        <w:ind w:right="36"/>
        <w:rPr>
          <w:rFonts w:cs="Calibri"/>
          <w:color w:val="000099"/>
        </w:rPr>
      </w:pPr>
      <w:r w:rsidRPr="00984BE3">
        <w:rPr>
          <w:rFonts w:cs="Calibri"/>
          <w:color w:val="000099"/>
        </w:rPr>
        <w:t>floor space shall be on an accessible route and shall extend a maximum of 19 in (485 mm)</w:t>
      </w:r>
    </w:p>
    <w:p w14:paraId="5FD372AD" w14:textId="77777777" w:rsidR="006B4573" w:rsidRPr="00984BE3" w:rsidRDefault="006B4573" w:rsidP="006B4573">
      <w:pPr>
        <w:ind w:right="36"/>
        <w:rPr>
          <w:rFonts w:cs="Calibri"/>
          <w:color w:val="000099"/>
        </w:rPr>
      </w:pPr>
      <w:r w:rsidRPr="00984BE3">
        <w:rPr>
          <w:rFonts w:cs="Calibri"/>
          <w:color w:val="000099"/>
        </w:rPr>
        <w:t>underneath the sink (see Fig. 32).</w:t>
      </w:r>
    </w:p>
    <w:p w14:paraId="4DE33794" w14:textId="77777777" w:rsidR="006B4573" w:rsidRPr="00984BE3" w:rsidRDefault="006B4573" w:rsidP="006B4573">
      <w:pPr>
        <w:ind w:right="36"/>
        <w:rPr>
          <w:rFonts w:cs="Calibri"/>
          <w:color w:val="000099"/>
        </w:rPr>
      </w:pPr>
    </w:p>
    <w:p w14:paraId="20D815B7" w14:textId="77777777" w:rsidR="006B4573" w:rsidRPr="00984BE3" w:rsidRDefault="006B4573" w:rsidP="006B4573">
      <w:pPr>
        <w:pStyle w:val="ListParagraph"/>
        <w:autoSpaceDE w:val="0"/>
        <w:autoSpaceDN w:val="0"/>
        <w:adjustRightInd w:val="0"/>
        <w:ind w:left="0" w:right="36"/>
        <w:rPr>
          <w:b/>
          <w:bCs/>
          <w:sz w:val="24"/>
          <w:szCs w:val="24"/>
        </w:rPr>
      </w:pPr>
      <w:r w:rsidRPr="00984BE3">
        <w:rPr>
          <w:b/>
          <w:bCs/>
          <w:sz w:val="24"/>
          <w:szCs w:val="24"/>
        </w:rPr>
        <w:t>2010 ADAS:</w:t>
      </w:r>
    </w:p>
    <w:p w14:paraId="1CC5C501" w14:textId="77777777" w:rsidR="006B4573" w:rsidRPr="00984BE3" w:rsidRDefault="006B4573" w:rsidP="006B4573">
      <w:pPr>
        <w:autoSpaceDE w:val="0"/>
        <w:autoSpaceDN w:val="0"/>
        <w:adjustRightInd w:val="0"/>
        <w:ind w:right="36"/>
        <w:rPr>
          <w:rFonts w:ascii="Arial" w:hAnsi="Arial" w:cs="Arial"/>
          <w:color w:val="000099"/>
          <w:sz w:val="22"/>
          <w:szCs w:val="22"/>
        </w:rPr>
      </w:pPr>
      <w:r w:rsidRPr="00984BE3">
        <w:rPr>
          <w:rFonts w:ascii="Arial" w:hAnsi="Arial" w:cs="Arial"/>
          <w:b/>
          <w:bCs/>
          <w:color w:val="000099"/>
          <w:sz w:val="22"/>
          <w:szCs w:val="22"/>
        </w:rPr>
        <w:t xml:space="preserve">212.3 Sinks. </w:t>
      </w:r>
      <w:r w:rsidRPr="00984BE3">
        <w:rPr>
          <w:rFonts w:ascii="Arial" w:hAnsi="Arial" w:cs="Arial"/>
          <w:color w:val="000099"/>
          <w:sz w:val="22"/>
          <w:szCs w:val="22"/>
        </w:rPr>
        <w:t xml:space="preserve">Where sinks are provided, at least 5 percent, but no fewer than one, of each type provided in each </w:t>
      </w:r>
      <w:r w:rsidRPr="00984BE3">
        <w:rPr>
          <w:rFonts w:ascii="Arial" w:hAnsi="Arial" w:cs="Arial"/>
          <w:i/>
          <w:iCs/>
          <w:color w:val="000099"/>
          <w:sz w:val="22"/>
          <w:szCs w:val="22"/>
        </w:rPr>
        <w:t xml:space="preserve">accessible </w:t>
      </w:r>
      <w:r w:rsidRPr="00984BE3">
        <w:rPr>
          <w:rFonts w:ascii="Arial" w:hAnsi="Arial" w:cs="Arial"/>
          <w:color w:val="000099"/>
          <w:sz w:val="22"/>
          <w:szCs w:val="22"/>
        </w:rPr>
        <w:t xml:space="preserve">room or </w:t>
      </w:r>
      <w:r w:rsidRPr="00984BE3">
        <w:rPr>
          <w:rFonts w:ascii="Arial" w:hAnsi="Arial" w:cs="Arial"/>
          <w:i/>
          <w:iCs/>
          <w:color w:val="000099"/>
          <w:sz w:val="22"/>
          <w:szCs w:val="22"/>
        </w:rPr>
        <w:t xml:space="preserve">space </w:t>
      </w:r>
      <w:r w:rsidRPr="00984BE3">
        <w:rPr>
          <w:rFonts w:ascii="Arial" w:hAnsi="Arial" w:cs="Arial"/>
          <w:color w:val="000099"/>
          <w:sz w:val="22"/>
          <w:szCs w:val="22"/>
        </w:rPr>
        <w:t>shall comply with 606.</w:t>
      </w:r>
    </w:p>
    <w:p w14:paraId="6A2381B1" w14:textId="77777777" w:rsidR="006B4573" w:rsidRPr="00984BE3" w:rsidRDefault="006B4573" w:rsidP="006B4573">
      <w:pPr>
        <w:pStyle w:val="ListParagraph"/>
        <w:autoSpaceDE w:val="0"/>
        <w:autoSpaceDN w:val="0"/>
        <w:adjustRightInd w:val="0"/>
        <w:ind w:left="0" w:right="36"/>
        <w:rPr>
          <w:b/>
          <w:bCs/>
          <w:color w:val="000099"/>
        </w:rPr>
      </w:pPr>
      <w:r w:rsidRPr="00984BE3">
        <w:rPr>
          <w:rFonts w:ascii="Arial" w:hAnsi="Arial" w:cs="Arial"/>
          <w:b/>
          <w:bCs/>
          <w:color w:val="000099"/>
        </w:rPr>
        <w:t xml:space="preserve">EXCEPTION: </w:t>
      </w:r>
      <w:r w:rsidRPr="00984BE3">
        <w:rPr>
          <w:rFonts w:ascii="Arial" w:hAnsi="Arial" w:cs="Arial"/>
          <w:color w:val="000099"/>
        </w:rPr>
        <w:t>Mop or service sinks shall not be required to comply with 212.3.</w:t>
      </w:r>
    </w:p>
    <w:p w14:paraId="6F334455" w14:textId="77777777" w:rsidR="006B4573" w:rsidRPr="00984BE3" w:rsidRDefault="006B4573" w:rsidP="006B4573">
      <w:pPr>
        <w:pStyle w:val="ListParagraph"/>
        <w:autoSpaceDE w:val="0"/>
        <w:autoSpaceDN w:val="0"/>
        <w:adjustRightInd w:val="0"/>
        <w:ind w:left="0" w:right="36"/>
        <w:rPr>
          <w:b/>
          <w:bCs/>
          <w:color w:val="000099"/>
        </w:rPr>
      </w:pPr>
    </w:p>
    <w:p w14:paraId="1CD15356" w14:textId="77777777" w:rsidR="006B4573" w:rsidRPr="00984BE3" w:rsidRDefault="006B4573" w:rsidP="006B4573">
      <w:pPr>
        <w:autoSpaceDE w:val="0"/>
        <w:autoSpaceDN w:val="0"/>
        <w:adjustRightInd w:val="0"/>
        <w:ind w:right="36"/>
        <w:rPr>
          <w:rFonts w:ascii="Arial" w:hAnsi="Arial" w:cs="Arial"/>
          <w:color w:val="000099"/>
          <w:sz w:val="22"/>
          <w:szCs w:val="22"/>
        </w:rPr>
      </w:pPr>
      <w:r w:rsidRPr="00984BE3">
        <w:rPr>
          <w:rFonts w:ascii="Arial" w:hAnsi="Arial" w:cs="Arial"/>
          <w:b/>
          <w:bCs/>
          <w:color w:val="000099"/>
          <w:sz w:val="22"/>
          <w:szCs w:val="22"/>
        </w:rPr>
        <w:t xml:space="preserve">606.2 Clear Floor Space. </w:t>
      </w:r>
      <w:r w:rsidRPr="00984BE3">
        <w:rPr>
          <w:rFonts w:ascii="Arial" w:hAnsi="Arial" w:cs="Arial"/>
          <w:color w:val="000099"/>
          <w:sz w:val="22"/>
          <w:szCs w:val="22"/>
        </w:rPr>
        <w:t xml:space="preserve">A clear floor </w:t>
      </w:r>
      <w:r w:rsidRPr="00984BE3">
        <w:rPr>
          <w:rFonts w:ascii="Arial" w:hAnsi="Arial" w:cs="Arial"/>
          <w:i/>
          <w:iCs/>
          <w:color w:val="000099"/>
          <w:sz w:val="22"/>
          <w:szCs w:val="22"/>
        </w:rPr>
        <w:t xml:space="preserve">space </w:t>
      </w:r>
      <w:r w:rsidRPr="00984BE3">
        <w:rPr>
          <w:rFonts w:ascii="Arial" w:hAnsi="Arial" w:cs="Arial"/>
          <w:color w:val="000099"/>
          <w:sz w:val="22"/>
          <w:szCs w:val="22"/>
        </w:rPr>
        <w:t>complying with 305, positioned for a forward approach, and knee and toe clearance complying with 306 shall be provided.</w:t>
      </w:r>
    </w:p>
    <w:p w14:paraId="2576D7CB" w14:textId="77777777" w:rsidR="006B4573" w:rsidRPr="00984BE3" w:rsidRDefault="006B4573" w:rsidP="006B4573">
      <w:pPr>
        <w:tabs>
          <w:tab w:val="left" w:pos="270"/>
        </w:tabs>
        <w:autoSpaceDE w:val="0"/>
        <w:autoSpaceDN w:val="0"/>
        <w:adjustRightInd w:val="0"/>
        <w:ind w:right="36"/>
        <w:rPr>
          <w:rFonts w:cs="Calibri"/>
          <w:b/>
          <w:bCs/>
          <w:color w:val="000099"/>
          <w:sz w:val="22"/>
          <w:szCs w:val="22"/>
        </w:rPr>
      </w:pPr>
      <w:r w:rsidRPr="00984BE3">
        <w:rPr>
          <w:rFonts w:ascii="Arial" w:hAnsi="Arial" w:cs="Arial"/>
          <w:b/>
          <w:bCs/>
          <w:color w:val="000099"/>
          <w:sz w:val="22"/>
          <w:szCs w:val="22"/>
        </w:rPr>
        <w:t xml:space="preserve">EXCEPTIONS: 1. </w:t>
      </w:r>
      <w:r w:rsidRPr="00984BE3">
        <w:rPr>
          <w:rFonts w:ascii="Arial" w:hAnsi="Arial" w:cs="Arial"/>
          <w:color w:val="000099"/>
          <w:sz w:val="22"/>
          <w:szCs w:val="22"/>
        </w:rPr>
        <w:t xml:space="preserve">A parallel approach complying with 305 shall be permitted to a kitchen sink in a </w:t>
      </w:r>
      <w:r w:rsidRPr="00984BE3">
        <w:rPr>
          <w:rFonts w:ascii="Arial" w:hAnsi="Arial" w:cs="Arial"/>
          <w:i/>
          <w:iCs/>
          <w:color w:val="000099"/>
          <w:sz w:val="22"/>
          <w:szCs w:val="22"/>
        </w:rPr>
        <w:t xml:space="preserve">space </w:t>
      </w:r>
      <w:r w:rsidRPr="00984BE3">
        <w:rPr>
          <w:rFonts w:ascii="Arial" w:hAnsi="Arial" w:cs="Arial"/>
          <w:color w:val="000099"/>
          <w:sz w:val="22"/>
          <w:szCs w:val="22"/>
        </w:rPr>
        <w:t>where a cook top or conventional range is not provided and to wet bars.</w:t>
      </w:r>
    </w:p>
    <w:p w14:paraId="5B416082" w14:textId="77777777" w:rsidR="006B4573" w:rsidRPr="006B4573" w:rsidRDefault="006B4573" w:rsidP="006B4573">
      <w:pPr>
        <w:ind w:right="36"/>
        <w:rPr>
          <w:rFonts w:cs="Calibri"/>
          <w:color w:val="A6A6A6"/>
        </w:rPr>
      </w:pPr>
    </w:p>
    <w:p w14:paraId="76204C4A" w14:textId="77777777" w:rsidR="006B4573" w:rsidRPr="00984BE3" w:rsidRDefault="006B4573" w:rsidP="006B4573">
      <w:pPr>
        <w:pStyle w:val="ListParagraph"/>
        <w:autoSpaceDE w:val="0"/>
        <w:autoSpaceDN w:val="0"/>
        <w:adjustRightInd w:val="0"/>
        <w:ind w:left="0" w:right="36"/>
        <w:rPr>
          <w:b/>
          <w:bCs/>
          <w:sz w:val="24"/>
          <w:szCs w:val="24"/>
        </w:rPr>
      </w:pPr>
      <w:r w:rsidRPr="00984BE3">
        <w:rPr>
          <w:b/>
          <w:bCs/>
          <w:sz w:val="24"/>
          <w:szCs w:val="24"/>
        </w:rPr>
        <w:lastRenderedPageBreak/>
        <w:t>2025 CBC:</w:t>
      </w:r>
    </w:p>
    <w:p w14:paraId="501BB6C2" w14:textId="77777777" w:rsidR="006B4573" w:rsidRPr="00984BE3" w:rsidRDefault="006B4573" w:rsidP="006B4573">
      <w:pPr>
        <w:autoSpaceDE w:val="0"/>
        <w:autoSpaceDN w:val="0"/>
        <w:adjustRightInd w:val="0"/>
        <w:ind w:right="36"/>
        <w:rPr>
          <w:color w:val="000099"/>
        </w:rPr>
      </w:pPr>
      <w:r w:rsidRPr="00984BE3">
        <w:rPr>
          <w:b/>
          <w:bCs/>
          <w:i/>
          <w:iCs/>
          <w:color w:val="000099"/>
        </w:rPr>
        <w:t>11B-</w:t>
      </w:r>
      <w:r w:rsidRPr="00984BE3">
        <w:rPr>
          <w:b/>
          <w:bCs/>
          <w:color w:val="000099"/>
        </w:rPr>
        <w:t xml:space="preserve">212.3 Sinks. </w:t>
      </w:r>
      <w:r w:rsidRPr="00984BE3">
        <w:rPr>
          <w:color w:val="000099"/>
        </w:rPr>
        <w:t xml:space="preserve">Where sinks are provided, at least 5 percent, but no fewer than one, of each type provided in each accessible room or space shall comply with </w:t>
      </w:r>
      <w:r w:rsidRPr="00984BE3">
        <w:rPr>
          <w:i/>
          <w:iCs/>
          <w:color w:val="000099"/>
        </w:rPr>
        <w:t>Section 11B-</w:t>
      </w:r>
      <w:r w:rsidRPr="00984BE3">
        <w:rPr>
          <w:color w:val="000099"/>
        </w:rPr>
        <w:t>606.</w:t>
      </w:r>
    </w:p>
    <w:p w14:paraId="523EFE54" w14:textId="77777777" w:rsidR="006B4573" w:rsidRPr="00984BE3" w:rsidRDefault="006B4573" w:rsidP="006B4573">
      <w:pPr>
        <w:autoSpaceDE w:val="0"/>
        <w:autoSpaceDN w:val="0"/>
        <w:adjustRightInd w:val="0"/>
        <w:ind w:right="36"/>
        <w:rPr>
          <w:b/>
          <w:bCs/>
          <w:i/>
          <w:iCs/>
          <w:color w:val="000099"/>
        </w:rPr>
      </w:pPr>
      <w:r w:rsidRPr="00984BE3">
        <w:rPr>
          <w:b/>
          <w:bCs/>
          <w:i/>
          <w:iCs/>
          <w:color w:val="000099"/>
        </w:rPr>
        <w:t>Exceptions:</w:t>
      </w:r>
    </w:p>
    <w:p w14:paraId="55AFABCA" w14:textId="77777777" w:rsidR="006B4573" w:rsidRPr="00984BE3" w:rsidRDefault="006B4573" w:rsidP="006B4573">
      <w:pPr>
        <w:autoSpaceDE w:val="0"/>
        <w:autoSpaceDN w:val="0"/>
        <w:adjustRightInd w:val="0"/>
        <w:ind w:right="36"/>
        <w:rPr>
          <w:color w:val="000099"/>
        </w:rPr>
      </w:pPr>
      <w:r w:rsidRPr="00984BE3">
        <w:rPr>
          <w:i/>
          <w:iCs/>
          <w:color w:val="000099"/>
        </w:rPr>
        <w:t xml:space="preserve">1. </w:t>
      </w:r>
      <w:r w:rsidRPr="00984BE3">
        <w:rPr>
          <w:color w:val="000099"/>
        </w:rPr>
        <w:t xml:space="preserve">Mop, service </w:t>
      </w:r>
      <w:r w:rsidRPr="00984BE3">
        <w:rPr>
          <w:i/>
          <w:iCs/>
          <w:color w:val="000099"/>
        </w:rPr>
        <w:t xml:space="preserve">or scullery </w:t>
      </w:r>
      <w:r w:rsidRPr="00984BE3">
        <w:rPr>
          <w:color w:val="000099"/>
        </w:rPr>
        <w:t xml:space="preserve">sinks shall not be required to comply with </w:t>
      </w:r>
      <w:r w:rsidRPr="00984BE3">
        <w:rPr>
          <w:i/>
          <w:iCs/>
          <w:color w:val="000099"/>
        </w:rPr>
        <w:t>Section 11B-</w:t>
      </w:r>
      <w:r w:rsidRPr="00984BE3">
        <w:rPr>
          <w:color w:val="000099"/>
        </w:rPr>
        <w:t>212.3.</w:t>
      </w:r>
    </w:p>
    <w:p w14:paraId="4F5E44F7" w14:textId="77777777" w:rsidR="006B4573" w:rsidRPr="00984BE3" w:rsidRDefault="006B4573" w:rsidP="006B4573">
      <w:pPr>
        <w:autoSpaceDE w:val="0"/>
        <w:autoSpaceDN w:val="0"/>
        <w:adjustRightInd w:val="0"/>
        <w:ind w:right="36"/>
        <w:rPr>
          <w:rFonts w:cs="Calibri"/>
          <w:b/>
          <w:bCs/>
          <w:color w:val="000099"/>
        </w:rPr>
      </w:pPr>
      <w:r w:rsidRPr="00984BE3">
        <w:rPr>
          <w:i/>
          <w:iCs/>
          <w:color w:val="000099"/>
        </w:rPr>
        <w:t>2. Scrub sinks, as defined in California Plumbing Code Section 221.0, shall not be required to comply with Section 11B-606.</w:t>
      </w:r>
    </w:p>
    <w:p w14:paraId="6E8896BD" w14:textId="77777777" w:rsidR="006B4573" w:rsidRPr="00984BE3" w:rsidRDefault="006B4573" w:rsidP="006B4573">
      <w:pPr>
        <w:pStyle w:val="ListParagraph"/>
        <w:autoSpaceDE w:val="0"/>
        <w:autoSpaceDN w:val="0"/>
        <w:adjustRightInd w:val="0"/>
        <w:ind w:left="0" w:right="36"/>
        <w:rPr>
          <w:b/>
          <w:bCs/>
          <w:color w:val="000099"/>
          <w:sz w:val="24"/>
          <w:szCs w:val="24"/>
        </w:rPr>
      </w:pPr>
    </w:p>
    <w:p w14:paraId="090BB6CB" w14:textId="77777777" w:rsidR="006B4573" w:rsidRPr="00984BE3" w:rsidRDefault="006B4573" w:rsidP="006B4573">
      <w:pPr>
        <w:autoSpaceDE w:val="0"/>
        <w:autoSpaceDN w:val="0"/>
        <w:adjustRightInd w:val="0"/>
        <w:ind w:right="36"/>
        <w:rPr>
          <w:color w:val="000099"/>
        </w:rPr>
      </w:pPr>
      <w:r w:rsidRPr="00984BE3">
        <w:rPr>
          <w:b/>
          <w:bCs/>
          <w:i/>
          <w:iCs/>
          <w:color w:val="000099"/>
        </w:rPr>
        <w:t>11B-</w:t>
      </w:r>
      <w:r w:rsidRPr="00984BE3">
        <w:rPr>
          <w:b/>
          <w:bCs/>
          <w:color w:val="000099"/>
        </w:rPr>
        <w:t xml:space="preserve">606.2 Clear floor space. </w:t>
      </w:r>
      <w:r w:rsidRPr="00984BE3">
        <w:rPr>
          <w:color w:val="000099"/>
        </w:rPr>
        <w:t xml:space="preserve">A clear floor space complying with </w:t>
      </w:r>
      <w:r w:rsidRPr="00984BE3">
        <w:rPr>
          <w:i/>
          <w:iCs/>
          <w:color w:val="000099"/>
        </w:rPr>
        <w:t>Section 11B-</w:t>
      </w:r>
      <w:r w:rsidRPr="00984BE3">
        <w:rPr>
          <w:color w:val="000099"/>
        </w:rPr>
        <w:t xml:space="preserve">305, positioned for a forward approach, and knee and toe clearance complying with </w:t>
      </w:r>
      <w:r w:rsidRPr="00984BE3">
        <w:rPr>
          <w:i/>
          <w:iCs/>
          <w:color w:val="000099"/>
        </w:rPr>
        <w:t>Section 11B-</w:t>
      </w:r>
      <w:r w:rsidRPr="00984BE3">
        <w:rPr>
          <w:color w:val="000099"/>
        </w:rPr>
        <w:t>306 shall be provided.</w:t>
      </w:r>
    </w:p>
    <w:p w14:paraId="21702D0A" w14:textId="77777777" w:rsidR="006B4573" w:rsidRPr="00984BE3" w:rsidRDefault="006B4573" w:rsidP="006B4573">
      <w:pPr>
        <w:autoSpaceDE w:val="0"/>
        <w:autoSpaceDN w:val="0"/>
        <w:adjustRightInd w:val="0"/>
        <w:ind w:right="36"/>
        <w:rPr>
          <w:b/>
          <w:bCs/>
          <w:color w:val="000099"/>
        </w:rPr>
      </w:pPr>
      <w:r w:rsidRPr="00984BE3">
        <w:rPr>
          <w:b/>
          <w:bCs/>
          <w:color w:val="000099"/>
        </w:rPr>
        <w:t>Exceptions:</w:t>
      </w:r>
    </w:p>
    <w:p w14:paraId="677CA150" w14:textId="77777777" w:rsidR="006B4573" w:rsidRPr="00984BE3" w:rsidRDefault="006B4573" w:rsidP="006B4573">
      <w:pPr>
        <w:autoSpaceDE w:val="0"/>
        <w:autoSpaceDN w:val="0"/>
        <w:adjustRightInd w:val="0"/>
        <w:ind w:right="36"/>
        <w:rPr>
          <w:color w:val="000099"/>
        </w:rPr>
      </w:pPr>
      <w:r w:rsidRPr="00984BE3">
        <w:rPr>
          <w:color w:val="000099"/>
        </w:rPr>
        <w:t xml:space="preserve">1. A parallel approach complying with </w:t>
      </w:r>
      <w:r w:rsidRPr="00984BE3">
        <w:rPr>
          <w:i/>
          <w:iCs/>
          <w:color w:val="000099"/>
        </w:rPr>
        <w:t xml:space="preserve">Section 11B- </w:t>
      </w:r>
      <w:r w:rsidRPr="00984BE3">
        <w:rPr>
          <w:color w:val="000099"/>
        </w:rPr>
        <w:t>305 shall be permitted to a kitchen sink in a space where a cook top or conventional range is not provided and to wet bars.</w:t>
      </w:r>
    </w:p>
    <w:p w14:paraId="33455B3F" w14:textId="77777777" w:rsidR="00935C5D" w:rsidRDefault="00935C5D" w:rsidP="006B4573">
      <w:pPr>
        <w:autoSpaceDE w:val="0"/>
        <w:autoSpaceDN w:val="0"/>
        <w:adjustRightInd w:val="0"/>
        <w:ind w:right="36"/>
        <w:rPr>
          <w:rFonts w:cs="Calibri"/>
          <w:bCs/>
          <w:color w:val="000099"/>
        </w:rPr>
      </w:pPr>
    </w:p>
    <w:p w14:paraId="06CA49EB" w14:textId="77777777" w:rsidR="00FF443F" w:rsidRPr="006B4573" w:rsidRDefault="00FF443F" w:rsidP="006B4573">
      <w:pPr>
        <w:autoSpaceDE w:val="0"/>
        <w:autoSpaceDN w:val="0"/>
        <w:adjustRightInd w:val="0"/>
        <w:ind w:right="36"/>
        <w:rPr>
          <w:rFonts w:cs="Calibri"/>
          <w:bCs/>
          <w:color w:val="000099"/>
        </w:rPr>
      </w:pPr>
    </w:p>
    <w:p w14:paraId="19828188" w14:textId="77777777" w:rsidR="006B4573" w:rsidRPr="00984BE3" w:rsidRDefault="006B4573" w:rsidP="006B4573">
      <w:pPr>
        <w:autoSpaceDE w:val="0"/>
        <w:autoSpaceDN w:val="0"/>
        <w:adjustRightInd w:val="0"/>
        <w:ind w:right="36"/>
        <w:rPr>
          <w:rFonts w:ascii="Century Gothic" w:hAnsi="Century Gothic" w:cs="Calibri"/>
          <w:bCs/>
          <w:sz w:val="20"/>
          <w:szCs w:val="20"/>
        </w:rPr>
      </w:pPr>
      <w:r w:rsidRPr="00984BE3">
        <w:rPr>
          <w:rFonts w:ascii="Century Gothic" w:hAnsi="Century Gothic" w:cs="Calibri"/>
          <w:bCs/>
          <w:sz w:val="20"/>
          <w:szCs w:val="20"/>
        </w:rPr>
        <w:t xml:space="preserve">Unfortunately, public housing projects subject to Section 504 that have relied on HUD’s 2014 Deeming Notice and the </w:t>
      </w:r>
      <w:r w:rsidRPr="00984BE3">
        <w:rPr>
          <w:rFonts w:ascii="Century Gothic" w:hAnsi="Century Gothic" w:cs="Calibri"/>
          <w:bCs/>
          <w:i/>
          <w:iCs/>
          <w:sz w:val="20"/>
          <w:szCs w:val="20"/>
        </w:rPr>
        <w:t>alternative accessibility standard</w:t>
      </w:r>
      <w:r w:rsidRPr="00984BE3">
        <w:rPr>
          <w:rFonts w:ascii="Century Gothic" w:hAnsi="Century Gothic" w:cs="Calibri"/>
          <w:bCs/>
          <w:sz w:val="20"/>
          <w:szCs w:val="20"/>
        </w:rPr>
        <w:t xml:space="preserve"> for compliance likely may not comply with UFAS and HUD’s Section 504 regulation. It would be a huge mistake for DSA to exacerbate this problem by relying solely on the Deeming Notice when determining what changes need to be made to CBC Chapter 11B for the purpose of Secti</w:t>
      </w:r>
      <w:r w:rsidR="00935C5D" w:rsidRPr="00984BE3">
        <w:rPr>
          <w:rFonts w:ascii="Century Gothic" w:hAnsi="Century Gothic" w:cs="Calibri"/>
          <w:bCs/>
          <w:sz w:val="20"/>
          <w:szCs w:val="20"/>
        </w:rPr>
        <w:t xml:space="preserve">on </w:t>
      </w:r>
      <w:r w:rsidRPr="00984BE3">
        <w:rPr>
          <w:rFonts w:ascii="Century Gothic" w:hAnsi="Century Gothic" w:cs="Calibri"/>
          <w:bCs/>
          <w:sz w:val="20"/>
          <w:szCs w:val="20"/>
        </w:rPr>
        <w:t>504 compliance.</w:t>
      </w:r>
    </w:p>
    <w:p w14:paraId="3EB00AFC" w14:textId="77777777" w:rsidR="006B4573" w:rsidRPr="00984BE3" w:rsidRDefault="006B4573" w:rsidP="006B4573">
      <w:pPr>
        <w:ind w:right="36"/>
        <w:rPr>
          <w:rFonts w:ascii="Century Gothic" w:hAnsi="Century Gothic" w:cs="Calibri"/>
          <w:bCs/>
          <w:sz w:val="20"/>
          <w:szCs w:val="20"/>
        </w:rPr>
      </w:pPr>
    </w:p>
    <w:p w14:paraId="02A23174" w14:textId="77777777" w:rsidR="006B4573" w:rsidRPr="00984BE3" w:rsidRDefault="006B4573" w:rsidP="006B4573">
      <w:pPr>
        <w:ind w:right="36"/>
        <w:rPr>
          <w:rFonts w:ascii="Century Gothic" w:hAnsi="Century Gothic" w:cs="Calibri"/>
          <w:bCs/>
          <w:sz w:val="20"/>
          <w:szCs w:val="20"/>
        </w:rPr>
      </w:pPr>
      <w:r w:rsidRPr="00984BE3">
        <w:rPr>
          <w:rFonts w:ascii="Century Gothic" w:hAnsi="Century Gothic" w:cs="Calibri"/>
          <w:bCs/>
          <w:sz w:val="20"/>
          <w:szCs w:val="20"/>
        </w:rPr>
        <w:t>Thank you for your consideration.</w:t>
      </w:r>
    </w:p>
    <w:p w14:paraId="234FE2B2" w14:textId="77777777" w:rsidR="006923FB" w:rsidRPr="00984BE3" w:rsidRDefault="006923FB" w:rsidP="006B4573">
      <w:pPr>
        <w:tabs>
          <w:tab w:val="decimal" w:pos="7200"/>
        </w:tabs>
        <w:ind w:right="36"/>
        <w:rPr>
          <w:rFonts w:ascii="Century Gothic" w:hAnsi="Century Gothic"/>
          <w:sz w:val="16"/>
          <w:szCs w:val="16"/>
        </w:rPr>
      </w:pPr>
    </w:p>
    <w:p w14:paraId="4AB878F1" w14:textId="77777777" w:rsidR="006923FB" w:rsidRPr="00984BE3" w:rsidRDefault="006923FB" w:rsidP="006B4573">
      <w:pPr>
        <w:tabs>
          <w:tab w:val="decimal" w:pos="7200"/>
        </w:tabs>
        <w:ind w:right="36"/>
        <w:rPr>
          <w:rFonts w:ascii="Century Gothic" w:hAnsi="Century Gothic"/>
          <w:sz w:val="20"/>
        </w:rPr>
      </w:pPr>
      <w:r w:rsidRPr="00984BE3">
        <w:rPr>
          <w:rFonts w:ascii="Century Gothic" w:hAnsi="Century Gothic"/>
          <w:sz w:val="20"/>
        </w:rPr>
        <w:t>Sincerely,</w:t>
      </w:r>
    </w:p>
    <w:p w14:paraId="2204A1D3" w14:textId="416982A4" w:rsidR="006923FB" w:rsidRPr="00984BE3" w:rsidRDefault="0062274F" w:rsidP="006B4573">
      <w:pPr>
        <w:tabs>
          <w:tab w:val="decimal" w:pos="7200"/>
        </w:tabs>
        <w:ind w:right="36"/>
        <w:rPr>
          <w:rFonts w:ascii="Century Gothic" w:hAnsi="Century Gothic"/>
          <w:sz w:val="20"/>
        </w:rPr>
      </w:pPr>
      <w:r w:rsidRPr="00984BE3">
        <w:rPr>
          <w:rFonts w:ascii="Century Gothic" w:hAnsi="Century Gothic"/>
          <w:noProof/>
          <w:sz w:val="20"/>
        </w:rPr>
        <w:drawing>
          <wp:inline distT="0" distB="0" distL="0" distR="0" wp14:anchorId="5EA4C327" wp14:editId="56B15F05">
            <wp:extent cx="1381125" cy="428625"/>
            <wp:effectExtent l="0" t="0" r="0" b="0"/>
            <wp:docPr id="1" name="Picture 1" descr="Signature of Eric McSw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 of Eric McSwa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1125" cy="428625"/>
                    </a:xfrm>
                    <a:prstGeom prst="rect">
                      <a:avLst/>
                    </a:prstGeom>
                    <a:noFill/>
                    <a:ln>
                      <a:noFill/>
                    </a:ln>
                  </pic:spPr>
                </pic:pic>
              </a:graphicData>
            </a:graphic>
          </wp:inline>
        </w:drawing>
      </w:r>
    </w:p>
    <w:p w14:paraId="26C0E130" w14:textId="77777777" w:rsidR="006923FB" w:rsidRPr="00984BE3" w:rsidRDefault="006923FB" w:rsidP="006B4573">
      <w:pPr>
        <w:tabs>
          <w:tab w:val="decimal" w:pos="7200"/>
        </w:tabs>
        <w:ind w:right="36"/>
        <w:rPr>
          <w:rFonts w:ascii="Century Gothic" w:hAnsi="Century Gothic"/>
          <w:sz w:val="20"/>
        </w:rPr>
      </w:pPr>
      <w:r w:rsidRPr="00984BE3">
        <w:rPr>
          <w:rFonts w:ascii="Century Gothic" w:hAnsi="Century Gothic"/>
          <w:sz w:val="20"/>
        </w:rPr>
        <w:t>Eric McSwain, RA, CASp</w:t>
      </w:r>
    </w:p>
    <w:p w14:paraId="508BB77E" w14:textId="77777777" w:rsidR="006923FB" w:rsidRPr="00984BE3" w:rsidRDefault="006923FB" w:rsidP="006B4573">
      <w:pPr>
        <w:ind w:right="36"/>
        <w:rPr>
          <w:rFonts w:ascii="Century Gothic" w:hAnsi="Century Gothic"/>
          <w:sz w:val="20"/>
        </w:rPr>
      </w:pPr>
      <w:r w:rsidRPr="00984BE3">
        <w:rPr>
          <w:rFonts w:ascii="Century Gothic" w:hAnsi="Century Gothic"/>
          <w:sz w:val="20"/>
        </w:rPr>
        <w:t>C-28717, CASp #010</w:t>
      </w:r>
    </w:p>
    <w:p w14:paraId="1B0B3A70" w14:textId="77777777" w:rsidR="00EB49F9" w:rsidRPr="00984BE3" w:rsidRDefault="006923FB" w:rsidP="006B4573">
      <w:pPr>
        <w:ind w:right="36"/>
        <w:rPr>
          <w:rFonts w:ascii="Century Gothic" w:hAnsi="Century Gothic"/>
          <w:sz w:val="20"/>
        </w:rPr>
      </w:pPr>
      <w:r w:rsidRPr="00984BE3">
        <w:rPr>
          <w:rFonts w:ascii="Century Gothic" w:hAnsi="Century Gothic"/>
          <w:sz w:val="20"/>
        </w:rPr>
        <w:t>Access Compliance Consultants, Inc.</w:t>
      </w:r>
    </w:p>
    <w:sectPr w:rsidR="00EB49F9" w:rsidRPr="00984BE3" w:rsidSect="00302D6F">
      <w:headerReference w:type="default" r:id="rId10"/>
      <w:footerReference w:type="default" r:id="rId11"/>
      <w:headerReference w:type="first" r:id="rId12"/>
      <w:pgSz w:w="12240" w:h="15840"/>
      <w:pgMar w:top="1440" w:right="1152" w:bottom="14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B758A" w14:textId="77777777" w:rsidR="00CC2182" w:rsidRDefault="00CC2182">
      <w:r>
        <w:separator/>
      </w:r>
    </w:p>
  </w:endnote>
  <w:endnote w:type="continuationSeparator" w:id="0">
    <w:p w14:paraId="58B921EC" w14:textId="77777777" w:rsidR="00CC2182" w:rsidRDefault="00CC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BD82" w14:textId="77777777" w:rsidR="00A32147" w:rsidRDefault="00A32147" w:rsidP="005F6B93">
    <w:pPr>
      <w:pStyle w:val="Footer"/>
      <w:jc w:val="center"/>
      <w:rPr>
        <w:rStyle w:val="PageNumber"/>
        <w:rFonts w:ascii="Century Gothic" w:hAnsi="Century Gothic"/>
        <w:b/>
        <w:sz w:val="18"/>
        <w:szCs w:val="18"/>
      </w:rPr>
    </w:pPr>
    <w:r w:rsidRPr="005F6B93">
      <w:rPr>
        <w:rStyle w:val="PageNumber"/>
        <w:rFonts w:ascii="Century Gothic" w:hAnsi="Century Gothic"/>
        <w:sz w:val="20"/>
        <w:szCs w:val="20"/>
      </w:rPr>
      <w:fldChar w:fldCharType="begin"/>
    </w:r>
    <w:r w:rsidRPr="005F6B93">
      <w:rPr>
        <w:rStyle w:val="PageNumber"/>
        <w:rFonts w:ascii="Century Gothic" w:hAnsi="Century Gothic"/>
        <w:sz w:val="20"/>
        <w:szCs w:val="20"/>
      </w:rPr>
      <w:instrText xml:space="preserve"> PAGE </w:instrText>
    </w:r>
    <w:r w:rsidRPr="005F6B93">
      <w:rPr>
        <w:rStyle w:val="PageNumber"/>
        <w:rFonts w:ascii="Century Gothic" w:hAnsi="Century Gothic"/>
        <w:sz w:val="20"/>
        <w:szCs w:val="20"/>
      </w:rPr>
      <w:fldChar w:fldCharType="separate"/>
    </w:r>
    <w:r w:rsidR="00E11957">
      <w:rPr>
        <w:rStyle w:val="PageNumber"/>
        <w:rFonts w:ascii="Century Gothic" w:hAnsi="Century Gothic"/>
        <w:noProof/>
        <w:sz w:val="20"/>
        <w:szCs w:val="20"/>
      </w:rPr>
      <w:t>2</w:t>
    </w:r>
    <w:r w:rsidRPr="005F6B93">
      <w:rPr>
        <w:rStyle w:val="PageNumber"/>
        <w:rFonts w:ascii="Century Gothic" w:hAnsi="Century Gothic"/>
        <w:sz w:val="20"/>
        <w:szCs w:val="20"/>
      </w:rPr>
      <w:fldChar w:fldCharType="end"/>
    </w:r>
    <w:r w:rsidRPr="005F6B93">
      <w:rPr>
        <w:rStyle w:val="PageNumber"/>
        <w:rFonts w:ascii="Century Gothic" w:hAnsi="Century Gothic"/>
        <w:sz w:val="20"/>
        <w:szCs w:val="20"/>
      </w:rPr>
      <w:t xml:space="preserve"> of </w:t>
    </w:r>
    <w:r w:rsidRPr="005F6B93">
      <w:rPr>
        <w:rStyle w:val="PageNumber"/>
        <w:rFonts w:ascii="Century Gothic" w:hAnsi="Century Gothic"/>
        <w:sz w:val="20"/>
        <w:szCs w:val="20"/>
      </w:rPr>
      <w:fldChar w:fldCharType="begin"/>
    </w:r>
    <w:r w:rsidRPr="005F6B93">
      <w:rPr>
        <w:rStyle w:val="PageNumber"/>
        <w:rFonts w:ascii="Century Gothic" w:hAnsi="Century Gothic"/>
        <w:sz w:val="20"/>
        <w:szCs w:val="20"/>
      </w:rPr>
      <w:instrText xml:space="preserve"> NUMPAGES </w:instrText>
    </w:r>
    <w:r w:rsidRPr="005F6B93">
      <w:rPr>
        <w:rStyle w:val="PageNumber"/>
        <w:rFonts w:ascii="Century Gothic" w:hAnsi="Century Gothic"/>
        <w:sz w:val="20"/>
        <w:szCs w:val="20"/>
      </w:rPr>
      <w:fldChar w:fldCharType="separate"/>
    </w:r>
    <w:r w:rsidR="00E11957">
      <w:rPr>
        <w:rStyle w:val="PageNumber"/>
        <w:rFonts w:ascii="Century Gothic" w:hAnsi="Century Gothic"/>
        <w:noProof/>
        <w:sz w:val="20"/>
        <w:szCs w:val="20"/>
      </w:rPr>
      <w:t>2</w:t>
    </w:r>
    <w:r w:rsidRPr="005F6B93">
      <w:rPr>
        <w:rStyle w:val="PageNumber"/>
        <w:rFonts w:ascii="Century Gothic" w:hAnsi="Century Gothic"/>
        <w:sz w:val="20"/>
        <w:szCs w:val="20"/>
      </w:rPr>
      <w:fldChar w:fldCharType="end"/>
    </w:r>
  </w:p>
  <w:p w14:paraId="5AD9EFB7" w14:textId="77777777" w:rsidR="00A32147" w:rsidRPr="005F6B93" w:rsidRDefault="00A32147" w:rsidP="005F6B93">
    <w:pPr>
      <w:pStyle w:val="Footer"/>
      <w:jc w:val="center"/>
      <w:rPr>
        <w:rFonts w:ascii="Century Gothic" w:hAnsi="Century Gothic"/>
        <w:b/>
        <w:sz w:val="18"/>
        <w:szCs w:val="18"/>
      </w:rPr>
    </w:pPr>
    <w:r w:rsidRPr="005F6B93">
      <w:rPr>
        <w:rStyle w:val="PageNumber"/>
        <w:rFonts w:ascii="Century Gothic" w:hAnsi="Century Gothic"/>
        <w:b/>
        <w:sz w:val="18"/>
        <w:szCs w:val="18"/>
      </w:rPr>
      <w:t>ACCESS</w:t>
    </w:r>
    <w:r w:rsidRPr="005F6B93">
      <w:rPr>
        <w:b/>
        <w:sz w:val="18"/>
        <w:szCs w:val="18"/>
      </w:rPr>
      <w:t xml:space="preserve"> </w:t>
    </w:r>
    <w:r w:rsidRPr="005F6B93">
      <w:rPr>
        <w:rFonts w:ascii="Century Gothic" w:hAnsi="Century Gothic"/>
        <w:b/>
        <w:sz w:val="18"/>
        <w:szCs w:val="18"/>
      </w:rPr>
      <w:t>COMPLIANCE CONSULTANTS, INC.</w:t>
    </w:r>
  </w:p>
  <w:p w14:paraId="75CE2C93" w14:textId="77777777" w:rsidR="00A32147" w:rsidRPr="005F6B93" w:rsidRDefault="00A32147" w:rsidP="005F6B93">
    <w:pPr>
      <w:pStyle w:val="Footer"/>
      <w:jc w:val="center"/>
      <w:rPr>
        <w:rFonts w:ascii="Century Gothic" w:hAnsi="Century Gothic"/>
        <w:b/>
        <w:sz w:val="16"/>
        <w:szCs w:val="16"/>
      </w:rPr>
    </w:pPr>
    <w:r w:rsidRPr="005F6B93">
      <w:rPr>
        <w:rFonts w:ascii="Century Gothic" w:hAnsi="Century Gothic"/>
        <w:b/>
        <w:sz w:val="16"/>
        <w:szCs w:val="16"/>
      </w:rPr>
      <w:t>811</w:t>
    </w:r>
    <w:r>
      <w:rPr>
        <w:rFonts w:ascii="Century Gothic" w:hAnsi="Century Gothic"/>
        <w:b/>
        <w:sz w:val="16"/>
        <w:szCs w:val="16"/>
      </w:rPr>
      <w:t xml:space="preserve"> EL CAPITAN WAY </w:t>
    </w:r>
    <w:r w:rsidRPr="005F6B93">
      <w:rPr>
        <w:rFonts w:ascii="Century Gothic" w:hAnsi="Century Gothic"/>
        <w:sz w:val="16"/>
        <w:szCs w:val="16"/>
      </w:rPr>
      <w:t>SUITE 230</w:t>
    </w:r>
    <w:r>
      <w:rPr>
        <w:rFonts w:ascii="Century Gothic" w:hAnsi="Century Gothic"/>
        <w:b/>
        <w:sz w:val="16"/>
        <w:szCs w:val="16"/>
      </w:rPr>
      <w:t xml:space="preserve"> SAN LUIS OBISPO </w:t>
    </w:r>
    <w:r w:rsidRPr="005F6B93">
      <w:rPr>
        <w:rFonts w:ascii="Century Gothic" w:hAnsi="Century Gothic"/>
        <w:sz w:val="16"/>
        <w:szCs w:val="16"/>
      </w:rPr>
      <w:t>CALIFORNIA</w:t>
    </w:r>
    <w:r>
      <w:rPr>
        <w:rFonts w:ascii="Century Gothic" w:hAnsi="Century Gothic"/>
        <w:b/>
        <w:sz w:val="16"/>
        <w:szCs w:val="16"/>
      </w:rPr>
      <w:t xml:space="preserve"> 93401 </w:t>
    </w:r>
    <w:r w:rsidRPr="005F6B93">
      <w:rPr>
        <w:rFonts w:ascii="Century Gothic" w:hAnsi="Century Gothic"/>
        <w:sz w:val="16"/>
        <w:szCs w:val="16"/>
      </w:rPr>
      <w:t>PHONE</w:t>
    </w:r>
    <w:r w:rsidR="00E11957">
      <w:rPr>
        <w:rFonts w:ascii="Century Gothic" w:hAnsi="Century Gothic"/>
        <w:b/>
        <w:sz w:val="16"/>
        <w:szCs w:val="16"/>
      </w:rPr>
      <w:t xml:space="preserve"> 805.550.5997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A6A5A" w14:textId="77777777" w:rsidR="00CC2182" w:rsidRDefault="00CC2182">
      <w:r>
        <w:separator/>
      </w:r>
    </w:p>
  </w:footnote>
  <w:footnote w:type="continuationSeparator" w:id="0">
    <w:p w14:paraId="676DA9F4" w14:textId="77777777" w:rsidR="00CC2182" w:rsidRDefault="00CC2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FBD4D" w14:textId="77777777" w:rsidR="00DF5453" w:rsidRDefault="00984BE3" w:rsidP="00DF5453">
    <w:pPr>
      <w:tabs>
        <w:tab w:val="decimal" w:pos="7200"/>
      </w:tabs>
      <w:ind w:left="-360" w:right="-360"/>
      <w:jc w:val="right"/>
      <w:rPr>
        <w:rFonts w:ascii="Century Gothic" w:hAnsi="Century Gothic"/>
        <w:b/>
        <w:sz w:val="20"/>
      </w:rPr>
    </w:pPr>
    <w:r>
      <w:rPr>
        <w:rFonts w:ascii="Century Gothic" w:hAnsi="Century Gothic"/>
        <w:b/>
        <w:sz w:val="20"/>
      </w:rPr>
      <w:t xml:space="preserve">Comments on </w:t>
    </w:r>
    <w:r w:rsidR="00DF5453">
      <w:rPr>
        <w:rFonts w:ascii="Century Gothic" w:hAnsi="Century Gothic"/>
        <w:b/>
        <w:sz w:val="20"/>
      </w:rPr>
      <w:t>45-Day Express Terms</w:t>
    </w:r>
  </w:p>
  <w:p w14:paraId="029E3C78" w14:textId="77777777" w:rsidR="00A32147" w:rsidRDefault="00DF5453" w:rsidP="00DF5453">
    <w:pPr>
      <w:tabs>
        <w:tab w:val="decimal" w:pos="7200"/>
      </w:tabs>
      <w:ind w:left="-360" w:right="-360"/>
      <w:jc w:val="right"/>
      <w:rPr>
        <w:rFonts w:ascii="Century Gothic" w:hAnsi="Century Gothic"/>
        <w:b/>
        <w:bCs/>
        <w:sz w:val="20"/>
      </w:rPr>
    </w:pPr>
    <w:r>
      <w:rPr>
        <w:rFonts w:ascii="Century Gothic" w:hAnsi="Century Gothic"/>
        <w:b/>
        <w:bCs/>
        <w:sz w:val="20"/>
      </w:rPr>
      <w:t>DSA-AC 2025 CBC</w:t>
    </w:r>
  </w:p>
  <w:p w14:paraId="0B828710" w14:textId="77777777" w:rsidR="00A32147" w:rsidRDefault="00A321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6463C" w14:textId="77777777" w:rsidR="00D37F85" w:rsidRDefault="00302D6F" w:rsidP="00302D6F">
    <w:pPr>
      <w:pStyle w:val="Footer"/>
      <w:tabs>
        <w:tab w:val="clear" w:pos="8640"/>
        <w:tab w:val="right" w:pos="9000"/>
      </w:tabs>
      <w:ind w:left="-450" w:right="-360"/>
      <w:jc w:val="center"/>
      <w:rPr>
        <w:rFonts w:ascii="Century Gothic" w:hAnsi="Century Gothic"/>
        <w:b/>
        <w:bCs/>
        <w:color w:val="000080"/>
        <w:sz w:val="47"/>
        <w:szCs w:val="47"/>
      </w:rPr>
    </w:pPr>
    <w:r w:rsidRPr="00D37F85">
      <w:rPr>
        <w:rFonts w:ascii="Century Gothic" w:hAnsi="Century Gothic"/>
        <w:b/>
        <w:bCs/>
        <w:color w:val="000080"/>
        <w:sz w:val="47"/>
        <w:szCs w:val="47"/>
      </w:rPr>
      <w:t>ACCESS COMPLIANCE CONSULTANTS, INC.</w:t>
    </w:r>
  </w:p>
  <w:p w14:paraId="2D312E30" w14:textId="77777777" w:rsidR="00302D6F" w:rsidRPr="00D37F85" w:rsidRDefault="00302D6F" w:rsidP="00302D6F">
    <w:pPr>
      <w:pStyle w:val="Footer"/>
      <w:tabs>
        <w:tab w:val="clear" w:pos="8640"/>
        <w:tab w:val="right" w:pos="9000"/>
      </w:tabs>
      <w:ind w:left="-450" w:right="-360"/>
      <w:jc w:val="center"/>
      <w:rPr>
        <w:color w:val="000080"/>
        <w:sz w:val="22"/>
        <w:szCs w:val="22"/>
      </w:rPr>
    </w:pPr>
    <w:r w:rsidRPr="00D37F85">
      <w:rPr>
        <w:rFonts w:ascii="Century Gothic" w:hAnsi="Century Gothic"/>
        <w:b/>
        <w:bCs/>
        <w:color w:val="000080"/>
        <w:sz w:val="22"/>
        <w:szCs w:val="22"/>
      </w:rPr>
      <w:t xml:space="preserve">811 EL CAPITAN WAY </w:t>
    </w:r>
    <w:r w:rsidRPr="00D37F85">
      <w:rPr>
        <w:rFonts w:ascii="Century Gothic" w:hAnsi="Century Gothic"/>
        <w:bCs/>
        <w:color w:val="000080"/>
        <w:sz w:val="22"/>
        <w:szCs w:val="22"/>
      </w:rPr>
      <w:t xml:space="preserve">SUITE </w:t>
    </w:r>
    <w:proofErr w:type="gramStart"/>
    <w:r w:rsidRPr="00D37F85">
      <w:rPr>
        <w:rFonts w:ascii="Century Gothic" w:hAnsi="Century Gothic"/>
        <w:bCs/>
        <w:color w:val="000080"/>
        <w:sz w:val="22"/>
        <w:szCs w:val="22"/>
      </w:rPr>
      <w:t>230</w:t>
    </w:r>
    <w:r w:rsidRPr="00D37F85">
      <w:rPr>
        <w:rFonts w:ascii="Century Gothic" w:hAnsi="Century Gothic"/>
        <w:b/>
        <w:bCs/>
        <w:color w:val="000080"/>
        <w:sz w:val="22"/>
        <w:szCs w:val="22"/>
      </w:rPr>
      <w:t xml:space="preserve">  SAN</w:t>
    </w:r>
    <w:proofErr w:type="gramEnd"/>
    <w:r w:rsidRPr="00D37F85">
      <w:rPr>
        <w:rFonts w:ascii="Century Gothic" w:hAnsi="Century Gothic"/>
        <w:b/>
        <w:bCs/>
        <w:color w:val="000080"/>
        <w:sz w:val="22"/>
        <w:szCs w:val="22"/>
      </w:rPr>
      <w:t xml:space="preserve"> LUIS </w:t>
    </w:r>
    <w:proofErr w:type="gramStart"/>
    <w:r w:rsidRPr="00D37F85">
      <w:rPr>
        <w:rFonts w:ascii="Century Gothic" w:hAnsi="Century Gothic"/>
        <w:b/>
        <w:bCs/>
        <w:color w:val="000080"/>
        <w:sz w:val="22"/>
        <w:szCs w:val="22"/>
      </w:rPr>
      <w:t xml:space="preserve">OBISPO  </w:t>
    </w:r>
    <w:r w:rsidRPr="00D37F85">
      <w:rPr>
        <w:rFonts w:ascii="Century Gothic" w:hAnsi="Century Gothic"/>
        <w:bCs/>
        <w:color w:val="000080"/>
        <w:sz w:val="22"/>
        <w:szCs w:val="22"/>
      </w:rPr>
      <w:t>CALIFORNIA</w:t>
    </w:r>
    <w:proofErr w:type="gramEnd"/>
    <w:r w:rsidRPr="00D37F85">
      <w:rPr>
        <w:rFonts w:ascii="Century Gothic" w:hAnsi="Century Gothic"/>
        <w:b/>
        <w:bCs/>
        <w:color w:val="000080"/>
        <w:sz w:val="22"/>
        <w:szCs w:val="22"/>
      </w:rPr>
      <w:t xml:space="preserve">  93401 </w:t>
    </w:r>
    <w:proofErr w:type="gramStart"/>
    <w:r w:rsidRPr="00D37F85">
      <w:rPr>
        <w:rFonts w:ascii="Century Gothic" w:hAnsi="Century Gothic"/>
        <w:bCs/>
        <w:color w:val="000080"/>
        <w:sz w:val="22"/>
        <w:szCs w:val="22"/>
      </w:rPr>
      <w:t>PHONE</w:t>
    </w:r>
    <w:r w:rsidRPr="00D37F85">
      <w:rPr>
        <w:rFonts w:ascii="Century Gothic" w:hAnsi="Century Gothic"/>
        <w:b/>
        <w:bCs/>
        <w:color w:val="000080"/>
        <w:sz w:val="22"/>
        <w:szCs w:val="22"/>
      </w:rPr>
      <w:t xml:space="preserve">  (</w:t>
    </w:r>
    <w:proofErr w:type="gramEnd"/>
    <w:r w:rsidRPr="00D37F85">
      <w:rPr>
        <w:rFonts w:ascii="Century Gothic" w:hAnsi="Century Gothic"/>
        <w:b/>
        <w:bCs/>
        <w:color w:val="000080"/>
        <w:sz w:val="22"/>
        <w:szCs w:val="22"/>
      </w:rPr>
      <w:t>805) 550-5997</w:t>
    </w:r>
  </w:p>
  <w:p w14:paraId="52C5A3DE" w14:textId="77777777" w:rsidR="00302D6F" w:rsidRDefault="00302D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21EC"/>
    <w:multiLevelType w:val="hybridMultilevel"/>
    <w:tmpl w:val="421EDEEA"/>
    <w:lvl w:ilvl="0" w:tplc="7E8C2EDE">
      <w:start w:val="2"/>
      <w:numFmt w:val="bullet"/>
      <w:lvlText w:val="-"/>
      <w:lvlJc w:val="left"/>
      <w:pPr>
        <w:ind w:left="0" w:hanging="360"/>
      </w:pPr>
      <w:rPr>
        <w:rFonts w:ascii="Century Gothic" w:eastAsia="Times New Roman" w:hAnsi="Century Gothic"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148A37E6"/>
    <w:multiLevelType w:val="hybridMultilevel"/>
    <w:tmpl w:val="6A2225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A52D34"/>
    <w:multiLevelType w:val="hybridMultilevel"/>
    <w:tmpl w:val="9F946FB8"/>
    <w:lvl w:ilvl="0" w:tplc="41C473F2">
      <w:start w:val="1"/>
      <w:numFmt w:val="upperLetter"/>
      <w:lvlText w:val="%1."/>
      <w:lvlJc w:val="left"/>
      <w:pPr>
        <w:ind w:left="360" w:hanging="360"/>
      </w:pPr>
      <w:rPr>
        <w:rFonts w:ascii="Calibri" w:hAnsi="Calibri" w:cs="Calibri" w:hint="default"/>
        <w:b/>
        <w:color w:val="0000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1237619">
    <w:abstractNumId w:val="0"/>
  </w:num>
  <w:num w:numId="2" w16cid:durableId="1459108089">
    <w:abstractNumId w:val="1"/>
  </w:num>
  <w:num w:numId="3" w16cid:durableId="2040665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0DE"/>
    <w:rsid w:val="000067AA"/>
    <w:rsid w:val="00030B6F"/>
    <w:rsid w:val="0004446D"/>
    <w:rsid w:val="000508B4"/>
    <w:rsid w:val="0006228A"/>
    <w:rsid w:val="00063AEA"/>
    <w:rsid w:val="0007068D"/>
    <w:rsid w:val="00070E98"/>
    <w:rsid w:val="000724F0"/>
    <w:rsid w:val="00082C27"/>
    <w:rsid w:val="00093268"/>
    <w:rsid w:val="000A079F"/>
    <w:rsid w:val="000A2171"/>
    <w:rsid w:val="000A3251"/>
    <w:rsid w:val="000A796D"/>
    <w:rsid w:val="000C558D"/>
    <w:rsid w:val="000D6396"/>
    <w:rsid w:val="00124AE6"/>
    <w:rsid w:val="001346C2"/>
    <w:rsid w:val="00157414"/>
    <w:rsid w:val="00161A65"/>
    <w:rsid w:val="00167C48"/>
    <w:rsid w:val="00186188"/>
    <w:rsid w:val="001A206E"/>
    <w:rsid w:val="001F5D70"/>
    <w:rsid w:val="00216DE3"/>
    <w:rsid w:val="00235EAC"/>
    <w:rsid w:val="00253F4A"/>
    <w:rsid w:val="00255E11"/>
    <w:rsid w:val="0025665B"/>
    <w:rsid w:val="002B57CB"/>
    <w:rsid w:val="002C24A6"/>
    <w:rsid w:val="002D5390"/>
    <w:rsid w:val="0030009A"/>
    <w:rsid w:val="003020DE"/>
    <w:rsid w:val="00302D6F"/>
    <w:rsid w:val="00307360"/>
    <w:rsid w:val="00333837"/>
    <w:rsid w:val="003647B6"/>
    <w:rsid w:val="00375B43"/>
    <w:rsid w:val="00376E0E"/>
    <w:rsid w:val="003825C7"/>
    <w:rsid w:val="003B15DC"/>
    <w:rsid w:val="003F24F5"/>
    <w:rsid w:val="00405BE1"/>
    <w:rsid w:val="00414154"/>
    <w:rsid w:val="004919E8"/>
    <w:rsid w:val="004A2291"/>
    <w:rsid w:val="004B16C0"/>
    <w:rsid w:val="004C6882"/>
    <w:rsid w:val="00544368"/>
    <w:rsid w:val="005555E1"/>
    <w:rsid w:val="005646E0"/>
    <w:rsid w:val="00564E3E"/>
    <w:rsid w:val="005C6076"/>
    <w:rsid w:val="005F6B93"/>
    <w:rsid w:val="006048D3"/>
    <w:rsid w:val="0062274F"/>
    <w:rsid w:val="00631A60"/>
    <w:rsid w:val="00652020"/>
    <w:rsid w:val="006671F2"/>
    <w:rsid w:val="006829E6"/>
    <w:rsid w:val="006923FB"/>
    <w:rsid w:val="00697403"/>
    <w:rsid w:val="006B4573"/>
    <w:rsid w:val="006B50DE"/>
    <w:rsid w:val="006B5CB4"/>
    <w:rsid w:val="006C115D"/>
    <w:rsid w:val="006C3D02"/>
    <w:rsid w:val="006C4E6A"/>
    <w:rsid w:val="006E3DDB"/>
    <w:rsid w:val="00763759"/>
    <w:rsid w:val="0078110F"/>
    <w:rsid w:val="007866F6"/>
    <w:rsid w:val="007A5A63"/>
    <w:rsid w:val="007B63CE"/>
    <w:rsid w:val="007E1E17"/>
    <w:rsid w:val="007E3880"/>
    <w:rsid w:val="007E52A6"/>
    <w:rsid w:val="008159C0"/>
    <w:rsid w:val="00820F23"/>
    <w:rsid w:val="008350C0"/>
    <w:rsid w:val="0084330B"/>
    <w:rsid w:val="0086252C"/>
    <w:rsid w:val="008B11FF"/>
    <w:rsid w:val="008B3E44"/>
    <w:rsid w:val="008F307B"/>
    <w:rsid w:val="00900A5B"/>
    <w:rsid w:val="009164D7"/>
    <w:rsid w:val="00917C19"/>
    <w:rsid w:val="00930FF7"/>
    <w:rsid w:val="009317C7"/>
    <w:rsid w:val="00935C5D"/>
    <w:rsid w:val="009471C9"/>
    <w:rsid w:val="009506D4"/>
    <w:rsid w:val="009718B6"/>
    <w:rsid w:val="00977360"/>
    <w:rsid w:val="00977CF3"/>
    <w:rsid w:val="00984BE3"/>
    <w:rsid w:val="009B1595"/>
    <w:rsid w:val="009B397C"/>
    <w:rsid w:val="009E207A"/>
    <w:rsid w:val="009E6C58"/>
    <w:rsid w:val="009F14CE"/>
    <w:rsid w:val="00A129B8"/>
    <w:rsid w:val="00A21398"/>
    <w:rsid w:val="00A22791"/>
    <w:rsid w:val="00A23153"/>
    <w:rsid w:val="00A32147"/>
    <w:rsid w:val="00A45739"/>
    <w:rsid w:val="00A61B23"/>
    <w:rsid w:val="00A73A94"/>
    <w:rsid w:val="00A764E1"/>
    <w:rsid w:val="00A85938"/>
    <w:rsid w:val="00AA7840"/>
    <w:rsid w:val="00AC6F88"/>
    <w:rsid w:val="00AE6286"/>
    <w:rsid w:val="00B1352A"/>
    <w:rsid w:val="00B163A4"/>
    <w:rsid w:val="00B32FCA"/>
    <w:rsid w:val="00B401E7"/>
    <w:rsid w:val="00B41318"/>
    <w:rsid w:val="00B43316"/>
    <w:rsid w:val="00B4676B"/>
    <w:rsid w:val="00B612C0"/>
    <w:rsid w:val="00B6279B"/>
    <w:rsid w:val="00B73EE3"/>
    <w:rsid w:val="00B82413"/>
    <w:rsid w:val="00B91699"/>
    <w:rsid w:val="00BA154D"/>
    <w:rsid w:val="00BC2362"/>
    <w:rsid w:val="00BD54E8"/>
    <w:rsid w:val="00BE0914"/>
    <w:rsid w:val="00BE0CE9"/>
    <w:rsid w:val="00C07B05"/>
    <w:rsid w:val="00C27AE7"/>
    <w:rsid w:val="00C44572"/>
    <w:rsid w:val="00C53A5E"/>
    <w:rsid w:val="00C567E2"/>
    <w:rsid w:val="00C57AFF"/>
    <w:rsid w:val="00C95696"/>
    <w:rsid w:val="00CC2182"/>
    <w:rsid w:val="00CE50D1"/>
    <w:rsid w:val="00CF68E2"/>
    <w:rsid w:val="00D12BDB"/>
    <w:rsid w:val="00D30FD6"/>
    <w:rsid w:val="00D37F85"/>
    <w:rsid w:val="00D46398"/>
    <w:rsid w:val="00D63A19"/>
    <w:rsid w:val="00D6639A"/>
    <w:rsid w:val="00D93593"/>
    <w:rsid w:val="00DA67D9"/>
    <w:rsid w:val="00DB6396"/>
    <w:rsid w:val="00DD63C3"/>
    <w:rsid w:val="00DE4F4E"/>
    <w:rsid w:val="00DF5453"/>
    <w:rsid w:val="00E0279A"/>
    <w:rsid w:val="00E02A1C"/>
    <w:rsid w:val="00E11957"/>
    <w:rsid w:val="00E122D1"/>
    <w:rsid w:val="00E31686"/>
    <w:rsid w:val="00E31FCA"/>
    <w:rsid w:val="00E3410D"/>
    <w:rsid w:val="00E75C97"/>
    <w:rsid w:val="00E906B5"/>
    <w:rsid w:val="00E92353"/>
    <w:rsid w:val="00EA475B"/>
    <w:rsid w:val="00EB0FD0"/>
    <w:rsid w:val="00EB49F9"/>
    <w:rsid w:val="00ED0CD2"/>
    <w:rsid w:val="00ED6CF3"/>
    <w:rsid w:val="00ED782C"/>
    <w:rsid w:val="00ED7CD4"/>
    <w:rsid w:val="00EF2A15"/>
    <w:rsid w:val="00EF6840"/>
    <w:rsid w:val="00F057F1"/>
    <w:rsid w:val="00F067C2"/>
    <w:rsid w:val="00F15333"/>
    <w:rsid w:val="00F156B7"/>
    <w:rsid w:val="00F1645E"/>
    <w:rsid w:val="00F2440A"/>
    <w:rsid w:val="00F311C2"/>
    <w:rsid w:val="00F40013"/>
    <w:rsid w:val="00F47529"/>
    <w:rsid w:val="00F546F8"/>
    <w:rsid w:val="00F619EC"/>
    <w:rsid w:val="00F62CCA"/>
    <w:rsid w:val="00F63776"/>
    <w:rsid w:val="00F77E95"/>
    <w:rsid w:val="00F8661D"/>
    <w:rsid w:val="00FB6BB9"/>
    <w:rsid w:val="00FC7C43"/>
    <w:rsid w:val="00FD2168"/>
    <w:rsid w:val="00FE2500"/>
    <w:rsid w:val="00FF443F"/>
    <w:rsid w:val="00FF6D78"/>
    <w:rsid w:val="00FF7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2D5863"/>
  <w15:chartTrackingRefBased/>
  <w15:docId w15:val="{A16A4C28-7426-41D3-BADC-8D3524E2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u w:val="single"/>
    </w:rPr>
  </w:style>
  <w:style w:type="paragraph" w:styleId="Heading3">
    <w:name w:val="heading 3"/>
    <w:basedOn w:val="Normal"/>
    <w:next w:val="Normal"/>
    <w:qFormat/>
    <w:pPr>
      <w:keepNext/>
      <w:tabs>
        <w:tab w:val="decimal" w:pos="7200"/>
      </w:tabs>
      <w:outlineLvl w:val="2"/>
    </w:pPr>
    <w:rPr>
      <w:rFonts w:ascii="Century Gothic" w:hAnsi="Century Gothic"/>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Microsoft Sans Serif" w:hAnsi="Microsoft Sans Serif" w:cs="Arial"/>
      <w:sz w:val="20"/>
      <w:szCs w:val="20"/>
    </w:rPr>
  </w:style>
  <w:style w:type="paragraph" w:styleId="EnvelopeAddress">
    <w:name w:val="envelope address"/>
    <w:basedOn w:val="Normal"/>
    <w:pPr>
      <w:framePr w:w="7920" w:h="1980" w:hRule="exact" w:hSpace="180" w:wrap="auto" w:hAnchor="page" w:xAlign="center" w:yAlign="bottom"/>
      <w:ind w:left="2880"/>
    </w:pPr>
    <w:rPr>
      <w:rFonts w:ascii="Microsoft Sans Serif" w:hAnsi="Microsoft Sans Serif" w:cs="Arial"/>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decimal" w:pos="7200"/>
      </w:tabs>
    </w:pPr>
    <w:rPr>
      <w:b/>
      <w:bCs/>
    </w:rPr>
  </w:style>
  <w:style w:type="paragraph" w:styleId="BodyText2">
    <w:name w:val="Body Text 2"/>
    <w:basedOn w:val="Normal"/>
    <w:pPr>
      <w:tabs>
        <w:tab w:val="decimal" w:pos="7200"/>
      </w:tabs>
    </w:pPr>
    <w:rPr>
      <w:sz w:val="20"/>
    </w:rPr>
  </w:style>
  <w:style w:type="character" w:styleId="PageNumber">
    <w:name w:val="page number"/>
    <w:basedOn w:val="DefaultParagraphFont"/>
  </w:style>
  <w:style w:type="paragraph" w:customStyle="1" w:styleId="Default">
    <w:name w:val="Default"/>
    <w:rsid w:val="006B4573"/>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6B4573"/>
    <w:pPr>
      <w:ind w:left="720"/>
      <w:contextualSpacing/>
    </w:pPr>
    <w:rPr>
      <w:rFonts w:ascii="Calibri" w:eastAsia="Calibri" w:hAnsi="Calibri" w:cs="Calibri"/>
      <w:sz w:val="22"/>
      <w:szCs w:val="22"/>
    </w:rPr>
  </w:style>
  <w:style w:type="character" w:styleId="Hyperlink">
    <w:name w:val="Hyperlink"/>
    <w:uiPriority w:val="99"/>
    <w:unhideWhenUsed/>
    <w:rsid w:val="006B4573"/>
    <w:rPr>
      <w:color w:val="467886"/>
      <w:u w:val="single"/>
    </w:rPr>
  </w:style>
  <w:style w:type="paragraph" w:styleId="Revision">
    <w:name w:val="Revision"/>
    <w:hidden/>
    <w:uiPriority w:val="99"/>
    <w:semiHidden/>
    <w:rsid w:val="006227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23/04/25/2023-08464/nondiscrimination-on-the-basis-of-disability-updates-to-huds-section-504-regulatio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C91E4-AA77-4E6F-8047-1F544F9A2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3020</Words>
  <Characters>15553</Characters>
  <Application>Microsoft Office Word</Application>
  <DocSecurity>0</DocSecurity>
  <Lines>324</Lines>
  <Paragraphs>140</Paragraphs>
  <ScaleCrop>false</ScaleCrop>
  <HeadingPairs>
    <vt:vector size="2" baseType="variant">
      <vt:variant>
        <vt:lpstr>Title</vt:lpstr>
      </vt:variant>
      <vt:variant>
        <vt:i4>1</vt:i4>
      </vt:variant>
    </vt:vector>
  </HeadingPairs>
  <TitlesOfParts>
    <vt:vector size="1" baseType="lpstr">
      <vt:lpstr>Schedule of Fees</vt:lpstr>
    </vt:vector>
  </TitlesOfParts>
  <Company/>
  <LinksUpToDate>false</LinksUpToDate>
  <CharactersWithSpaces>18433</CharactersWithSpaces>
  <SharedDoc>false</SharedDoc>
  <HLinks>
    <vt:vector size="6" baseType="variant">
      <vt:variant>
        <vt:i4>1704002</vt:i4>
      </vt:variant>
      <vt:variant>
        <vt:i4>0</vt:i4>
      </vt:variant>
      <vt:variant>
        <vt:i4>0</vt:i4>
      </vt:variant>
      <vt:variant>
        <vt:i4>5</vt:i4>
      </vt:variant>
      <vt:variant>
        <vt:lpwstr>https://www.federalregister.gov/documents/2023/04/25/2023-08464/nondiscrimination-on-the-basis-of-disability-updates-to-huds-section-504-regulations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McSwain - DSA AC-1 01-25 Pt 2 - 11B</dc:title>
  <dc:subject/>
  <dc:creator>CBSC@dgs.ca.gov</dc:creator>
  <cp:keywords/>
  <cp:lastModifiedBy>Severon, Kristina@DGS</cp:lastModifiedBy>
  <cp:revision>2</cp:revision>
  <cp:lastPrinted>2024-11-04T18:32:00Z</cp:lastPrinted>
  <dcterms:created xsi:type="dcterms:W3CDTF">2026-06-02T20:43:00Z</dcterms:created>
  <dcterms:modified xsi:type="dcterms:W3CDTF">2026-06-02T20:43:00Z</dcterms:modified>
</cp:coreProperties>
</file>