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30F57D8C" w:rsidR="00767766" w:rsidRPr="0046521A" w:rsidRDefault="008D245B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INITIAL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>
        <w:rPr>
          <w:rFonts w:cs="Arial"/>
        </w:rPr>
        <w:t>CALIFORNIA BUILDING STANDARDS COMMISSION</w:t>
      </w:r>
      <w:r w:rsidR="00767766" w:rsidRPr="0046521A">
        <w:rPr>
          <w:rFonts w:cs="Arial"/>
        </w:rPr>
        <w:br/>
        <w:t xml:space="preserve">REGARDING THE </w:t>
      </w:r>
      <w:r>
        <w:rPr>
          <w:rFonts w:cs="Arial"/>
        </w:rPr>
        <w:t>2025 CALIFORNIA EXISTING BUILDING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>
        <w:rPr>
          <w:rFonts w:cs="Arial"/>
        </w:rPr>
        <w:t>10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>
        <w:rPr>
          <w:rFonts w:cs="Arial"/>
        </w:rPr>
        <w:t>BSC 02/25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194DD4A" w14:textId="77777777" w:rsidR="00B12076" w:rsidRPr="0046521A" w:rsidRDefault="00B12076" w:rsidP="00B12076">
      <w:pPr>
        <w:pBdr>
          <w:bottom w:val="single" w:sz="4" w:space="1" w:color="auto"/>
        </w:pBdr>
        <w:rPr>
          <w:rFonts w:cs="Arial"/>
        </w:rPr>
      </w:pPr>
    </w:p>
    <w:p w14:paraId="3700352B" w14:textId="496048E7" w:rsidR="002537B1" w:rsidRPr="0046521A" w:rsidRDefault="008D245B" w:rsidP="00AA0C1D">
      <w:pPr>
        <w:pStyle w:val="Heading2"/>
        <w:spacing w:before="0"/>
      </w:pPr>
      <w:r>
        <w:rPr>
          <w:rFonts w:cs="Arial"/>
        </w:rPr>
        <w:t>INITIAL</w:t>
      </w:r>
      <w:r w:rsidR="00767766" w:rsidRPr="0046521A">
        <w:t xml:space="preserve"> EXPRESS TERMS</w:t>
      </w:r>
      <w:r w:rsidR="0083127A" w:rsidRPr="0046521A">
        <w:t xml:space="preserve"> </w:t>
      </w:r>
    </w:p>
    <w:p w14:paraId="3C2373DE" w14:textId="67012FBF" w:rsidR="00CD71EA" w:rsidRPr="0046521A" w:rsidRDefault="00AA0C1D" w:rsidP="00AA0C1D">
      <w:pPr>
        <w:pStyle w:val="Heading3"/>
        <w:spacing w:before="0"/>
      </w:pPr>
      <w:r w:rsidRPr="0046521A">
        <w:t>ITEM</w:t>
      </w:r>
      <w:r w:rsidR="00CD71EA" w:rsidRPr="0046521A">
        <w:t xml:space="preserve"> </w:t>
      </w:r>
      <w:r w:rsidR="008D245B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8D245B">
        <w:t>3</w:t>
      </w:r>
      <w:r w:rsidR="009C0E9C">
        <w:t xml:space="preserve"> Provisions for All Compliance Methods</w:t>
      </w:r>
      <w:r w:rsidR="0069558C" w:rsidRPr="0046521A">
        <w:t xml:space="preserve">, </w:t>
      </w:r>
      <w:r w:rsidR="00CD71EA" w:rsidRPr="0046521A">
        <w:t xml:space="preserve">Section </w:t>
      </w:r>
      <w:r w:rsidR="008D245B">
        <w:t>319.2</w:t>
      </w:r>
    </w:p>
    <w:p w14:paraId="4BB20925" w14:textId="4604D436" w:rsidR="00A57829" w:rsidRDefault="00A57829" w:rsidP="00A57829">
      <w:pPr>
        <w:widowControl/>
        <w:autoSpaceDE w:val="0"/>
        <w:autoSpaceDN w:val="0"/>
        <w:adjustRightInd w:val="0"/>
        <w:rPr>
          <w:rFonts w:eastAsia="SourceSansPro-It" w:cs="Arial"/>
          <w:i/>
          <w:iCs/>
          <w:snapToGrid/>
          <w:szCs w:val="24"/>
        </w:rPr>
      </w:pPr>
      <w:r w:rsidRPr="00A57829">
        <w:rPr>
          <w:rFonts w:eastAsia="SourceSansPro-It" w:cs="Arial"/>
          <w:b/>
          <w:bCs/>
          <w:i/>
          <w:iCs/>
          <w:snapToGrid/>
          <w:szCs w:val="24"/>
        </w:rPr>
        <w:t xml:space="preserve">319.2 Existing conditions. </w:t>
      </w:r>
      <w:r w:rsidR="00454EA7">
        <w:rPr>
          <w:rFonts w:eastAsia="SourceSansPro-It" w:cs="Arial"/>
          <w:i/>
          <w:iCs/>
          <w:snapToGrid/>
          <w:szCs w:val="24"/>
        </w:rPr>
        <w:t>…</w:t>
      </w:r>
      <w:r w:rsidRPr="00A57829">
        <w:rPr>
          <w:rFonts w:eastAsia="SourceSansPro-It" w:cs="Arial"/>
          <w:i/>
          <w:iCs/>
          <w:snapToGrid/>
          <w:szCs w:val="24"/>
        </w:rPr>
        <w:t xml:space="preserve"> Adjacent structures or site features that may affect the retrofit design shall be identified. </w:t>
      </w:r>
    </w:p>
    <w:p w14:paraId="28064F94" w14:textId="71F434CD" w:rsidR="00005708" w:rsidRPr="00454EA7" w:rsidRDefault="008D245B" w:rsidP="00A57829">
      <w:pPr>
        <w:widowControl/>
        <w:autoSpaceDE w:val="0"/>
        <w:autoSpaceDN w:val="0"/>
        <w:adjustRightInd w:val="0"/>
        <w:rPr>
          <w:rFonts w:cs="Arial"/>
          <w:i/>
          <w:iCs/>
          <w:szCs w:val="24"/>
        </w:rPr>
      </w:pPr>
      <w:r w:rsidRPr="008D245B">
        <w:rPr>
          <w:rFonts w:eastAsia="SourceSansPro-It" w:cs="Arial"/>
          <w:i/>
          <w:iCs/>
          <w:snapToGrid/>
          <w:szCs w:val="24"/>
        </w:rPr>
        <w:t>The entire load path of the seismic-force-resisting system shall be determined,</w:t>
      </w:r>
      <w:r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 xml:space="preserve">documented and evaluated. The load path </w:t>
      </w:r>
      <w:r w:rsidRPr="00444BF6">
        <w:rPr>
          <w:rFonts w:eastAsia="SourceSansPro-It" w:cs="Arial"/>
          <w:i/>
          <w:iCs/>
          <w:strike/>
          <w:snapToGrid/>
          <w:szCs w:val="24"/>
        </w:rPr>
        <w:t>includes</w:t>
      </w:r>
      <w:r w:rsidRPr="008D245B">
        <w:rPr>
          <w:rFonts w:eastAsia="SourceSansPro-It" w:cs="Arial"/>
          <w:i/>
          <w:iCs/>
          <w:snapToGrid/>
          <w:szCs w:val="24"/>
        </w:rPr>
        <w:t xml:space="preserve">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encompasses</w:t>
      </w:r>
      <w:r w:rsid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all</w:t>
      </w:r>
      <w:r>
        <w:rPr>
          <w:rFonts w:eastAsia="SourceSansPro-It" w:cs="Arial"/>
          <w:i/>
          <w:iCs/>
          <w:snapToGrid/>
          <w:szCs w:val="24"/>
        </w:rPr>
        <w:t xml:space="preserve"> </w:t>
      </w:r>
      <w:r w:rsidRPr="00F96EC3">
        <w:rPr>
          <w:rFonts w:eastAsia="SourceSansPro-It" w:cs="Arial"/>
          <w:i/>
          <w:iCs/>
          <w:strike/>
          <w:snapToGrid/>
          <w:szCs w:val="24"/>
        </w:rPr>
        <w:t xml:space="preserve">the </w:t>
      </w:r>
      <w:r w:rsidRPr="008D245B">
        <w:rPr>
          <w:rFonts w:eastAsia="SourceSansPro-It" w:cs="Arial"/>
          <w:i/>
          <w:iCs/>
          <w:snapToGrid/>
          <w:szCs w:val="24"/>
        </w:rPr>
        <w:t xml:space="preserve">horizontal and vertical elements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that</w:t>
      </w:r>
      <w:r w:rsidR="00A57829">
        <w:rPr>
          <w:rFonts w:eastAsia="SourceSansPro-It" w:cs="Arial"/>
          <w:i/>
          <w:iCs/>
          <w:snapToGrid/>
          <w:szCs w:val="24"/>
          <w:u w:val="single"/>
        </w:rPr>
        <w:t xml:space="preserve"> </w:t>
      </w:r>
      <w:r w:rsidR="00A57829" w:rsidRPr="00A57829">
        <w:rPr>
          <w:rFonts w:eastAsia="SourceSansPro-It" w:cs="Arial"/>
          <w:i/>
          <w:iCs/>
          <w:snapToGrid/>
          <w:szCs w:val="24"/>
          <w:u w:val="single"/>
        </w:rPr>
        <w:t>participate</w:t>
      </w:r>
      <w:r w:rsidR="00444BF6" w:rsidRPr="00A57829">
        <w:rPr>
          <w:rFonts w:eastAsia="SourceSansPro-It" w:cs="Arial"/>
          <w:i/>
          <w:iCs/>
          <w:strike/>
          <w:snapToGrid/>
          <w:szCs w:val="24"/>
        </w:rPr>
        <w:t xml:space="preserve"> </w:t>
      </w:r>
      <w:r w:rsidRPr="00A57829">
        <w:rPr>
          <w:rFonts w:eastAsia="SourceSansPro-It" w:cs="Arial"/>
          <w:i/>
          <w:iCs/>
          <w:strike/>
          <w:snapToGrid/>
          <w:szCs w:val="24"/>
        </w:rPr>
        <w:t>participating</w:t>
      </w:r>
      <w:r w:rsidRPr="008D245B">
        <w:rPr>
          <w:rFonts w:eastAsia="SourceSansPro-It" w:cs="Arial"/>
          <w:i/>
          <w:iCs/>
          <w:snapToGrid/>
          <w:szCs w:val="24"/>
        </w:rPr>
        <w:t xml:space="preserve"> in the structural response</w:t>
      </w:r>
      <w:r w:rsidRPr="00444BF6">
        <w:rPr>
          <w:rFonts w:eastAsia="SourceSansPro-It" w:cs="Arial"/>
          <w:i/>
          <w:iCs/>
          <w:strike/>
          <w:snapToGrid/>
          <w:szCs w:val="24"/>
        </w:rPr>
        <w:t>:</w:t>
      </w:r>
      <w:r w:rsidR="00454EA7" w:rsidRPr="00454EA7">
        <w:rPr>
          <w:rFonts w:eastAsia="SourceSansPro-It" w:cs="Arial"/>
          <w:i/>
          <w:iCs/>
          <w:strike/>
          <w:snapToGrid/>
          <w:szCs w:val="24"/>
        </w:rPr>
        <w:t xml:space="preserve"> </w:t>
      </w:r>
      <w:r w:rsidRPr="00444BF6">
        <w:rPr>
          <w:rFonts w:eastAsia="SourceSansPro-It" w:cs="Arial"/>
          <w:i/>
          <w:iCs/>
          <w:strike/>
          <w:snapToGrid/>
          <w:szCs w:val="24"/>
        </w:rPr>
        <w:t>such as</w:t>
      </w:r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 xml:space="preserve">, </w:t>
      </w:r>
      <w:r w:rsidR="00444BF6" w:rsidRPr="00454EA7">
        <w:rPr>
          <w:rFonts w:eastAsia="SourceSansPro-It" w:cs="Arial"/>
          <w:i/>
          <w:iCs/>
          <w:snapToGrid/>
          <w:szCs w:val="24"/>
          <w:u w:val="single"/>
        </w:rPr>
        <w:t>including</w:t>
      </w:r>
      <w:r w:rsidRPr="008D245B">
        <w:rPr>
          <w:rFonts w:eastAsia="SourceSansPro-It" w:cs="Arial"/>
          <w:i/>
          <w:iCs/>
          <w:snapToGrid/>
          <w:szCs w:val="24"/>
        </w:rPr>
        <w:t xml:space="preserve"> diaphragms, diaphragm chords, diaphragm</w:t>
      </w:r>
      <w:r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 xml:space="preserve">collectors,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foundations,</w:t>
      </w:r>
      <w:r w:rsidR="00444BF6" w:rsidRP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vertical elements such as walls</w:t>
      </w:r>
      <w:r w:rsidR="00A57829" w:rsidRPr="00A57829">
        <w:rPr>
          <w:rFonts w:eastAsia="SourceSansPro-It" w:cs="Arial"/>
          <w:i/>
          <w:iCs/>
          <w:snapToGrid/>
          <w:szCs w:val="24"/>
          <w:u w:val="single"/>
        </w:rPr>
        <w:t>,</w:t>
      </w:r>
      <w:r w:rsidRPr="008D245B">
        <w:rPr>
          <w:rFonts w:eastAsia="SourceSansPro-It" w:cs="Arial"/>
          <w:i/>
          <w:iCs/>
          <w:snapToGrid/>
          <w:szCs w:val="24"/>
        </w:rPr>
        <w:t xml:space="preserve"> frames,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and</w:t>
      </w:r>
      <w:r w:rsid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braces</w:t>
      </w:r>
      <w:r w:rsidRPr="00444BF6">
        <w:rPr>
          <w:rFonts w:eastAsia="SourceSansPro-It" w:cs="Arial"/>
          <w:i/>
          <w:iCs/>
          <w:strike/>
          <w:snapToGrid/>
          <w:szCs w:val="24"/>
        </w:rPr>
        <w:t>;</w:t>
      </w:r>
      <w:r w:rsidRPr="00454EA7">
        <w:rPr>
          <w:rFonts w:eastAsia="SourceSansPro-It" w:cs="Arial"/>
          <w:i/>
          <w:iCs/>
          <w:strike/>
          <w:snapToGrid/>
          <w:szCs w:val="24"/>
        </w:rPr>
        <w:t xml:space="preserve"> </w:t>
      </w:r>
      <w:r w:rsidRPr="00444BF6">
        <w:rPr>
          <w:rFonts w:eastAsia="SourceSansPro-It" w:cs="Arial"/>
          <w:i/>
          <w:iCs/>
          <w:strike/>
          <w:snapToGrid/>
          <w:szCs w:val="24"/>
        </w:rPr>
        <w:t>foundations and</w:t>
      </w:r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 xml:space="preserve">,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as well as</w:t>
      </w:r>
      <w:r w:rsid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 xml:space="preserve">the connections between </w:t>
      </w:r>
      <w:proofErr w:type="gramStart"/>
      <w:r w:rsidRPr="00454EA7">
        <w:rPr>
          <w:rFonts w:eastAsia="SourceSansPro-It" w:cs="Arial"/>
          <w:i/>
          <w:iCs/>
          <w:strike/>
          <w:snapToGrid/>
          <w:szCs w:val="24"/>
        </w:rPr>
        <w:t xml:space="preserve">the </w:t>
      </w:r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>these</w:t>
      </w:r>
      <w:proofErr w:type="gramEnd"/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components and elements</w:t>
      </w:r>
      <w:r w:rsidRPr="00444BF6">
        <w:rPr>
          <w:rFonts w:eastAsia="SourceSansPro-It" w:cs="Arial"/>
          <w:i/>
          <w:iCs/>
          <w:strike/>
          <w:snapToGrid/>
          <w:szCs w:val="24"/>
        </w:rPr>
        <w:t xml:space="preserve"> of the load path</w:t>
      </w:r>
      <w:r w:rsidRPr="008D245B">
        <w:rPr>
          <w:rFonts w:eastAsia="SourceSansPro-It" w:cs="Arial"/>
          <w:i/>
          <w:iCs/>
          <w:snapToGrid/>
          <w:szCs w:val="24"/>
        </w:rPr>
        <w:t xml:space="preserve">. Repaired or retrofitted elements and the standards under which the work was constructed shall be </w:t>
      </w:r>
      <w:r w:rsidRPr="00454EA7">
        <w:rPr>
          <w:rFonts w:eastAsia="SourceSansPro-It" w:cs="Arial"/>
          <w:i/>
          <w:iCs/>
          <w:snapToGrid/>
          <w:szCs w:val="24"/>
        </w:rPr>
        <w:t>identified.</w:t>
      </w:r>
      <w:r w:rsidRPr="00454EA7">
        <w:rPr>
          <w:rFonts w:cs="Arial"/>
          <w:i/>
          <w:iCs/>
          <w:szCs w:val="24"/>
        </w:rPr>
        <w:t xml:space="preserve"> </w:t>
      </w:r>
    </w:p>
    <w:p w14:paraId="5232674D" w14:textId="511AA965" w:rsidR="008D245B" w:rsidRPr="00454EA7" w:rsidRDefault="008D245B" w:rsidP="00A57829">
      <w:pPr>
        <w:widowControl/>
        <w:autoSpaceDE w:val="0"/>
        <w:autoSpaceDN w:val="0"/>
        <w:adjustRightInd w:val="0"/>
        <w:rPr>
          <w:rFonts w:eastAsia="SourceSansPro-It" w:cs="Arial"/>
          <w:i/>
          <w:iCs/>
          <w:snapToGrid/>
          <w:szCs w:val="24"/>
        </w:rPr>
      </w:pPr>
      <w:r w:rsidRPr="00454EA7">
        <w:rPr>
          <w:rFonts w:cs="Arial"/>
          <w:i/>
          <w:iCs/>
          <w:szCs w:val="24"/>
        </w:rPr>
        <w:t>…</w:t>
      </w:r>
    </w:p>
    <w:p w14:paraId="2C1B2CED" w14:textId="77777777" w:rsidR="00005708" w:rsidRPr="0046521A" w:rsidRDefault="00005708" w:rsidP="003641DE">
      <w:pPr>
        <w:pStyle w:val="Heading4"/>
        <w:ind w:left="0"/>
      </w:pPr>
      <w:r w:rsidRPr="0046521A">
        <w:t xml:space="preserve">Notation: </w:t>
      </w:r>
    </w:p>
    <w:p w14:paraId="29975944" w14:textId="28C15C1B" w:rsidR="00005708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="009C0E9C">
        <w:rPr>
          <w:rFonts w:cs="Arial"/>
        </w:rPr>
        <w:t>Health and Safety Code Section 18934.5</w:t>
      </w:r>
    </w:p>
    <w:p w14:paraId="0D1B49AF" w14:textId="039F0CB9" w:rsidR="00767766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="009C0E9C">
        <w:rPr>
          <w:rFonts w:cs="Arial"/>
        </w:rPr>
        <w:t>Health and Safety Code Section 18934.5</w:t>
      </w:r>
    </w:p>
    <w:sectPr w:rsidR="00767766" w:rsidRPr="0046521A" w:rsidSect="0000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A7D2" w14:textId="77777777" w:rsidR="00C7190E" w:rsidRDefault="00C7190E">
      <w:r>
        <w:separator/>
      </w:r>
    </w:p>
  </w:endnote>
  <w:endnote w:type="continuationSeparator" w:id="0">
    <w:p w14:paraId="44476749" w14:textId="77777777" w:rsidR="00C7190E" w:rsidRDefault="00C7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ourceSansPro-I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DB84" w14:textId="77777777" w:rsidR="00C80337" w:rsidRDefault="00C8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2D3D60BB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2A27B3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7518DF">
      <w:t>Initial</w:t>
    </w:r>
    <w:r w:rsidR="00C80337">
      <w:t xml:space="preserve"> </w:t>
    </w:r>
    <w:r>
      <w:t>Express Terms</w:t>
    </w:r>
    <w:r w:rsidR="00A8502F">
      <w:tab/>
    </w:r>
    <w:r w:rsidR="00C80337">
      <w:t>October 15, 2025</w:t>
    </w:r>
  </w:p>
  <w:p w14:paraId="0CAFC6F9" w14:textId="63A9533E" w:rsidR="008908A5" w:rsidRDefault="00C80337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BSC 02/25</w:t>
    </w:r>
    <w:r w:rsidR="008908A5">
      <w:rPr>
        <w:szCs w:val="16"/>
      </w:rPr>
      <w:t xml:space="preserve"> - Part</w:t>
    </w:r>
    <w:r w:rsidR="00A8502F">
      <w:rPr>
        <w:szCs w:val="16"/>
      </w:rPr>
      <w:t xml:space="preserve"> </w:t>
    </w:r>
    <w:r>
      <w:rPr>
        <w:szCs w:val="16"/>
      </w:rPr>
      <w:t>10</w:t>
    </w:r>
    <w:r w:rsidR="008908A5">
      <w:rPr>
        <w:szCs w:val="16"/>
      </w:rPr>
      <w:t xml:space="preserve"> </w:t>
    </w:r>
    <w:r>
      <w:rPr>
        <w:szCs w:val="16"/>
      </w:rPr>
      <w:t>–</w:t>
    </w:r>
    <w:r w:rsidR="00A8502F">
      <w:rPr>
        <w:szCs w:val="16"/>
      </w:rPr>
      <w:t xml:space="preserve"> </w:t>
    </w:r>
    <w:r>
      <w:rPr>
        <w:szCs w:val="16"/>
      </w:rPr>
      <w:t xml:space="preserve">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AF245C">
      <w:rPr>
        <w:szCs w:val="16"/>
      </w:rPr>
      <w:t>IET</w:t>
    </w:r>
  </w:p>
  <w:p w14:paraId="4E70EC50" w14:textId="04640546" w:rsidR="008908A5" w:rsidRDefault="00C80337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California Building Standards Commission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DB83" w14:textId="77777777" w:rsidR="00C80337" w:rsidRDefault="00C80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F019" w14:textId="77777777" w:rsidR="00C7190E" w:rsidRDefault="00C7190E">
      <w:r>
        <w:separator/>
      </w:r>
    </w:p>
  </w:footnote>
  <w:footnote w:type="continuationSeparator" w:id="0">
    <w:p w14:paraId="4A602D73" w14:textId="77777777" w:rsidR="00C7190E" w:rsidRDefault="00C7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A657" w14:textId="77777777" w:rsidR="00C80337" w:rsidRDefault="00C8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C95A" w14:textId="77777777" w:rsidR="00C80337" w:rsidRDefault="00C80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24D9E"/>
    <w:rsid w:val="000257AD"/>
    <w:rsid w:val="0006560C"/>
    <w:rsid w:val="00077B06"/>
    <w:rsid w:val="000B136A"/>
    <w:rsid w:val="000B4609"/>
    <w:rsid w:val="000B5D13"/>
    <w:rsid w:val="000D2695"/>
    <w:rsid w:val="000E24B4"/>
    <w:rsid w:val="000E668B"/>
    <w:rsid w:val="000F3FB9"/>
    <w:rsid w:val="00110B4A"/>
    <w:rsid w:val="0012254E"/>
    <w:rsid w:val="00123F82"/>
    <w:rsid w:val="00164809"/>
    <w:rsid w:val="00175449"/>
    <w:rsid w:val="001826F4"/>
    <w:rsid w:val="00190E7A"/>
    <w:rsid w:val="00192427"/>
    <w:rsid w:val="001C4F88"/>
    <w:rsid w:val="001D15D1"/>
    <w:rsid w:val="001D6449"/>
    <w:rsid w:val="001E0E55"/>
    <w:rsid w:val="001E2EAA"/>
    <w:rsid w:val="001E635B"/>
    <w:rsid w:val="001E71DE"/>
    <w:rsid w:val="001F2A94"/>
    <w:rsid w:val="001F6735"/>
    <w:rsid w:val="00200AE4"/>
    <w:rsid w:val="00214006"/>
    <w:rsid w:val="00234A84"/>
    <w:rsid w:val="002537B1"/>
    <w:rsid w:val="002678E5"/>
    <w:rsid w:val="00270D2D"/>
    <w:rsid w:val="002915CB"/>
    <w:rsid w:val="00295E27"/>
    <w:rsid w:val="002965E0"/>
    <w:rsid w:val="002A27B3"/>
    <w:rsid w:val="002D3F86"/>
    <w:rsid w:val="00301808"/>
    <w:rsid w:val="0030639B"/>
    <w:rsid w:val="00332C1D"/>
    <w:rsid w:val="00351E2B"/>
    <w:rsid w:val="00353B32"/>
    <w:rsid w:val="003641DE"/>
    <w:rsid w:val="00364971"/>
    <w:rsid w:val="003759F8"/>
    <w:rsid w:val="003942B6"/>
    <w:rsid w:val="003C56D4"/>
    <w:rsid w:val="003E0D9B"/>
    <w:rsid w:val="00421C03"/>
    <w:rsid w:val="00430FA4"/>
    <w:rsid w:val="00444BF6"/>
    <w:rsid w:val="00446845"/>
    <w:rsid w:val="00454EA7"/>
    <w:rsid w:val="00455434"/>
    <w:rsid w:val="00462492"/>
    <w:rsid w:val="00464F8B"/>
    <w:rsid w:val="0046521A"/>
    <w:rsid w:val="004957C8"/>
    <w:rsid w:val="004B2AB9"/>
    <w:rsid w:val="004C48A0"/>
    <w:rsid w:val="004C56DD"/>
    <w:rsid w:val="00541492"/>
    <w:rsid w:val="005417DB"/>
    <w:rsid w:val="00563190"/>
    <w:rsid w:val="00593DDD"/>
    <w:rsid w:val="005B38CD"/>
    <w:rsid w:val="005E162F"/>
    <w:rsid w:val="005F1F14"/>
    <w:rsid w:val="00600471"/>
    <w:rsid w:val="0061175B"/>
    <w:rsid w:val="006169B9"/>
    <w:rsid w:val="00642758"/>
    <w:rsid w:val="00664F8A"/>
    <w:rsid w:val="0066622F"/>
    <w:rsid w:val="006851D9"/>
    <w:rsid w:val="0069558C"/>
    <w:rsid w:val="006A21F1"/>
    <w:rsid w:val="006B747C"/>
    <w:rsid w:val="006D1470"/>
    <w:rsid w:val="006D3F29"/>
    <w:rsid w:val="006F6F55"/>
    <w:rsid w:val="0070689B"/>
    <w:rsid w:val="0073368F"/>
    <w:rsid w:val="0073479C"/>
    <w:rsid w:val="00750097"/>
    <w:rsid w:val="007518DF"/>
    <w:rsid w:val="00767398"/>
    <w:rsid w:val="00767766"/>
    <w:rsid w:val="007B0231"/>
    <w:rsid w:val="007B4553"/>
    <w:rsid w:val="007D4133"/>
    <w:rsid w:val="00801113"/>
    <w:rsid w:val="0081299A"/>
    <w:rsid w:val="008236F5"/>
    <w:rsid w:val="0083127A"/>
    <w:rsid w:val="00860D91"/>
    <w:rsid w:val="008908A5"/>
    <w:rsid w:val="008A2AC5"/>
    <w:rsid w:val="008A63B1"/>
    <w:rsid w:val="008B6F4E"/>
    <w:rsid w:val="008D245B"/>
    <w:rsid w:val="008E36A8"/>
    <w:rsid w:val="008F1AE2"/>
    <w:rsid w:val="008F2193"/>
    <w:rsid w:val="00904F97"/>
    <w:rsid w:val="0090753D"/>
    <w:rsid w:val="00965AAB"/>
    <w:rsid w:val="00975FF7"/>
    <w:rsid w:val="00990A6D"/>
    <w:rsid w:val="009A693A"/>
    <w:rsid w:val="009B75E7"/>
    <w:rsid w:val="009C0E9C"/>
    <w:rsid w:val="009C2981"/>
    <w:rsid w:val="009C529A"/>
    <w:rsid w:val="009D60C1"/>
    <w:rsid w:val="009E0E79"/>
    <w:rsid w:val="009E6B12"/>
    <w:rsid w:val="009F23ED"/>
    <w:rsid w:val="00A138AA"/>
    <w:rsid w:val="00A57829"/>
    <w:rsid w:val="00A60CA1"/>
    <w:rsid w:val="00A76E67"/>
    <w:rsid w:val="00A81002"/>
    <w:rsid w:val="00A8502F"/>
    <w:rsid w:val="00A945EE"/>
    <w:rsid w:val="00AA0C1D"/>
    <w:rsid w:val="00AC1F10"/>
    <w:rsid w:val="00AD280C"/>
    <w:rsid w:val="00AF245C"/>
    <w:rsid w:val="00AF4E96"/>
    <w:rsid w:val="00B11AD5"/>
    <w:rsid w:val="00B12076"/>
    <w:rsid w:val="00B22B95"/>
    <w:rsid w:val="00B43875"/>
    <w:rsid w:val="00B677C4"/>
    <w:rsid w:val="00BC1102"/>
    <w:rsid w:val="00BC3F6E"/>
    <w:rsid w:val="00BC7489"/>
    <w:rsid w:val="00BE48F6"/>
    <w:rsid w:val="00BF251B"/>
    <w:rsid w:val="00C36475"/>
    <w:rsid w:val="00C44C36"/>
    <w:rsid w:val="00C67B72"/>
    <w:rsid w:val="00C7190E"/>
    <w:rsid w:val="00C74CC9"/>
    <w:rsid w:val="00C80337"/>
    <w:rsid w:val="00C80CD9"/>
    <w:rsid w:val="00CA4CE5"/>
    <w:rsid w:val="00CB4F72"/>
    <w:rsid w:val="00CD71EA"/>
    <w:rsid w:val="00CE406D"/>
    <w:rsid w:val="00CE56AD"/>
    <w:rsid w:val="00CF3372"/>
    <w:rsid w:val="00D205E3"/>
    <w:rsid w:val="00D2302A"/>
    <w:rsid w:val="00D25B07"/>
    <w:rsid w:val="00D275E7"/>
    <w:rsid w:val="00D31B6D"/>
    <w:rsid w:val="00D71CEC"/>
    <w:rsid w:val="00D75ED1"/>
    <w:rsid w:val="00D848F2"/>
    <w:rsid w:val="00D91AE2"/>
    <w:rsid w:val="00DA5CDA"/>
    <w:rsid w:val="00DE4EFB"/>
    <w:rsid w:val="00DF323A"/>
    <w:rsid w:val="00E100C3"/>
    <w:rsid w:val="00E119F2"/>
    <w:rsid w:val="00E16084"/>
    <w:rsid w:val="00E3790F"/>
    <w:rsid w:val="00E46E3A"/>
    <w:rsid w:val="00E53D35"/>
    <w:rsid w:val="00E645A7"/>
    <w:rsid w:val="00E929AD"/>
    <w:rsid w:val="00EB257F"/>
    <w:rsid w:val="00EC27FE"/>
    <w:rsid w:val="00EC55B6"/>
    <w:rsid w:val="00ED27E1"/>
    <w:rsid w:val="00ED7F7A"/>
    <w:rsid w:val="00EF26E2"/>
    <w:rsid w:val="00F057BF"/>
    <w:rsid w:val="00F152F2"/>
    <w:rsid w:val="00F17139"/>
    <w:rsid w:val="00F4291A"/>
    <w:rsid w:val="00F61E87"/>
    <w:rsid w:val="00F768B4"/>
    <w:rsid w:val="00F96EC3"/>
    <w:rsid w:val="00F97C83"/>
    <w:rsid w:val="00FD45EA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DE4EF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4E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4EF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EFB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1839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BSC-02-25-IET-PT10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BSC-02-25-IET-PT10</dc:title>
  <dc:creator>CBSC</dc:creator>
  <cp:lastModifiedBy>Severon, Kristina@DGS</cp:lastModifiedBy>
  <cp:revision>3</cp:revision>
  <cp:lastPrinted>2020-02-18T23:46:00Z</cp:lastPrinted>
  <dcterms:created xsi:type="dcterms:W3CDTF">2026-01-20T17:42:00Z</dcterms:created>
  <dcterms:modified xsi:type="dcterms:W3CDTF">2026-01-20T17:42:00Z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