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652E617D" w:rsidR="00767766" w:rsidRPr="00E80166" w:rsidRDefault="00786248" w:rsidP="000C7383">
      <w:pPr>
        <w:pStyle w:val="Heading1"/>
        <w:spacing w:before="0" w:after="120"/>
        <w:jc w:val="center"/>
        <w:rPr>
          <w:rFonts w:cs="Arial"/>
          <w:szCs w:val="24"/>
        </w:rPr>
      </w:pPr>
      <w:r w:rsidRPr="00E80166">
        <w:rPr>
          <w:rFonts w:cs="Arial"/>
        </w:rPr>
        <w:t>ADD</w:t>
      </w:r>
      <w:r w:rsidR="00583511" w:rsidRPr="00E80166">
        <w:rPr>
          <w:rFonts w:cs="Arial"/>
        </w:rPr>
        <w:t>ENDUM TO</w:t>
      </w:r>
      <w:r w:rsidR="00767766" w:rsidRPr="00E80166">
        <w:rPr>
          <w:rFonts w:cs="Arial"/>
        </w:rPr>
        <w:t xml:space="preserve"> </w:t>
      </w:r>
      <w:r w:rsidR="004D5616" w:rsidRPr="00E80166">
        <w:rPr>
          <w:rFonts w:cs="Arial"/>
        </w:rPr>
        <w:t>FINAL</w:t>
      </w:r>
      <w:r w:rsidRPr="00E80166">
        <w:rPr>
          <w:rFonts w:cs="Arial"/>
        </w:rPr>
        <w:t xml:space="preserve"> </w:t>
      </w:r>
      <w:r w:rsidR="00767766" w:rsidRPr="00E80166">
        <w:rPr>
          <w:rFonts w:cs="Arial"/>
        </w:rPr>
        <w:t>EXPRESS TERMS</w:t>
      </w:r>
      <w:r w:rsidR="00EC1406" w:rsidRPr="00E80166">
        <w:rPr>
          <w:rFonts w:cs="Arial"/>
        </w:rPr>
        <w:t xml:space="preserve"> AND RATIONALE</w:t>
      </w:r>
      <w:r w:rsidR="00767766" w:rsidRPr="00E80166">
        <w:rPr>
          <w:rFonts w:cs="Arial"/>
        </w:rPr>
        <w:br/>
        <w:t>FOR PROPOSED BUILDING STANDARDS</w:t>
      </w:r>
      <w:r w:rsidR="00767766" w:rsidRPr="00E80166">
        <w:rPr>
          <w:rFonts w:cs="Arial"/>
        </w:rPr>
        <w:br/>
        <w:t xml:space="preserve">OF THE </w:t>
      </w:r>
      <w:r w:rsidR="00500C1B" w:rsidRPr="00E80166">
        <w:rPr>
          <w:rFonts w:cs="Arial"/>
        </w:rPr>
        <w:t>STATE FIRE MARSHAL</w:t>
      </w:r>
      <w:r w:rsidR="00767766" w:rsidRPr="00E80166">
        <w:rPr>
          <w:rFonts w:cs="Arial"/>
        </w:rPr>
        <w:br/>
        <w:t xml:space="preserve">REGARDING THE </w:t>
      </w:r>
      <w:r w:rsidR="00500C1B" w:rsidRPr="00E80166">
        <w:rPr>
          <w:rFonts w:cs="Arial"/>
        </w:rPr>
        <w:t xml:space="preserve">2025 </w:t>
      </w:r>
      <w:r w:rsidR="00C31372" w:rsidRPr="00C31372">
        <w:rPr>
          <w:rFonts w:cs="Arial"/>
        </w:rPr>
        <w:t>CALIFORNIA BUILDING CODE</w:t>
      </w:r>
      <w:r w:rsidR="00767766" w:rsidRPr="00E80166">
        <w:rPr>
          <w:rFonts w:cs="Arial"/>
        </w:rPr>
        <w:t>,</w:t>
      </w:r>
      <w:r w:rsidR="000C7383" w:rsidRPr="00E80166">
        <w:rPr>
          <w:rFonts w:cs="Arial"/>
        </w:rPr>
        <w:br/>
      </w:r>
      <w:r w:rsidR="00767766" w:rsidRPr="00E80166">
        <w:rPr>
          <w:rFonts w:cs="Arial"/>
        </w:rPr>
        <w:t xml:space="preserve">CALIFORNIA CODE OF REGULATIONS, TITLE 24, PART </w:t>
      </w:r>
      <w:r w:rsidR="00C31372">
        <w:rPr>
          <w:rFonts w:cs="Arial"/>
        </w:rPr>
        <w:t>2</w:t>
      </w:r>
      <w:r w:rsidR="000C7383" w:rsidRPr="00E80166">
        <w:rPr>
          <w:rFonts w:cs="Arial"/>
        </w:rPr>
        <w:br/>
      </w:r>
      <w:r w:rsidR="00767766" w:rsidRPr="00E80166">
        <w:rPr>
          <w:rFonts w:cs="Arial"/>
          <w:szCs w:val="24"/>
        </w:rPr>
        <w:t>(</w:t>
      </w:r>
      <w:r w:rsidR="00500C1B" w:rsidRPr="00E80166">
        <w:rPr>
          <w:rFonts w:cs="Arial"/>
          <w:szCs w:val="24"/>
        </w:rPr>
        <w:t>SFM 0</w:t>
      </w:r>
      <w:r w:rsidR="00C31372">
        <w:rPr>
          <w:rFonts w:cs="Arial"/>
          <w:szCs w:val="24"/>
        </w:rPr>
        <w:t>4/</w:t>
      </w:r>
      <w:r w:rsidR="00500C1B" w:rsidRPr="00E80166">
        <w:rPr>
          <w:rFonts w:cs="Arial"/>
          <w:szCs w:val="24"/>
        </w:rPr>
        <w:t>24</w:t>
      </w:r>
      <w:r w:rsidR="00767766" w:rsidRPr="00E80166">
        <w:rPr>
          <w:rFonts w:cs="Arial"/>
          <w:szCs w:val="24"/>
        </w:rPr>
        <w:t>)</w:t>
      </w:r>
    </w:p>
    <w:p w14:paraId="41496507" w14:textId="682BF2A6" w:rsidR="00502AB4" w:rsidRPr="00E80166" w:rsidRDefault="00502AB4" w:rsidP="004F62AE">
      <w:pPr>
        <w:spacing w:after="120"/>
        <w:rPr>
          <w:rFonts w:cs="Arial"/>
        </w:rPr>
      </w:pPr>
      <w:r w:rsidRPr="00E80166">
        <w:rPr>
          <w:rFonts w:cs="Arial"/>
        </w:rPr>
        <w:t xml:space="preserve">The </w:t>
      </w:r>
      <w:r w:rsidR="004F62AE" w:rsidRPr="00E80166">
        <w:rPr>
          <w:rFonts w:cs="Arial"/>
        </w:rPr>
        <w:t xml:space="preserve">state </w:t>
      </w:r>
      <w:r w:rsidRPr="00E80166">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41D94F79" w:rsidR="00D0634D" w:rsidRPr="00E80166" w:rsidRDefault="00BC5F10" w:rsidP="004F62AE">
      <w:pPr>
        <w:spacing w:after="120"/>
        <w:rPr>
          <w:rFonts w:cs="Arial"/>
        </w:rPr>
      </w:pPr>
      <w:r w:rsidRPr="00E80166">
        <w:rPr>
          <w:rFonts w:cs="Arial"/>
        </w:rPr>
        <w:t>Approve as amended a proposed provision, as requested by the state agency</w:t>
      </w:r>
      <w:r w:rsidR="00D0634D" w:rsidRPr="00E80166">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sidRPr="00E80166">
        <w:rPr>
          <w:rFonts w:cs="Arial"/>
        </w:rPr>
        <w:t xml:space="preserve"> (Section 1-417(a)4</w:t>
      </w:r>
      <w:r w:rsidR="00D104F0" w:rsidRPr="00E80166">
        <w:rPr>
          <w:rFonts w:cs="Arial"/>
        </w:rPr>
        <w:t xml:space="preserve"> of the California Administrative Code, Part 1 of Title 24 of the California Code of Regulations</w:t>
      </w:r>
      <w:r w:rsidR="006C0483" w:rsidRPr="00E80166">
        <w:rPr>
          <w:rFonts w:cs="Arial"/>
        </w:rPr>
        <w:t>)</w:t>
      </w:r>
      <w:r w:rsidR="00607FED" w:rsidRPr="00E80166">
        <w:rPr>
          <w:rFonts w:cs="Arial"/>
        </w:rPr>
        <w:t>.</w:t>
      </w:r>
    </w:p>
    <w:p w14:paraId="660E04E7" w14:textId="77777777" w:rsidR="0022543F" w:rsidRPr="0044593B" w:rsidRDefault="0022543F" w:rsidP="0022543F">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Pr>
          <w:rFonts w:cs="Arial"/>
          <w:szCs w:val="24"/>
        </w:rPr>
        <w:t>, double strikeout</w:t>
      </w:r>
      <w:r w:rsidRPr="0044593B">
        <w:rPr>
          <w:rFonts w:cs="Arial"/>
          <w:szCs w:val="24"/>
        </w:rPr>
        <w:t>, italics and ellipsis. Double underline will be indicated by parenthetical notes within the text. The notes will not be codified or published in the code.</w:t>
      </w:r>
    </w:p>
    <w:p w14:paraId="502C7FFC" w14:textId="77777777" w:rsidR="007556D6" w:rsidRPr="00E80166" w:rsidRDefault="007556D6" w:rsidP="007556D6">
      <w:pPr>
        <w:pStyle w:val="Heading2"/>
        <w:spacing w:after="0"/>
        <w:rPr>
          <w:rFonts w:cs="Arial"/>
        </w:rPr>
      </w:pPr>
      <w:r w:rsidRPr="00E80166">
        <w:rPr>
          <w:rFonts w:cs="Arial"/>
        </w:rPr>
        <w:t>LEGEND for EXPRESS TERMS (Based on model codes - Parts 2, 2.5, 3, 4, 5, 9, 10)</w:t>
      </w:r>
    </w:p>
    <w:p w14:paraId="2414A94D" w14:textId="77777777" w:rsidR="0022543F" w:rsidRPr="00AD67B3" w:rsidRDefault="0022543F" w:rsidP="0022543F">
      <w:pPr>
        <w:pStyle w:val="ListParagraph"/>
        <w:numPr>
          <w:ilvl w:val="0"/>
          <w:numId w:val="5"/>
        </w:numPr>
        <w:contextualSpacing w:val="0"/>
        <w:rPr>
          <w:rFonts w:cs="Arial"/>
        </w:rPr>
      </w:pPr>
      <w:bookmarkStart w:id="0" w:name="_Hlk51751202"/>
      <w:r w:rsidRPr="00AD67B3">
        <w:rPr>
          <w:rFonts w:cs="Arial"/>
        </w:rPr>
        <w:t>Model Code language appears upright</w:t>
      </w:r>
    </w:p>
    <w:p w14:paraId="47AFA42C" w14:textId="77777777" w:rsidR="0022543F" w:rsidRPr="00AD67B3" w:rsidRDefault="0022543F" w:rsidP="0022543F">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383A047A" w14:textId="77777777" w:rsidR="0022543F" w:rsidRPr="00AA72AC" w:rsidRDefault="0022543F" w:rsidP="0022543F">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4CA83A7" w14:textId="77777777" w:rsidR="0022543F" w:rsidRPr="00AD67B3" w:rsidRDefault="0022543F" w:rsidP="0022543F">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08297483" w14:textId="77777777" w:rsidR="0022543F" w:rsidRPr="002F2620" w:rsidRDefault="0022543F" w:rsidP="0022543F">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39678D12" w14:textId="77777777" w:rsidR="0022543F" w:rsidRPr="002F2620" w:rsidRDefault="0022543F" w:rsidP="0022543F">
      <w:pPr>
        <w:pStyle w:val="ListParagraph"/>
        <w:numPr>
          <w:ilvl w:val="0"/>
          <w:numId w:val="5"/>
        </w:numPr>
        <w:rPr>
          <w:rFonts w:cs="Arial"/>
          <w:i/>
          <w:u w:val="single"/>
        </w:rPr>
      </w:pPr>
      <w:r>
        <w:rPr>
          <w:rFonts w:cs="Arial"/>
        </w:rPr>
        <w:t>Addendum changes to Final Express Terms language</w:t>
      </w:r>
      <w:r w:rsidRPr="0044593B">
        <w:rPr>
          <w:rFonts w:cs="Arial"/>
        </w:rPr>
        <w:t xml:space="preserve">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549BD051" w14:textId="77777777" w:rsidR="0022543F" w:rsidRPr="00AD67B3" w:rsidRDefault="0022543F" w:rsidP="0022543F">
      <w:pPr>
        <w:pStyle w:val="ListParagraph"/>
        <w:numPr>
          <w:ilvl w:val="0"/>
          <w:numId w:val="5"/>
        </w:numPr>
        <w:contextualSpacing w:val="0"/>
        <w:rPr>
          <w:rFonts w:cs="Arial"/>
        </w:rPr>
      </w:pPr>
      <w:r w:rsidRPr="00C8513E">
        <w:t>Ellips</w:t>
      </w:r>
      <w:r>
        <w:t>e</w:t>
      </w:r>
      <w:r w:rsidRPr="00C8513E">
        <w:t>s (...) indicate existing text remains unchange</w:t>
      </w:r>
      <w:r w:rsidRPr="00AD67B3">
        <w:rPr>
          <w:rFonts w:eastAsia="Times New Roman" w:cs="Arial"/>
          <w:lang w:eastAsia="ko-KR"/>
        </w:rPr>
        <w:t>d</w:t>
      </w:r>
    </w:p>
    <w:bookmarkEnd w:id="0"/>
    <w:p w14:paraId="63E01F83" w14:textId="77777777" w:rsidR="007556D6" w:rsidRPr="00E80166" w:rsidRDefault="007556D6" w:rsidP="007556D6">
      <w:pPr>
        <w:pStyle w:val="BodyText3"/>
        <w:pBdr>
          <w:bottom w:val="single" w:sz="4" w:space="1" w:color="auto"/>
        </w:pBdr>
        <w:jc w:val="left"/>
        <w:rPr>
          <w:rFonts w:cs="Arial"/>
          <w:szCs w:val="24"/>
        </w:rPr>
      </w:pPr>
    </w:p>
    <w:p w14:paraId="1F09795F" w14:textId="7B0D9CA7" w:rsidR="00711AEC" w:rsidRPr="00E80166" w:rsidRDefault="00711AEC" w:rsidP="00711AEC">
      <w:pPr>
        <w:pStyle w:val="Heading2"/>
        <w:spacing w:after="240"/>
      </w:pPr>
      <w:r w:rsidRPr="00E80166">
        <w:t xml:space="preserve">ADDENDUM to </w:t>
      </w:r>
      <w:r w:rsidR="00500C1B" w:rsidRPr="00E80166">
        <w:rPr>
          <w:rFonts w:cs="Arial"/>
        </w:rPr>
        <w:t>FINAL</w:t>
      </w:r>
      <w:r w:rsidRPr="00E80166">
        <w:t xml:space="preserve"> EXPRESS TERMS and RATIONALE</w:t>
      </w:r>
    </w:p>
    <w:p w14:paraId="2F854EE3" w14:textId="28D7E30B" w:rsidR="000B33E0" w:rsidRPr="00E80166" w:rsidRDefault="001E12EE" w:rsidP="000C7383">
      <w:pPr>
        <w:pStyle w:val="Heading3"/>
        <w:rPr>
          <w:noProof/>
        </w:rPr>
      </w:pPr>
      <w:r w:rsidRPr="00E80166">
        <w:t>ITEM</w:t>
      </w:r>
      <w:r w:rsidR="000B33E0" w:rsidRPr="00E80166">
        <w:t xml:space="preserve"> </w:t>
      </w:r>
      <w:r w:rsidR="00B105EC" w:rsidRPr="00E80166">
        <w:rPr>
          <w:noProof/>
        </w:rPr>
        <w:t>5-</w:t>
      </w:r>
      <w:r w:rsidR="00C31372">
        <w:rPr>
          <w:noProof/>
        </w:rPr>
        <w:t>2</w:t>
      </w:r>
      <w:r w:rsidR="00391B17" w:rsidRPr="00E80166">
        <w:rPr>
          <w:snapToGrid/>
        </w:rPr>
        <w:br/>
      </w:r>
      <w:r w:rsidR="000B33E0" w:rsidRPr="00E80166">
        <w:t xml:space="preserve">Chapter </w:t>
      </w:r>
      <w:r w:rsidR="00B105EC" w:rsidRPr="00E80166">
        <w:rPr>
          <w:noProof/>
        </w:rPr>
        <w:t xml:space="preserve">5 </w:t>
      </w:r>
      <w:r w:rsidR="00C31372" w:rsidRPr="00C31372">
        <w:rPr>
          <w:noProof/>
        </w:rPr>
        <w:t>General Building Heights and Areas</w:t>
      </w:r>
      <w:r w:rsidR="00786248" w:rsidRPr="00E80166">
        <w:rPr>
          <w:noProof/>
        </w:rPr>
        <w:t xml:space="preserve">, </w:t>
      </w:r>
      <w:r w:rsidR="00C31372" w:rsidRPr="00C31372">
        <w:t>Section 506.2.1 Single-occupancy buildings</w:t>
      </w:r>
    </w:p>
    <w:p w14:paraId="470692AB" w14:textId="34330C44" w:rsidR="00C31372" w:rsidRPr="00455DF6" w:rsidRDefault="00C31372" w:rsidP="00C31372">
      <w:pPr>
        <w:spacing w:after="120"/>
        <w:rPr>
          <w:rFonts w:cs="Arial"/>
        </w:rPr>
      </w:pPr>
      <w:bookmarkStart w:id="1" w:name="_Hlk165644435"/>
      <w:r>
        <w:rPr>
          <w:rFonts w:cs="Arial"/>
        </w:rPr>
        <w:t>[</w:t>
      </w:r>
      <w:r w:rsidR="0022543F">
        <w:rPr>
          <w:rFonts w:cs="Arial"/>
        </w:rPr>
        <w:t xml:space="preserve">In this SFM addendum, </w:t>
      </w:r>
      <w:r w:rsidRPr="00455DF6">
        <w:rPr>
          <w:rFonts w:cs="Arial"/>
        </w:rPr>
        <w:t xml:space="preserve">SFM proposes to </w:t>
      </w:r>
      <w:r w:rsidR="0022543F">
        <w:rPr>
          <w:rFonts w:cs="Arial"/>
        </w:rPr>
        <w:t>correct value of variable S</w:t>
      </w:r>
      <w:r w:rsidR="0022543F" w:rsidRPr="0022543F">
        <w:rPr>
          <w:rFonts w:cs="Arial"/>
          <w:vertAlign w:val="subscript"/>
        </w:rPr>
        <w:t>a</w:t>
      </w:r>
      <w:r w:rsidR="0022543F">
        <w:rPr>
          <w:rFonts w:cs="Arial"/>
        </w:rPr>
        <w:t xml:space="preserve"> </w:t>
      </w:r>
      <w:r w:rsidR="006226DF">
        <w:rPr>
          <w:rFonts w:cs="Arial"/>
        </w:rPr>
        <w:t xml:space="preserve">in Equation 5-2 </w:t>
      </w:r>
      <w:r w:rsidR="0022543F">
        <w:rPr>
          <w:rFonts w:cs="Arial"/>
        </w:rPr>
        <w:t xml:space="preserve">from “3” to “2” </w:t>
      </w:r>
      <w:r w:rsidR="0022543F" w:rsidRPr="0022543F">
        <w:rPr>
          <w:rFonts w:cs="Arial"/>
        </w:rPr>
        <w:t>as is stated in the sentence</w:t>
      </w:r>
      <w:r w:rsidR="006226DF">
        <w:rPr>
          <w:rFonts w:cs="Arial"/>
        </w:rPr>
        <w:t xml:space="preserve"> following the variable. SFM also shows existing amendment and model code language for the situation when the variable S</w:t>
      </w:r>
      <w:r w:rsidR="006226DF" w:rsidRPr="0022543F">
        <w:rPr>
          <w:rFonts w:cs="Arial"/>
          <w:vertAlign w:val="subscript"/>
        </w:rPr>
        <w:t>a</w:t>
      </w:r>
      <w:r w:rsidR="006226DF">
        <w:rPr>
          <w:rFonts w:cs="Arial"/>
        </w:rPr>
        <w:t xml:space="preserve"> equals “3” that is not shown in the FET.]</w:t>
      </w:r>
    </w:p>
    <w:bookmarkEnd w:id="1"/>
    <w:p w14:paraId="62358F59" w14:textId="77777777" w:rsidR="00C31372" w:rsidRPr="00455DF6" w:rsidRDefault="00C31372" w:rsidP="00C31372">
      <w:pPr>
        <w:spacing w:after="120"/>
        <w:ind w:firstLine="360"/>
        <w:rPr>
          <w:rFonts w:cs="Arial"/>
          <w:b/>
          <w:bCs/>
        </w:rPr>
      </w:pPr>
      <w:r w:rsidRPr="00455DF6">
        <w:rPr>
          <w:rFonts w:cs="Arial"/>
          <w:b/>
          <w:bCs/>
        </w:rPr>
        <w:lastRenderedPageBreak/>
        <w:t>506.2.1 Single-occupancy buildings.</w:t>
      </w:r>
    </w:p>
    <w:p w14:paraId="1D2D3C0F" w14:textId="7AC38864" w:rsidR="00C31372" w:rsidRDefault="00C31372" w:rsidP="00C31372">
      <w:pPr>
        <w:spacing w:after="120"/>
        <w:ind w:left="360"/>
        <w:rPr>
          <w:rFonts w:cs="Arial"/>
        </w:rPr>
      </w:pPr>
      <w:r>
        <w:rPr>
          <w:rFonts w:cs="Arial"/>
          <w:color w:val="000000" w:themeColor="text1"/>
        </w:rPr>
        <w:t>…</w:t>
      </w:r>
    </w:p>
    <w:p w14:paraId="69200D58" w14:textId="614DE6DB" w:rsidR="00C31372" w:rsidRDefault="00C31372" w:rsidP="00C31372">
      <w:pPr>
        <w:spacing w:after="120"/>
        <w:ind w:left="360"/>
        <w:rPr>
          <w:rFonts w:cs="Arial"/>
        </w:rPr>
      </w:pPr>
      <w:r>
        <w:rPr>
          <w:rFonts w:cs="Arial"/>
        </w:rPr>
        <w:t>[</w:t>
      </w:r>
      <w:r w:rsidRPr="00C31372">
        <w:rPr>
          <w:rFonts w:cs="Arial"/>
        </w:rPr>
        <w:t xml:space="preserve">No addendum changes proposed in </w:t>
      </w:r>
      <w:r>
        <w:rPr>
          <w:rFonts w:cs="Arial"/>
        </w:rPr>
        <w:t>Equation 5-1</w:t>
      </w:r>
      <w:r w:rsidRPr="00C31372">
        <w:rPr>
          <w:rFonts w:cs="Arial"/>
        </w:rPr>
        <w:t>.</w:t>
      </w:r>
      <w:r>
        <w:rPr>
          <w:rFonts w:cs="Arial"/>
        </w:rPr>
        <w:t>]</w:t>
      </w:r>
    </w:p>
    <w:p w14:paraId="3A62CFDF" w14:textId="5456737F" w:rsidR="00C31372" w:rsidRPr="00424D5D" w:rsidRDefault="00C31372" w:rsidP="00C31372">
      <w:pPr>
        <w:tabs>
          <w:tab w:val="left" w:pos="7200"/>
        </w:tabs>
        <w:spacing w:after="120"/>
        <w:ind w:firstLine="360"/>
        <w:rPr>
          <w:rFonts w:cs="Arial"/>
        </w:rPr>
      </w:pPr>
      <w:r w:rsidRPr="00357BB7">
        <w:rPr>
          <w:rFonts w:cs="Arial"/>
          <w:i/>
          <w:iCs/>
        </w:rPr>
        <w:t>A</w:t>
      </w:r>
      <w:r w:rsidRPr="00EE3AC2">
        <w:rPr>
          <w:rFonts w:cs="Arial"/>
          <w:i/>
          <w:iCs/>
          <w:vertAlign w:val="subscript"/>
        </w:rPr>
        <w:t>a</w:t>
      </w:r>
      <w:r w:rsidRPr="00357BB7">
        <w:rPr>
          <w:rFonts w:cs="Arial"/>
          <w:i/>
          <w:iCs/>
        </w:rPr>
        <w:t xml:space="preserve"> </w:t>
      </w:r>
      <w:r w:rsidRPr="00357BB7">
        <w:rPr>
          <w:rFonts w:cs="Arial"/>
        </w:rPr>
        <w:t>= [</w:t>
      </w:r>
      <w:r w:rsidRPr="00357BB7">
        <w:rPr>
          <w:rFonts w:cs="Arial"/>
          <w:i/>
          <w:iCs/>
        </w:rPr>
        <w:t>A</w:t>
      </w:r>
      <w:r w:rsidRPr="00EE3AC2">
        <w:rPr>
          <w:rFonts w:cs="Arial"/>
          <w:i/>
          <w:iCs/>
          <w:vertAlign w:val="subscript"/>
        </w:rPr>
        <w:t>t</w:t>
      </w:r>
      <w:r w:rsidRPr="00357BB7">
        <w:rPr>
          <w:rFonts w:cs="Arial"/>
          <w:i/>
          <w:iCs/>
        </w:rPr>
        <w:t xml:space="preserve"> </w:t>
      </w:r>
      <w:r w:rsidRPr="00357BB7">
        <w:rPr>
          <w:rFonts w:cs="Arial"/>
        </w:rPr>
        <w:t>+ (</w:t>
      </w:r>
      <w:r w:rsidRPr="00357BB7">
        <w:rPr>
          <w:rFonts w:cs="Arial"/>
          <w:i/>
          <w:iCs/>
        </w:rPr>
        <w:t xml:space="preserve">NS </w:t>
      </w:r>
      <w:r w:rsidRPr="00357BB7">
        <w:rPr>
          <w:rFonts w:cs="Arial"/>
        </w:rPr>
        <w:t xml:space="preserve">× </w:t>
      </w:r>
      <w:r w:rsidRPr="00357BB7">
        <w:rPr>
          <w:rFonts w:cs="Arial"/>
          <w:i/>
          <w:iCs/>
        </w:rPr>
        <w:t>I</w:t>
      </w:r>
      <w:r w:rsidRPr="00EE3AC2">
        <w:rPr>
          <w:rFonts w:cs="Arial"/>
          <w:i/>
          <w:iCs/>
          <w:vertAlign w:val="subscript"/>
        </w:rPr>
        <w:t>f</w:t>
      </w:r>
      <w:r w:rsidRPr="00357BB7">
        <w:rPr>
          <w:rFonts w:cs="Arial"/>
        </w:rPr>
        <w:t xml:space="preserve">)] × </w:t>
      </w:r>
      <w:r w:rsidRPr="00357BB7">
        <w:rPr>
          <w:rFonts w:cs="Arial"/>
          <w:i/>
          <w:iCs/>
        </w:rPr>
        <w:t>S</w:t>
      </w:r>
      <w:r w:rsidRPr="00EE3AC2">
        <w:rPr>
          <w:rFonts w:cs="Arial"/>
          <w:i/>
          <w:iCs/>
          <w:vertAlign w:val="subscript"/>
        </w:rPr>
        <w:t>a</w:t>
      </w:r>
      <w:r>
        <w:rPr>
          <w:rFonts w:cs="Arial"/>
        </w:rPr>
        <w:tab/>
      </w:r>
      <w:r w:rsidRPr="00424D5D">
        <w:rPr>
          <w:rFonts w:cs="Arial"/>
        </w:rPr>
        <w:t>(Equation 5-2)</w:t>
      </w:r>
    </w:p>
    <w:p w14:paraId="151CB0A1" w14:textId="7A9DF641" w:rsidR="00C31372" w:rsidRDefault="00C31372" w:rsidP="00C31372">
      <w:pPr>
        <w:spacing w:after="120"/>
        <w:ind w:firstLine="360"/>
        <w:rPr>
          <w:rFonts w:cs="Arial"/>
        </w:rPr>
      </w:pPr>
      <w:r w:rsidRPr="00424D5D">
        <w:rPr>
          <w:rFonts w:cs="Arial"/>
        </w:rPr>
        <w:t>where:</w:t>
      </w:r>
    </w:p>
    <w:p w14:paraId="08B0C312" w14:textId="77777777" w:rsidR="00C31372" w:rsidRPr="0022543F" w:rsidRDefault="00C31372" w:rsidP="00C31372">
      <w:pPr>
        <w:spacing w:after="120"/>
        <w:ind w:firstLine="360"/>
        <w:rPr>
          <w:rFonts w:cs="Arial"/>
          <w:color w:val="000000" w:themeColor="text1"/>
          <w:szCs w:val="24"/>
        </w:rPr>
      </w:pPr>
      <w:r w:rsidRPr="0022543F">
        <w:rPr>
          <w:rFonts w:cs="Arial"/>
          <w:color w:val="000000" w:themeColor="text1"/>
          <w:szCs w:val="24"/>
        </w:rPr>
        <w:t>A</w:t>
      </w:r>
      <w:r w:rsidRPr="0022543F">
        <w:rPr>
          <w:rFonts w:cs="Arial"/>
          <w:color w:val="000000" w:themeColor="text1"/>
          <w:szCs w:val="24"/>
          <w:vertAlign w:val="subscript"/>
        </w:rPr>
        <w:t>a</w:t>
      </w:r>
      <w:r w:rsidRPr="0022543F">
        <w:rPr>
          <w:rFonts w:cs="Arial"/>
          <w:color w:val="000000" w:themeColor="text1"/>
          <w:szCs w:val="24"/>
        </w:rPr>
        <w:t xml:space="preserve"> = Allowable area (square feet).</w:t>
      </w:r>
    </w:p>
    <w:p w14:paraId="00382DF5" w14:textId="77777777" w:rsidR="00C31372" w:rsidRPr="0022543F" w:rsidRDefault="00C31372" w:rsidP="00C31372">
      <w:pPr>
        <w:spacing w:after="120"/>
        <w:ind w:left="990" w:hanging="630"/>
        <w:rPr>
          <w:rFonts w:cs="Arial"/>
          <w:color w:val="000000" w:themeColor="text1"/>
        </w:rPr>
      </w:pPr>
      <w:r w:rsidRPr="0022543F">
        <w:rPr>
          <w:rFonts w:cs="Arial"/>
          <w:color w:val="000000" w:themeColor="text1"/>
          <w:szCs w:val="24"/>
        </w:rPr>
        <w:t>A</w:t>
      </w:r>
      <w:r w:rsidRPr="0022543F">
        <w:rPr>
          <w:rFonts w:cs="Arial"/>
          <w:color w:val="000000" w:themeColor="text1"/>
          <w:szCs w:val="24"/>
          <w:vertAlign w:val="subscript"/>
        </w:rPr>
        <w:t>t</w:t>
      </w:r>
      <w:r w:rsidRPr="0022543F" w:rsidDel="002D3CB7">
        <w:rPr>
          <w:rFonts w:cs="Arial"/>
          <w:color w:val="000000" w:themeColor="text1"/>
          <w:szCs w:val="24"/>
        </w:rPr>
        <w:t xml:space="preserve"> </w:t>
      </w:r>
      <w:r w:rsidRPr="0022543F">
        <w:rPr>
          <w:rFonts w:cs="Arial"/>
          <w:color w:val="000000" w:themeColor="text1"/>
          <w:szCs w:val="24"/>
        </w:rPr>
        <w:t>= Tabular allowable area factor (NS, S1, S13R</w:t>
      </w:r>
      <w:r w:rsidRPr="0022543F">
        <w:rPr>
          <w:rFonts w:cs="Arial"/>
          <w:color w:val="000000" w:themeColor="text1"/>
        </w:rPr>
        <w:t xml:space="preserve"> or S13D value, as applicable) in accordance with </w:t>
      </w:r>
      <w:hyperlink r:id="rId11" w:history="1">
        <w:r w:rsidRPr="0022543F">
          <w:rPr>
            <w:rFonts w:cs="Arial"/>
            <w:color w:val="000000" w:themeColor="text1"/>
          </w:rPr>
          <w:t>Table 506.2</w:t>
        </w:r>
      </w:hyperlink>
      <w:r w:rsidRPr="0022543F">
        <w:rPr>
          <w:rFonts w:cs="Arial"/>
          <w:color w:val="000000" w:themeColor="text1"/>
        </w:rPr>
        <w:t>.</w:t>
      </w:r>
    </w:p>
    <w:p w14:paraId="0647CE20" w14:textId="77777777" w:rsidR="00C31372" w:rsidRPr="0022543F" w:rsidRDefault="00C31372" w:rsidP="00C31372">
      <w:pPr>
        <w:spacing w:after="120"/>
        <w:ind w:left="990" w:hanging="630"/>
        <w:rPr>
          <w:rFonts w:cs="Arial"/>
        </w:rPr>
      </w:pPr>
      <w:r w:rsidRPr="0022543F">
        <w:rPr>
          <w:rFonts w:cs="Arial"/>
          <w:color w:val="000000" w:themeColor="text1"/>
        </w:rPr>
        <w:t>NS = Tabular allowable area factor in accordance with </w:t>
      </w:r>
      <w:hyperlink r:id="rId12" w:history="1">
        <w:r w:rsidRPr="0022543F">
          <w:rPr>
            <w:rFonts w:cs="Arial"/>
            <w:color w:val="000000" w:themeColor="text1"/>
          </w:rPr>
          <w:t>Table 506.2</w:t>
        </w:r>
      </w:hyperlink>
      <w:r w:rsidRPr="0022543F">
        <w:rPr>
          <w:rFonts w:cs="Arial"/>
          <w:color w:val="000000" w:themeColor="text1"/>
        </w:rPr>
        <w:t xml:space="preserve"> for </w:t>
      </w:r>
      <w:r w:rsidRPr="0022543F">
        <w:rPr>
          <w:rFonts w:cs="Arial"/>
        </w:rPr>
        <w:t>nonsprinklered building (regardless of whether the building is sprinklered).</w:t>
      </w:r>
    </w:p>
    <w:p w14:paraId="0BBB44FF" w14:textId="77777777" w:rsidR="00C31372" w:rsidRPr="0022543F" w:rsidRDefault="00C31372" w:rsidP="00C31372">
      <w:pPr>
        <w:spacing w:after="120"/>
        <w:ind w:left="990" w:hanging="630"/>
        <w:rPr>
          <w:rFonts w:cs="Arial"/>
          <w:szCs w:val="24"/>
        </w:rPr>
      </w:pPr>
      <w:r w:rsidRPr="0022543F">
        <w:rPr>
          <w:rFonts w:cs="Arial"/>
          <w:szCs w:val="24"/>
        </w:rPr>
        <w:t>I</w:t>
      </w:r>
      <w:r w:rsidRPr="0022543F">
        <w:rPr>
          <w:rFonts w:cs="Arial"/>
          <w:szCs w:val="24"/>
          <w:vertAlign w:val="subscript"/>
        </w:rPr>
        <w:t>f</w:t>
      </w:r>
      <w:r w:rsidRPr="0022543F" w:rsidDel="00C97EF3">
        <w:rPr>
          <w:rFonts w:cs="Arial"/>
          <w:szCs w:val="24"/>
        </w:rPr>
        <w:t xml:space="preserve"> </w:t>
      </w:r>
      <w:r w:rsidRPr="0022543F">
        <w:rPr>
          <w:rFonts w:cs="Arial"/>
          <w:szCs w:val="24"/>
        </w:rPr>
        <w:t>= Area factor increase due to frontage (percent) as calculated in accordance with </w:t>
      </w:r>
      <w:hyperlink r:id="rId13" w:history="1">
        <w:r w:rsidRPr="0022543F">
          <w:rPr>
            <w:rFonts w:cs="Arial"/>
            <w:szCs w:val="24"/>
          </w:rPr>
          <w:t>Section 506.3</w:t>
        </w:r>
      </w:hyperlink>
      <w:r w:rsidRPr="0022543F">
        <w:rPr>
          <w:rFonts w:cs="Arial"/>
          <w:szCs w:val="24"/>
        </w:rPr>
        <w:t>.</w:t>
      </w:r>
    </w:p>
    <w:p w14:paraId="310B2DEF" w14:textId="2786B3CD" w:rsidR="00C31372" w:rsidRPr="00C31372" w:rsidRDefault="00C31372" w:rsidP="00C31372">
      <w:pPr>
        <w:autoSpaceDE w:val="0"/>
        <w:autoSpaceDN w:val="0"/>
        <w:spacing w:after="120"/>
        <w:ind w:left="360"/>
        <w:rPr>
          <w:rFonts w:ascii="Aptos" w:hAnsi="Aptos"/>
          <w:i/>
          <w:iCs/>
          <w:snapToGrid/>
          <w:szCs w:val="24"/>
        </w:rPr>
      </w:pPr>
      <w:r w:rsidRPr="0022543F">
        <w:rPr>
          <w:szCs w:val="24"/>
        </w:rPr>
        <w:t xml:space="preserve">Sa = 3 </w:t>
      </w:r>
      <w:r w:rsidR="0022543F">
        <w:rPr>
          <w:i/>
          <w:iCs/>
          <w:szCs w:val="24"/>
        </w:rPr>
        <w:t>f</w:t>
      </w:r>
      <w:r w:rsidRPr="00C31372">
        <w:rPr>
          <w:i/>
          <w:iCs/>
          <w:szCs w:val="24"/>
        </w:rPr>
        <w:t xml:space="preserve">or other than Group A, E, H, I, L and R occupancies, high-rise buildings, and other applications listed in Section 1.11 regulated by the Office of the State Fire Marshal, </w:t>
      </w:r>
      <w:r w:rsidRPr="00C31372">
        <w:rPr>
          <w:szCs w:val="24"/>
        </w:rPr>
        <w:t>where the actual</w:t>
      </w:r>
      <w:r w:rsidRPr="00C31372">
        <w:rPr>
          <w:i/>
          <w:iCs/>
          <w:szCs w:val="24"/>
        </w:rPr>
        <w:t xml:space="preserve"> </w:t>
      </w:r>
      <w:r w:rsidRPr="00C31372">
        <w:rPr>
          <w:szCs w:val="24"/>
        </w:rPr>
        <w:t>number of stories above grade plane exceeds three</w:t>
      </w:r>
      <w:r w:rsidR="0022543F">
        <w:rPr>
          <w:szCs w:val="24"/>
        </w:rPr>
        <w:t>.</w:t>
      </w:r>
    </w:p>
    <w:p w14:paraId="2A52A24C" w14:textId="43AA9EBA" w:rsidR="00C31372" w:rsidRPr="0022543F" w:rsidRDefault="00C31372" w:rsidP="00C31372">
      <w:pPr>
        <w:shd w:val="clear" w:color="auto" w:fill="FFFFFF"/>
        <w:spacing w:after="120"/>
        <w:ind w:left="360" w:firstLine="15"/>
        <w:rPr>
          <w:rStyle w:val="italic"/>
          <w:rFonts w:cs="Arial"/>
          <w:i/>
          <w:iCs/>
          <w:szCs w:val="24"/>
        </w:rPr>
      </w:pPr>
      <w:r w:rsidRPr="0022543F">
        <w:rPr>
          <w:rStyle w:val="italic"/>
          <w:rFonts w:cs="Arial"/>
          <w:i/>
          <w:iCs/>
          <w:szCs w:val="24"/>
          <w:u w:val="single"/>
        </w:rPr>
        <w:t>S</w:t>
      </w:r>
      <w:r w:rsidRPr="0022543F">
        <w:rPr>
          <w:rStyle w:val="italic"/>
          <w:rFonts w:cs="Arial"/>
          <w:i/>
          <w:iCs/>
          <w:szCs w:val="24"/>
          <w:u w:val="single"/>
          <w:vertAlign w:val="subscript"/>
        </w:rPr>
        <w:t>a</w:t>
      </w:r>
      <w:r w:rsidRPr="0022543F">
        <w:rPr>
          <w:rFonts w:cs="Arial"/>
          <w:i/>
          <w:iCs/>
          <w:szCs w:val="24"/>
          <w:u w:val="single"/>
        </w:rPr>
        <w:t xml:space="preserve"> = </w:t>
      </w:r>
      <w:r w:rsidRPr="0022543F">
        <w:rPr>
          <w:rFonts w:cs="Arial"/>
          <w:i/>
          <w:iCs/>
          <w:dstrike/>
          <w:szCs w:val="24"/>
          <w:u w:val="single"/>
        </w:rPr>
        <w:t>3</w:t>
      </w:r>
      <w:r w:rsidRPr="0022543F">
        <w:rPr>
          <w:rFonts w:cs="Arial"/>
          <w:i/>
          <w:iCs/>
          <w:szCs w:val="24"/>
        </w:rPr>
        <w:t xml:space="preserve"> </w:t>
      </w:r>
      <w:r w:rsidR="0022543F" w:rsidRPr="0022543F">
        <w:rPr>
          <w:i/>
          <w:iCs/>
        </w:rPr>
        <w:t xml:space="preserve">[start double underline] </w:t>
      </w:r>
      <w:r w:rsidRPr="0022543F">
        <w:rPr>
          <w:rFonts w:cs="Arial"/>
          <w:i/>
          <w:iCs/>
          <w:szCs w:val="24"/>
          <w:u w:val="double"/>
        </w:rPr>
        <w:t>2</w:t>
      </w:r>
      <w:r w:rsidRPr="0022543F">
        <w:rPr>
          <w:rFonts w:cs="Arial"/>
          <w:i/>
          <w:iCs/>
          <w:szCs w:val="24"/>
        </w:rPr>
        <w:t xml:space="preserve"> </w:t>
      </w:r>
      <w:r w:rsidR="0022543F" w:rsidRPr="0022543F">
        <w:rPr>
          <w:i/>
          <w:iCs/>
        </w:rPr>
        <w:t xml:space="preserve">[end double underline] </w:t>
      </w:r>
      <w:r w:rsidR="0022543F" w:rsidRPr="0022543F">
        <w:rPr>
          <w:rFonts w:cs="Arial"/>
          <w:i/>
          <w:iCs/>
          <w:szCs w:val="24"/>
        </w:rPr>
        <w:t>f</w:t>
      </w:r>
      <w:r w:rsidRPr="0022543F">
        <w:rPr>
          <w:rFonts w:cs="Arial"/>
          <w:i/>
          <w:iCs/>
          <w:szCs w:val="24"/>
        </w:rPr>
        <w:t>or Group A, E, H, I, L, and R occupancies, high-rise buildings, and other applications listed in Section 1.11 regulated by the Office of the State Fire Marshal, actual number of building stories above grade plane, not to exceed two.</w:t>
      </w:r>
    </w:p>
    <w:p w14:paraId="3F28FEFC" w14:textId="77777777" w:rsidR="00C31372" w:rsidRDefault="00C31372" w:rsidP="00C31372">
      <w:pPr>
        <w:spacing w:after="120"/>
        <w:ind w:left="360"/>
        <w:rPr>
          <w:rFonts w:cs="Arial"/>
          <w:strike/>
          <w:szCs w:val="24"/>
        </w:rPr>
      </w:pPr>
      <w:r w:rsidRPr="00455DF6">
        <w:rPr>
          <w:rFonts w:cs="Arial"/>
          <w:strike/>
          <w:szCs w:val="24"/>
        </w:rPr>
        <w:t>S</w:t>
      </w:r>
      <w:r w:rsidRPr="00455DF6">
        <w:rPr>
          <w:rFonts w:cs="Arial"/>
          <w:strike/>
          <w:szCs w:val="24"/>
          <w:vertAlign w:val="subscript"/>
        </w:rPr>
        <w:t>a</w:t>
      </w:r>
      <w:r w:rsidRPr="00455DF6">
        <w:rPr>
          <w:rFonts w:cs="Arial"/>
          <w:strike/>
          <w:szCs w:val="24"/>
        </w:rPr>
        <w:t xml:space="preserve"> = 4 where the building is equipped throughout with an automatic sprinkler system Installed in accordance with Section 903.3.1.2.</w:t>
      </w:r>
    </w:p>
    <w:p w14:paraId="717A3B76" w14:textId="222521B3" w:rsidR="0022543F" w:rsidRPr="0022543F" w:rsidRDefault="00C31372" w:rsidP="0022543F">
      <w:pPr>
        <w:spacing w:after="120"/>
        <w:ind w:left="360"/>
        <w:rPr>
          <w:rFonts w:cs="Arial"/>
        </w:rPr>
      </w:pPr>
      <w:r w:rsidRPr="00424D5D">
        <w:rPr>
          <w:rFonts w:cs="Arial"/>
        </w:rPr>
        <w:t>The actual area of any individual floor shall not exceed the allowable area per </w:t>
      </w:r>
      <w:hyperlink r:id="rId14" w:history="1">
        <w:r w:rsidRPr="00424D5D">
          <w:rPr>
            <w:rFonts w:cs="Arial"/>
          </w:rPr>
          <w:t>Equation 5-1</w:t>
        </w:r>
      </w:hyperlink>
      <w:r w:rsidRPr="00424D5D">
        <w:rPr>
          <w:rFonts w:cs="Arial"/>
        </w:rPr>
        <w:t>.</w:t>
      </w:r>
    </w:p>
    <w:p w14:paraId="6F3FCEB5" w14:textId="77777777" w:rsidR="00C31372" w:rsidRPr="00547742" w:rsidRDefault="00C31372" w:rsidP="00C31372">
      <w:pPr>
        <w:spacing w:after="120"/>
        <w:ind w:firstLine="360"/>
        <w:rPr>
          <w:rFonts w:cs="Arial"/>
          <w:b/>
        </w:rPr>
      </w:pPr>
      <w:r w:rsidRPr="00547742">
        <w:rPr>
          <w:rFonts w:cs="Arial"/>
          <w:b/>
        </w:rPr>
        <w:t>506.2.2 Mixed-occupancy buildings.</w:t>
      </w:r>
    </w:p>
    <w:p w14:paraId="6997C3C3" w14:textId="77777777" w:rsidR="0022543F" w:rsidRDefault="0022543F" w:rsidP="0022543F">
      <w:pPr>
        <w:spacing w:after="120"/>
        <w:ind w:left="360"/>
        <w:rPr>
          <w:rFonts w:cs="Arial"/>
        </w:rPr>
      </w:pPr>
      <w:r>
        <w:rPr>
          <w:rFonts w:cs="Arial"/>
        </w:rPr>
        <w:t>…</w:t>
      </w:r>
    </w:p>
    <w:p w14:paraId="7693E0D4" w14:textId="7E443573" w:rsidR="0022543F" w:rsidRDefault="0022543F" w:rsidP="0022543F">
      <w:pPr>
        <w:spacing w:after="240"/>
        <w:ind w:left="360"/>
        <w:rPr>
          <w:rFonts w:cs="Arial"/>
        </w:rPr>
      </w:pPr>
      <w:r>
        <w:rPr>
          <w:rFonts w:cs="Arial"/>
        </w:rPr>
        <w:t>[</w:t>
      </w:r>
      <w:r w:rsidRPr="00C31372">
        <w:rPr>
          <w:rFonts w:cs="Arial"/>
        </w:rPr>
        <w:t xml:space="preserve">No addendum changes proposed in </w:t>
      </w:r>
      <w:r>
        <w:rPr>
          <w:rFonts w:cs="Arial"/>
        </w:rPr>
        <w:t>Section 506.2.2</w:t>
      </w:r>
      <w:r w:rsidRPr="00C31372">
        <w:rPr>
          <w:rFonts w:cs="Arial"/>
        </w:rPr>
        <w:t>.</w:t>
      </w:r>
      <w:r>
        <w:rPr>
          <w:rFonts w:cs="Arial"/>
        </w:rPr>
        <w:t>]</w:t>
      </w:r>
    </w:p>
    <w:p w14:paraId="072BAFCA" w14:textId="7D4E09B4" w:rsidR="00C31372" w:rsidRPr="0005536C" w:rsidRDefault="00C31372" w:rsidP="00C31372">
      <w:pPr>
        <w:spacing w:after="120"/>
        <w:rPr>
          <w:rFonts w:cs="Arial"/>
          <w:highlight w:val="lightGray"/>
        </w:rPr>
      </w:pPr>
      <w:r w:rsidRPr="00E80166">
        <w:rPr>
          <w:rFonts w:cs="Arial"/>
          <w:b/>
        </w:rPr>
        <w:t>Rationale:</w:t>
      </w:r>
      <w:r w:rsidRPr="00E80166">
        <w:rPr>
          <w:rFonts w:cs="Arial"/>
        </w:rPr>
        <w:t xml:space="preserve"> </w:t>
      </w:r>
      <w:r w:rsidR="00AF2AED" w:rsidRPr="0005536C">
        <w:rPr>
          <w:rFonts w:cs="Arial"/>
        </w:rPr>
        <w:t xml:space="preserve">When OSFM adopted the ICC model codes as the base code, the first CBC using the ICC model code was the 2007 CBC. Since then, the ICC model code allows a three-multiplier, and for OSFM-regulated buildings and structures, the allowable multiplier is two. This was explained in the 2007 ISOR and has been carried since. Due to subsequent ICC model code revisions, the California amendment </w:t>
      </w:r>
      <w:r w:rsidR="0005536C" w:rsidRPr="0005536C">
        <w:rPr>
          <w:rFonts w:cs="Arial"/>
        </w:rPr>
        <w:t>was</w:t>
      </w:r>
      <w:r w:rsidR="00AF2AED" w:rsidRPr="0005536C">
        <w:rPr>
          <w:rFonts w:cs="Arial"/>
        </w:rPr>
        <w:t xml:space="preserve"> not published correctly to maintain the original intent. </w:t>
      </w:r>
    </w:p>
    <w:p w14:paraId="63A3FF48" w14:textId="33B9EF4A" w:rsidR="00767766" w:rsidRPr="00E80166" w:rsidRDefault="00767766" w:rsidP="00C31372">
      <w:pPr>
        <w:spacing w:after="120"/>
        <w:rPr>
          <w:rFonts w:cs="Arial"/>
        </w:rPr>
      </w:pPr>
      <w:r w:rsidRPr="00E80166">
        <w:rPr>
          <w:rFonts w:cs="Arial"/>
          <w:b/>
        </w:rPr>
        <w:t>Notation:</w:t>
      </w:r>
    </w:p>
    <w:p w14:paraId="34138837" w14:textId="77777777" w:rsidR="00C31372" w:rsidRPr="00455DF6" w:rsidRDefault="00C31372" w:rsidP="00C31372">
      <w:pPr>
        <w:spacing w:after="120"/>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C5D85D0" w14:textId="77777777" w:rsidR="00C31372" w:rsidRDefault="00C31372" w:rsidP="00C31372">
      <w:pPr>
        <w:spacing w:after="120"/>
        <w:rPr>
          <w:rFonts w:cs="Arial"/>
          <w:szCs w:val="24"/>
        </w:rPr>
      </w:pPr>
      <w:r w:rsidRPr="00455DF6">
        <w:rPr>
          <w:rFonts w:cs="Arial"/>
        </w:rPr>
        <w:t xml:space="preserve">Reference(s): </w:t>
      </w:r>
      <w:r w:rsidRPr="00455DF6">
        <w:rPr>
          <w:rFonts w:cs="Arial"/>
          <w:szCs w:val="24"/>
        </w:rPr>
        <w:t xml:space="preserve">Health and Safety Code Sections 13108, 13108.5, 13113, 13113.5, 13114, 13132, 13132.7, 13133, 13135, 13143, 13143.1, 13143.2, 13143.6, 13143.9, </w:t>
      </w:r>
      <w:r w:rsidRPr="00455DF6">
        <w:rPr>
          <w:rFonts w:cs="Arial"/>
          <w:szCs w:val="24"/>
        </w:rPr>
        <w:lastRenderedPageBreak/>
        <w:t>13145, 13146, 13210, 13211, 16022.5, 17921.</w:t>
      </w:r>
    </w:p>
    <w:p w14:paraId="6A6BC14C" w14:textId="70FB12F4" w:rsidR="005233E0" w:rsidRPr="0005536C" w:rsidRDefault="00C31372" w:rsidP="0005536C">
      <w:pPr>
        <w:pStyle w:val="Default"/>
        <w:spacing w:after="120"/>
      </w:pPr>
      <w:r w:rsidRPr="00E80166">
        <w:rPr>
          <w:color w:val="auto"/>
        </w:rPr>
        <w:t>The State Fire Marshal</w:t>
      </w:r>
      <w:r w:rsidRPr="00F94C2F">
        <w:t xml:space="preserve"> requests the </w:t>
      </w:r>
      <w:r>
        <w:t xml:space="preserve">Commission </w:t>
      </w:r>
      <w:r w:rsidRPr="00F94C2F">
        <w:t xml:space="preserve">to </w:t>
      </w:r>
      <w:r>
        <w:t>a</w:t>
      </w:r>
      <w:r w:rsidRPr="00F94C2F">
        <w:t xml:space="preserve">pprove this item as </w:t>
      </w:r>
      <w:r>
        <w:t>a</w:t>
      </w:r>
      <w:r w:rsidRPr="00F94C2F">
        <w:t>mended, in order to satisfy</w:t>
      </w:r>
      <w:r>
        <w:t xml:space="preserve"> </w:t>
      </w:r>
      <w:r w:rsidRPr="00F94C2F">
        <w:t xml:space="preserve">Health and Safety Code </w:t>
      </w:r>
      <w:r>
        <w:t xml:space="preserve">Section(s) </w:t>
      </w:r>
      <w:r w:rsidRPr="00F94C2F">
        <w:rPr>
          <w:b/>
          <w:bCs/>
        </w:rPr>
        <w:t>18930(a)(</w:t>
      </w:r>
      <w:r w:rsidR="0005536C">
        <w:rPr>
          <w:b/>
          <w:bCs/>
        </w:rPr>
        <w:t>2</w:t>
      </w:r>
      <w:r w:rsidRPr="00F94C2F">
        <w:rPr>
          <w:b/>
          <w:bCs/>
        </w:rPr>
        <w:t>)</w:t>
      </w:r>
      <w:r w:rsidR="0005536C">
        <w:rPr>
          <w:b/>
          <w:bCs/>
        </w:rPr>
        <w:t>:</w:t>
      </w:r>
      <w:r w:rsidR="005233E0" w:rsidRPr="0005536C">
        <w:rPr>
          <w:bCs/>
          <w:i/>
        </w:rPr>
        <w:t>The proposed building standards are within the parameters established by enabling legislation and are not expressly within the exclusive jurisdiction of another agency.</w:t>
      </w:r>
    </w:p>
    <w:p w14:paraId="3EAB996B" w14:textId="77777777" w:rsidR="005233E0" w:rsidRPr="00340C9E" w:rsidRDefault="005233E0" w:rsidP="006226DF">
      <w:pPr>
        <w:pStyle w:val="Default"/>
        <w:spacing w:after="120"/>
      </w:pPr>
    </w:p>
    <w:sectPr w:rsidR="005233E0" w:rsidRPr="00340C9E" w:rsidSect="007C04EF">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D10EE" w14:textId="77777777" w:rsidR="002A2660" w:rsidRDefault="002A2660">
      <w:r>
        <w:separator/>
      </w:r>
    </w:p>
  </w:endnote>
  <w:endnote w:type="continuationSeparator" w:id="0">
    <w:p w14:paraId="1EB7A58A" w14:textId="77777777" w:rsidR="002A2660" w:rsidRDefault="002A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0DE4283D"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AB0642">
      <w:t>February 2</w:t>
    </w:r>
    <w:r w:rsidR="006226DF">
      <w:t>5</w:t>
    </w:r>
    <w:r w:rsidR="00AB0642">
      <w:t>, 2025</w:t>
    </w:r>
  </w:p>
  <w:p w14:paraId="723451C6" w14:textId="56452B68" w:rsidR="001A4A03" w:rsidRDefault="00AB0642" w:rsidP="007C04EF">
    <w:pPr>
      <w:pStyle w:val="Footer"/>
      <w:tabs>
        <w:tab w:val="clear" w:pos="4320"/>
        <w:tab w:val="clear" w:pos="8640"/>
        <w:tab w:val="center" w:pos="5040"/>
        <w:tab w:val="right" w:pos="9180"/>
      </w:tabs>
      <w:rPr>
        <w:szCs w:val="16"/>
      </w:rPr>
    </w:pPr>
    <w:r>
      <w:rPr>
        <w:szCs w:val="16"/>
      </w:rPr>
      <w:t>SFM 0</w:t>
    </w:r>
    <w:r w:rsidR="006226DF">
      <w:rPr>
        <w:szCs w:val="16"/>
      </w:rPr>
      <w:t>4</w:t>
    </w:r>
    <w:r>
      <w:rPr>
        <w:szCs w:val="16"/>
      </w:rPr>
      <w:t>/24</w:t>
    </w:r>
    <w:r w:rsidR="000F6D3A">
      <w:rPr>
        <w:szCs w:val="16"/>
      </w:rPr>
      <w:t xml:space="preserve"> </w:t>
    </w:r>
    <w:r w:rsidR="001A4A03">
      <w:rPr>
        <w:szCs w:val="16"/>
      </w:rPr>
      <w:t>- Part</w:t>
    </w:r>
    <w:r w:rsidR="00A0189B">
      <w:rPr>
        <w:szCs w:val="16"/>
      </w:rPr>
      <w:t xml:space="preserve"> </w:t>
    </w:r>
    <w:r w:rsidR="006226DF">
      <w:rPr>
        <w:szCs w:val="16"/>
      </w:rPr>
      <w:t>2</w:t>
    </w:r>
    <w:r w:rsidR="001A4A03">
      <w:rPr>
        <w:szCs w:val="16"/>
      </w:rPr>
      <w:t xml:space="preserve"> -</w:t>
    </w:r>
    <w:r w:rsidR="00A0189B">
      <w:rPr>
        <w:szCs w:val="16"/>
      </w:rPr>
      <w:t xml:space="preserve"> </w:t>
    </w:r>
    <w:r>
      <w:rPr>
        <w:szCs w:val="16"/>
      </w:rPr>
      <w:t>2024</w:t>
    </w:r>
    <w:r w:rsidR="00A0189B">
      <w:rPr>
        <w:szCs w:val="16"/>
      </w:rPr>
      <w:t xml:space="preserve"> Triennial</w:t>
    </w:r>
    <w:r>
      <w:rPr>
        <w:szCs w:val="16"/>
      </w:rPr>
      <w:t xml:space="preserve"> </w:t>
    </w:r>
    <w:r w:rsidR="001A4A03">
      <w:rPr>
        <w:szCs w:val="16"/>
      </w:rPr>
      <w:t>Code 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p>
  <w:p w14:paraId="5C321276" w14:textId="5227A468" w:rsidR="001A4A03" w:rsidRDefault="00AB0642"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C252A" w14:textId="77777777" w:rsidR="002A2660" w:rsidRDefault="002A2660">
      <w:r>
        <w:separator/>
      </w:r>
    </w:p>
  </w:footnote>
  <w:footnote w:type="continuationSeparator" w:id="0">
    <w:p w14:paraId="55D510E1" w14:textId="77777777" w:rsidR="002A2660" w:rsidRDefault="002A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969D7"/>
    <w:multiLevelType w:val="hybridMultilevel"/>
    <w:tmpl w:val="E368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64676"/>
    <w:multiLevelType w:val="hybridMultilevel"/>
    <w:tmpl w:val="12F81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4A48DD"/>
    <w:multiLevelType w:val="hybridMultilevel"/>
    <w:tmpl w:val="12F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F3F1B"/>
    <w:multiLevelType w:val="hybridMultilevel"/>
    <w:tmpl w:val="6280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C113E"/>
    <w:multiLevelType w:val="hybridMultilevel"/>
    <w:tmpl w:val="5D260B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5"/>
  </w:num>
  <w:num w:numId="2" w16cid:durableId="1612780394">
    <w:abstractNumId w:val="18"/>
  </w:num>
  <w:num w:numId="3" w16cid:durableId="1689604008">
    <w:abstractNumId w:val="19"/>
  </w:num>
  <w:num w:numId="4" w16cid:durableId="301006860">
    <w:abstractNumId w:val="14"/>
  </w:num>
  <w:num w:numId="5" w16cid:durableId="652176935">
    <w:abstractNumId w:val="16"/>
  </w:num>
  <w:num w:numId="6" w16cid:durableId="1743602988">
    <w:abstractNumId w:val="20"/>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256203783">
    <w:abstractNumId w:val="12"/>
  </w:num>
  <w:num w:numId="38" w16cid:durableId="1624657225">
    <w:abstractNumId w:val="11"/>
  </w:num>
  <w:num w:numId="39" w16cid:durableId="1655139590">
    <w:abstractNumId w:val="17"/>
  </w:num>
  <w:num w:numId="40" w16cid:durableId="1255629092">
    <w:abstractNumId w:val="10"/>
  </w:num>
  <w:num w:numId="41" w16cid:durableId="1258833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5536C"/>
    <w:rsid w:val="00066735"/>
    <w:rsid w:val="00066EDB"/>
    <w:rsid w:val="00072D5F"/>
    <w:rsid w:val="000B33E0"/>
    <w:rsid w:val="000C5682"/>
    <w:rsid w:val="000C7383"/>
    <w:rsid w:val="000E24B4"/>
    <w:rsid w:val="000F2EEE"/>
    <w:rsid w:val="000F6D3A"/>
    <w:rsid w:val="00123F82"/>
    <w:rsid w:val="001362F4"/>
    <w:rsid w:val="0017531B"/>
    <w:rsid w:val="00175449"/>
    <w:rsid w:val="001845B6"/>
    <w:rsid w:val="001A4A03"/>
    <w:rsid w:val="001D5566"/>
    <w:rsid w:val="001D6710"/>
    <w:rsid w:val="001E12EE"/>
    <w:rsid w:val="001E635B"/>
    <w:rsid w:val="0021663A"/>
    <w:rsid w:val="0022543F"/>
    <w:rsid w:val="00234A84"/>
    <w:rsid w:val="00235B37"/>
    <w:rsid w:val="002367DC"/>
    <w:rsid w:val="002A0905"/>
    <w:rsid w:val="002A2660"/>
    <w:rsid w:val="002D3F86"/>
    <w:rsid w:val="002D5E4A"/>
    <w:rsid w:val="002E5D83"/>
    <w:rsid w:val="0030639B"/>
    <w:rsid w:val="003324BE"/>
    <w:rsid w:val="00340C9E"/>
    <w:rsid w:val="00347D13"/>
    <w:rsid w:val="00373C34"/>
    <w:rsid w:val="0037506B"/>
    <w:rsid w:val="00381B75"/>
    <w:rsid w:val="00391B17"/>
    <w:rsid w:val="003942B6"/>
    <w:rsid w:val="003C0185"/>
    <w:rsid w:val="003D46A3"/>
    <w:rsid w:val="003E1AB0"/>
    <w:rsid w:val="00433E49"/>
    <w:rsid w:val="0044593B"/>
    <w:rsid w:val="004A53C6"/>
    <w:rsid w:val="004B2AB9"/>
    <w:rsid w:val="004B48D5"/>
    <w:rsid w:val="004C48A0"/>
    <w:rsid w:val="004D5616"/>
    <w:rsid w:val="004F62AE"/>
    <w:rsid w:val="00500C1B"/>
    <w:rsid w:val="00502AB4"/>
    <w:rsid w:val="005233E0"/>
    <w:rsid w:val="00551989"/>
    <w:rsid w:val="00563190"/>
    <w:rsid w:val="00583511"/>
    <w:rsid w:val="005933E2"/>
    <w:rsid w:val="005B5184"/>
    <w:rsid w:val="005D2DCC"/>
    <w:rsid w:val="005E162F"/>
    <w:rsid w:val="005E1E47"/>
    <w:rsid w:val="005E3DB7"/>
    <w:rsid w:val="005F1F14"/>
    <w:rsid w:val="005F696F"/>
    <w:rsid w:val="00607FED"/>
    <w:rsid w:val="0061175B"/>
    <w:rsid w:val="006169B9"/>
    <w:rsid w:val="006226DF"/>
    <w:rsid w:val="00631F79"/>
    <w:rsid w:val="006721FC"/>
    <w:rsid w:val="00675E1D"/>
    <w:rsid w:val="006A0F7E"/>
    <w:rsid w:val="006B6EA2"/>
    <w:rsid w:val="006B747C"/>
    <w:rsid w:val="006C0483"/>
    <w:rsid w:val="006F30A0"/>
    <w:rsid w:val="00711AEC"/>
    <w:rsid w:val="007416F3"/>
    <w:rsid w:val="007556D6"/>
    <w:rsid w:val="00767766"/>
    <w:rsid w:val="00776FA8"/>
    <w:rsid w:val="00786248"/>
    <w:rsid w:val="007915D5"/>
    <w:rsid w:val="007A674B"/>
    <w:rsid w:val="007C04EF"/>
    <w:rsid w:val="007C4832"/>
    <w:rsid w:val="007E6A6C"/>
    <w:rsid w:val="0081299A"/>
    <w:rsid w:val="008344C2"/>
    <w:rsid w:val="00862625"/>
    <w:rsid w:val="00874876"/>
    <w:rsid w:val="008A2AC5"/>
    <w:rsid w:val="008A3DD5"/>
    <w:rsid w:val="008A63C7"/>
    <w:rsid w:val="008E36A8"/>
    <w:rsid w:val="00923E68"/>
    <w:rsid w:val="00926738"/>
    <w:rsid w:val="0092735E"/>
    <w:rsid w:val="00933897"/>
    <w:rsid w:val="009462E9"/>
    <w:rsid w:val="0097270C"/>
    <w:rsid w:val="00995899"/>
    <w:rsid w:val="009A693A"/>
    <w:rsid w:val="009D096D"/>
    <w:rsid w:val="009D10AD"/>
    <w:rsid w:val="009E0E79"/>
    <w:rsid w:val="009E6B12"/>
    <w:rsid w:val="009F6F50"/>
    <w:rsid w:val="00A0189B"/>
    <w:rsid w:val="00A0210C"/>
    <w:rsid w:val="00A07EE6"/>
    <w:rsid w:val="00A134E5"/>
    <w:rsid w:val="00A138AA"/>
    <w:rsid w:val="00A60CA1"/>
    <w:rsid w:val="00A63EF9"/>
    <w:rsid w:val="00A813A1"/>
    <w:rsid w:val="00AB0642"/>
    <w:rsid w:val="00AC1F10"/>
    <w:rsid w:val="00AD2E7E"/>
    <w:rsid w:val="00AF2AED"/>
    <w:rsid w:val="00AF4D10"/>
    <w:rsid w:val="00AF4E96"/>
    <w:rsid w:val="00B105EC"/>
    <w:rsid w:val="00B106A5"/>
    <w:rsid w:val="00B12576"/>
    <w:rsid w:val="00B20605"/>
    <w:rsid w:val="00B32DEE"/>
    <w:rsid w:val="00B424F1"/>
    <w:rsid w:val="00B435D5"/>
    <w:rsid w:val="00B53C67"/>
    <w:rsid w:val="00BC22EC"/>
    <w:rsid w:val="00BC5F10"/>
    <w:rsid w:val="00BD2110"/>
    <w:rsid w:val="00BF3E81"/>
    <w:rsid w:val="00C037AF"/>
    <w:rsid w:val="00C07231"/>
    <w:rsid w:val="00C31372"/>
    <w:rsid w:val="00C36475"/>
    <w:rsid w:val="00C44C36"/>
    <w:rsid w:val="00C63563"/>
    <w:rsid w:val="00C6643B"/>
    <w:rsid w:val="00C67B72"/>
    <w:rsid w:val="00CB69CE"/>
    <w:rsid w:val="00CE7A25"/>
    <w:rsid w:val="00CF2161"/>
    <w:rsid w:val="00CF3372"/>
    <w:rsid w:val="00D04B58"/>
    <w:rsid w:val="00D0634D"/>
    <w:rsid w:val="00D104F0"/>
    <w:rsid w:val="00D13D82"/>
    <w:rsid w:val="00D30882"/>
    <w:rsid w:val="00D43B9F"/>
    <w:rsid w:val="00D66FA5"/>
    <w:rsid w:val="00D67CC8"/>
    <w:rsid w:val="00D77DF0"/>
    <w:rsid w:val="00D91AE2"/>
    <w:rsid w:val="00DB2E73"/>
    <w:rsid w:val="00DD05D6"/>
    <w:rsid w:val="00DD1947"/>
    <w:rsid w:val="00DF24CF"/>
    <w:rsid w:val="00E016BA"/>
    <w:rsid w:val="00E22041"/>
    <w:rsid w:val="00E30909"/>
    <w:rsid w:val="00E3628E"/>
    <w:rsid w:val="00E3790F"/>
    <w:rsid w:val="00E45D23"/>
    <w:rsid w:val="00E5214A"/>
    <w:rsid w:val="00E53D35"/>
    <w:rsid w:val="00E80166"/>
    <w:rsid w:val="00EA1267"/>
    <w:rsid w:val="00EA55B4"/>
    <w:rsid w:val="00EC0A76"/>
    <w:rsid w:val="00EC1406"/>
    <w:rsid w:val="00EC6301"/>
    <w:rsid w:val="00ED27E1"/>
    <w:rsid w:val="00EF26E2"/>
    <w:rsid w:val="00F152F2"/>
    <w:rsid w:val="00F17139"/>
    <w:rsid w:val="00F22CD9"/>
    <w:rsid w:val="00F22ED6"/>
    <w:rsid w:val="00F768B4"/>
    <w:rsid w:val="00F8731C"/>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AB06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paragraph" w:styleId="NormalWeb">
    <w:name w:val="Normal (Web)"/>
    <w:basedOn w:val="Normal"/>
    <w:uiPriority w:val="99"/>
    <w:unhideWhenUsed/>
    <w:rsid w:val="00500C1B"/>
    <w:pPr>
      <w:widowControl/>
      <w:spacing w:before="100" w:beforeAutospacing="1" w:after="100" w:afterAutospacing="1"/>
    </w:pPr>
    <w:rPr>
      <w:rFonts w:ascii="Times New Roman" w:hAnsi="Times New Roman"/>
      <w:snapToGrid/>
      <w:szCs w:val="24"/>
    </w:rPr>
  </w:style>
  <w:style w:type="character" w:customStyle="1" w:styleId="sectionnumber">
    <w:name w:val="section_number"/>
    <w:basedOn w:val="DefaultParagraphFont"/>
    <w:rsid w:val="00500C1B"/>
  </w:style>
  <w:style w:type="character" w:customStyle="1" w:styleId="level2title">
    <w:name w:val="level2_title"/>
    <w:basedOn w:val="DefaultParagraphFont"/>
    <w:rsid w:val="00500C1B"/>
  </w:style>
  <w:style w:type="character" w:customStyle="1" w:styleId="Heading4Char">
    <w:name w:val="Heading 4 Char"/>
    <w:basedOn w:val="DefaultParagraphFont"/>
    <w:link w:val="Heading4"/>
    <w:semiHidden/>
    <w:rsid w:val="00AB0642"/>
    <w:rPr>
      <w:rFonts w:asciiTheme="majorHAnsi" w:eastAsiaTheme="majorEastAsia" w:hAnsiTheme="majorHAnsi" w:cstheme="majorBidi"/>
      <w:i/>
      <w:iCs/>
      <w:snapToGrid w:val="0"/>
      <w:color w:val="365F91" w:themeColor="accent1" w:themeShade="BF"/>
      <w:sz w:val="24"/>
    </w:rPr>
  </w:style>
  <w:style w:type="paragraph" w:styleId="Quote">
    <w:name w:val="Quote"/>
    <w:basedOn w:val="Normal"/>
    <w:next w:val="Normal"/>
    <w:link w:val="QuoteChar"/>
    <w:uiPriority w:val="29"/>
    <w:qFormat/>
    <w:rsid w:val="00AB0642"/>
    <w:pPr>
      <w:widowControl/>
      <w:spacing w:after="120"/>
    </w:pPr>
    <w:rPr>
      <w:b/>
      <w:iCs/>
      <w:snapToGrid/>
      <w:color w:val="000000" w:themeColor="text1"/>
      <w:szCs w:val="24"/>
    </w:rPr>
  </w:style>
  <w:style w:type="character" w:customStyle="1" w:styleId="QuoteChar">
    <w:name w:val="Quote Char"/>
    <w:basedOn w:val="DefaultParagraphFont"/>
    <w:link w:val="Quote"/>
    <w:uiPriority w:val="29"/>
    <w:rsid w:val="00AB0642"/>
    <w:rPr>
      <w:rFonts w:ascii="Arial" w:hAnsi="Arial"/>
      <w:b/>
      <w:iCs/>
      <w:color w:val="000000" w:themeColor="text1"/>
      <w:sz w:val="24"/>
      <w:szCs w:val="24"/>
    </w:rPr>
  </w:style>
  <w:style w:type="character" w:customStyle="1" w:styleId="italic">
    <w:name w:val="italic"/>
    <w:basedOn w:val="DefaultParagraphFont"/>
    <w:rsid w:val="00C3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371423813">
      <w:bodyDiv w:val="1"/>
      <w:marLeft w:val="0"/>
      <w:marRight w:val="0"/>
      <w:marTop w:val="0"/>
      <w:marBottom w:val="0"/>
      <w:divBdr>
        <w:top w:val="none" w:sz="0" w:space="0" w:color="auto"/>
        <w:left w:val="none" w:sz="0" w:space="0" w:color="auto"/>
        <w:bottom w:val="none" w:sz="0" w:space="0" w:color="auto"/>
        <w:right w:val="none" w:sz="0" w:space="0" w:color="auto"/>
      </w:divBdr>
    </w:div>
    <w:div w:id="936476231">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432433002">
      <w:bodyDiv w:val="1"/>
      <w:marLeft w:val="0"/>
      <w:marRight w:val="0"/>
      <w:marTop w:val="0"/>
      <w:marBottom w:val="0"/>
      <w:divBdr>
        <w:top w:val="none" w:sz="0" w:space="0" w:color="auto"/>
        <w:left w:val="none" w:sz="0" w:space="0" w:color="auto"/>
        <w:bottom w:val="none" w:sz="0" w:space="0" w:color="auto"/>
        <w:right w:val="none" w:sz="0" w:space="0" w:color="auto"/>
      </w:divBdr>
    </w:div>
    <w:div w:id="14460774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690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BC2022P3_Ch05_Sec506.3/338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es.iccsafe.org/lookup/CABC2022P3_Ch05_Sec506.2_Tbl506.2/338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BC2022P3_Ch05_Sec506.2_Tbl506.2/338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BC2022P3_Ch05_Sec506.2.1_Eqn5_1/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3AEFCEFD54C4FB107977978D3785B" ma:contentTypeVersion="5" ma:contentTypeDescription="Create a new document." ma:contentTypeScope="" ma:versionID="9b90cc6f9bb0cf651e6eb85cdd67c1a1">
  <xsd:schema xmlns:xsd="http://www.w3.org/2001/XMLSchema" xmlns:xs="http://www.w3.org/2001/XMLSchema" xmlns:p="http://schemas.microsoft.com/office/2006/metadata/properties" xmlns:ns2="da8dd360-30e2-4c4c-81ef-6e8e43b5e4f0" xmlns:ns3="82071710-83e2-4871-b606-0004f14e9c40" targetNamespace="http://schemas.microsoft.com/office/2006/metadata/properties" ma:root="true" ma:fieldsID="09ebea6a3080b9ee94a796c19f065ef9" ns2:_="" ns3:_="">
    <xsd:import namespace="da8dd360-30e2-4c4c-81ef-6e8e43b5e4f0"/>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d360-30e2-4c4c-81ef-6e8e43b5e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DF563-7646-473D-A8AD-6A75C3C1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d360-30e2-4c4c-81ef-6e8e43b5e4f0"/>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3.xml><?xml version="1.0" encoding="utf-8"?>
<ds:datastoreItem xmlns:ds="http://schemas.openxmlformats.org/officeDocument/2006/customXml" ds:itemID="{FC9A6027-77B7-4E28-A788-F117B4D505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SFM 08-24 Addendum FET_PT7</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04-24 Addendum FET_PT2</dc:title>
  <dc:creator>CBSC</dc:creator>
  <cp:lastModifiedBy>Brauzman, Irina@DGS</cp:lastModifiedBy>
  <cp:revision>9</cp:revision>
  <cp:lastPrinted>2020-05-13T17:58:00Z</cp:lastPrinted>
  <dcterms:created xsi:type="dcterms:W3CDTF">2025-02-25T01:15:00Z</dcterms:created>
  <dcterms:modified xsi:type="dcterms:W3CDTF">2025-02-25T21:31:00Z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0x0101005DF3AEFCEFD54C4FB107977978D3785B</vt:lpwstr>
  </property>
  <property fmtid="{D5CDD505-2E9C-101B-9397-08002B2CF9AE}" pid="3" name="GrammarlyDocumentId">
    <vt:lpwstr>ca17aea23ede04b6f30e900c667b9e0b7b233348f41e083ceec3a0de47885d5e</vt:lpwstr>
  </property>
</Properties>
</file>