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CC0D" w14:textId="43126A84" w:rsidR="00A23DA3" w:rsidRPr="000560B2" w:rsidRDefault="00A23DA3" w:rsidP="002858DF">
      <w:pPr>
        <w:pStyle w:val="Heading1"/>
        <w:spacing w:before="120" w:after="120"/>
        <w:jc w:val="center"/>
        <w:rPr>
          <w:rFonts w:cs="Arial"/>
        </w:rPr>
      </w:pPr>
      <w:r w:rsidRPr="000560B2">
        <w:rPr>
          <w:rFonts w:cs="Arial"/>
        </w:rPr>
        <w:t>INITIAL STATEMENT OF REASONS</w:t>
      </w:r>
      <w:r w:rsidR="009B40E8" w:rsidRPr="000560B2">
        <w:rPr>
          <w:rFonts w:cs="Arial"/>
        </w:rPr>
        <w:br/>
      </w:r>
      <w:r w:rsidRPr="000560B2">
        <w:rPr>
          <w:rFonts w:cs="Arial"/>
        </w:rPr>
        <w:t>FOR</w:t>
      </w:r>
      <w:r w:rsidR="00154D19" w:rsidRPr="000560B2">
        <w:rPr>
          <w:rFonts w:cs="Arial"/>
        </w:rPr>
        <w:t xml:space="preserve"> </w:t>
      </w:r>
      <w:r w:rsidRPr="000560B2">
        <w:rPr>
          <w:rFonts w:cs="Arial"/>
        </w:rPr>
        <w:t>PROPOSED BUILDING STANDARDS</w:t>
      </w:r>
      <w:r w:rsidR="00194C5C" w:rsidRPr="000560B2">
        <w:rPr>
          <w:rFonts w:cs="Arial"/>
        </w:rPr>
        <w:br/>
      </w:r>
      <w:r w:rsidRPr="000560B2">
        <w:rPr>
          <w:rFonts w:cs="Arial"/>
        </w:rPr>
        <w:t>OF THE</w:t>
      </w:r>
      <w:r w:rsidR="00154D19" w:rsidRPr="000560B2">
        <w:rPr>
          <w:rFonts w:cs="Arial"/>
        </w:rPr>
        <w:t xml:space="preserve"> </w:t>
      </w:r>
      <w:r w:rsidR="00B4111A">
        <w:rPr>
          <w:rFonts w:cs="Arial"/>
        </w:rPr>
        <w:t>DIVISION OF THE STATE ARCHITECT</w:t>
      </w:r>
      <w:r w:rsidR="00953053" w:rsidRPr="000560B2">
        <w:rPr>
          <w:rFonts w:cs="Arial"/>
        </w:rPr>
        <w:br/>
      </w:r>
      <w:r w:rsidRPr="000560B2">
        <w:rPr>
          <w:rFonts w:cs="Arial"/>
        </w:rPr>
        <w:t xml:space="preserve">REGARDING THE </w:t>
      </w:r>
      <w:r w:rsidR="00B4111A">
        <w:rPr>
          <w:rFonts w:cs="Arial"/>
        </w:rPr>
        <w:t>2025 CALIFORNIA ELECTRICAL CODE</w:t>
      </w:r>
      <w:r w:rsidR="002858DF">
        <w:rPr>
          <w:rFonts w:cs="Arial"/>
        </w:rPr>
        <w:br/>
      </w:r>
      <w:r w:rsidRPr="000560B2">
        <w:rPr>
          <w:rFonts w:cs="Arial"/>
        </w:rPr>
        <w:t>CALIFORNIA CODE OF REGULATIONS,</w:t>
      </w:r>
      <w:r w:rsidR="00796EC6" w:rsidRPr="000560B2">
        <w:rPr>
          <w:rFonts w:cs="Arial"/>
        </w:rPr>
        <w:t xml:space="preserve"> </w:t>
      </w:r>
      <w:r w:rsidRPr="000560B2">
        <w:rPr>
          <w:rFonts w:cs="Arial"/>
        </w:rPr>
        <w:t xml:space="preserve">TITLE 24, PART </w:t>
      </w:r>
      <w:r w:rsidR="00B4111A">
        <w:rPr>
          <w:rFonts w:cs="Arial"/>
          <w:noProof/>
        </w:rPr>
        <w:t>3</w:t>
      </w:r>
      <w:r w:rsidR="002858DF">
        <w:rPr>
          <w:rFonts w:cs="Arial"/>
          <w:noProof/>
        </w:rPr>
        <w:br/>
      </w:r>
      <w:r w:rsidR="008714C7" w:rsidRPr="000560B2">
        <w:rPr>
          <w:rFonts w:cs="Arial"/>
        </w:rPr>
        <w:t>(</w:t>
      </w:r>
      <w:r w:rsidR="00B4111A">
        <w:rPr>
          <w:rFonts w:cs="Arial"/>
        </w:rPr>
        <w:t>DSA</w:t>
      </w:r>
      <w:r w:rsidR="00D8304C">
        <w:rPr>
          <w:rFonts w:cs="Arial"/>
        </w:rPr>
        <w:t>-</w:t>
      </w:r>
      <w:r w:rsidR="00B4111A">
        <w:rPr>
          <w:rFonts w:cs="Arial"/>
        </w:rPr>
        <w:t xml:space="preserve">SS </w:t>
      </w:r>
      <w:r w:rsidR="007D015D">
        <w:rPr>
          <w:rFonts w:cs="Arial"/>
        </w:rPr>
        <w:t>01</w:t>
      </w:r>
      <w:r w:rsidR="00B4111A">
        <w:rPr>
          <w:rFonts w:cs="Arial"/>
        </w:rPr>
        <w:t>/</w:t>
      </w:r>
      <w:r w:rsidR="007D015D">
        <w:rPr>
          <w:rFonts w:cs="Arial"/>
        </w:rPr>
        <w:t>23</w:t>
      </w:r>
      <w:r w:rsidR="008714C7" w:rsidRPr="000560B2">
        <w:rPr>
          <w:rFonts w:cs="Arial"/>
        </w:rPr>
        <w:t>)</w:t>
      </w:r>
    </w:p>
    <w:p w14:paraId="7945F034" w14:textId="77777777" w:rsidR="00A23DA3" w:rsidRPr="000560B2" w:rsidRDefault="00A23DA3" w:rsidP="00194C5C">
      <w:pPr>
        <w:spacing w:before="120"/>
        <w:rPr>
          <w:rFonts w:cs="Arial"/>
        </w:rPr>
      </w:pPr>
      <w:r w:rsidRPr="000560B2">
        <w:rPr>
          <w:rFonts w:cs="Arial"/>
        </w:rPr>
        <w:t>The Administrative Procedure Act (APA) requires that an Initial Statement of Reasons be available to the public upon request when rulemaking action is being undertaken. The following information required by the APA pertains to this particular rulemaking action:</w:t>
      </w:r>
    </w:p>
    <w:p w14:paraId="0B1CE0CC" w14:textId="77777777" w:rsidR="00A23DA3" w:rsidRPr="000560B2" w:rsidRDefault="00A23DA3" w:rsidP="002858DF">
      <w:pPr>
        <w:pStyle w:val="Heading2"/>
      </w:pPr>
      <w:r w:rsidRPr="000560B2">
        <w:t>STATEMENT OF SPECIFIC</w:t>
      </w:r>
      <w:r w:rsidR="00383163" w:rsidRPr="000560B2">
        <w:t xml:space="preserve"> </w:t>
      </w:r>
      <w:r w:rsidR="009F4C5C" w:rsidRPr="000560B2">
        <w:t>PURPOSE,</w:t>
      </w:r>
      <w:r w:rsidRPr="000560B2">
        <w:t xml:space="preserve"> </w:t>
      </w:r>
      <w:r w:rsidR="009F4C5C" w:rsidRPr="000560B2">
        <w:t xml:space="preserve">PROBLEM, </w:t>
      </w:r>
      <w:r w:rsidRPr="000560B2">
        <w:t>RATIONALE</w:t>
      </w:r>
      <w:r w:rsidR="009F4C5C" w:rsidRPr="000560B2">
        <w:t xml:space="preserve"> and BENEFITS</w:t>
      </w:r>
    </w:p>
    <w:p w14:paraId="6DE8A6C8" w14:textId="743D022B" w:rsidR="00A23DA3" w:rsidRDefault="00A23DA3" w:rsidP="00194C5C">
      <w:pPr>
        <w:widowControl/>
        <w:rPr>
          <w:rFonts w:cs="Arial"/>
          <w:szCs w:val="24"/>
        </w:rPr>
      </w:pPr>
      <w:r w:rsidRPr="000560B2">
        <w:rPr>
          <w:rFonts w:cs="Arial"/>
          <w:szCs w:val="24"/>
        </w:rPr>
        <w:t>Government Code Section 11346.2</w:t>
      </w:r>
      <w:r w:rsidR="00135F2F" w:rsidRPr="000560B2">
        <w:rPr>
          <w:rFonts w:cs="Arial"/>
          <w:szCs w:val="24"/>
        </w:rPr>
        <w:t>(b)(1)</w:t>
      </w:r>
      <w:r w:rsidRPr="000560B2">
        <w:rPr>
          <w:rFonts w:cs="Arial"/>
          <w:szCs w:val="24"/>
        </w:rPr>
        <w:t xml:space="preserve"> requires a statement of specific purpose of </w:t>
      </w:r>
      <w:r w:rsidR="00E7437B" w:rsidRPr="000560B2">
        <w:rPr>
          <w:rFonts w:cs="Arial"/>
          <w:bCs/>
          <w:szCs w:val="24"/>
        </w:rPr>
        <w:t>each</w:t>
      </w:r>
      <w:r w:rsidRPr="000560B2">
        <w:rPr>
          <w:rFonts w:cs="Arial"/>
          <w:szCs w:val="24"/>
        </w:rPr>
        <w:t xml:space="preserve"> adoption, amendment, or repeal</w:t>
      </w:r>
      <w:r w:rsidR="00383163" w:rsidRPr="000560B2">
        <w:rPr>
          <w:rFonts w:cs="Arial"/>
          <w:szCs w:val="24"/>
        </w:rPr>
        <w:t xml:space="preserve"> and the problem the agency intends to address</w:t>
      </w:r>
      <w:r w:rsidRPr="000560B2">
        <w:rPr>
          <w:rFonts w:cs="Arial"/>
          <w:szCs w:val="24"/>
        </w:rPr>
        <w:t xml:space="preserve"> and the rational</w:t>
      </w:r>
      <w:r w:rsidR="00383163" w:rsidRPr="000560B2">
        <w:rPr>
          <w:rFonts w:cs="Arial"/>
          <w:szCs w:val="24"/>
        </w:rPr>
        <w:t>e</w:t>
      </w:r>
      <w:r w:rsidRPr="000560B2">
        <w:rPr>
          <w:rFonts w:cs="Arial"/>
          <w:szCs w:val="24"/>
        </w:rPr>
        <w:t xml:space="preserve"> </w:t>
      </w:r>
      <w:r w:rsidR="00383163" w:rsidRPr="000560B2">
        <w:rPr>
          <w:rFonts w:cs="Arial"/>
          <w:szCs w:val="24"/>
        </w:rPr>
        <w:t xml:space="preserve">for </w:t>
      </w:r>
      <w:r w:rsidRPr="000560B2">
        <w:rPr>
          <w:rFonts w:cs="Arial"/>
          <w:szCs w:val="24"/>
        </w:rPr>
        <w:t xml:space="preserve">the determination by the agency that </w:t>
      </w:r>
      <w:r w:rsidR="00E7437B" w:rsidRPr="000560B2">
        <w:rPr>
          <w:rFonts w:cs="Arial"/>
          <w:szCs w:val="24"/>
        </w:rPr>
        <w:t>each</w:t>
      </w:r>
      <w:r w:rsidRPr="000560B2">
        <w:rPr>
          <w:rFonts w:cs="Arial"/>
          <w:szCs w:val="24"/>
        </w:rPr>
        <w:t xml:space="preserve"> adoption, amendment, or repeal is reasonably necessary to carry out the purpose </w:t>
      </w:r>
      <w:r w:rsidR="00383163" w:rsidRPr="000560B2">
        <w:rPr>
          <w:rFonts w:cs="Arial"/>
          <w:szCs w:val="24"/>
        </w:rPr>
        <w:t xml:space="preserve">and address the problem </w:t>
      </w:r>
      <w:r w:rsidRPr="000560B2">
        <w:rPr>
          <w:rFonts w:cs="Arial"/>
          <w:szCs w:val="24"/>
        </w:rPr>
        <w:t>for which it is proposed.</w:t>
      </w:r>
      <w:r w:rsidR="00383163" w:rsidRPr="000560B2">
        <w:rPr>
          <w:rFonts w:cs="Arial"/>
          <w:szCs w:val="24"/>
        </w:rPr>
        <w:t xml:space="preserve"> The statement shall enumerate the benefits </w:t>
      </w:r>
      <w:r w:rsidR="009F4C5C" w:rsidRPr="000560B2">
        <w:rPr>
          <w:rFonts w:cs="Arial"/>
          <w:szCs w:val="24"/>
        </w:rPr>
        <w:t>anticipated from the regulatory action, including the benefits or goals provided in the authorizing statute.</w:t>
      </w:r>
    </w:p>
    <w:p w14:paraId="2687E782" w14:textId="60B59A1D" w:rsidR="00BC37CC" w:rsidRPr="004A3B86" w:rsidRDefault="00BC37CC" w:rsidP="005F4E2B">
      <w:pPr>
        <w:pStyle w:val="Default"/>
        <w:spacing w:after="120"/>
        <w:rPr>
          <w:snapToGrid w:val="0"/>
          <w:color w:val="auto"/>
        </w:rPr>
      </w:pPr>
      <w:r w:rsidRPr="004A3B86">
        <w:rPr>
          <w:snapToGrid w:val="0"/>
          <w:color w:val="auto"/>
        </w:rPr>
        <w:t xml:space="preserve">The Division of the State Architect </w:t>
      </w:r>
      <w:r w:rsidR="006F52F8" w:rsidRPr="0078554B">
        <w:t>– Structural Safety</w:t>
      </w:r>
      <w:r w:rsidR="006F52F8" w:rsidRPr="004A3B86">
        <w:rPr>
          <w:snapToGrid w:val="0"/>
          <w:color w:val="auto"/>
        </w:rPr>
        <w:t xml:space="preserve"> </w:t>
      </w:r>
      <w:r w:rsidRPr="004A3B86">
        <w:rPr>
          <w:snapToGrid w:val="0"/>
          <w:color w:val="auto"/>
        </w:rPr>
        <w:t>(DSA</w:t>
      </w:r>
      <w:r w:rsidR="006F52F8">
        <w:rPr>
          <w:snapToGrid w:val="0"/>
          <w:color w:val="auto"/>
        </w:rPr>
        <w:t>-SS</w:t>
      </w:r>
      <w:r w:rsidRPr="004A3B86">
        <w:rPr>
          <w:snapToGrid w:val="0"/>
          <w:color w:val="auto"/>
        </w:rPr>
        <w:t>) proposes to repeal the 20</w:t>
      </w:r>
      <w:r w:rsidR="009E7DDA" w:rsidRPr="004A3B86">
        <w:rPr>
          <w:snapToGrid w:val="0"/>
          <w:color w:val="auto"/>
        </w:rPr>
        <w:t>2</w:t>
      </w:r>
      <w:r w:rsidR="001640AF" w:rsidRPr="004A3B86">
        <w:rPr>
          <w:snapToGrid w:val="0"/>
          <w:color w:val="auto"/>
        </w:rPr>
        <w:t>0</w:t>
      </w:r>
      <w:r w:rsidRPr="004A3B86">
        <w:rPr>
          <w:snapToGrid w:val="0"/>
          <w:color w:val="auto"/>
        </w:rPr>
        <w:t xml:space="preserve"> edition of the National Electrical Code (NEC) and adopt the 202</w:t>
      </w:r>
      <w:r w:rsidR="001640AF" w:rsidRPr="004A3B86">
        <w:rPr>
          <w:snapToGrid w:val="0"/>
          <w:color w:val="auto"/>
        </w:rPr>
        <w:t>3</w:t>
      </w:r>
      <w:r w:rsidRPr="004A3B86">
        <w:rPr>
          <w:snapToGrid w:val="0"/>
          <w:color w:val="auto"/>
        </w:rPr>
        <w:t xml:space="preserve"> edition of the </w:t>
      </w:r>
      <w:r w:rsidR="00B85D86" w:rsidRPr="004A3B86">
        <w:rPr>
          <w:snapToGrid w:val="0"/>
          <w:color w:val="auto"/>
        </w:rPr>
        <w:t>N</w:t>
      </w:r>
      <w:r w:rsidR="002554D3" w:rsidRPr="004A3B86">
        <w:rPr>
          <w:snapToGrid w:val="0"/>
          <w:color w:val="auto"/>
        </w:rPr>
        <w:t>EC</w:t>
      </w:r>
      <w:r w:rsidR="00481B05" w:rsidRPr="004A3B86">
        <w:rPr>
          <w:snapToGrid w:val="0"/>
          <w:color w:val="auto"/>
        </w:rPr>
        <w:t>,</w:t>
      </w:r>
      <w:r w:rsidRPr="004A3B86">
        <w:rPr>
          <w:snapToGrid w:val="0"/>
          <w:color w:val="auto"/>
        </w:rPr>
        <w:t xml:space="preserve"> published by the National Fire Protection Association</w:t>
      </w:r>
      <w:r w:rsidR="00481B05" w:rsidRPr="004A3B86">
        <w:rPr>
          <w:snapToGrid w:val="0"/>
          <w:color w:val="auto"/>
        </w:rPr>
        <w:t>,</w:t>
      </w:r>
      <w:r w:rsidRPr="004A3B86">
        <w:rPr>
          <w:snapToGrid w:val="0"/>
          <w:color w:val="auto"/>
        </w:rPr>
        <w:t xml:space="preserve"> for codification and effectiveness as the 202</w:t>
      </w:r>
      <w:r w:rsidR="00CE3875" w:rsidRPr="004A3B86">
        <w:rPr>
          <w:snapToGrid w:val="0"/>
          <w:color w:val="auto"/>
        </w:rPr>
        <w:t>5</w:t>
      </w:r>
      <w:r w:rsidRPr="004A3B86">
        <w:rPr>
          <w:snapToGrid w:val="0"/>
          <w:color w:val="auto"/>
        </w:rPr>
        <w:t xml:space="preserve"> </w:t>
      </w:r>
      <w:r w:rsidR="002F0361" w:rsidRPr="004A3B86">
        <w:rPr>
          <w:snapToGrid w:val="0"/>
          <w:color w:val="auto"/>
        </w:rPr>
        <w:t>California Electric Code (</w:t>
      </w:r>
      <w:r w:rsidR="008D563C" w:rsidRPr="004A3B86">
        <w:rPr>
          <w:snapToGrid w:val="0"/>
          <w:color w:val="auto"/>
        </w:rPr>
        <w:t>CEC</w:t>
      </w:r>
      <w:r w:rsidR="002F0361" w:rsidRPr="004A3B86">
        <w:rPr>
          <w:snapToGrid w:val="0"/>
          <w:color w:val="auto"/>
        </w:rPr>
        <w:t>)</w:t>
      </w:r>
      <w:r w:rsidRPr="004A3B86">
        <w:rPr>
          <w:snapToGrid w:val="0"/>
          <w:color w:val="auto"/>
        </w:rPr>
        <w:t>. DSA</w:t>
      </w:r>
      <w:r w:rsidR="007C73C0">
        <w:rPr>
          <w:snapToGrid w:val="0"/>
          <w:color w:val="auto"/>
        </w:rPr>
        <w:t>-SS</w:t>
      </w:r>
      <w:r w:rsidRPr="004A3B86">
        <w:rPr>
          <w:snapToGrid w:val="0"/>
          <w:color w:val="auto"/>
        </w:rPr>
        <w:t xml:space="preserve"> proposes this action in order to comply with state law requiring state agencies to adopt the latest edition model code within one year of the publication date. </w:t>
      </w:r>
    </w:p>
    <w:p w14:paraId="1C251607" w14:textId="6713B144" w:rsidR="00BC37CC" w:rsidRPr="0078554B" w:rsidRDefault="00BC37CC" w:rsidP="005F4E2B">
      <w:pPr>
        <w:widowControl/>
        <w:rPr>
          <w:rFonts w:cs="Arial"/>
          <w:szCs w:val="24"/>
        </w:rPr>
      </w:pPr>
      <w:r w:rsidRPr="0078554B">
        <w:rPr>
          <w:rFonts w:cs="Arial"/>
          <w:szCs w:val="24"/>
        </w:rPr>
        <w:t>Building standards proposed by DSA-SS for adoption would be applicable to public elementary and secondary schools, community colleges, and state-owned or state-leased essential services buildings.</w:t>
      </w:r>
    </w:p>
    <w:p w14:paraId="2242AF56" w14:textId="4855F463" w:rsidR="0078554B" w:rsidRPr="0078554B" w:rsidRDefault="0078554B" w:rsidP="0078554B">
      <w:pPr>
        <w:widowControl/>
        <w:rPr>
          <w:rFonts w:cs="Arial"/>
          <w:szCs w:val="24"/>
        </w:rPr>
      </w:pPr>
      <w:r w:rsidRPr="0078554B">
        <w:rPr>
          <w:rFonts w:cs="Arial"/>
          <w:szCs w:val="24"/>
        </w:rPr>
        <w:t>No new amendments to the 202</w:t>
      </w:r>
      <w:r w:rsidR="00930DC6">
        <w:rPr>
          <w:rFonts w:cs="Arial"/>
          <w:szCs w:val="24"/>
        </w:rPr>
        <w:t>3</w:t>
      </w:r>
      <w:r w:rsidRPr="0078554B">
        <w:rPr>
          <w:rFonts w:cs="Arial"/>
          <w:szCs w:val="24"/>
        </w:rPr>
        <w:t xml:space="preserve"> edition NEC are being proposed by DSA-SS</w:t>
      </w:r>
      <w:r w:rsidR="00F44034">
        <w:rPr>
          <w:rFonts w:cs="Arial"/>
          <w:szCs w:val="24"/>
        </w:rPr>
        <w:t xml:space="preserve">. </w:t>
      </w:r>
      <w:r w:rsidR="00F44034">
        <w:t>DSA</w:t>
      </w:r>
      <w:r w:rsidR="008B36D8">
        <w:t>-SS</w:t>
      </w:r>
      <w:r w:rsidR="00F44034">
        <w:t xml:space="preserve"> proposes to carry forward existing California amendments from the 2022 CEC into the 2025 CEC.</w:t>
      </w:r>
    </w:p>
    <w:p w14:paraId="72A5B777" w14:textId="734D351B" w:rsidR="0078554B" w:rsidRDefault="0078554B" w:rsidP="0078554B">
      <w:pPr>
        <w:widowControl/>
        <w:rPr>
          <w:rFonts w:cs="Arial"/>
          <w:szCs w:val="24"/>
        </w:rPr>
      </w:pPr>
      <w:r w:rsidRPr="0078554B">
        <w:rPr>
          <w:rFonts w:cs="Arial"/>
          <w:szCs w:val="24"/>
        </w:rPr>
        <w:t>State administrative amendments contained in CEC Article 89 are being continued with editorial changes proposed as noted below.</w:t>
      </w:r>
    </w:p>
    <w:p w14:paraId="5B78E21F" w14:textId="14079B6C" w:rsidR="00B4111A" w:rsidRPr="000560B2" w:rsidRDefault="00B4111A" w:rsidP="00B4111A">
      <w:pPr>
        <w:pStyle w:val="Heading3"/>
        <w:rPr>
          <w:bCs/>
        </w:rPr>
      </w:pPr>
      <w:r w:rsidRPr="000560B2">
        <w:rPr>
          <w:bCs/>
        </w:rPr>
        <w:t xml:space="preserve">ITEM </w:t>
      </w:r>
      <w:r>
        <w:rPr>
          <w:noProof/>
        </w:rPr>
        <w:t>1</w:t>
      </w:r>
      <w:r w:rsidRPr="000560B2">
        <w:rPr>
          <w:noProof/>
        </w:rPr>
        <w:br/>
      </w:r>
      <w:r>
        <w:rPr>
          <w:noProof/>
        </w:rPr>
        <w:t xml:space="preserve">California </w:t>
      </w:r>
      <w:r w:rsidR="00E80F9D">
        <w:rPr>
          <w:noProof/>
        </w:rPr>
        <w:t xml:space="preserve">Electric Code </w:t>
      </w:r>
      <w:r>
        <w:rPr>
          <w:noProof/>
        </w:rPr>
        <w:t>Article 89 General Code Provisions</w:t>
      </w:r>
    </w:p>
    <w:p w14:paraId="4787B054" w14:textId="4A551D76" w:rsidR="00B4111A" w:rsidRPr="00063424" w:rsidRDefault="00B4111A" w:rsidP="00B4111A">
      <w:pPr>
        <w:spacing w:before="120" w:after="240"/>
        <w:ind w:left="360"/>
        <w:rPr>
          <w:rFonts w:cs="Arial"/>
          <w:szCs w:val="24"/>
        </w:rPr>
      </w:pPr>
      <w:r w:rsidRPr="00063424">
        <w:rPr>
          <w:rFonts w:cs="Arial"/>
          <w:szCs w:val="24"/>
        </w:rPr>
        <w:t xml:space="preserve">Continue </w:t>
      </w:r>
      <w:r w:rsidR="006E18BB">
        <w:rPr>
          <w:rFonts w:cs="Arial"/>
          <w:szCs w:val="24"/>
        </w:rPr>
        <w:t xml:space="preserve">adoption of </w:t>
      </w:r>
      <w:r w:rsidR="008D563C">
        <w:rPr>
          <w:sz w:val="23"/>
          <w:szCs w:val="23"/>
        </w:rPr>
        <w:t>CEC</w:t>
      </w:r>
      <w:r w:rsidRPr="00063424">
        <w:rPr>
          <w:rFonts w:cs="Arial"/>
          <w:szCs w:val="24"/>
        </w:rPr>
        <w:t xml:space="preserve"> Article 89 (General Code Provisions) of the 2022 triennial edition of the CEC for publication in the 202</w:t>
      </w:r>
      <w:r w:rsidR="000319AF">
        <w:rPr>
          <w:rFonts w:cs="Arial"/>
          <w:szCs w:val="24"/>
        </w:rPr>
        <w:t>5</w:t>
      </w:r>
      <w:r w:rsidRPr="00063424">
        <w:rPr>
          <w:rFonts w:cs="Arial"/>
          <w:szCs w:val="24"/>
        </w:rPr>
        <w:t xml:space="preserve"> triennial edition of the CEC, with editorial amendments as shown below:</w:t>
      </w:r>
    </w:p>
    <w:p w14:paraId="3B846407" w14:textId="73B67726" w:rsidR="00B4111A" w:rsidRPr="00AE73A5" w:rsidRDefault="00B4111A" w:rsidP="00B4111A">
      <w:pPr>
        <w:widowControl/>
        <w:spacing w:after="240"/>
        <w:jc w:val="both"/>
        <w:rPr>
          <w:rFonts w:cs="Arial"/>
          <w:szCs w:val="24"/>
        </w:rPr>
      </w:pPr>
      <w:r w:rsidRPr="000714DD">
        <w:rPr>
          <w:rFonts w:cs="Arial"/>
          <w:b/>
          <w:szCs w:val="24"/>
        </w:rPr>
        <w:t xml:space="preserve">Section 89.101.1 </w:t>
      </w:r>
      <w:r w:rsidRPr="004D544C">
        <w:rPr>
          <w:rFonts w:cs="Arial"/>
          <w:b/>
          <w:szCs w:val="24"/>
        </w:rPr>
        <w:t>(Title)</w:t>
      </w:r>
      <w:r w:rsidRPr="004D544C">
        <w:rPr>
          <w:rFonts w:cs="Arial"/>
          <w:szCs w:val="24"/>
        </w:rPr>
        <w:t xml:space="preserve"> </w:t>
      </w:r>
      <w:r w:rsidR="007D015D">
        <w:rPr>
          <w:rFonts w:cs="Arial"/>
          <w:szCs w:val="24"/>
        </w:rPr>
        <w:t>–</w:t>
      </w:r>
      <w:r w:rsidRPr="004D544C">
        <w:rPr>
          <w:rFonts w:cs="Arial"/>
          <w:szCs w:val="24"/>
        </w:rPr>
        <w:t xml:space="preserve"> Editorial</w:t>
      </w:r>
      <w:r w:rsidRPr="000714DD">
        <w:rPr>
          <w:rFonts w:cs="Arial"/>
          <w:szCs w:val="24"/>
        </w:rPr>
        <w:t xml:space="preserve"> amendment to bring up-to-date reference to the 20</w:t>
      </w:r>
      <w:r>
        <w:rPr>
          <w:rFonts w:cs="Arial"/>
          <w:szCs w:val="24"/>
        </w:rPr>
        <w:t>23</w:t>
      </w:r>
      <w:r w:rsidRPr="000714DD">
        <w:rPr>
          <w:rFonts w:cs="Arial"/>
          <w:szCs w:val="24"/>
        </w:rPr>
        <w:t xml:space="preserve"> NEC by deleting reference to the 20</w:t>
      </w:r>
      <w:r>
        <w:rPr>
          <w:rFonts w:cs="Arial"/>
          <w:szCs w:val="24"/>
        </w:rPr>
        <w:t>20</w:t>
      </w:r>
      <w:r w:rsidRPr="000714DD">
        <w:rPr>
          <w:rFonts w:cs="Arial"/>
          <w:szCs w:val="24"/>
        </w:rPr>
        <w:t xml:space="preserve"> NEC and replacing with 20</w:t>
      </w:r>
      <w:r>
        <w:rPr>
          <w:rFonts w:cs="Arial"/>
          <w:szCs w:val="24"/>
        </w:rPr>
        <w:t>23</w:t>
      </w:r>
      <w:r w:rsidRPr="000714DD">
        <w:rPr>
          <w:rFonts w:cs="Arial"/>
          <w:szCs w:val="24"/>
        </w:rPr>
        <w:t xml:space="preserve"> NEC.</w:t>
      </w:r>
    </w:p>
    <w:p w14:paraId="60FE2E64" w14:textId="77777777" w:rsidR="00B4111A" w:rsidRPr="000560B2" w:rsidRDefault="00B4111A" w:rsidP="00B4111A">
      <w:pPr>
        <w:pStyle w:val="Heading4"/>
      </w:pPr>
      <w:r w:rsidRPr="000560B2">
        <w:t>CAC Recommendation (if applicable):</w:t>
      </w:r>
    </w:p>
    <w:p w14:paraId="1246A7F8"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3BA68F50" w14:textId="77777777" w:rsidR="00B4111A" w:rsidRPr="000560B2" w:rsidRDefault="00B4111A" w:rsidP="00B4111A">
      <w:pPr>
        <w:pStyle w:val="Heading4"/>
      </w:pPr>
      <w:r w:rsidRPr="000560B2">
        <w:lastRenderedPageBreak/>
        <w:t>Agency Response:</w:t>
      </w:r>
    </w:p>
    <w:p w14:paraId="7FD4CF11" w14:textId="77777777" w:rsidR="00B4111A"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2218CBAB" w14:textId="77777777" w:rsidR="00B4111A" w:rsidRDefault="00B4111A" w:rsidP="00B4111A">
      <w:pPr>
        <w:widowControl/>
        <w:spacing w:before="120"/>
        <w:ind w:left="360"/>
        <w:rPr>
          <w:rFonts w:cs="Arial"/>
          <w:szCs w:val="24"/>
        </w:rPr>
      </w:pPr>
    </w:p>
    <w:p w14:paraId="2C4A28C7" w14:textId="77777777" w:rsidR="00B4111A" w:rsidRPr="000560B2" w:rsidRDefault="00B4111A" w:rsidP="00B4111A">
      <w:pPr>
        <w:pStyle w:val="Heading3"/>
        <w:rPr>
          <w:bCs/>
        </w:rPr>
      </w:pPr>
      <w:r w:rsidRPr="000560B2">
        <w:rPr>
          <w:bCs/>
        </w:rPr>
        <w:t xml:space="preserve">ITEM </w:t>
      </w:r>
      <w:r>
        <w:rPr>
          <w:noProof/>
        </w:rPr>
        <w:t>2</w:t>
      </w:r>
      <w:r w:rsidRPr="000560B2">
        <w:rPr>
          <w:noProof/>
        </w:rPr>
        <w:br/>
      </w:r>
      <w:r>
        <w:rPr>
          <w:noProof/>
        </w:rPr>
        <w:t>Article 90</w:t>
      </w:r>
      <w:r w:rsidRPr="000560B2">
        <w:rPr>
          <w:noProof/>
        </w:rPr>
        <w:t>,</w:t>
      </w:r>
      <w:r w:rsidRPr="000560B2">
        <w:rPr>
          <w:bCs/>
        </w:rPr>
        <w:t xml:space="preserve"> </w:t>
      </w:r>
      <w:r>
        <w:rPr>
          <w:bCs/>
        </w:rPr>
        <w:t>Introduction</w:t>
      </w:r>
    </w:p>
    <w:p w14:paraId="340B22F9" w14:textId="77777777" w:rsidR="00B4111A" w:rsidRPr="000560B2" w:rsidRDefault="00B4111A" w:rsidP="00B4111A">
      <w:pPr>
        <w:widowControl/>
        <w:spacing w:before="120"/>
        <w:rPr>
          <w:rFonts w:cs="Arial"/>
          <w:szCs w:val="24"/>
        </w:rPr>
      </w:pPr>
      <w:r w:rsidRPr="00AE73A5">
        <w:rPr>
          <w:rFonts w:cs="Arial"/>
          <w:szCs w:val="24"/>
        </w:rPr>
        <w:t>DSA proposes to adopt article 90 of the 202</w:t>
      </w:r>
      <w:r>
        <w:rPr>
          <w:rFonts w:cs="Arial"/>
          <w:szCs w:val="24"/>
        </w:rPr>
        <w:t>3</w:t>
      </w:r>
      <w:r w:rsidRPr="00AE73A5">
        <w:rPr>
          <w:rFonts w:cs="Arial"/>
          <w:szCs w:val="24"/>
        </w:rPr>
        <w:t xml:space="preserve"> NEC, without amendment.</w:t>
      </w:r>
    </w:p>
    <w:p w14:paraId="2A498BA4" w14:textId="77777777" w:rsidR="00B4111A" w:rsidRPr="000560B2" w:rsidRDefault="00B4111A" w:rsidP="00B4111A">
      <w:pPr>
        <w:pStyle w:val="Heading4"/>
      </w:pPr>
      <w:r w:rsidRPr="000560B2">
        <w:t>CAC Recommendation (if applicable):</w:t>
      </w:r>
    </w:p>
    <w:p w14:paraId="627EDC9B"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37E211D5" w14:textId="77777777" w:rsidR="00B4111A" w:rsidRPr="000560B2" w:rsidRDefault="00B4111A" w:rsidP="00B4111A">
      <w:pPr>
        <w:pStyle w:val="Heading4"/>
      </w:pPr>
      <w:r w:rsidRPr="000560B2">
        <w:t>Agency Response:</w:t>
      </w:r>
    </w:p>
    <w:p w14:paraId="76D2E4F4" w14:textId="77777777" w:rsidR="00B4111A"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13A656E9" w14:textId="77777777" w:rsidR="00B4111A" w:rsidRPr="000560B2" w:rsidRDefault="00B4111A" w:rsidP="00B4111A">
      <w:pPr>
        <w:widowControl/>
        <w:spacing w:before="120"/>
        <w:ind w:left="360"/>
        <w:rPr>
          <w:rFonts w:cs="Arial"/>
          <w:szCs w:val="24"/>
        </w:rPr>
      </w:pPr>
    </w:p>
    <w:p w14:paraId="6F60DC44" w14:textId="77777777" w:rsidR="00B4111A" w:rsidRPr="000560B2" w:rsidRDefault="00B4111A" w:rsidP="00B4111A">
      <w:pPr>
        <w:pStyle w:val="Heading3"/>
        <w:rPr>
          <w:bCs/>
        </w:rPr>
      </w:pPr>
      <w:r w:rsidRPr="000560B2">
        <w:rPr>
          <w:bCs/>
        </w:rPr>
        <w:t xml:space="preserve">ITEM </w:t>
      </w:r>
      <w:r>
        <w:rPr>
          <w:noProof/>
        </w:rPr>
        <w:t>3</w:t>
      </w:r>
      <w:r w:rsidRPr="000560B2">
        <w:rPr>
          <w:noProof/>
        </w:rPr>
        <w:br/>
      </w:r>
      <w:r w:rsidRPr="000560B2">
        <w:rPr>
          <w:bCs/>
        </w:rPr>
        <w:t xml:space="preserve">Chapter </w:t>
      </w:r>
      <w:r>
        <w:rPr>
          <w:noProof/>
        </w:rPr>
        <w:t>1</w:t>
      </w:r>
      <w:r w:rsidRPr="000560B2">
        <w:rPr>
          <w:noProof/>
        </w:rPr>
        <w:t>,</w:t>
      </w:r>
      <w:r w:rsidRPr="000560B2">
        <w:rPr>
          <w:bCs/>
        </w:rPr>
        <w:t xml:space="preserve"> </w:t>
      </w:r>
      <w:r>
        <w:rPr>
          <w:bCs/>
        </w:rPr>
        <w:t>General</w:t>
      </w:r>
    </w:p>
    <w:p w14:paraId="71EF22AC" w14:textId="77777777" w:rsidR="00B4111A" w:rsidRPr="000560B2" w:rsidRDefault="00B4111A" w:rsidP="00B4111A">
      <w:pPr>
        <w:widowControl/>
        <w:spacing w:before="120"/>
        <w:rPr>
          <w:rFonts w:cs="Arial"/>
          <w:szCs w:val="24"/>
        </w:rPr>
      </w:pPr>
      <w:r w:rsidRPr="00AE73A5">
        <w:rPr>
          <w:rFonts w:cs="Arial"/>
          <w:szCs w:val="24"/>
        </w:rPr>
        <w:t>DSA proposes to adopt Chapter 1 of the 20</w:t>
      </w:r>
      <w:r>
        <w:rPr>
          <w:rFonts w:cs="Arial"/>
          <w:szCs w:val="24"/>
        </w:rPr>
        <w:t>23</w:t>
      </w:r>
      <w:r w:rsidRPr="00AE73A5">
        <w:rPr>
          <w:rFonts w:cs="Arial"/>
          <w:szCs w:val="24"/>
        </w:rPr>
        <w:t xml:space="preserve"> NEC</w:t>
      </w:r>
      <w:r w:rsidRPr="00063424">
        <w:rPr>
          <w:rFonts w:cs="Arial"/>
          <w:szCs w:val="24"/>
        </w:rPr>
        <w:t xml:space="preserve"> without</w:t>
      </w:r>
      <w:r w:rsidRPr="00AE73A5">
        <w:rPr>
          <w:rFonts w:cs="Arial"/>
          <w:szCs w:val="24"/>
        </w:rPr>
        <w:t xml:space="preserve"> amendment</w:t>
      </w:r>
      <w:r>
        <w:rPr>
          <w:rFonts w:cs="Arial"/>
          <w:szCs w:val="24"/>
        </w:rPr>
        <w:t>.</w:t>
      </w:r>
    </w:p>
    <w:p w14:paraId="7E1217FE" w14:textId="77777777" w:rsidR="00B4111A" w:rsidRPr="000560B2" w:rsidRDefault="00B4111A" w:rsidP="00B4111A">
      <w:pPr>
        <w:pStyle w:val="Heading4"/>
      </w:pPr>
      <w:r w:rsidRPr="000560B2">
        <w:t>CAC Recommendation (if applicable):</w:t>
      </w:r>
    </w:p>
    <w:p w14:paraId="172F60B0"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0F9D0BB1" w14:textId="77777777" w:rsidR="00B4111A" w:rsidRPr="000560B2" w:rsidRDefault="00B4111A" w:rsidP="00B4111A">
      <w:pPr>
        <w:pStyle w:val="Heading4"/>
      </w:pPr>
      <w:r w:rsidRPr="000560B2">
        <w:t>Agency Response:</w:t>
      </w:r>
    </w:p>
    <w:p w14:paraId="16D65148" w14:textId="77777777" w:rsidR="00B4111A"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36F8F1AD" w14:textId="77777777" w:rsidR="00B4111A" w:rsidRPr="000560B2" w:rsidRDefault="00B4111A" w:rsidP="00B4111A">
      <w:pPr>
        <w:widowControl/>
        <w:spacing w:before="120"/>
        <w:ind w:left="360"/>
        <w:rPr>
          <w:rFonts w:cs="Arial"/>
          <w:szCs w:val="24"/>
        </w:rPr>
      </w:pPr>
    </w:p>
    <w:p w14:paraId="075C4E5F" w14:textId="77777777" w:rsidR="00B4111A" w:rsidRPr="00063424" w:rsidRDefault="00B4111A" w:rsidP="00B4111A">
      <w:pPr>
        <w:pStyle w:val="Heading3"/>
      </w:pPr>
      <w:r w:rsidRPr="000560B2">
        <w:rPr>
          <w:bCs/>
        </w:rPr>
        <w:t xml:space="preserve">ITEM </w:t>
      </w:r>
      <w:r>
        <w:rPr>
          <w:noProof/>
        </w:rPr>
        <w:t>4</w:t>
      </w:r>
      <w:r w:rsidRPr="000560B2">
        <w:rPr>
          <w:noProof/>
        </w:rPr>
        <w:br/>
      </w:r>
      <w:r w:rsidRPr="00684E31">
        <w:t xml:space="preserve">Chapter </w:t>
      </w:r>
      <w:r w:rsidRPr="00684E31">
        <w:rPr>
          <w:noProof/>
        </w:rPr>
        <w:t>2,</w:t>
      </w:r>
      <w:r w:rsidRPr="00684E31">
        <w:t xml:space="preserve"> Wiring and Protection </w:t>
      </w:r>
    </w:p>
    <w:p w14:paraId="7B3741CA" w14:textId="77777777" w:rsidR="00B4111A" w:rsidRPr="000560B2" w:rsidRDefault="00B4111A" w:rsidP="00B4111A">
      <w:pPr>
        <w:widowControl/>
        <w:spacing w:before="120"/>
        <w:rPr>
          <w:rFonts w:cs="Arial"/>
          <w:szCs w:val="24"/>
        </w:rPr>
      </w:pPr>
      <w:r w:rsidRPr="00AE73A5">
        <w:rPr>
          <w:rFonts w:cs="Arial"/>
          <w:szCs w:val="24"/>
        </w:rPr>
        <w:t xml:space="preserve">DSA proposes to adopt Chapter 2 of the </w:t>
      </w:r>
      <w:r>
        <w:rPr>
          <w:rFonts w:cs="Arial"/>
          <w:szCs w:val="24"/>
        </w:rPr>
        <w:t>2023</w:t>
      </w:r>
      <w:r w:rsidRPr="00063424">
        <w:rPr>
          <w:rFonts w:cs="Arial"/>
          <w:szCs w:val="24"/>
        </w:rPr>
        <w:t xml:space="preserve"> NEC</w:t>
      </w:r>
      <w:r w:rsidRPr="001841FF">
        <w:rPr>
          <w:rFonts w:cs="Arial"/>
          <w:szCs w:val="24"/>
        </w:rPr>
        <w:t xml:space="preserve">, </w:t>
      </w:r>
      <w:r w:rsidRPr="00063424">
        <w:rPr>
          <w:rFonts w:cs="Arial"/>
          <w:szCs w:val="24"/>
        </w:rPr>
        <w:t xml:space="preserve">without </w:t>
      </w:r>
      <w:r w:rsidRPr="001841FF">
        <w:rPr>
          <w:rFonts w:cs="Arial"/>
          <w:szCs w:val="24"/>
        </w:rPr>
        <w:t>amendment</w:t>
      </w:r>
    </w:p>
    <w:p w14:paraId="11E3D3D4" w14:textId="77777777" w:rsidR="00B4111A" w:rsidRPr="000560B2" w:rsidRDefault="00B4111A" w:rsidP="00B4111A">
      <w:pPr>
        <w:pStyle w:val="Heading4"/>
      </w:pPr>
      <w:r w:rsidRPr="000560B2">
        <w:t>CAC Recommendation (if applicable):</w:t>
      </w:r>
    </w:p>
    <w:p w14:paraId="6C421FCA"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3FCA75EE" w14:textId="77777777" w:rsidR="00B4111A" w:rsidRPr="000560B2" w:rsidRDefault="00B4111A" w:rsidP="00B4111A">
      <w:pPr>
        <w:pStyle w:val="Heading4"/>
      </w:pPr>
      <w:r w:rsidRPr="000560B2">
        <w:t>Agency Response:</w:t>
      </w:r>
    </w:p>
    <w:p w14:paraId="551AF484" w14:textId="77777777" w:rsidR="00B4111A"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0623499E" w14:textId="77777777" w:rsidR="00B4111A" w:rsidRPr="000560B2" w:rsidRDefault="00B4111A" w:rsidP="00B4111A">
      <w:pPr>
        <w:widowControl/>
        <w:spacing w:before="120"/>
        <w:ind w:left="360"/>
        <w:rPr>
          <w:rFonts w:cs="Arial"/>
          <w:szCs w:val="24"/>
        </w:rPr>
      </w:pPr>
    </w:p>
    <w:p w14:paraId="12CBE7D3" w14:textId="77777777" w:rsidR="00B4111A" w:rsidRPr="000560B2" w:rsidRDefault="00B4111A" w:rsidP="00B4111A">
      <w:pPr>
        <w:pStyle w:val="Heading3"/>
        <w:rPr>
          <w:bCs/>
        </w:rPr>
      </w:pPr>
      <w:r w:rsidRPr="000560B2">
        <w:rPr>
          <w:bCs/>
        </w:rPr>
        <w:t xml:space="preserve">ITEM </w:t>
      </w:r>
      <w:r>
        <w:rPr>
          <w:noProof/>
        </w:rPr>
        <w:t>5</w:t>
      </w:r>
      <w:r w:rsidRPr="000560B2">
        <w:rPr>
          <w:noProof/>
        </w:rPr>
        <w:br/>
      </w:r>
      <w:r w:rsidRPr="000560B2">
        <w:rPr>
          <w:bCs/>
        </w:rPr>
        <w:t xml:space="preserve">Chapter </w:t>
      </w:r>
      <w:r w:rsidRPr="00684E31">
        <w:t>3</w:t>
      </w:r>
      <w:r w:rsidRPr="00684E31">
        <w:rPr>
          <w:noProof/>
        </w:rPr>
        <w:t>,</w:t>
      </w:r>
      <w:r w:rsidRPr="00684E31">
        <w:t xml:space="preserve"> Wiring Methods and Materials</w:t>
      </w:r>
    </w:p>
    <w:p w14:paraId="338950AF" w14:textId="77777777" w:rsidR="00B4111A" w:rsidRPr="000560B2" w:rsidRDefault="00B4111A" w:rsidP="00B4111A">
      <w:pPr>
        <w:widowControl/>
        <w:spacing w:before="120"/>
        <w:rPr>
          <w:rFonts w:cs="Arial"/>
          <w:szCs w:val="24"/>
        </w:rPr>
      </w:pPr>
      <w:r w:rsidRPr="00063424">
        <w:rPr>
          <w:rFonts w:cs="Arial"/>
          <w:szCs w:val="24"/>
        </w:rPr>
        <w:t xml:space="preserve">DSA proposes to adopt Chapter 3 of the </w:t>
      </w:r>
      <w:r>
        <w:rPr>
          <w:rFonts w:cs="Arial"/>
          <w:szCs w:val="24"/>
        </w:rPr>
        <w:t>2023</w:t>
      </w:r>
      <w:r w:rsidRPr="00063424">
        <w:rPr>
          <w:rFonts w:cs="Arial"/>
          <w:szCs w:val="24"/>
        </w:rPr>
        <w:t xml:space="preserve"> NEC, without amendment</w:t>
      </w:r>
    </w:p>
    <w:p w14:paraId="35E92AE8" w14:textId="77777777" w:rsidR="00B4111A" w:rsidRPr="000560B2" w:rsidRDefault="00B4111A" w:rsidP="00B4111A">
      <w:pPr>
        <w:pStyle w:val="Heading4"/>
      </w:pPr>
      <w:r w:rsidRPr="000560B2">
        <w:t>CAC Recommendation (if applicable):</w:t>
      </w:r>
    </w:p>
    <w:p w14:paraId="4D1FDE3F"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5A9DFA2A" w14:textId="77777777" w:rsidR="00B4111A" w:rsidRPr="000560B2" w:rsidRDefault="00B4111A" w:rsidP="00B4111A">
      <w:pPr>
        <w:pStyle w:val="Heading4"/>
      </w:pPr>
      <w:r w:rsidRPr="000560B2">
        <w:t>Agency Response:</w:t>
      </w:r>
    </w:p>
    <w:p w14:paraId="799310F2" w14:textId="77777777" w:rsidR="00B4111A"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19FDFF24" w14:textId="77777777" w:rsidR="00B4111A" w:rsidRPr="000560B2" w:rsidRDefault="00B4111A" w:rsidP="00B4111A">
      <w:pPr>
        <w:widowControl/>
        <w:spacing w:before="120"/>
        <w:ind w:left="360"/>
        <w:rPr>
          <w:rFonts w:cs="Arial"/>
          <w:szCs w:val="24"/>
        </w:rPr>
      </w:pPr>
    </w:p>
    <w:p w14:paraId="4031B8DB" w14:textId="77777777" w:rsidR="00B4111A" w:rsidRPr="00063424" w:rsidRDefault="00B4111A" w:rsidP="00B4111A">
      <w:pPr>
        <w:pStyle w:val="Heading3"/>
      </w:pPr>
      <w:r w:rsidRPr="000560B2">
        <w:rPr>
          <w:bCs/>
        </w:rPr>
        <w:lastRenderedPageBreak/>
        <w:t xml:space="preserve">ITEM </w:t>
      </w:r>
      <w:r>
        <w:rPr>
          <w:noProof/>
        </w:rPr>
        <w:t>6</w:t>
      </w:r>
      <w:r w:rsidRPr="000560B2">
        <w:rPr>
          <w:noProof/>
        </w:rPr>
        <w:br/>
      </w:r>
      <w:r w:rsidRPr="00684E31">
        <w:t>Chapter 4</w:t>
      </w:r>
      <w:r w:rsidRPr="00684E31">
        <w:rPr>
          <w:noProof/>
        </w:rPr>
        <w:t>,</w:t>
      </w:r>
      <w:r w:rsidRPr="00684E31">
        <w:t xml:space="preserve"> Equipment for General Use</w:t>
      </w:r>
    </w:p>
    <w:p w14:paraId="4E8D8CEA" w14:textId="77777777" w:rsidR="00B4111A" w:rsidRPr="00063424" w:rsidRDefault="00B4111A" w:rsidP="00B4111A">
      <w:pPr>
        <w:widowControl/>
        <w:spacing w:before="120" w:after="240"/>
        <w:rPr>
          <w:rFonts w:cs="Arial"/>
          <w:szCs w:val="24"/>
        </w:rPr>
      </w:pPr>
      <w:r w:rsidRPr="00063424">
        <w:rPr>
          <w:rFonts w:cs="Arial"/>
          <w:szCs w:val="24"/>
        </w:rPr>
        <w:t xml:space="preserve">DSA proposes to adopt Chapter 4 of the </w:t>
      </w:r>
      <w:r>
        <w:rPr>
          <w:rFonts w:cs="Arial"/>
          <w:szCs w:val="24"/>
        </w:rPr>
        <w:t>2023</w:t>
      </w:r>
      <w:r w:rsidRPr="00063424">
        <w:rPr>
          <w:rFonts w:cs="Arial"/>
          <w:szCs w:val="24"/>
        </w:rPr>
        <w:t xml:space="preserve"> NEC, without amendment.</w:t>
      </w:r>
    </w:p>
    <w:p w14:paraId="2763C14E" w14:textId="77777777" w:rsidR="00B4111A" w:rsidRPr="000560B2" w:rsidRDefault="00B4111A" w:rsidP="00B4111A">
      <w:pPr>
        <w:pStyle w:val="Heading4"/>
      </w:pPr>
      <w:r w:rsidRPr="000560B2">
        <w:t>CAC Recommendation (if applicable):</w:t>
      </w:r>
    </w:p>
    <w:p w14:paraId="38FB8E13"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25864658" w14:textId="77777777" w:rsidR="00B4111A" w:rsidRPr="000560B2" w:rsidRDefault="00B4111A" w:rsidP="00B4111A">
      <w:pPr>
        <w:pStyle w:val="Heading4"/>
      </w:pPr>
      <w:r w:rsidRPr="000560B2">
        <w:t>Agency Response:</w:t>
      </w:r>
    </w:p>
    <w:p w14:paraId="2B4576D6" w14:textId="77777777" w:rsidR="00B4111A"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22ECB38E" w14:textId="77777777" w:rsidR="00B4111A" w:rsidRDefault="00B4111A" w:rsidP="00B4111A">
      <w:pPr>
        <w:widowControl/>
        <w:spacing w:before="120"/>
        <w:ind w:left="360"/>
        <w:rPr>
          <w:rFonts w:cs="Arial"/>
          <w:szCs w:val="24"/>
        </w:rPr>
      </w:pPr>
    </w:p>
    <w:p w14:paraId="3CDF3802" w14:textId="77777777" w:rsidR="00B4111A" w:rsidRPr="000560B2" w:rsidRDefault="00B4111A" w:rsidP="00B4111A">
      <w:pPr>
        <w:pStyle w:val="Heading3"/>
        <w:rPr>
          <w:bCs/>
        </w:rPr>
      </w:pPr>
      <w:r w:rsidRPr="000560B2">
        <w:rPr>
          <w:bCs/>
        </w:rPr>
        <w:t xml:space="preserve">ITEM </w:t>
      </w:r>
      <w:r>
        <w:rPr>
          <w:noProof/>
        </w:rPr>
        <w:t>7</w:t>
      </w:r>
      <w:r w:rsidRPr="000560B2">
        <w:rPr>
          <w:noProof/>
        </w:rPr>
        <w:br/>
      </w:r>
      <w:r w:rsidRPr="00684E31">
        <w:rPr>
          <w:bCs/>
        </w:rPr>
        <w:t>Chapter 5</w:t>
      </w:r>
      <w:r w:rsidRPr="00684E31">
        <w:rPr>
          <w:noProof/>
        </w:rPr>
        <w:t>, Special Occupancies</w:t>
      </w:r>
    </w:p>
    <w:p w14:paraId="5A7477F8" w14:textId="77777777" w:rsidR="00B4111A" w:rsidRPr="00063424" w:rsidRDefault="00B4111A" w:rsidP="00B4111A">
      <w:pPr>
        <w:widowControl/>
        <w:spacing w:before="120" w:after="240"/>
        <w:rPr>
          <w:rFonts w:cs="Arial"/>
          <w:szCs w:val="24"/>
        </w:rPr>
      </w:pPr>
      <w:r w:rsidRPr="00063424">
        <w:rPr>
          <w:rFonts w:cs="Arial"/>
          <w:szCs w:val="24"/>
        </w:rPr>
        <w:t xml:space="preserve">DSA proposes to adopt Chapter 4 of the </w:t>
      </w:r>
      <w:r>
        <w:rPr>
          <w:rFonts w:cs="Arial"/>
          <w:szCs w:val="24"/>
        </w:rPr>
        <w:t>2023</w:t>
      </w:r>
      <w:r w:rsidRPr="00063424">
        <w:rPr>
          <w:rFonts w:cs="Arial"/>
          <w:szCs w:val="24"/>
        </w:rPr>
        <w:t xml:space="preserve"> NEC, without amendment.</w:t>
      </w:r>
    </w:p>
    <w:p w14:paraId="412B5DBB" w14:textId="77777777" w:rsidR="00B4111A" w:rsidRPr="000560B2" w:rsidRDefault="00B4111A" w:rsidP="00B4111A">
      <w:pPr>
        <w:pStyle w:val="Heading4"/>
      </w:pPr>
      <w:r w:rsidRPr="000560B2">
        <w:t>CAC Recommendation (if applicable):</w:t>
      </w:r>
    </w:p>
    <w:p w14:paraId="37B79358"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189C6A97" w14:textId="77777777" w:rsidR="00B4111A" w:rsidRPr="000560B2" w:rsidRDefault="00B4111A" w:rsidP="00B4111A">
      <w:pPr>
        <w:pStyle w:val="Heading4"/>
      </w:pPr>
      <w:r w:rsidRPr="000560B2">
        <w:t>Agency Response:</w:t>
      </w:r>
    </w:p>
    <w:p w14:paraId="43B1F19B"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263C26D1" w14:textId="77777777" w:rsidR="00B4111A" w:rsidRDefault="00B4111A" w:rsidP="00B4111A">
      <w:pPr>
        <w:widowControl/>
        <w:spacing w:before="120"/>
        <w:ind w:left="360"/>
        <w:rPr>
          <w:rFonts w:cs="Arial"/>
          <w:szCs w:val="24"/>
        </w:rPr>
      </w:pPr>
    </w:p>
    <w:p w14:paraId="6CA9DD11" w14:textId="77777777" w:rsidR="00B4111A" w:rsidRPr="00063424" w:rsidRDefault="00B4111A" w:rsidP="00B4111A">
      <w:pPr>
        <w:pStyle w:val="Heading3"/>
      </w:pPr>
      <w:r w:rsidRPr="000560B2">
        <w:rPr>
          <w:bCs/>
        </w:rPr>
        <w:t xml:space="preserve">ITEM </w:t>
      </w:r>
      <w:r>
        <w:rPr>
          <w:noProof/>
        </w:rPr>
        <w:t>8</w:t>
      </w:r>
      <w:r w:rsidRPr="000560B2">
        <w:rPr>
          <w:noProof/>
        </w:rPr>
        <w:br/>
      </w:r>
      <w:r w:rsidRPr="00684E31">
        <w:t xml:space="preserve">Chapter </w:t>
      </w:r>
      <w:r w:rsidRPr="00684E31">
        <w:rPr>
          <w:noProof/>
        </w:rPr>
        <w:t>6,</w:t>
      </w:r>
      <w:r w:rsidRPr="00684E31">
        <w:t xml:space="preserve"> Special Equipment </w:t>
      </w:r>
    </w:p>
    <w:p w14:paraId="4B92B768" w14:textId="77777777" w:rsidR="00B4111A" w:rsidRPr="00063424" w:rsidRDefault="00B4111A" w:rsidP="00B4111A">
      <w:pPr>
        <w:widowControl/>
        <w:spacing w:before="120" w:after="240"/>
        <w:rPr>
          <w:rFonts w:cs="Arial"/>
          <w:szCs w:val="24"/>
        </w:rPr>
      </w:pPr>
      <w:r w:rsidRPr="00063424">
        <w:rPr>
          <w:rFonts w:cs="Arial"/>
          <w:szCs w:val="24"/>
        </w:rPr>
        <w:t xml:space="preserve">DSA proposes to adopt Chapter 6 of the </w:t>
      </w:r>
      <w:r>
        <w:rPr>
          <w:rFonts w:cs="Arial"/>
          <w:szCs w:val="24"/>
        </w:rPr>
        <w:t>2023</w:t>
      </w:r>
      <w:r w:rsidRPr="00063424">
        <w:rPr>
          <w:rFonts w:cs="Arial"/>
          <w:szCs w:val="24"/>
        </w:rPr>
        <w:t xml:space="preserve"> NEC, without amendment.</w:t>
      </w:r>
    </w:p>
    <w:p w14:paraId="5692EFB7" w14:textId="77777777" w:rsidR="00B4111A" w:rsidRPr="000560B2" w:rsidRDefault="00B4111A" w:rsidP="00B4111A">
      <w:pPr>
        <w:pStyle w:val="Heading4"/>
      </w:pPr>
      <w:r w:rsidRPr="000560B2">
        <w:t>CAC Recommendation (if applicable):</w:t>
      </w:r>
    </w:p>
    <w:p w14:paraId="5E031EA3"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38BB4748" w14:textId="77777777" w:rsidR="00B4111A" w:rsidRPr="000560B2" w:rsidRDefault="00B4111A" w:rsidP="00B4111A">
      <w:pPr>
        <w:pStyle w:val="Heading4"/>
      </w:pPr>
      <w:r w:rsidRPr="000560B2">
        <w:t>Agency Response:</w:t>
      </w:r>
    </w:p>
    <w:p w14:paraId="03AA567F"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38C50899" w14:textId="77777777" w:rsidR="00B4111A" w:rsidRDefault="00B4111A" w:rsidP="00B4111A">
      <w:pPr>
        <w:widowControl/>
        <w:spacing w:before="120"/>
        <w:ind w:left="360"/>
        <w:rPr>
          <w:rFonts w:cs="Arial"/>
          <w:szCs w:val="24"/>
        </w:rPr>
      </w:pPr>
    </w:p>
    <w:p w14:paraId="79E7B3D7" w14:textId="77777777" w:rsidR="00B4111A" w:rsidRPr="00063424" w:rsidRDefault="00B4111A" w:rsidP="00B4111A">
      <w:pPr>
        <w:pStyle w:val="Heading3"/>
      </w:pPr>
      <w:r w:rsidRPr="000560B2">
        <w:rPr>
          <w:bCs/>
        </w:rPr>
        <w:t xml:space="preserve">ITEM </w:t>
      </w:r>
      <w:r>
        <w:rPr>
          <w:noProof/>
        </w:rPr>
        <w:t>9</w:t>
      </w:r>
      <w:r w:rsidRPr="000560B2">
        <w:rPr>
          <w:noProof/>
        </w:rPr>
        <w:br/>
      </w:r>
      <w:r w:rsidRPr="00684E31">
        <w:t xml:space="preserve">Chapter </w:t>
      </w:r>
      <w:r w:rsidRPr="00684E31">
        <w:rPr>
          <w:noProof/>
        </w:rPr>
        <w:t>7,</w:t>
      </w:r>
      <w:r w:rsidRPr="00684E31">
        <w:t xml:space="preserve"> Special Conditions </w:t>
      </w:r>
    </w:p>
    <w:p w14:paraId="48EB2C47" w14:textId="77777777" w:rsidR="00B4111A" w:rsidRPr="00063424" w:rsidRDefault="00B4111A" w:rsidP="00B4111A">
      <w:pPr>
        <w:widowControl/>
        <w:spacing w:before="120" w:after="240"/>
        <w:rPr>
          <w:rFonts w:cs="Arial"/>
          <w:szCs w:val="24"/>
        </w:rPr>
      </w:pPr>
      <w:r w:rsidRPr="00063424">
        <w:rPr>
          <w:rFonts w:cs="Arial"/>
          <w:szCs w:val="24"/>
        </w:rPr>
        <w:t xml:space="preserve">DSA proposes to adopt Chapter 7 of the </w:t>
      </w:r>
      <w:r>
        <w:rPr>
          <w:rFonts w:cs="Arial"/>
          <w:szCs w:val="24"/>
        </w:rPr>
        <w:t>2023</w:t>
      </w:r>
      <w:r w:rsidRPr="00063424">
        <w:rPr>
          <w:rFonts w:cs="Arial"/>
          <w:szCs w:val="24"/>
        </w:rPr>
        <w:t xml:space="preserve"> NEC, without amendment.</w:t>
      </w:r>
    </w:p>
    <w:p w14:paraId="010E6C4D" w14:textId="77777777" w:rsidR="00B4111A" w:rsidRPr="000560B2" w:rsidRDefault="00B4111A" w:rsidP="00B4111A">
      <w:pPr>
        <w:pStyle w:val="Heading4"/>
      </w:pPr>
      <w:r w:rsidRPr="000560B2">
        <w:t>CAC Recommendation (if applicable):</w:t>
      </w:r>
    </w:p>
    <w:p w14:paraId="215D648C"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16E70689" w14:textId="77777777" w:rsidR="00B4111A" w:rsidRPr="000560B2" w:rsidRDefault="00B4111A" w:rsidP="00B4111A">
      <w:pPr>
        <w:pStyle w:val="Heading4"/>
      </w:pPr>
      <w:r w:rsidRPr="000560B2">
        <w:t>Agency Response:</w:t>
      </w:r>
    </w:p>
    <w:p w14:paraId="37F2732D"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6B39466C" w14:textId="77777777" w:rsidR="00B4111A" w:rsidRDefault="00B4111A" w:rsidP="00B4111A">
      <w:pPr>
        <w:widowControl/>
        <w:spacing w:before="120"/>
        <w:ind w:left="360"/>
        <w:rPr>
          <w:rFonts w:cs="Arial"/>
          <w:szCs w:val="24"/>
        </w:rPr>
      </w:pPr>
    </w:p>
    <w:p w14:paraId="0F4F80E4" w14:textId="77777777" w:rsidR="00B4111A" w:rsidRPr="00063424" w:rsidRDefault="00B4111A" w:rsidP="00B4111A">
      <w:pPr>
        <w:pStyle w:val="Heading3"/>
      </w:pPr>
      <w:r w:rsidRPr="000560B2">
        <w:rPr>
          <w:bCs/>
        </w:rPr>
        <w:lastRenderedPageBreak/>
        <w:t xml:space="preserve">ITEM </w:t>
      </w:r>
      <w:r>
        <w:rPr>
          <w:noProof/>
        </w:rPr>
        <w:t>10</w:t>
      </w:r>
      <w:r w:rsidRPr="000560B2">
        <w:rPr>
          <w:noProof/>
        </w:rPr>
        <w:br/>
      </w:r>
      <w:r w:rsidRPr="00684E31">
        <w:t xml:space="preserve">Chapter </w:t>
      </w:r>
      <w:r w:rsidRPr="00684E31">
        <w:rPr>
          <w:noProof/>
        </w:rPr>
        <w:t>8,</w:t>
      </w:r>
      <w:r w:rsidRPr="00684E31">
        <w:t xml:space="preserve"> Communication systems </w:t>
      </w:r>
    </w:p>
    <w:p w14:paraId="781074C7" w14:textId="77777777" w:rsidR="00B4111A" w:rsidRPr="00063424" w:rsidRDefault="00B4111A" w:rsidP="00B4111A">
      <w:pPr>
        <w:widowControl/>
        <w:spacing w:before="120" w:after="240"/>
        <w:rPr>
          <w:rFonts w:cs="Arial"/>
          <w:szCs w:val="24"/>
        </w:rPr>
      </w:pPr>
      <w:r w:rsidRPr="00063424">
        <w:rPr>
          <w:rFonts w:cs="Arial"/>
          <w:szCs w:val="24"/>
        </w:rPr>
        <w:t xml:space="preserve">DSA proposes to adopt Chapter 8 of the </w:t>
      </w:r>
      <w:r>
        <w:rPr>
          <w:rFonts w:cs="Arial"/>
          <w:szCs w:val="24"/>
        </w:rPr>
        <w:t>2023</w:t>
      </w:r>
      <w:r w:rsidRPr="00063424">
        <w:rPr>
          <w:rFonts w:cs="Arial"/>
          <w:szCs w:val="24"/>
        </w:rPr>
        <w:t xml:space="preserve"> NEC, without amendment.</w:t>
      </w:r>
    </w:p>
    <w:p w14:paraId="2A5D0136" w14:textId="77777777" w:rsidR="00B4111A" w:rsidRPr="000560B2" w:rsidRDefault="00B4111A" w:rsidP="00B4111A">
      <w:pPr>
        <w:pStyle w:val="Heading4"/>
      </w:pPr>
      <w:r w:rsidRPr="000560B2">
        <w:t>CAC Recommendation (if applicable):</w:t>
      </w:r>
    </w:p>
    <w:p w14:paraId="4D044577"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37E9BFB2" w14:textId="77777777" w:rsidR="00B4111A" w:rsidRPr="000560B2" w:rsidRDefault="00B4111A" w:rsidP="00B4111A">
      <w:pPr>
        <w:pStyle w:val="Heading4"/>
      </w:pPr>
      <w:r w:rsidRPr="000560B2">
        <w:t>Agency Response:</w:t>
      </w:r>
    </w:p>
    <w:p w14:paraId="1D6BE4DC"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4F37938D" w14:textId="77777777" w:rsidR="00B4111A" w:rsidRDefault="00B4111A" w:rsidP="00B4111A">
      <w:pPr>
        <w:widowControl/>
        <w:spacing w:before="120"/>
        <w:ind w:left="360"/>
        <w:rPr>
          <w:rFonts w:cs="Arial"/>
          <w:szCs w:val="24"/>
        </w:rPr>
      </w:pPr>
    </w:p>
    <w:p w14:paraId="22247AF1" w14:textId="77777777" w:rsidR="00B4111A" w:rsidRPr="000560B2" w:rsidRDefault="00B4111A" w:rsidP="00B4111A">
      <w:pPr>
        <w:pStyle w:val="Heading3"/>
        <w:rPr>
          <w:bCs/>
        </w:rPr>
      </w:pPr>
      <w:r w:rsidRPr="000560B2">
        <w:rPr>
          <w:bCs/>
        </w:rPr>
        <w:t xml:space="preserve">ITEM </w:t>
      </w:r>
      <w:r>
        <w:rPr>
          <w:noProof/>
        </w:rPr>
        <w:t>11</w:t>
      </w:r>
      <w:r w:rsidRPr="000560B2">
        <w:rPr>
          <w:noProof/>
        </w:rPr>
        <w:br/>
      </w:r>
      <w:r w:rsidRPr="000560B2">
        <w:rPr>
          <w:bCs/>
        </w:rPr>
        <w:t xml:space="preserve">Chapter </w:t>
      </w:r>
      <w:r>
        <w:rPr>
          <w:noProof/>
        </w:rPr>
        <w:t>9, Tables</w:t>
      </w:r>
    </w:p>
    <w:p w14:paraId="6C8D268C" w14:textId="77777777" w:rsidR="00B4111A" w:rsidRPr="000560B2" w:rsidRDefault="00B4111A" w:rsidP="00B4111A">
      <w:pPr>
        <w:widowControl/>
        <w:spacing w:before="120"/>
        <w:rPr>
          <w:rFonts w:cs="Arial"/>
          <w:szCs w:val="24"/>
        </w:rPr>
      </w:pPr>
      <w:r w:rsidRPr="00063424">
        <w:rPr>
          <w:rFonts w:cs="Arial"/>
          <w:szCs w:val="24"/>
        </w:rPr>
        <w:t xml:space="preserve">DSA proposes to adopt Chapter 9 of the </w:t>
      </w:r>
      <w:r>
        <w:rPr>
          <w:rFonts w:cs="Arial"/>
          <w:szCs w:val="24"/>
        </w:rPr>
        <w:t>2023</w:t>
      </w:r>
      <w:r w:rsidRPr="00063424">
        <w:rPr>
          <w:rFonts w:cs="Arial"/>
          <w:szCs w:val="24"/>
        </w:rPr>
        <w:t xml:space="preserve"> NEC, without amendment</w:t>
      </w:r>
      <w:r>
        <w:rPr>
          <w:rFonts w:cs="Arial"/>
          <w:szCs w:val="24"/>
        </w:rPr>
        <w:t>.</w:t>
      </w:r>
    </w:p>
    <w:p w14:paraId="7E0CAF22" w14:textId="77777777" w:rsidR="00B4111A" w:rsidRPr="000560B2" w:rsidRDefault="00B4111A" w:rsidP="00B4111A">
      <w:pPr>
        <w:pStyle w:val="Heading4"/>
      </w:pPr>
      <w:r w:rsidRPr="000560B2">
        <w:t>CAC Recommendation (if applicable):</w:t>
      </w:r>
    </w:p>
    <w:p w14:paraId="47A7A94E"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0616FC37" w14:textId="77777777" w:rsidR="00B4111A" w:rsidRPr="000560B2" w:rsidRDefault="00B4111A" w:rsidP="00B4111A">
      <w:pPr>
        <w:pStyle w:val="Heading4"/>
      </w:pPr>
      <w:r w:rsidRPr="000560B2">
        <w:t>Agency Response:</w:t>
      </w:r>
    </w:p>
    <w:p w14:paraId="3AD68C84"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53D9892E" w14:textId="77777777" w:rsidR="00B4111A" w:rsidRDefault="00B4111A" w:rsidP="00B4111A">
      <w:pPr>
        <w:widowControl/>
        <w:spacing w:before="120"/>
        <w:ind w:left="360"/>
        <w:rPr>
          <w:rFonts w:cs="Arial"/>
          <w:szCs w:val="24"/>
        </w:rPr>
      </w:pPr>
    </w:p>
    <w:p w14:paraId="5B7092C2" w14:textId="77777777" w:rsidR="00B4111A" w:rsidRPr="000560B2" w:rsidRDefault="00B4111A" w:rsidP="00B4111A">
      <w:pPr>
        <w:pStyle w:val="Heading3"/>
        <w:rPr>
          <w:bCs/>
        </w:rPr>
      </w:pPr>
      <w:r w:rsidRPr="000560B2">
        <w:rPr>
          <w:bCs/>
        </w:rPr>
        <w:t xml:space="preserve">ITEM </w:t>
      </w:r>
      <w:r>
        <w:rPr>
          <w:noProof/>
        </w:rPr>
        <w:t>12</w:t>
      </w:r>
      <w:r>
        <w:rPr>
          <w:noProof/>
        </w:rPr>
        <w:tab/>
      </w:r>
      <w:r w:rsidRPr="000560B2">
        <w:rPr>
          <w:noProof/>
        </w:rPr>
        <w:br/>
      </w:r>
      <w:r>
        <w:rPr>
          <w:bCs/>
        </w:rPr>
        <w:t>Annexes</w:t>
      </w:r>
    </w:p>
    <w:p w14:paraId="08BB0FA5" w14:textId="1A1E0A18" w:rsidR="00B4111A" w:rsidRPr="00063424" w:rsidRDefault="00B4111A" w:rsidP="00B4111A">
      <w:pPr>
        <w:widowControl/>
        <w:spacing w:before="120" w:after="240"/>
        <w:rPr>
          <w:rFonts w:cs="Arial"/>
          <w:szCs w:val="24"/>
        </w:rPr>
      </w:pPr>
      <w:r w:rsidRPr="00063424">
        <w:rPr>
          <w:rFonts w:cs="Arial"/>
          <w:szCs w:val="24"/>
        </w:rPr>
        <w:t>DSA proposes to not adopt Annexes A, B, C, D, E, F, G, H, I,</w:t>
      </w:r>
      <w:r w:rsidR="007D015D">
        <w:rPr>
          <w:rFonts w:cs="Arial"/>
          <w:szCs w:val="24"/>
        </w:rPr>
        <w:t xml:space="preserve"> J,</w:t>
      </w:r>
      <w:r w:rsidRPr="00063424">
        <w:rPr>
          <w:rFonts w:cs="Arial"/>
          <w:szCs w:val="24"/>
        </w:rPr>
        <w:t xml:space="preserve"> </w:t>
      </w:r>
      <w:r>
        <w:rPr>
          <w:rFonts w:cs="Arial"/>
          <w:szCs w:val="24"/>
        </w:rPr>
        <w:t>and</w:t>
      </w:r>
      <w:r w:rsidRPr="00063424">
        <w:rPr>
          <w:rFonts w:cs="Arial"/>
          <w:szCs w:val="24"/>
        </w:rPr>
        <w:t xml:space="preserve"> </w:t>
      </w:r>
      <w:r w:rsidR="007D015D">
        <w:rPr>
          <w:rFonts w:cs="Arial"/>
          <w:szCs w:val="24"/>
        </w:rPr>
        <w:t>K</w:t>
      </w:r>
      <w:r w:rsidRPr="00063424">
        <w:rPr>
          <w:rFonts w:cs="Arial"/>
          <w:szCs w:val="24"/>
        </w:rPr>
        <w:t xml:space="preserve"> </w:t>
      </w:r>
      <w:r>
        <w:rPr>
          <w:rFonts w:cs="Arial"/>
          <w:szCs w:val="24"/>
        </w:rPr>
        <w:t>of</w:t>
      </w:r>
      <w:r w:rsidRPr="00063424">
        <w:rPr>
          <w:rFonts w:cs="Arial"/>
          <w:szCs w:val="24"/>
        </w:rPr>
        <w:t xml:space="preserve"> the </w:t>
      </w:r>
      <w:r>
        <w:rPr>
          <w:rFonts w:cs="Arial"/>
          <w:szCs w:val="24"/>
        </w:rPr>
        <w:t>2023</w:t>
      </w:r>
      <w:r w:rsidRPr="00063424">
        <w:rPr>
          <w:rFonts w:cs="Arial"/>
          <w:szCs w:val="24"/>
        </w:rPr>
        <w:t xml:space="preserve"> NEC.</w:t>
      </w:r>
    </w:p>
    <w:p w14:paraId="0B53E764" w14:textId="77777777" w:rsidR="00B4111A" w:rsidRPr="000560B2" w:rsidRDefault="00B4111A" w:rsidP="00B4111A">
      <w:pPr>
        <w:pStyle w:val="Heading4"/>
      </w:pPr>
      <w:r w:rsidRPr="000560B2">
        <w:t>CAC Recommendation (if applicable):</w:t>
      </w:r>
    </w:p>
    <w:p w14:paraId="2CE08E84"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CAC recommendation(s), if any]"/>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CAC recommendation(s), if any]</w:t>
      </w:r>
      <w:r w:rsidRPr="000560B2">
        <w:rPr>
          <w:rFonts w:cs="Arial"/>
          <w:szCs w:val="24"/>
          <w:highlight w:val="lightGray"/>
        </w:rPr>
        <w:fldChar w:fldCharType="end"/>
      </w:r>
    </w:p>
    <w:p w14:paraId="3DC837B8" w14:textId="77777777" w:rsidR="00B4111A" w:rsidRPr="000560B2" w:rsidRDefault="00B4111A" w:rsidP="00B4111A">
      <w:pPr>
        <w:pStyle w:val="Heading4"/>
      </w:pPr>
      <w:r w:rsidRPr="000560B2">
        <w:t>Agency Response:</w:t>
      </w:r>
    </w:p>
    <w:p w14:paraId="4919BAFB" w14:textId="77777777" w:rsidR="00B4111A" w:rsidRPr="000560B2" w:rsidRDefault="00B4111A" w:rsidP="00B4111A">
      <w:pPr>
        <w:widowControl/>
        <w:spacing w:before="120"/>
        <w:ind w:left="360"/>
        <w:rPr>
          <w:rFonts w:cs="Arial"/>
          <w:szCs w:val="24"/>
        </w:rPr>
      </w:pPr>
      <w:r w:rsidRPr="000560B2">
        <w:rPr>
          <w:rFonts w:cs="Arial"/>
          <w:szCs w:val="24"/>
          <w:highlight w:val="lightGray"/>
        </w:rPr>
        <w:fldChar w:fldCharType="begin">
          <w:ffData>
            <w:name w:val=""/>
            <w:enabled/>
            <w:calcOnExit w:val="0"/>
            <w:textInput>
              <w:default w:val="[Enter the agency's response to CAC recommendation(s)]"/>
            </w:textInput>
          </w:ffData>
        </w:fldChar>
      </w:r>
      <w:r w:rsidRPr="000560B2">
        <w:rPr>
          <w:rFonts w:cs="Arial"/>
          <w:szCs w:val="24"/>
          <w:highlight w:val="lightGray"/>
        </w:rPr>
        <w:instrText xml:space="preserve"> FORMTEXT </w:instrText>
      </w:r>
      <w:r w:rsidRPr="000560B2">
        <w:rPr>
          <w:rFonts w:cs="Arial"/>
          <w:szCs w:val="24"/>
          <w:highlight w:val="lightGray"/>
        </w:rPr>
      </w:r>
      <w:r w:rsidRPr="000560B2">
        <w:rPr>
          <w:rFonts w:cs="Arial"/>
          <w:szCs w:val="24"/>
          <w:highlight w:val="lightGray"/>
        </w:rPr>
        <w:fldChar w:fldCharType="separate"/>
      </w:r>
      <w:r w:rsidRPr="000560B2">
        <w:rPr>
          <w:rFonts w:cs="Arial"/>
          <w:noProof/>
          <w:szCs w:val="24"/>
          <w:highlight w:val="lightGray"/>
        </w:rPr>
        <w:t>[Enter the agency's response to CAC recommendation(s)]</w:t>
      </w:r>
      <w:r w:rsidRPr="000560B2">
        <w:rPr>
          <w:rFonts w:cs="Arial"/>
          <w:szCs w:val="24"/>
          <w:highlight w:val="lightGray"/>
        </w:rPr>
        <w:fldChar w:fldCharType="end"/>
      </w:r>
    </w:p>
    <w:p w14:paraId="4A3D21D8" w14:textId="41D44CB5" w:rsidR="000C10D1" w:rsidRPr="000560B2" w:rsidRDefault="000C10D1" w:rsidP="00B4111A">
      <w:pPr>
        <w:pStyle w:val="Heading2"/>
      </w:pPr>
      <w:r w:rsidRPr="000560B2">
        <w:t>TECHNICAL, THEORETICAL, AND EMPIRICAL STUDY, REPORT, OR SIMILAR DOCUMENTS</w:t>
      </w:r>
    </w:p>
    <w:p w14:paraId="264837DB" w14:textId="77777777" w:rsidR="000C10D1" w:rsidRPr="000560B2" w:rsidRDefault="000C10D1" w:rsidP="000C10D1">
      <w:pPr>
        <w:widowControl/>
        <w:rPr>
          <w:rFonts w:cs="Arial"/>
          <w:szCs w:val="24"/>
        </w:rPr>
      </w:pPr>
      <w:r w:rsidRPr="000560B2">
        <w:rPr>
          <w:rFonts w:cs="Arial"/>
          <w:szCs w:val="24"/>
        </w:rPr>
        <w:t>Government Code Section 11346.2(b)(3) requires an identification of each technical, theoretical, and empirical study, report, or similar document, if any, upon which the agency relies in proposing the regulation(s).</w:t>
      </w:r>
    </w:p>
    <w:p w14:paraId="6383F16A" w14:textId="35C43022" w:rsidR="00B4111A" w:rsidRPr="00684E31" w:rsidRDefault="00B4111A" w:rsidP="00B4111A">
      <w:pPr>
        <w:widowControl/>
        <w:spacing w:before="120"/>
        <w:rPr>
          <w:rFonts w:cs="Arial"/>
          <w:szCs w:val="24"/>
        </w:rPr>
      </w:pPr>
      <w:r w:rsidRPr="00684E31">
        <w:rPr>
          <w:rFonts w:cs="Arial"/>
          <w:szCs w:val="24"/>
        </w:rPr>
        <w:t xml:space="preserve">No technical, theoretical, or empirical studies or reports were used, as Section 18928 </w:t>
      </w:r>
      <w:r w:rsidR="0068265A">
        <w:rPr>
          <w:rFonts w:cs="Arial"/>
          <w:szCs w:val="24"/>
        </w:rPr>
        <w:t xml:space="preserve">and Section 18941 </w:t>
      </w:r>
      <w:r w:rsidRPr="00684E31">
        <w:rPr>
          <w:rFonts w:cs="Arial"/>
          <w:szCs w:val="24"/>
        </w:rPr>
        <w:t>of the Health &amp; Safety Code mandates this proposed action.</w:t>
      </w:r>
    </w:p>
    <w:p w14:paraId="2A2CCB2F" w14:textId="77777777" w:rsidR="000C10D1" w:rsidRPr="000560B2" w:rsidRDefault="000C10D1" w:rsidP="002858DF">
      <w:pPr>
        <w:pStyle w:val="Heading2"/>
      </w:pPr>
      <w:r w:rsidRPr="000560B2">
        <w:t>STATEMENT OF JUSTIFICATION FOR PRESCRIPTIVE STANDARDS</w:t>
      </w:r>
    </w:p>
    <w:p w14:paraId="137BA50A" w14:textId="0AA191C0" w:rsidR="000C10D1" w:rsidRPr="000560B2" w:rsidRDefault="000C10D1" w:rsidP="000C10D1">
      <w:pPr>
        <w:widowControl/>
        <w:rPr>
          <w:rFonts w:cs="Arial"/>
          <w:szCs w:val="24"/>
        </w:rPr>
      </w:pPr>
      <w:r w:rsidRPr="000560B2">
        <w:rPr>
          <w:rFonts w:cs="Arial"/>
          <w:szCs w:val="24"/>
        </w:rPr>
        <w:t>Government Code Section 11346.2(b)(1) requires a statement of the reasons why an agency believes any mandates for specific technologies or equipment</w:t>
      </w:r>
      <w:r w:rsidR="005565EE" w:rsidRPr="000560B2">
        <w:rPr>
          <w:rFonts w:cs="Arial"/>
          <w:szCs w:val="24"/>
        </w:rPr>
        <w:t>,</w:t>
      </w:r>
      <w:r w:rsidRPr="000560B2">
        <w:rPr>
          <w:rFonts w:cs="Arial"/>
          <w:szCs w:val="24"/>
        </w:rPr>
        <w:t xml:space="preserve"> or prescriptive standards are required.</w:t>
      </w:r>
    </w:p>
    <w:p w14:paraId="63519D79" w14:textId="77777777" w:rsidR="00B4111A" w:rsidRPr="00684E31" w:rsidRDefault="00B4111A" w:rsidP="00B4111A">
      <w:pPr>
        <w:widowControl/>
        <w:spacing w:before="120"/>
        <w:rPr>
          <w:rFonts w:cs="Arial"/>
          <w:szCs w:val="24"/>
        </w:rPr>
      </w:pPr>
      <w:r w:rsidRPr="00684E31">
        <w:rPr>
          <w:rFonts w:cs="Arial"/>
          <w:szCs w:val="24"/>
        </w:rPr>
        <w:t>No new prescriptive standards are proposed.</w:t>
      </w:r>
    </w:p>
    <w:p w14:paraId="3DA235F6" w14:textId="77777777" w:rsidR="000C10D1" w:rsidRPr="000560B2" w:rsidRDefault="000C10D1" w:rsidP="002858DF">
      <w:pPr>
        <w:pStyle w:val="Heading2"/>
      </w:pPr>
      <w:r w:rsidRPr="000560B2">
        <w:lastRenderedPageBreak/>
        <w:t>CONSIDERATION OF REASONABLE ALTERNATIVES</w:t>
      </w:r>
    </w:p>
    <w:p w14:paraId="12FCF237" w14:textId="1CC858FD" w:rsidR="000C10D1" w:rsidRDefault="000C10D1" w:rsidP="000C10D1">
      <w:pPr>
        <w:widowControl/>
        <w:rPr>
          <w:rFonts w:cs="Arial"/>
          <w:szCs w:val="24"/>
        </w:rPr>
      </w:pPr>
      <w:r w:rsidRPr="000560B2">
        <w:rPr>
          <w:rFonts w:cs="Arial"/>
          <w:szCs w:val="24"/>
        </w:rPr>
        <w:t>Government Code Section 11346.2(b)(4)(A) requires a description of reasonable alternatives to the regulation and the agency’s reasons for rejecting those alternatives.</w:t>
      </w:r>
      <w:r w:rsidR="007E7473">
        <w:rPr>
          <w:rFonts w:cs="Arial"/>
          <w:szCs w:val="24"/>
        </w:rPr>
        <w:t xml:space="preserve"> </w:t>
      </w:r>
      <w:r w:rsidRPr="000560B2">
        <w:rPr>
          <w:rFonts w:cs="Arial"/>
          <w:szCs w:val="24"/>
        </w:rPr>
        <w:t>In the case of a regulation that would mandate the use of specific technologies or equipment or prescribe specific action or procedures, the imposition of performance standards shall be considered as an alternate. It is not the intent of this paragraph to require the agency to artificially construct alternatives or describe unreasonable alternatives.</w:t>
      </w:r>
    </w:p>
    <w:p w14:paraId="0CE4E546" w14:textId="7C48AB0F" w:rsidR="000C10D1" w:rsidRPr="000560B2" w:rsidRDefault="00B4111A" w:rsidP="00B4111A">
      <w:pPr>
        <w:widowControl/>
        <w:rPr>
          <w:rFonts w:cs="Arial"/>
          <w:szCs w:val="24"/>
        </w:rPr>
      </w:pPr>
      <w:r w:rsidRPr="13F0DF63">
        <w:rPr>
          <w:rFonts w:cs="Arial"/>
        </w:rPr>
        <w:t>DSA has not identified any reasonable alternatives to the proposed action, and no adverse impact to small business due to these proposed changes is expected</w:t>
      </w:r>
      <w:r w:rsidR="00D36F71">
        <w:rPr>
          <w:rFonts w:cs="Arial"/>
        </w:rPr>
        <w:t>.</w:t>
      </w:r>
    </w:p>
    <w:p w14:paraId="443C783C" w14:textId="77777777" w:rsidR="000C10D1" w:rsidRPr="000560B2" w:rsidRDefault="000C10D1" w:rsidP="002858DF">
      <w:pPr>
        <w:pStyle w:val="Heading2"/>
      </w:pPr>
      <w:r w:rsidRPr="000560B2">
        <w:t>REASONABLE ALTERNATIVES THE AGENCY HAS IDENTIFIED THAT WOULD LESSEN ANY ADVERSE IMPACT ON SMALL BUSINESS</w:t>
      </w:r>
    </w:p>
    <w:p w14:paraId="5EDD6C6A" w14:textId="77777777" w:rsidR="000C10D1" w:rsidRPr="000560B2" w:rsidRDefault="000C10D1" w:rsidP="000C10D1">
      <w:pPr>
        <w:rPr>
          <w:rFonts w:cs="Arial"/>
        </w:rPr>
      </w:pPr>
      <w:r w:rsidRPr="000560B2">
        <w:rPr>
          <w:rFonts w:cs="Arial"/>
        </w:rPr>
        <w:t>Government Code Section 11346.2(b)(4)(B) requires a description of any reasonable alternatives that have been identified or that have otherwise been identified and brought to the attention of the agency that would lessen any adverse impact on small business.</w:t>
      </w:r>
    </w:p>
    <w:p w14:paraId="101EF230" w14:textId="77777777" w:rsidR="00B4111A" w:rsidRPr="00063424" w:rsidRDefault="00B4111A" w:rsidP="00B4111A">
      <w:pPr>
        <w:widowControl/>
        <w:spacing w:before="120"/>
        <w:rPr>
          <w:rFonts w:cs="Arial"/>
          <w:szCs w:val="24"/>
        </w:rPr>
      </w:pPr>
      <w:r w:rsidRPr="00684E31">
        <w:rPr>
          <w:rFonts w:cs="Arial"/>
          <w:szCs w:val="24"/>
        </w:rPr>
        <w:t>DSA has not identified any reasonable alternatives to the proposed action, and no adverse impact to small business due to these proposed changes is expected.</w:t>
      </w:r>
    </w:p>
    <w:p w14:paraId="40E5C18E" w14:textId="7D06CACA" w:rsidR="000C10D1" w:rsidRPr="000560B2" w:rsidRDefault="000C10D1" w:rsidP="002858DF">
      <w:pPr>
        <w:pStyle w:val="Heading2"/>
      </w:pPr>
      <w:r w:rsidRPr="000560B2">
        <w:t>FACTS, EVIDENCE, DOCUMENTS, TESTIMONY, OR OTHER EVIDENCE OF NO SIGNIFICANT ADVERSE</w:t>
      </w:r>
      <w:r w:rsidR="00022D31">
        <w:t xml:space="preserve"> ECONOMIC</w:t>
      </w:r>
      <w:r w:rsidRPr="000560B2">
        <w:t xml:space="preserve"> IMPACT ON BUSINESS</w:t>
      </w:r>
    </w:p>
    <w:p w14:paraId="493F4937" w14:textId="77777777" w:rsidR="000C10D1" w:rsidRPr="000560B2" w:rsidRDefault="000C10D1" w:rsidP="000C10D1">
      <w:pPr>
        <w:widowControl/>
        <w:rPr>
          <w:rFonts w:cs="Arial"/>
          <w:szCs w:val="24"/>
        </w:rPr>
      </w:pPr>
      <w:r w:rsidRPr="000560B2">
        <w:rPr>
          <w:rFonts w:cs="Arial"/>
          <w:szCs w:val="24"/>
        </w:rPr>
        <w:t>Government Code Section 11346.2(b)(5)(A) requires the facts, evidence, documents, testimony, or other evidence on which the agency relies to support an initial determination that the action will not have a significant adverse economic impact on business.</w:t>
      </w:r>
    </w:p>
    <w:p w14:paraId="2C2F655C" w14:textId="77777777" w:rsidR="00F070BB" w:rsidRPr="000560B2" w:rsidRDefault="00F070BB" w:rsidP="00F070BB">
      <w:pPr>
        <w:widowControl/>
        <w:spacing w:before="120"/>
        <w:rPr>
          <w:rFonts w:cs="Arial"/>
          <w:szCs w:val="24"/>
        </w:rPr>
      </w:pPr>
      <w:r>
        <w:rPr>
          <w:rFonts w:cs="Arial"/>
          <w:szCs w:val="24"/>
        </w:rPr>
        <w:t>DSA-SS</w:t>
      </w:r>
      <w:r w:rsidRPr="00684E31">
        <w:rPr>
          <w:rFonts w:cs="Arial"/>
          <w:szCs w:val="24"/>
        </w:rPr>
        <w:t xml:space="preserve"> has no </w:t>
      </w:r>
      <w:r>
        <w:rPr>
          <w:rFonts w:cs="Arial"/>
          <w:szCs w:val="24"/>
        </w:rPr>
        <w:t xml:space="preserve">facts, </w:t>
      </w:r>
      <w:r w:rsidRPr="00684E31">
        <w:rPr>
          <w:rFonts w:cs="Arial"/>
          <w:szCs w:val="24"/>
        </w:rPr>
        <w:t>evidence</w:t>
      </w:r>
      <w:r>
        <w:rPr>
          <w:rFonts w:cs="Arial"/>
          <w:szCs w:val="24"/>
        </w:rPr>
        <w:t>, documents, testimony, or other evidence</w:t>
      </w:r>
      <w:r w:rsidRPr="00684E31">
        <w:rPr>
          <w:rFonts w:cs="Arial"/>
          <w:szCs w:val="24"/>
        </w:rPr>
        <w:t xml:space="preserve"> indicating any potential significant adverse impact on business with regard to the proposed action</w:t>
      </w:r>
      <w:r>
        <w:rPr>
          <w:rFonts w:cs="Arial"/>
          <w:szCs w:val="24"/>
        </w:rPr>
        <w:t>.</w:t>
      </w:r>
    </w:p>
    <w:p w14:paraId="458199B6" w14:textId="77777777" w:rsidR="00787198" w:rsidRPr="000560B2" w:rsidRDefault="00787198" w:rsidP="002858DF">
      <w:pPr>
        <w:pStyle w:val="Heading2"/>
        <w:rPr>
          <w:snapToGrid/>
        </w:rPr>
      </w:pPr>
      <w:r w:rsidRPr="000560B2">
        <w:rPr>
          <w:snapToGrid/>
        </w:rPr>
        <w:t>ASSESSMENT OF EFFECT OF REGULATIONS UPON JOBS AND BUSINESS EXPANSION, ELIMINATION OR CREATION</w:t>
      </w:r>
    </w:p>
    <w:p w14:paraId="17F2B8EE" w14:textId="5D22B16D" w:rsidR="00787198" w:rsidRPr="000560B2" w:rsidRDefault="00787198" w:rsidP="00194C5C">
      <w:pPr>
        <w:widowControl/>
        <w:snapToGrid w:val="0"/>
        <w:rPr>
          <w:rFonts w:cs="Arial"/>
          <w:snapToGrid/>
          <w:szCs w:val="24"/>
        </w:rPr>
      </w:pPr>
      <w:r w:rsidRPr="000560B2">
        <w:rPr>
          <w:rFonts w:cs="Arial"/>
          <w:snapToGrid/>
          <w:szCs w:val="24"/>
        </w:rPr>
        <w:t>Government Code Sections 1</w:t>
      </w:r>
      <w:r w:rsidR="00685FA3" w:rsidRPr="000560B2">
        <w:rPr>
          <w:rFonts w:cs="Arial"/>
          <w:snapToGrid/>
          <w:szCs w:val="24"/>
        </w:rPr>
        <w:t>1346.</w:t>
      </w:r>
      <w:r w:rsidR="0082315A">
        <w:rPr>
          <w:rFonts w:cs="Arial"/>
          <w:snapToGrid/>
          <w:szCs w:val="24"/>
        </w:rPr>
        <w:t>2</w:t>
      </w:r>
      <w:r w:rsidR="00685FA3" w:rsidRPr="000560B2">
        <w:rPr>
          <w:rFonts w:cs="Arial"/>
          <w:snapToGrid/>
          <w:szCs w:val="24"/>
        </w:rPr>
        <w:t>(b)(</w:t>
      </w:r>
      <w:r w:rsidR="0082315A">
        <w:rPr>
          <w:rFonts w:cs="Arial"/>
          <w:snapToGrid/>
          <w:szCs w:val="24"/>
        </w:rPr>
        <w:t>2</w:t>
      </w:r>
      <w:r w:rsidR="00685FA3" w:rsidRPr="000560B2">
        <w:rPr>
          <w:rFonts w:cs="Arial"/>
          <w:snapToGrid/>
          <w:szCs w:val="24"/>
        </w:rPr>
        <w:t>) and 11346.</w:t>
      </w:r>
      <w:r w:rsidR="0082315A">
        <w:rPr>
          <w:rFonts w:cs="Arial"/>
          <w:snapToGrid/>
          <w:szCs w:val="24"/>
        </w:rPr>
        <w:t>3</w:t>
      </w:r>
      <w:r w:rsidR="00685FA3" w:rsidRPr="000560B2">
        <w:rPr>
          <w:rFonts w:cs="Arial"/>
          <w:snapToGrid/>
          <w:szCs w:val="24"/>
        </w:rPr>
        <w:t>(</w:t>
      </w:r>
      <w:r w:rsidR="00541E31">
        <w:rPr>
          <w:rFonts w:cs="Arial"/>
          <w:snapToGrid/>
          <w:szCs w:val="24"/>
        </w:rPr>
        <w:t>b</w:t>
      </w:r>
      <w:r w:rsidR="00685FA3" w:rsidRPr="000560B2">
        <w:rPr>
          <w:rFonts w:cs="Arial"/>
          <w:snapToGrid/>
          <w:szCs w:val="24"/>
        </w:rPr>
        <w:t>)(</w:t>
      </w:r>
      <w:r w:rsidR="0082315A">
        <w:rPr>
          <w:rFonts w:cs="Arial"/>
          <w:snapToGrid/>
          <w:szCs w:val="24"/>
        </w:rPr>
        <w:t>1</w:t>
      </w:r>
      <w:r w:rsidR="00685FA3" w:rsidRPr="000560B2">
        <w:rPr>
          <w:rFonts w:cs="Arial"/>
          <w:snapToGrid/>
          <w:szCs w:val="24"/>
        </w:rPr>
        <w:t>)</w:t>
      </w:r>
    </w:p>
    <w:p w14:paraId="55AD45D2" w14:textId="58FD01FE" w:rsidR="00787198" w:rsidRPr="000560B2" w:rsidRDefault="00925345" w:rsidP="00AE2F87">
      <w:pPr>
        <w:widowControl/>
        <w:snapToGrid w:val="0"/>
        <w:rPr>
          <w:rFonts w:cs="Arial"/>
          <w:snapToGrid/>
          <w:szCs w:val="24"/>
        </w:rPr>
      </w:pPr>
      <w:r>
        <w:rPr>
          <w:rFonts w:cs="Arial"/>
          <w:snapToGrid/>
          <w:szCs w:val="24"/>
        </w:rPr>
        <w:t>The Division of the State Architect</w:t>
      </w:r>
      <w:r w:rsidR="00787198" w:rsidRPr="000560B2">
        <w:rPr>
          <w:rFonts w:cs="Arial"/>
          <w:snapToGrid/>
          <w:szCs w:val="24"/>
        </w:rPr>
        <w:t xml:space="preserve"> has assessed whether and to what extent this proposal will affect the following:</w:t>
      </w:r>
    </w:p>
    <w:p w14:paraId="735C6E70" w14:textId="0C39F0EA" w:rsidR="00787198" w:rsidRPr="000560B2" w:rsidRDefault="00787198" w:rsidP="006F6F01">
      <w:pPr>
        <w:pStyle w:val="ListParagraph"/>
        <w:widowControl/>
        <w:numPr>
          <w:ilvl w:val="0"/>
          <w:numId w:val="1"/>
        </w:numPr>
        <w:snapToGrid w:val="0"/>
        <w:spacing w:before="120"/>
        <w:ind w:left="1080"/>
        <w:contextualSpacing w:val="0"/>
        <w:rPr>
          <w:rFonts w:cs="Arial"/>
          <w:snapToGrid/>
          <w:szCs w:val="24"/>
        </w:rPr>
      </w:pPr>
      <w:r w:rsidRPr="00F057C2">
        <w:rPr>
          <w:rFonts w:cs="Arial"/>
          <w:b/>
          <w:bCs/>
          <w:snapToGrid/>
          <w:szCs w:val="24"/>
        </w:rPr>
        <w:t>The creation or elimination of jobs within the State of California.</w:t>
      </w:r>
      <w:r w:rsidR="005E60B6" w:rsidRPr="000560B2">
        <w:rPr>
          <w:rFonts w:cs="Arial"/>
          <w:snapToGrid/>
          <w:szCs w:val="24"/>
        </w:rPr>
        <w:br/>
      </w:r>
      <w:r w:rsidR="00B4111A" w:rsidRPr="00063424">
        <w:rPr>
          <w:rFonts w:cs="Arial"/>
          <w:snapToGrid/>
          <w:szCs w:val="24"/>
        </w:rPr>
        <w:t>DSA has determined that the proposed action has no effect</w:t>
      </w:r>
      <w:r w:rsidR="00B4111A">
        <w:rPr>
          <w:rFonts w:cs="Arial"/>
          <w:snapToGrid/>
          <w:szCs w:val="24"/>
        </w:rPr>
        <w:t>.</w:t>
      </w:r>
    </w:p>
    <w:p w14:paraId="3C05C722" w14:textId="25DC0A11" w:rsidR="006F6F01" w:rsidRPr="000560B2" w:rsidRDefault="006F6F01" w:rsidP="006F6F01">
      <w:pPr>
        <w:pStyle w:val="ListParagraph"/>
        <w:widowControl/>
        <w:numPr>
          <w:ilvl w:val="0"/>
          <w:numId w:val="1"/>
        </w:numPr>
        <w:snapToGrid w:val="0"/>
        <w:spacing w:before="120"/>
        <w:ind w:left="1080"/>
        <w:contextualSpacing w:val="0"/>
        <w:rPr>
          <w:rFonts w:cs="Arial"/>
          <w:snapToGrid/>
          <w:szCs w:val="24"/>
        </w:rPr>
      </w:pPr>
      <w:r w:rsidRPr="00F057C2">
        <w:rPr>
          <w:rFonts w:cs="Arial"/>
          <w:b/>
          <w:bCs/>
          <w:snapToGrid/>
          <w:szCs w:val="24"/>
        </w:rPr>
        <w:t>The creation of new businesses or the elimination of existing businesses within the State of California.</w:t>
      </w:r>
      <w:r w:rsidRPr="000560B2">
        <w:rPr>
          <w:rFonts w:cs="Arial"/>
          <w:snapToGrid/>
          <w:szCs w:val="24"/>
        </w:rPr>
        <w:br/>
      </w:r>
      <w:r w:rsidR="00B4111A" w:rsidRPr="00063424">
        <w:rPr>
          <w:rFonts w:cs="Arial"/>
          <w:snapToGrid/>
          <w:szCs w:val="24"/>
        </w:rPr>
        <w:t>DSA has determined that the proposed action has no effect</w:t>
      </w:r>
      <w:r w:rsidR="00B4111A">
        <w:rPr>
          <w:rFonts w:cs="Arial"/>
          <w:snapToGrid/>
          <w:szCs w:val="24"/>
        </w:rPr>
        <w:t>.</w:t>
      </w:r>
    </w:p>
    <w:p w14:paraId="44B53459" w14:textId="057AE57A" w:rsidR="00787198" w:rsidRPr="000560B2" w:rsidRDefault="00787198" w:rsidP="00076E94">
      <w:pPr>
        <w:pStyle w:val="ListParagraph"/>
        <w:widowControl/>
        <w:numPr>
          <w:ilvl w:val="0"/>
          <w:numId w:val="1"/>
        </w:numPr>
        <w:snapToGrid w:val="0"/>
        <w:spacing w:before="120"/>
        <w:ind w:left="1080"/>
        <w:contextualSpacing w:val="0"/>
        <w:rPr>
          <w:rFonts w:cs="Arial"/>
          <w:snapToGrid/>
          <w:szCs w:val="24"/>
        </w:rPr>
      </w:pPr>
      <w:r w:rsidRPr="00F057C2">
        <w:rPr>
          <w:rFonts w:cs="Arial"/>
          <w:b/>
          <w:bCs/>
          <w:snapToGrid/>
          <w:szCs w:val="24"/>
        </w:rPr>
        <w:t>The expansion of businesses currently doing business with</w:t>
      </w:r>
      <w:r w:rsidR="00B46C0C" w:rsidRPr="00F057C2">
        <w:rPr>
          <w:rFonts w:cs="Arial"/>
          <w:b/>
          <w:bCs/>
          <w:snapToGrid/>
          <w:szCs w:val="24"/>
        </w:rPr>
        <w:t>in</w:t>
      </w:r>
      <w:r w:rsidRPr="00F057C2">
        <w:rPr>
          <w:rFonts w:cs="Arial"/>
          <w:b/>
          <w:bCs/>
          <w:snapToGrid/>
          <w:szCs w:val="24"/>
        </w:rPr>
        <w:t xml:space="preserve"> the State of California.</w:t>
      </w:r>
      <w:r w:rsidR="005E60B6" w:rsidRPr="000560B2">
        <w:rPr>
          <w:rFonts w:cs="Arial"/>
          <w:snapToGrid/>
          <w:szCs w:val="24"/>
        </w:rPr>
        <w:br/>
      </w:r>
      <w:r w:rsidR="00B4111A" w:rsidRPr="00063424">
        <w:rPr>
          <w:rFonts w:cs="Arial"/>
          <w:snapToGrid/>
          <w:szCs w:val="24"/>
        </w:rPr>
        <w:t>DSA has determined that the proposed action has no effect</w:t>
      </w:r>
      <w:r w:rsidR="00B4111A">
        <w:rPr>
          <w:rFonts w:cs="Arial"/>
          <w:snapToGrid/>
          <w:szCs w:val="24"/>
        </w:rPr>
        <w:t>.</w:t>
      </w:r>
    </w:p>
    <w:p w14:paraId="76A621BB" w14:textId="56C22EBE" w:rsidR="00787198" w:rsidRPr="000560B2" w:rsidRDefault="00787198" w:rsidP="00076E94">
      <w:pPr>
        <w:pStyle w:val="ListParagraph"/>
        <w:widowControl/>
        <w:numPr>
          <w:ilvl w:val="0"/>
          <w:numId w:val="1"/>
        </w:numPr>
        <w:snapToGrid w:val="0"/>
        <w:spacing w:before="120"/>
        <w:ind w:left="1080"/>
        <w:contextualSpacing w:val="0"/>
        <w:rPr>
          <w:rFonts w:cs="Arial"/>
          <w:snapToGrid/>
          <w:szCs w:val="24"/>
        </w:rPr>
      </w:pPr>
      <w:r w:rsidRPr="00F057C2">
        <w:rPr>
          <w:rFonts w:cs="Arial"/>
          <w:b/>
          <w:bCs/>
          <w:snapToGrid/>
          <w:szCs w:val="24"/>
        </w:rPr>
        <w:t>The benefits of the regulation to the health and welfare of California residents, worker safety, and the state’s environment.</w:t>
      </w:r>
      <w:r w:rsidR="005E60B6" w:rsidRPr="000560B2">
        <w:rPr>
          <w:rFonts w:cs="Arial"/>
          <w:snapToGrid/>
          <w:szCs w:val="24"/>
        </w:rPr>
        <w:br/>
      </w:r>
      <w:r w:rsidR="00B4111A" w:rsidRPr="00063424">
        <w:rPr>
          <w:rFonts w:cs="Arial"/>
          <w:snapToGrid/>
          <w:szCs w:val="24"/>
        </w:rPr>
        <w:t>DSA has determined that the proposed action has no effect</w:t>
      </w:r>
      <w:r w:rsidR="00B4111A">
        <w:rPr>
          <w:rFonts w:cs="Arial"/>
          <w:snapToGrid/>
          <w:szCs w:val="24"/>
        </w:rPr>
        <w:t>.</w:t>
      </w:r>
    </w:p>
    <w:p w14:paraId="5E68F63F" w14:textId="77777777" w:rsidR="000C10D1" w:rsidRPr="000560B2" w:rsidRDefault="000C10D1" w:rsidP="002858DF">
      <w:pPr>
        <w:pStyle w:val="Heading2"/>
      </w:pPr>
      <w:r w:rsidRPr="000560B2">
        <w:lastRenderedPageBreak/>
        <w:t xml:space="preserve">ESTIMATED COST OF COMPLIANCE, ESTIMATED POTENTIAL BENEFITS, AND RELATED ASSUMPTIONS USED FOR BUILDING STANDARDS </w:t>
      </w:r>
    </w:p>
    <w:p w14:paraId="7BBBBDB4" w14:textId="77777777" w:rsidR="000C10D1" w:rsidRPr="000560B2" w:rsidRDefault="000C10D1" w:rsidP="000C10D1">
      <w:pPr>
        <w:widowControl/>
        <w:rPr>
          <w:rFonts w:cs="Arial"/>
          <w:szCs w:val="24"/>
        </w:rPr>
      </w:pPr>
      <w:r w:rsidRPr="000560B2">
        <w:rPr>
          <w:rFonts w:cs="Arial"/>
          <w:szCs w:val="24"/>
        </w:rPr>
        <w:t>Government Code Section 11346.2(b)(5)(B)(</w:t>
      </w:r>
      <w:proofErr w:type="spellStart"/>
      <w:r w:rsidRPr="000560B2">
        <w:rPr>
          <w:rFonts w:cs="Arial"/>
          <w:szCs w:val="24"/>
        </w:rPr>
        <w:t>i</w:t>
      </w:r>
      <w:proofErr w:type="spellEnd"/>
      <w:r w:rsidRPr="000560B2">
        <w:rPr>
          <w:rFonts w:cs="Arial"/>
          <w:szCs w:val="24"/>
        </w:rPr>
        <w:t>) states if a proposed regulation is a building standard, the initial statement of reasons shall include the estimated cost of compliance, the estimated potential benefits, and the related assumptions used to determine the estimates.</w:t>
      </w:r>
    </w:p>
    <w:p w14:paraId="6C699507" w14:textId="3D6B1242" w:rsidR="000C10D1" w:rsidRPr="000560B2" w:rsidRDefault="00B4111A" w:rsidP="000C10D1">
      <w:pPr>
        <w:widowControl/>
        <w:spacing w:before="120"/>
        <w:rPr>
          <w:rFonts w:cs="Arial"/>
          <w:szCs w:val="24"/>
        </w:rPr>
      </w:pPr>
      <w:r w:rsidRPr="00063424">
        <w:rPr>
          <w:rFonts w:cs="Arial"/>
          <w:szCs w:val="24"/>
        </w:rPr>
        <w:t>DS</w:t>
      </w:r>
      <w:r w:rsidRPr="00684E31">
        <w:rPr>
          <w:rFonts w:cs="Arial"/>
          <w:szCs w:val="24"/>
        </w:rPr>
        <w:t>A estimates no costs as Section 18928 of the Health and Safety Code mandates the adoption of the most recent addition of the model code</w:t>
      </w:r>
      <w:r>
        <w:rPr>
          <w:rFonts w:cs="Arial"/>
          <w:szCs w:val="24"/>
        </w:rPr>
        <w:t>.</w:t>
      </w:r>
    </w:p>
    <w:p w14:paraId="29872A73" w14:textId="77777777" w:rsidR="000C10D1" w:rsidRPr="000560B2" w:rsidRDefault="000C10D1" w:rsidP="002858DF">
      <w:pPr>
        <w:pStyle w:val="Heading2"/>
      </w:pPr>
      <w:r w:rsidRPr="000560B2">
        <w:t xml:space="preserve">DUPLICATION OR CONFLICTS WITH FEDERAL REGULATIONS </w:t>
      </w:r>
    </w:p>
    <w:p w14:paraId="41744FD3" w14:textId="77777777" w:rsidR="000C10D1" w:rsidRPr="000560B2" w:rsidRDefault="000C10D1" w:rsidP="000C10D1">
      <w:pPr>
        <w:rPr>
          <w:rFonts w:cs="Arial"/>
          <w:b/>
        </w:rPr>
      </w:pPr>
      <w:r w:rsidRPr="000560B2">
        <w:rPr>
          <w:rFonts w:cs="Arial"/>
        </w:rPr>
        <w:t>Government Code Section 11346.2(b)(6) requires a department, board, or commission within the Environmental Protection Agency, the Resources Agency, or the Office of the State Fire Marshal to describe its efforts, in connection with a proposed rulemaking action, to avoid unnecessary duplication or conflicts with federal regulations contained in the Code of Federal Regulations addressing the same issues. These agencies may adopt regulations different from these federal regulations upon a finding of one or more of the following justifications: (A) The differing state regulations are authorized by law and/or (B) The cost of differing state regulations is justified by the benefit to human health, public safety, public welfare, or the environment.</w:t>
      </w:r>
    </w:p>
    <w:p w14:paraId="62EE6AB8" w14:textId="65F9384F" w:rsidR="00B4111A" w:rsidRPr="000560B2" w:rsidRDefault="00B4111A" w:rsidP="00B4111A">
      <w:pPr>
        <w:spacing w:before="120"/>
        <w:rPr>
          <w:rFonts w:cs="Arial"/>
          <w:szCs w:val="24"/>
        </w:rPr>
      </w:pPr>
      <w:r w:rsidRPr="00063424">
        <w:rPr>
          <w:rFonts w:cs="Arial"/>
          <w:szCs w:val="24"/>
        </w:rPr>
        <w:t xml:space="preserve">The </w:t>
      </w:r>
      <w:r w:rsidR="00CD3EBF">
        <w:rPr>
          <w:rFonts w:cs="Arial"/>
          <w:szCs w:val="24"/>
        </w:rPr>
        <w:t>proposed</w:t>
      </w:r>
      <w:r w:rsidRPr="00063424">
        <w:rPr>
          <w:rFonts w:cs="Arial"/>
          <w:szCs w:val="24"/>
        </w:rPr>
        <w:t xml:space="preserve"> regulations do not conflict with federal regulations</w:t>
      </w:r>
      <w:r>
        <w:rPr>
          <w:rFonts w:cs="Arial"/>
          <w:szCs w:val="24"/>
        </w:rPr>
        <w:t>.</w:t>
      </w:r>
    </w:p>
    <w:p w14:paraId="26272786" w14:textId="575E97B2" w:rsidR="000C10D1" w:rsidRPr="000560B2" w:rsidRDefault="000C10D1" w:rsidP="000C10D1">
      <w:pPr>
        <w:spacing w:before="120"/>
        <w:rPr>
          <w:rFonts w:cs="Arial"/>
          <w:szCs w:val="24"/>
        </w:rPr>
      </w:pPr>
    </w:p>
    <w:p w14:paraId="4723F94D" w14:textId="77777777" w:rsidR="00A23DA3" w:rsidRPr="000560B2" w:rsidRDefault="00A23DA3" w:rsidP="00020B11">
      <w:pPr>
        <w:spacing w:before="120" w:after="240"/>
        <w:rPr>
          <w:rFonts w:cs="Arial"/>
          <w:szCs w:val="24"/>
        </w:rPr>
      </w:pPr>
    </w:p>
    <w:sectPr w:rsidR="00A23DA3" w:rsidRPr="000560B2" w:rsidSect="00B432B6">
      <w:headerReference w:type="default" r:id="rId10"/>
      <w:footerReference w:type="default" r:id="rId11"/>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9903" w14:textId="77777777" w:rsidR="00030A27" w:rsidRDefault="00030A27">
      <w:r>
        <w:separator/>
      </w:r>
    </w:p>
  </w:endnote>
  <w:endnote w:type="continuationSeparator" w:id="0">
    <w:p w14:paraId="3F8C9EA3" w14:textId="77777777" w:rsidR="00030A27" w:rsidRDefault="00030A27">
      <w:r>
        <w:continuationSeparator/>
      </w:r>
    </w:p>
  </w:endnote>
  <w:endnote w:type="continuationNotice" w:id="1">
    <w:p w14:paraId="1900BA73" w14:textId="77777777" w:rsidR="00C21327" w:rsidRDefault="00C213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1EDA" w14:textId="77777777" w:rsidR="00497978" w:rsidRDefault="00497978" w:rsidP="00BC60F9">
    <w:pPr>
      <w:pStyle w:val="Footer"/>
      <w:pBdr>
        <w:top w:val="single" w:sz="4" w:space="1" w:color="auto"/>
      </w:pBdr>
      <w:tabs>
        <w:tab w:val="clear" w:pos="4320"/>
        <w:tab w:val="clear" w:pos="8640"/>
        <w:tab w:val="center" w:pos="4698"/>
        <w:tab w:val="right" w:pos="6498"/>
      </w:tabs>
      <w:rPr>
        <w:rFonts w:cs="Arial"/>
      </w:rPr>
    </w:pPr>
  </w:p>
  <w:p w14:paraId="6B517226" w14:textId="629FDFEC" w:rsidR="00497978" w:rsidRPr="00B1767F" w:rsidRDefault="00835CE1" w:rsidP="00BC60F9">
    <w:pPr>
      <w:pStyle w:val="Footer"/>
      <w:tabs>
        <w:tab w:val="clear" w:pos="4320"/>
        <w:tab w:val="clear" w:pos="8640"/>
        <w:tab w:val="right" w:pos="9540"/>
      </w:tabs>
      <w:rPr>
        <w:rFonts w:cs="Arial"/>
      </w:rPr>
    </w:pPr>
    <w:r>
      <w:rPr>
        <w:rFonts w:cs="Arial"/>
      </w:rPr>
      <w:t xml:space="preserve">BSC TP-106 </w:t>
    </w:r>
    <w:r w:rsidR="00822D36">
      <w:rPr>
        <w:rFonts w:cs="Arial"/>
      </w:rPr>
      <w:t xml:space="preserve">(Rev. </w:t>
    </w:r>
    <w:r w:rsidR="002C0762">
      <w:rPr>
        <w:rFonts w:cs="Arial"/>
      </w:rPr>
      <w:t>10</w:t>
    </w:r>
    <w:r>
      <w:rPr>
        <w:rFonts w:cs="Arial"/>
      </w:rPr>
      <w:t>/</w:t>
    </w:r>
    <w:r w:rsidR="00822D36">
      <w:rPr>
        <w:rFonts w:cs="Arial"/>
      </w:rPr>
      <w:t>2</w:t>
    </w:r>
    <w:r w:rsidR="002C0762">
      <w:rPr>
        <w:rFonts w:cs="Arial"/>
      </w:rPr>
      <w:t>3</w:t>
    </w:r>
    <w:r w:rsidR="00497978" w:rsidRPr="00B1767F">
      <w:rPr>
        <w:rFonts w:cs="Arial"/>
      </w:rPr>
      <w:t>) ISOR</w:t>
    </w:r>
    <w:r w:rsidR="009E7C9B">
      <w:rPr>
        <w:rFonts w:cs="Arial"/>
      </w:rPr>
      <w:tab/>
    </w:r>
    <w:r w:rsidR="00C67EA5">
      <w:rPr>
        <w:rFonts w:cs="Arial"/>
      </w:rPr>
      <w:t>February 1</w:t>
    </w:r>
    <w:r w:rsidR="009E7C9B">
      <w:rPr>
        <w:rFonts w:cs="Arial"/>
      </w:rPr>
      <w:t xml:space="preserve">, </w:t>
    </w:r>
    <w:r w:rsidR="00C67EA5">
      <w:rPr>
        <w:rFonts w:cs="Arial"/>
      </w:rPr>
      <w:t>2023</w:t>
    </w:r>
  </w:p>
  <w:p w14:paraId="2E951DA8" w14:textId="14800EDB" w:rsidR="00497978" w:rsidRDefault="00C67EA5" w:rsidP="00BC60F9">
    <w:pPr>
      <w:pStyle w:val="Footer"/>
      <w:tabs>
        <w:tab w:val="clear" w:pos="4320"/>
        <w:tab w:val="clear" w:pos="8640"/>
        <w:tab w:val="center" w:pos="5040"/>
        <w:tab w:val="right" w:pos="9540"/>
      </w:tabs>
      <w:rPr>
        <w:rFonts w:cs="Arial"/>
      </w:rPr>
    </w:pPr>
    <w:r>
      <w:rPr>
        <w:rFonts w:cs="Arial"/>
      </w:rPr>
      <w:t>DSA</w:t>
    </w:r>
    <w:r w:rsidR="00D8304C">
      <w:rPr>
        <w:rFonts w:cs="Arial"/>
      </w:rPr>
      <w:t>-</w:t>
    </w:r>
    <w:r>
      <w:rPr>
        <w:rFonts w:cs="Arial"/>
      </w:rPr>
      <w:t xml:space="preserve">SS </w:t>
    </w:r>
    <w:r w:rsidR="00076E94">
      <w:rPr>
        <w:rFonts w:cs="Arial"/>
      </w:rPr>
      <w:t>01/23</w:t>
    </w:r>
    <w:r w:rsidR="00497978" w:rsidRPr="00B1767F">
      <w:rPr>
        <w:rFonts w:cs="Arial"/>
      </w:rPr>
      <w:t xml:space="preserve"> - Part</w:t>
    </w:r>
    <w:r w:rsidR="009E7C9B">
      <w:rPr>
        <w:rFonts w:cs="Arial"/>
      </w:rPr>
      <w:t xml:space="preserve"> </w:t>
    </w:r>
    <w:r>
      <w:rPr>
        <w:rFonts w:cs="Arial"/>
      </w:rPr>
      <w:t>3</w:t>
    </w:r>
    <w:r w:rsidR="00497978" w:rsidRPr="00B1767F">
      <w:rPr>
        <w:rFonts w:cs="Arial"/>
      </w:rPr>
      <w:t xml:space="preserve"> -</w:t>
    </w:r>
    <w:r w:rsidR="009E7C9B">
      <w:rPr>
        <w:rFonts w:cs="Arial"/>
      </w:rPr>
      <w:t xml:space="preserve"> </w:t>
    </w:r>
    <w:r>
      <w:rPr>
        <w:rFonts w:cs="Arial"/>
      </w:rPr>
      <w:t>202</w:t>
    </w:r>
    <w:r w:rsidR="009A5E36">
      <w:rPr>
        <w:rFonts w:cs="Arial"/>
      </w:rPr>
      <w:t>4</w:t>
    </w:r>
    <w:r w:rsidR="009E7C9B">
      <w:rPr>
        <w:rFonts w:cs="Arial"/>
      </w:rPr>
      <w:t xml:space="preserve"> Triennial</w:t>
    </w:r>
    <w:r>
      <w:rPr>
        <w:rFonts w:cs="Arial"/>
      </w:rPr>
      <w:t xml:space="preserve"> </w:t>
    </w:r>
    <w:r w:rsidR="00497978" w:rsidRPr="00B1767F">
      <w:rPr>
        <w:rFonts w:cs="Arial"/>
      </w:rPr>
      <w:t>Code Cycle</w:t>
    </w:r>
    <w:r w:rsidR="00497978" w:rsidRPr="00B1767F">
      <w:rPr>
        <w:rFonts w:cs="Arial"/>
      </w:rPr>
      <w:tab/>
    </w:r>
    <w:r w:rsidR="009E7C9B">
      <w:rPr>
        <w:rFonts w:cs="Arial"/>
      </w:rPr>
      <w:tab/>
    </w:r>
    <w:r w:rsidR="0010625C">
      <w:rPr>
        <w:rFonts w:cs="Arial"/>
      </w:rPr>
      <w:t>ISOR</w:t>
    </w:r>
  </w:p>
  <w:p w14:paraId="299F87A1" w14:textId="31B8186B" w:rsidR="00497978" w:rsidRDefault="00C67EA5" w:rsidP="009E7C9B">
    <w:pPr>
      <w:pStyle w:val="Footer"/>
      <w:tabs>
        <w:tab w:val="clear" w:pos="4320"/>
        <w:tab w:val="clear" w:pos="8640"/>
        <w:tab w:val="center" w:pos="5040"/>
        <w:tab w:val="right" w:pos="9540"/>
      </w:tabs>
      <w:rPr>
        <w:rFonts w:cs="Arial"/>
      </w:rPr>
    </w:pPr>
    <w:r>
      <w:rPr>
        <w:rFonts w:cs="Arial"/>
      </w:rPr>
      <w:t>Division of the State Architect</w:t>
    </w:r>
    <w:r w:rsidR="00013F84">
      <w:rPr>
        <w:rFonts w:cs="Arial"/>
      </w:rPr>
      <w:tab/>
    </w:r>
    <w:r w:rsidR="00013F84">
      <w:rPr>
        <w:rStyle w:val="PageNumber"/>
        <w:rFonts w:cs="Arial"/>
      </w:rPr>
      <w:t xml:space="preserve">Page </w:t>
    </w:r>
    <w:r w:rsidR="00013F84" w:rsidRPr="00B1767F">
      <w:rPr>
        <w:rStyle w:val="PageNumber"/>
        <w:rFonts w:cs="Arial"/>
      </w:rPr>
      <w:fldChar w:fldCharType="begin"/>
    </w:r>
    <w:r w:rsidR="00013F84" w:rsidRPr="00B1767F">
      <w:rPr>
        <w:rStyle w:val="PageNumber"/>
        <w:rFonts w:cs="Arial"/>
      </w:rPr>
      <w:instrText xml:space="preserve"> PAGE </w:instrText>
    </w:r>
    <w:r w:rsidR="00013F84" w:rsidRPr="00B1767F">
      <w:rPr>
        <w:rStyle w:val="PageNumber"/>
        <w:rFonts w:cs="Arial"/>
      </w:rPr>
      <w:fldChar w:fldCharType="separate"/>
    </w:r>
    <w:r w:rsidR="00013F84">
      <w:rPr>
        <w:rStyle w:val="PageNumber"/>
        <w:rFonts w:cs="Arial"/>
      </w:rPr>
      <w:t>1</w:t>
    </w:r>
    <w:r w:rsidR="00013F84" w:rsidRPr="00B1767F">
      <w:rPr>
        <w:rStyle w:val="PageNumber"/>
        <w:rFonts w:cs="Arial"/>
      </w:rPr>
      <w:fldChar w:fldCharType="end"/>
    </w:r>
    <w:r w:rsidR="00013F84" w:rsidRPr="00B1767F">
      <w:rPr>
        <w:rStyle w:val="PageNumber"/>
        <w:rFonts w:cs="Arial"/>
      </w:rPr>
      <w:t xml:space="preserve"> of </w:t>
    </w:r>
    <w:r w:rsidR="00013F84" w:rsidRPr="00B1767F">
      <w:rPr>
        <w:rStyle w:val="PageNumber"/>
        <w:rFonts w:cs="Arial"/>
      </w:rPr>
      <w:fldChar w:fldCharType="begin"/>
    </w:r>
    <w:r w:rsidR="00013F84" w:rsidRPr="00B1767F">
      <w:rPr>
        <w:rStyle w:val="PageNumber"/>
        <w:rFonts w:cs="Arial"/>
      </w:rPr>
      <w:instrText xml:space="preserve"> NUMPAGES </w:instrText>
    </w:r>
    <w:r w:rsidR="00013F84" w:rsidRPr="00B1767F">
      <w:rPr>
        <w:rStyle w:val="PageNumber"/>
        <w:rFonts w:cs="Arial"/>
      </w:rPr>
      <w:fldChar w:fldCharType="separate"/>
    </w:r>
    <w:r w:rsidR="00013F84">
      <w:rPr>
        <w:rStyle w:val="PageNumber"/>
        <w:rFonts w:cs="Arial"/>
      </w:rPr>
      <w:t>3</w:t>
    </w:r>
    <w:r w:rsidR="00013F84" w:rsidRPr="00B1767F">
      <w:rPr>
        <w:rStyle w:val="PageNumber"/>
        <w:rFonts w:cs="Arial"/>
      </w:rPr>
      <w:fldChar w:fldCharType="end"/>
    </w:r>
  </w:p>
  <w:p w14:paraId="6822FDE8" w14:textId="77777777" w:rsidR="00231316" w:rsidRPr="00B1767F" w:rsidRDefault="00231316" w:rsidP="00BC60F9">
    <w:pPr>
      <w:pStyle w:val="Footer"/>
      <w:tabs>
        <w:tab w:val="clear" w:pos="4320"/>
        <w:tab w:val="clear" w:pos="8640"/>
        <w:tab w:val="center" w:pos="4698"/>
        <w:tab w:val="right" w:pos="9540"/>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DD70" w14:textId="77777777" w:rsidR="00030A27" w:rsidRDefault="00030A27">
      <w:r>
        <w:separator/>
      </w:r>
    </w:p>
  </w:footnote>
  <w:footnote w:type="continuationSeparator" w:id="0">
    <w:p w14:paraId="06EC5B2A" w14:textId="77777777" w:rsidR="00030A27" w:rsidRDefault="00030A27">
      <w:r>
        <w:continuationSeparator/>
      </w:r>
    </w:p>
  </w:footnote>
  <w:footnote w:type="continuationNotice" w:id="1">
    <w:p w14:paraId="17E46732" w14:textId="77777777" w:rsidR="00C21327" w:rsidRDefault="00C213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DEE" w14:textId="77777777" w:rsidR="00082D91" w:rsidRDefault="00082D91" w:rsidP="00BC60F9">
    <w:pPr>
      <w:pStyle w:val="Header"/>
      <w:tabs>
        <w:tab w:val="clear" w:pos="8640"/>
        <w:tab w:val="right" w:pos="9360"/>
      </w:tabs>
      <w:jc w:val="both"/>
      <w:rPr>
        <w:b w:val="0"/>
        <w:szCs w:val="16"/>
      </w:rPr>
    </w:pPr>
    <w:r>
      <w:rPr>
        <w:szCs w:val="16"/>
      </w:rPr>
      <w:t>STATE OF CALIFORNIA</w:t>
    </w:r>
  </w:p>
  <w:p w14:paraId="7AE79CA0" w14:textId="6994DA29" w:rsidR="00082D91" w:rsidRPr="00BC60F9" w:rsidRDefault="00082D91" w:rsidP="00BC60F9">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00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1750"/>
    <w:rsid w:val="00013F84"/>
    <w:rsid w:val="00020408"/>
    <w:rsid w:val="00020B11"/>
    <w:rsid w:val="00022D31"/>
    <w:rsid w:val="00030A27"/>
    <w:rsid w:val="000319AF"/>
    <w:rsid w:val="000560B2"/>
    <w:rsid w:val="00065AE4"/>
    <w:rsid w:val="000677F0"/>
    <w:rsid w:val="00072A18"/>
    <w:rsid w:val="00076E94"/>
    <w:rsid w:val="00082D91"/>
    <w:rsid w:val="00084066"/>
    <w:rsid w:val="000C10D1"/>
    <w:rsid w:val="000C4655"/>
    <w:rsid w:val="000C70E8"/>
    <w:rsid w:val="000D727A"/>
    <w:rsid w:val="000F123E"/>
    <w:rsid w:val="00105766"/>
    <w:rsid w:val="0010625C"/>
    <w:rsid w:val="00113B14"/>
    <w:rsid w:val="00130778"/>
    <w:rsid w:val="00135F2F"/>
    <w:rsid w:val="001401CC"/>
    <w:rsid w:val="00151926"/>
    <w:rsid w:val="00154D19"/>
    <w:rsid w:val="00161DE1"/>
    <w:rsid w:val="001640AF"/>
    <w:rsid w:val="00165612"/>
    <w:rsid w:val="00167807"/>
    <w:rsid w:val="001700E1"/>
    <w:rsid w:val="00183901"/>
    <w:rsid w:val="00194C5C"/>
    <w:rsid w:val="00194DE1"/>
    <w:rsid w:val="001A37EE"/>
    <w:rsid w:val="001B0D8D"/>
    <w:rsid w:val="001B1E94"/>
    <w:rsid w:val="001B658D"/>
    <w:rsid w:val="001B7435"/>
    <w:rsid w:val="001E3F02"/>
    <w:rsid w:val="001F6DA1"/>
    <w:rsid w:val="00200800"/>
    <w:rsid w:val="00200AB9"/>
    <w:rsid w:val="0022095A"/>
    <w:rsid w:val="00224576"/>
    <w:rsid w:val="002264E9"/>
    <w:rsid w:val="00231316"/>
    <w:rsid w:val="00233429"/>
    <w:rsid w:val="002554D3"/>
    <w:rsid w:val="00262015"/>
    <w:rsid w:val="00262613"/>
    <w:rsid w:val="00262B7A"/>
    <w:rsid w:val="00274F3F"/>
    <w:rsid w:val="002858DF"/>
    <w:rsid w:val="002942D4"/>
    <w:rsid w:val="002A13AF"/>
    <w:rsid w:val="002A3AFD"/>
    <w:rsid w:val="002B7EEE"/>
    <w:rsid w:val="002C0762"/>
    <w:rsid w:val="002C62AE"/>
    <w:rsid w:val="002D2FD5"/>
    <w:rsid w:val="002D3BAF"/>
    <w:rsid w:val="002E4B0A"/>
    <w:rsid w:val="002F0361"/>
    <w:rsid w:val="002F0CA3"/>
    <w:rsid w:val="002F1B5D"/>
    <w:rsid w:val="0030549F"/>
    <w:rsid w:val="003102CA"/>
    <w:rsid w:val="003103E6"/>
    <w:rsid w:val="00331C6A"/>
    <w:rsid w:val="00346B61"/>
    <w:rsid w:val="00354375"/>
    <w:rsid w:val="00365768"/>
    <w:rsid w:val="00383163"/>
    <w:rsid w:val="00387742"/>
    <w:rsid w:val="00390259"/>
    <w:rsid w:val="00391483"/>
    <w:rsid w:val="003B191B"/>
    <w:rsid w:val="003B343B"/>
    <w:rsid w:val="003B5B3A"/>
    <w:rsid w:val="003E0009"/>
    <w:rsid w:val="004025B6"/>
    <w:rsid w:val="004069CE"/>
    <w:rsid w:val="004155ED"/>
    <w:rsid w:val="00427670"/>
    <w:rsid w:val="00452D33"/>
    <w:rsid w:val="00454727"/>
    <w:rsid w:val="00457339"/>
    <w:rsid w:val="0046522E"/>
    <w:rsid w:val="00481B05"/>
    <w:rsid w:val="004829F2"/>
    <w:rsid w:val="00497978"/>
    <w:rsid w:val="004A0868"/>
    <w:rsid w:val="004A3B86"/>
    <w:rsid w:val="004A6215"/>
    <w:rsid w:val="004A7901"/>
    <w:rsid w:val="004D4139"/>
    <w:rsid w:val="004F1391"/>
    <w:rsid w:val="005049DD"/>
    <w:rsid w:val="00506B51"/>
    <w:rsid w:val="00510ECB"/>
    <w:rsid w:val="00526761"/>
    <w:rsid w:val="005334DB"/>
    <w:rsid w:val="00533EC9"/>
    <w:rsid w:val="00534E76"/>
    <w:rsid w:val="0054032A"/>
    <w:rsid w:val="00541E31"/>
    <w:rsid w:val="005460D6"/>
    <w:rsid w:val="005565EE"/>
    <w:rsid w:val="00565942"/>
    <w:rsid w:val="00574CE7"/>
    <w:rsid w:val="005770A0"/>
    <w:rsid w:val="00591BC3"/>
    <w:rsid w:val="005A1D22"/>
    <w:rsid w:val="005B61F2"/>
    <w:rsid w:val="005C7A09"/>
    <w:rsid w:val="005D0828"/>
    <w:rsid w:val="005D4A13"/>
    <w:rsid w:val="005E60B6"/>
    <w:rsid w:val="005F4E2B"/>
    <w:rsid w:val="00607CAD"/>
    <w:rsid w:val="006105F7"/>
    <w:rsid w:val="006470E4"/>
    <w:rsid w:val="0065058B"/>
    <w:rsid w:val="00656600"/>
    <w:rsid w:val="00667FB5"/>
    <w:rsid w:val="0068265A"/>
    <w:rsid w:val="00685FA3"/>
    <w:rsid w:val="006917E5"/>
    <w:rsid w:val="00692F72"/>
    <w:rsid w:val="00695A52"/>
    <w:rsid w:val="006B3837"/>
    <w:rsid w:val="006B4454"/>
    <w:rsid w:val="006B6585"/>
    <w:rsid w:val="006D56D4"/>
    <w:rsid w:val="006E18BB"/>
    <w:rsid w:val="006F52F8"/>
    <w:rsid w:val="006F6F01"/>
    <w:rsid w:val="00716FFE"/>
    <w:rsid w:val="00724D39"/>
    <w:rsid w:val="0073618B"/>
    <w:rsid w:val="00742E49"/>
    <w:rsid w:val="00744F38"/>
    <w:rsid w:val="00760CB3"/>
    <w:rsid w:val="007630EA"/>
    <w:rsid w:val="00784475"/>
    <w:rsid w:val="0078554B"/>
    <w:rsid w:val="00787198"/>
    <w:rsid w:val="00796EC6"/>
    <w:rsid w:val="007C48AA"/>
    <w:rsid w:val="007C73C0"/>
    <w:rsid w:val="007D015D"/>
    <w:rsid w:val="007D7B43"/>
    <w:rsid w:val="007E43A2"/>
    <w:rsid w:val="007E63F5"/>
    <w:rsid w:val="007E66E3"/>
    <w:rsid w:val="007E7473"/>
    <w:rsid w:val="00811C03"/>
    <w:rsid w:val="00813B91"/>
    <w:rsid w:val="00822D36"/>
    <w:rsid w:val="0082315A"/>
    <w:rsid w:val="00823227"/>
    <w:rsid w:val="00823C88"/>
    <w:rsid w:val="00835CE1"/>
    <w:rsid w:val="00841A55"/>
    <w:rsid w:val="0085265B"/>
    <w:rsid w:val="00855D80"/>
    <w:rsid w:val="0086343C"/>
    <w:rsid w:val="00870047"/>
    <w:rsid w:val="008714C7"/>
    <w:rsid w:val="00871E2A"/>
    <w:rsid w:val="00874A25"/>
    <w:rsid w:val="00880F85"/>
    <w:rsid w:val="00891F02"/>
    <w:rsid w:val="00897AC5"/>
    <w:rsid w:val="008A2BB0"/>
    <w:rsid w:val="008B36D8"/>
    <w:rsid w:val="008D3488"/>
    <w:rsid w:val="008D54EE"/>
    <w:rsid w:val="008D563C"/>
    <w:rsid w:val="008E24F9"/>
    <w:rsid w:val="008E6DD9"/>
    <w:rsid w:val="008F41DD"/>
    <w:rsid w:val="00907981"/>
    <w:rsid w:val="00925345"/>
    <w:rsid w:val="00930DC6"/>
    <w:rsid w:val="0093291D"/>
    <w:rsid w:val="009529F7"/>
    <w:rsid w:val="00953053"/>
    <w:rsid w:val="009614F0"/>
    <w:rsid w:val="0098606F"/>
    <w:rsid w:val="0099316F"/>
    <w:rsid w:val="009938E8"/>
    <w:rsid w:val="00996967"/>
    <w:rsid w:val="009969D6"/>
    <w:rsid w:val="009A5E36"/>
    <w:rsid w:val="009B2939"/>
    <w:rsid w:val="009B40E8"/>
    <w:rsid w:val="009B4758"/>
    <w:rsid w:val="009C2C3A"/>
    <w:rsid w:val="009C6A52"/>
    <w:rsid w:val="009C6F67"/>
    <w:rsid w:val="009D3104"/>
    <w:rsid w:val="009E48DF"/>
    <w:rsid w:val="009E7C9B"/>
    <w:rsid w:val="009E7DDA"/>
    <w:rsid w:val="009F4C5C"/>
    <w:rsid w:val="00A202B2"/>
    <w:rsid w:val="00A23DA3"/>
    <w:rsid w:val="00A45EE3"/>
    <w:rsid w:val="00A60064"/>
    <w:rsid w:val="00A622AA"/>
    <w:rsid w:val="00A722F7"/>
    <w:rsid w:val="00A87F83"/>
    <w:rsid w:val="00AA13E2"/>
    <w:rsid w:val="00AA4676"/>
    <w:rsid w:val="00AA7BC9"/>
    <w:rsid w:val="00AB66C7"/>
    <w:rsid w:val="00AD1EAA"/>
    <w:rsid w:val="00AE2F87"/>
    <w:rsid w:val="00B00EAD"/>
    <w:rsid w:val="00B03176"/>
    <w:rsid w:val="00B04697"/>
    <w:rsid w:val="00B17364"/>
    <w:rsid w:val="00B1767F"/>
    <w:rsid w:val="00B25FCF"/>
    <w:rsid w:val="00B4111A"/>
    <w:rsid w:val="00B432B6"/>
    <w:rsid w:val="00B44627"/>
    <w:rsid w:val="00B46C0C"/>
    <w:rsid w:val="00B53E85"/>
    <w:rsid w:val="00B70722"/>
    <w:rsid w:val="00B85D86"/>
    <w:rsid w:val="00B91C93"/>
    <w:rsid w:val="00B93094"/>
    <w:rsid w:val="00BC37CC"/>
    <w:rsid w:val="00BC60F9"/>
    <w:rsid w:val="00BD27E3"/>
    <w:rsid w:val="00BD4FBD"/>
    <w:rsid w:val="00BD7E10"/>
    <w:rsid w:val="00BE66F9"/>
    <w:rsid w:val="00C039D6"/>
    <w:rsid w:val="00C122EF"/>
    <w:rsid w:val="00C12A96"/>
    <w:rsid w:val="00C15768"/>
    <w:rsid w:val="00C17C8B"/>
    <w:rsid w:val="00C21327"/>
    <w:rsid w:val="00C43C0B"/>
    <w:rsid w:val="00C47EC4"/>
    <w:rsid w:val="00C573EA"/>
    <w:rsid w:val="00C610C8"/>
    <w:rsid w:val="00C67EA5"/>
    <w:rsid w:val="00C97E27"/>
    <w:rsid w:val="00CA5AEE"/>
    <w:rsid w:val="00CB3178"/>
    <w:rsid w:val="00CB6FCC"/>
    <w:rsid w:val="00CD3EBF"/>
    <w:rsid w:val="00CE3875"/>
    <w:rsid w:val="00CF4738"/>
    <w:rsid w:val="00CF548B"/>
    <w:rsid w:val="00CF54C4"/>
    <w:rsid w:val="00CF6F40"/>
    <w:rsid w:val="00CF71A6"/>
    <w:rsid w:val="00D0381E"/>
    <w:rsid w:val="00D102F8"/>
    <w:rsid w:val="00D1097D"/>
    <w:rsid w:val="00D13120"/>
    <w:rsid w:val="00D277E1"/>
    <w:rsid w:val="00D36F71"/>
    <w:rsid w:val="00D55D02"/>
    <w:rsid w:val="00D5798C"/>
    <w:rsid w:val="00D62908"/>
    <w:rsid w:val="00D8304C"/>
    <w:rsid w:val="00D909A1"/>
    <w:rsid w:val="00D91A6F"/>
    <w:rsid w:val="00D9456B"/>
    <w:rsid w:val="00DA7D04"/>
    <w:rsid w:val="00DC714E"/>
    <w:rsid w:val="00DD1108"/>
    <w:rsid w:val="00DF05D3"/>
    <w:rsid w:val="00DF3727"/>
    <w:rsid w:val="00E0268C"/>
    <w:rsid w:val="00E05A74"/>
    <w:rsid w:val="00E31F8E"/>
    <w:rsid w:val="00E7437B"/>
    <w:rsid w:val="00E80AB0"/>
    <w:rsid w:val="00E80F9D"/>
    <w:rsid w:val="00E97607"/>
    <w:rsid w:val="00EC59F2"/>
    <w:rsid w:val="00ED1B14"/>
    <w:rsid w:val="00ED2287"/>
    <w:rsid w:val="00EE45FC"/>
    <w:rsid w:val="00EE794D"/>
    <w:rsid w:val="00F057C2"/>
    <w:rsid w:val="00F070BB"/>
    <w:rsid w:val="00F2140F"/>
    <w:rsid w:val="00F21C7A"/>
    <w:rsid w:val="00F239B9"/>
    <w:rsid w:val="00F44034"/>
    <w:rsid w:val="00F61AF5"/>
    <w:rsid w:val="00F629D4"/>
    <w:rsid w:val="00F6315E"/>
    <w:rsid w:val="00F6445C"/>
    <w:rsid w:val="00F86CA3"/>
    <w:rsid w:val="00FA3EB3"/>
    <w:rsid w:val="00FB16D5"/>
    <w:rsid w:val="00FB6E64"/>
    <w:rsid w:val="00FD3749"/>
    <w:rsid w:val="00FD7454"/>
    <w:rsid w:val="00FD7AB9"/>
    <w:rsid w:val="00FE0116"/>
    <w:rsid w:val="00FE2BC0"/>
    <w:rsid w:val="00FE5C96"/>
    <w:rsid w:val="00F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05D2AD2"/>
  <w15:docId w15:val="{87178D09-1391-4A97-B06F-C439D5E2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F9"/>
    <w:pPr>
      <w:widowControl w:val="0"/>
      <w:spacing w:after="120"/>
    </w:pPr>
    <w:rPr>
      <w:rFonts w:ascii="Arial" w:hAnsi="Arial"/>
      <w:snapToGrid w:val="0"/>
      <w:sz w:val="24"/>
    </w:rPr>
  </w:style>
  <w:style w:type="paragraph" w:styleId="Heading1">
    <w:name w:val="heading 1"/>
    <w:basedOn w:val="Normal"/>
    <w:next w:val="Normal"/>
    <w:qFormat/>
    <w:rsid w:val="00161DE1"/>
    <w:pPr>
      <w:keepNext/>
      <w:widowControl/>
      <w:spacing w:before="200" w:after="60"/>
      <w:outlineLvl w:val="0"/>
    </w:pPr>
    <w:rPr>
      <w:b/>
    </w:rPr>
  </w:style>
  <w:style w:type="paragraph" w:styleId="Heading2">
    <w:name w:val="heading 2"/>
    <w:basedOn w:val="Normal"/>
    <w:next w:val="Normal"/>
    <w:qFormat/>
    <w:rsid w:val="002858DF"/>
    <w:pPr>
      <w:keepNext/>
      <w:widowControl/>
      <w:spacing w:before="240"/>
      <w:outlineLvl w:val="1"/>
    </w:pPr>
    <w:rPr>
      <w:b/>
    </w:rPr>
  </w:style>
  <w:style w:type="paragraph" w:styleId="Heading3">
    <w:name w:val="heading 3"/>
    <w:basedOn w:val="Normal"/>
    <w:next w:val="Normal"/>
    <w:qFormat/>
    <w:rsid w:val="002858DF"/>
    <w:pPr>
      <w:keepNext/>
      <w:widowControl/>
      <w:tabs>
        <w:tab w:val="center" w:pos="4680"/>
      </w:tabs>
      <w:spacing w:before="120"/>
      <w:outlineLvl w:val="2"/>
    </w:pPr>
    <w:rPr>
      <w:b/>
    </w:rPr>
  </w:style>
  <w:style w:type="paragraph" w:styleId="Heading4">
    <w:name w:val="heading 4"/>
    <w:basedOn w:val="Normal"/>
    <w:next w:val="Normal"/>
    <w:link w:val="Heading4Char"/>
    <w:uiPriority w:val="9"/>
    <w:unhideWhenUsed/>
    <w:qFormat/>
    <w:rsid w:val="002858DF"/>
    <w:pPr>
      <w:keepNext/>
      <w:keepLines/>
      <w:spacing w:before="120"/>
      <w:ind w:left="36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C60F9"/>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b/>
      <w:sz w:val="20"/>
      <w:u w:val="single"/>
    </w:rPr>
  </w:style>
  <w:style w:type="paragraph" w:styleId="BodyText2">
    <w:name w:val="Body Text 2"/>
    <w:basedOn w:val="Normal"/>
    <w:semiHidden/>
    <w:pPr>
      <w:widowControl/>
    </w:pPr>
    <w:rPr>
      <w:b/>
      <w:sz w:val="20"/>
    </w:rPr>
  </w:style>
  <w:style w:type="paragraph" w:styleId="Header">
    <w:name w:val="header"/>
    <w:basedOn w:val="Normal"/>
    <w:link w:val="HeaderChar"/>
    <w:qFormat/>
    <w:rsid w:val="007E63F5"/>
    <w:pPr>
      <w:tabs>
        <w:tab w:val="center" w:pos="4320"/>
        <w:tab w:val="right" w:pos="8640"/>
      </w:tabs>
      <w:spacing w:after="0"/>
    </w:pPr>
    <w:rPr>
      <w:rFonts w:ascii="Arial Narrow" w:hAnsi="Arial Narrow"/>
      <w:b/>
      <w:caps/>
      <w:sz w:val="16"/>
    </w:rPr>
  </w:style>
  <w:style w:type="paragraph" w:styleId="Footer">
    <w:name w:val="footer"/>
    <w:basedOn w:val="Normal"/>
    <w:link w:val="FooterChar"/>
    <w:qFormat/>
    <w:rsid w:val="007E63F5"/>
    <w:pPr>
      <w:tabs>
        <w:tab w:val="center" w:pos="4320"/>
        <w:tab w:val="right" w:pos="8640"/>
      </w:tabs>
      <w:spacing w:after="0"/>
    </w:pPr>
    <w:rPr>
      <w:sz w:val="16"/>
    </w:rPr>
  </w:style>
  <w:style w:type="character" w:styleId="PageNumber">
    <w:name w:val="page number"/>
    <w:basedOn w:val="DefaultParagraphFont"/>
    <w:semiHidden/>
  </w:style>
  <w:style w:type="paragraph" w:styleId="BodyText3">
    <w:name w:val="Body Text 3"/>
    <w:basedOn w:val="Normal"/>
    <w:semiHidden/>
    <w:pPr>
      <w:widowControl/>
      <w:jc w:val="both"/>
    </w:pPr>
    <w:rPr>
      <w:sz w:val="20"/>
    </w:rPr>
  </w:style>
  <w:style w:type="paragraph" w:styleId="Title">
    <w:name w:val="Title"/>
    <w:basedOn w:val="Normal"/>
    <w:rsid w:val="00387742"/>
    <w:pPr>
      <w:widowControl/>
      <w:tabs>
        <w:tab w:val="center" w:pos="4680"/>
      </w:tabs>
      <w:jc w:val="center"/>
    </w:pPr>
    <w:rPr>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rsid w:val="007E63F5"/>
    <w:rPr>
      <w:rFonts w:ascii="Arial Narrow" w:hAnsi="Arial Narrow"/>
      <w:b/>
      <w:caps/>
      <w:snapToGrid w:val="0"/>
      <w:sz w:val="16"/>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858DF"/>
    <w:rPr>
      <w:rFonts w:ascii="Arial" w:eastAsiaTheme="majorEastAsia" w:hAnsi="Arial" w:cstheme="majorBidi"/>
      <w:b/>
      <w:iCs/>
      <w:snapToGrid w:val="0"/>
      <w:sz w:val="24"/>
    </w:rPr>
  </w:style>
  <w:style w:type="character" w:styleId="CommentReference">
    <w:name w:val="annotation reference"/>
    <w:basedOn w:val="DefaultParagraphFont"/>
    <w:uiPriority w:val="99"/>
    <w:semiHidden/>
    <w:unhideWhenUsed/>
    <w:rsid w:val="008D3488"/>
    <w:rPr>
      <w:sz w:val="16"/>
      <w:szCs w:val="16"/>
    </w:rPr>
  </w:style>
  <w:style w:type="paragraph" w:styleId="CommentText">
    <w:name w:val="annotation text"/>
    <w:basedOn w:val="Normal"/>
    <w:link w:val="CommentTextChar"/>
    <w:uiPriority w:val="99"/>
    <w:unhideWhenUsed/>
    <w:rsid w:val="008D3488"/>
    <w:rPr>
      <w:sz w:val="20"/>
    </w:rPr>
  </w:style>
  <w:style w:type="character" w:customStyle="1" w:styleId="CommentTextChar">
    <w:name w:val="Comment Text Char"/>
    <w:basedOn w:val="DefaultParagraphFont"/>
    <w:link w:val="CommentText"/>
    <w:uiPriority w:val="99"/>
    <w:rsid w:val="008D3488"/>
    <w:rPr>
      <w:rFonts w:ascii="Arial" w:hAnsi="Arial"/>
      <w:snapToGrid w:val="0"/>
    </w:rPr>
  </w:style>
  <w:style w:type="paragraph" w:styleId="CommentSubject">
    <w:name w:val="annotation subject"/>
    <w:basedOn w:val="CommentText"/>
    <w:next w:val="CommentText"/>
    <w:link w:val="CommentSubjectChar"/>
    <w:uiPriority w:val="99"/>
    <w:semiHidden/>
    <w:unhideWhenUsed/>
    <w:rsid w:val="008D3488"/>
    <w:rPr>
      <w:b/>
      <w:bCs/>
    </w:rPr>
  </w:style>
  <w:style w:type="character" w:customStyle="1" w:styleId="CommentSubjectChar">
    <w:name w:val="Comment Subject Char"/>
    <w:basedOn w:val="CommentTextChar"/>
    <w:link w:val="CommentSubject"/>
    <w:uiPriority w:val="99"/>
    <w:semiHidden/>
    <w:rsid w:val="008D3488"/>
    <w:rPr>
      <w:rFonts w:ascii="Arial" w:hAnsi="Arial"/>
      <w:b/>
      <w:bCs/>
      <w:snapToGrid w:val="0"/>
    </w:rPr>
  </w:style>
  <w:style w:type="paragraph" w:styleId="NoSpacing">
    <w:name w:val="No Spacing"/>
    <w:uiPriority w:val="1"/>
    <w:rsid w:val="00BC60F9"/>
    <w:pPr>
      <w:widowControl w:val="0"/>
    </w:pPr>
    <w:rPr>
      <w:rFonts w:ascii="Arial" w:hAnsi="Arial"/>
      <w:snapToGrid w:val="0"/>
      <w:sz w:val="16"/>
    </w:rPr>
  </w:style>
  <w:style w:type="character" w:customStyle="1" w:styleId="Heading5Char">
    <w:name w:val="Heading 5 Char"/>
    <w:basedOn w:val="DefaultParagraphFont"/>
    <w:link w:val="Heading5"/>
    <w:uiPriority w:val="9"/>
    <w:semiHidden/>
    <w:rsid w:val="00BC60F9"/>
    <w:rPr>
      <w:rFonts w:ascii="Arial" w:eastAsiaTheme="majorEastAsia" w:hAnsi="Arial" w:cstheme="majorBidi"/>
      <w:b/>
      <w:snapToGrid w:val="0"/>
      <w:sz w:val="24"/>
    </w:rPr>
  </w:style>
  <w:style w:type="character" w:customStyle="1" w:styleId="FooterChar">
    <w:name w:val="Footer Char"/>
    <w:link w:val="Footer"/>
    <w:rsid w:val="007E63F5"/>
    <w:rPr>
      <w:rFonts w:ascii="Arial" w:hAnsi="Arial"/>
      <w:snapToGrid w:val="0"/>
      <w:sz w:val="16"/>
    </w:rPr>
  </w:style>
  <w:style w:type="paragraph" w:styleId="Revision">
    <w:name w:val="Revision"/>
    <w:hidden/>
    <w:uiPriority w:val="99"/>
    <w:semiHidden/>
    <w:rsid w:val="0010625C"/>
    <w:rPr>
      <w:rFonts w:ascii="Arial" w:hAnsi="Arial"/>
      <w:snapToGrid w:val="0"/>
      <w:sz w:val="24"/>
    </w:rPr>
  </w:style>
  <w:style w:type="paragraph" w:customStyle="1" w:styleId="Default">
    <w:name w:val="Default"/>
    <w:rsid w:val="008D54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74E47-9577-4C53-B306-918ADC68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3159D-A587-49DA-ABE9-2331EDBDDDE0}">
  <ds:schemaRefs>
    <ds:schemaRef ds:uri="http://www.w3.org/XML/1998/namespace"/>
    <ds:schemaRef ds:uri="http://purl.org/dc/dcmitype/"/>
    <ds:schemaRef ds:uri="http://schemas.microsoft.com/office/2006/metadata/properties"/>
    <ds:schemaRef ds:uri="55ec7a1c-057c-4dea-8630-a1f7b19059ef"/>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43973E7-B174-46CA-968B-6FA2087D9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1492</Words>
  <Characters>9022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DSA-SS-XX-24-ISOR-PT3</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01-24 ISOR Part 3</dc:title>
  <dc:subject/>
  <dc:creator>CBSC</dc:creator>
  <cp:keywords/>
  <cp:lastModifiedBy>Day, Kevin@DGS</cp:lastModifiedBy>
  <cp:revision>20</cp:revision>
  <cp:lastPrinted>2020-02-19T18:04:00Z</cp:lastPrinted>
  <dcterms:created xsi:type="dcterms:W3CDTF">2023-10-09T20:30:00Z</dcterms:created>
  <dcterms:modified xsi:type="dcterms:W3CDTF">2024-03-06T19:41:00Z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