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22EABD9B" w:rsidR="00704C9C" w:rsidRPr="00AD67B3" w:rsidRDefault="00421DAD" w:rsidP="002F5C0F">
      <w:pPr>
        <w:pStyle w:val="Heading1"/>
      </w:pPr>
      <w:r>
        <w:t>45-DAY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775AC7">
        <w:rPr>
          <w:rFonts w:eastAsiaTheme="majorEastAsia"/>
        </w:rPr>
        <w:t>ELECTRI</w:t>
      </w:r>
      <w:r w:rsidR="00745EFA">
        <w:rPr>
          <w:rFonts w:eastAsiaTheme="majorEastAsia"/>
        </w:rPr>
        <w:t>C</w:t>
      </w:r>
      <w:r w:rsidR="00775AC7">
        <w:rPr>
          <w:rFonts w:eastAsiaTheme="majorEastAsia"/>
        </w:rPr>
        <w:t>AL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775AC7">
        <w:rPr>
          <w:rFonts w:eastAsiaTheme="majorEastAsia"/>
        </w:rPr>
        <w:t>3</w:t>
      </w:r>
      <w:r w:rsidR="00941B9F">
        <w:br/>
      </w:r>
      <w:r w:rsidR="001701D4" w:rsidRPr="00AD67B3">
        <w:t>(</w:t>
      </w:r>
      <w:r w:rsidR="009C1039">
        <w:rPr>
          <w:rFonts w:cs="Arial"/>
        </w:rPr>
        <w:t xml:space="preserve">SFM </w:t>
      </w:r>
      <w:r w:rsidR="00C65607">
        <w:rPr>
          <w:rFonts w:cs="Arial"/>
        </w:rPr>
        <w:t>04/</w:t>
      </w:r>
      <w:r w:rsidR="009C1039">
        <w:rPr>
          <w:rFonts w:cs="Arial"/>
        </w:rPr>
        <w:t>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0F461D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0F461D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0F461D">
      <w:pPr>
        <w:pStyle w:val="ListParagraph"/>
        <w:numPr>
          <w:ilvl w:val="0"/>
          <w:numId w:val="1"/>
        </w:numPr>
        <w:spacing w:after="0"/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0F461D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0F461D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45ECC59A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3671AC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792E068B" w:rsidR="000257AD" w:rsidRPr="00AD67B3" w:rsidRDefault="00421DAD" w:rsidP="002F5C0F">
      <w:pPr>
        <w:pStyle w:val="Heading2"/>
        <w:rPr>
          <w:bCs/>
        </w:rPr>
      </w:pPr>
      <w:r>
        <w:t>45-DAY</w:t>
      </w:r>
      <w:r w:rsidR="006D74C1" w:rsidRPr="00AD67B3">
        <w:t xml:space="preserve"> </w:t>
      </w:r>
      <w:r w:rsidR="000257AD" w:rsidRPr="00AD67B3">
        <w:t>EXPRESS TERMS</w:t>
      </w:r>
    </w:p>
    <w:p w14:paraId="29E8096A" w14:textId="425541C9" w:rsidR="003E5D22" w:rsidRPr="00AD67B3" w:rsidRDefault="003E5D22" w:rsidP="003E5D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 w:rsidR="009F4CDE">
        <w:rPr>
          <w:noProof/>
        </w:rPr>
        <w:t>-1</w:t>
      </w:r>
      <w:r>
        <w:br/>
      </w:r>
      <w:r w:rsidR="00406C2F">
        <w:t>Article 89</w:t>
      </w:r>
      <w:r w:rsidRPr="00AD67B3">
        <w:t xml:space="preserve"> </w:t>
      </w:r>
      <w:r w:rsidR="000D2FA2">
        <w:t>GENERAL CODE PROVISIONS</w:t>
      </w:r>
      <w:r w:rsidR="00215D5E">
        <w:rPr>
          <w:noProof/>
        </w:rPr>
        <w:t xml:space="preserve">, </w:t>
      </w:r>
      <w:r w:rsidR="00342ECA">
        <w:rPr>
          <w:noProof/>
        </w:rPr>
        <w:t xml:space="preserve">Section </w:t>
      </w:r>
      <w:r w:rsidR="000D2FA2">
        <w:rPr>
          <w:noProof/>
        </w:rPr>
        <w:t>89.111.1</w:t>
      </w:r>
      <w:r w:rsidR="00342ECA">
        <w:rPr>
          <w:noProof/>
        </w:rPr>
        <w:t xml:space="preserve"> </w:t>
      </w:r>
      <w:r w:rsidR="00E9496B">
        <w:rPr>
          <w:noProof/>
        </w:rPr>
        <w:t>Office of the State Fire Marshal</w:t>
      </w:r>
    </w:p>
    <w:p w14:paraId="711AD7D4" w14:textId="5DD07CD8" w:rsidR="00CD7BF4" w:rsidRDefault="002A40CF" w:rsidP="00514922">
      <w:pPr>
        <w:widowControl/>
        <w:autoSpaceDE w:val="0"/>
        <w:autoSpaceDN w:val="0"/>
        <w:adjustRightInd w:val="0"/>
        <w:spacing w:after="240"/>
        <w:rPr>
          <w:rFonts w:cs="Arial"/>
          <w:snapToGrid/>
          <w:szCs w:val="24"/>
        </w:rPr>
      </w:pPr>
      <w:r w:rsidRPr="001D4F76">
        <w:rPr>
          <w:rFonts w:cs="Arial"/>
          <w:snapToGrid/>
          <w:szCs w:val="24"/>
        </w:rPr>
        <w:t xml:space="preserve">[The SFM is proposing to </w:t>
      </w:r>
      <w:r>
        <w:rPr>
          <w:rFonts w:cs="Arial"/>
          <w:snapToGrid/>
          <w:szCs w:val="24"/>
        </w:rPr>
        <w:t>amend the definition</w:t>
      </w:r>
      <w:r w:rsidRPr="001D4F76">
        <w:rPr>
          <w:rFonts w:cs="Arial"/>
          <w:snapToGrid/>
          <w:szCs w:val="24"/>
        </w:rPr>
        <w:t xml:space="preserve"> of Specified State-Occupied.]</w:t>
      </w:r>
    </w:p>
    <w:p w14:paraId="19293F40" w14:textId="25A5E6C3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state institution or other state-owned or 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specified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state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Pr="00C07186">
        <w:rPr>
          <w:rFonts w:cs="Arial"/>
          <w:b/>
          <w:bCs/>
          <w:i/>
          <w:iCs/>
          <w:snapToGrid/>
          <w:szCs w:val="24"/>
        </w:rPr>
        <w:t>occupied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building.</w:t>
      </w:r>
    </w:p>
    <w:p w14:paraId="78E935CE" w14:textId="7EB4D89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state-occupied buildings.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="00895252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236AF059" w14:textId="65253E68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</w:t>
      </w:r>
      <w:r w:rsidR="00895252" w:rsidRPr="00705A89">
        <w:rPr>
          <w:rFonts w:cs="Arial"/>
          <w:i/>
          <w:iCs/>
          <w:snapToGrid/>
          <w:szCs w:val="24"/>
          <w:u w:val="single"/>
        </w:rPr>
        <w:t>-</w:t>
      </w:r>
      <w:r w:rsidRPr="00705A89">
        <w:rPr>
          <w:rFonts w:cs="Arial"/>
          <w:i/>
          <w:iCs/>
          <w:snapToGrid/>
          <w:szCs w:val="24"/>
          <w:u w:val="single"/>
        </w:rPr>
        <w:t>to-suit lease.</w:t>
      </w:r>
    </w:p>
    <w:p w14:paraId="24E6974F" w14:textId="111012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detention area.</w:t>
      </w:r>
    </w:p>
    <w:p w14:paraId="540E8D5D" w14:textId="1A8337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used by the Department of Corrections and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 xml:space="preserve">Rehabilitation </w:t>
      </w:r>
      <w:r w:rsidR="00C65607">
        <w:rPr>
          <w:rFonts w:cs="Arial"/>
          <w:i/>
          <w:iCs/>
          <w:snapToGrid/>
          <w:szCs w:val="24"/>
          <w:u w:val="single"/>
        </w:rPr>
        <w:t>(</w:t>
      </w:r>
      <w:proofErr w:type="spellStart"/>
      <w:r w:rsidRPr="00705A89">
        <w:rPr>
          <w:rFonts w:cs="Arial"/>
          <w:i/>
          <w:iCs/>
          <w:snapToGrid/>
          <w:szCs w:val="24"/>
          <w:u w:val="single"/>
        </w:rPr>
        <w:t>CDCR</w:t>
      </w:r>
      <w:proofErr w:type="spellEnd"/>
      <w:r w:rsidRPr="00705A89">
        <w:rPr>
          <w:rFonts w:cs="Arial"/>
          <w:i/>
          <w:iCs/>
          <w:snapToGrid/>
          <w:szCs w:val="24"/>
          <w:u w:val="single"/>
        </w:rPr>
        <w:t>) as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community correctional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reentry center.</w:t>
      </w:r>
    </w:p>
    <w:p w14:paraId="4D520BEA" w14:textId="1D0372A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2DAB21DF" w14:textId="3DF30FB4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high-rise and is 75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percent of the net area floor space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or more occupied by state entities.</w:t>
      </w:r>
    </w:p>
    <w:p w14:paraId="56245D06" w14:textId="363688FA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building that contains 5,000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square feet (465 m2) or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more space of state-leased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Group H or Group L occupancy.</w:t>
      </w:r>
    </w:p>
    <w:p w14:paraId="340FA7C1" w14:textId="7C0A636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A state-leased building with facilities with the primary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purpose of housing state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records and/or state artifacts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of historical significance.</w:t>
      </w:r>
    </w:p>
    <w:p w14:paraId="30EF77D1" w14:textId="6201B09E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</w:t>
      </w:r>
      <w:r w:rsidR="00816D0B" w:rsidRPr="00705A89">
        <w:rPr>
          <w:rFonts w:cs="Arial"/>
          <w:i/>
          <w:iCs/>
          <w:snapToGrid/>
          <w:szCs w:val="24"/>
          <w:u w:val="single"/>
        </w:rPr>
        <w:t>.</w:t>
      </w:r>
    </w:p>
    <w:p w14:paraId="6DD46C28" w14:textId="2372427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9463591" w14:textId="7F4D9910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3CA4ABC5" w14:textId="10651962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protection services rely on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an all-volunteer fire department.</w:t>
      </w:r>
    </w:p>
    <w:p w14:paraId="5B483FC2" w14:textId="15D0134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="00816D0B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E06837B" w14:textId="22524A01" w:rsidR="00CF6D78" w:rsidRPr="00514922" w:rsidRDefault="00C07186" w:rsidP="0051492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514922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 w:rsidR="00816D0B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4F89DFA1" w14:textId="77777777" w:rsidR="0089464C" w:rsidRPr="00070E4D" w:rsidRDefault="0089464C" w:rsidP="0089464C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7754F4DB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bookmarkStart w:id="1" w:name="_Hlk123134096"/>
      <w:r w:rsidRPr="00E64FDA">
        <w:rPr>
          <w:rFonts w:cs="Arial"/>
          <w:bCs/>
        </w:rPr>
        <w:t>Authority: Health and Safety Code Sections 1250, 1502, 1568.02, 1569.72, 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11427FCE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bookmarkEnd w:id="1"/>
    <w:p w14:paraId="485B0157" w14:textId="4EE7557A" w:rsidR="00DB4228" w:rsidRPr="009C5696" w:rsidRDefault="00DB4228" w:rsidP="007D1E69">
      <w:pPr>
        <w:spacing w:before="120" w:after="0"/>
        <w:rPr>
          <w:rFonts w:cs="Arial"/>
          <w:bCs/>
          <w:szCs w:val="24"/>
        </w:rPr>
      </w:pPr>
    </w:p>
    <w:sectPr w:rsidR="00DB4228" w:rsidRPr="009C569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05" w14:textId="77777777" w:rsidR="00CE7CD6" w:rsidRDefault="00CE7CD6">
      <w:r>
        <w:separator/>
      </w:r>
    </w:p>
  </w:endnote>
  <w:endnote w:type="continuationSeparator" w:id="0">
    <w:p w14:paraId="5D61649D" w14:textId="77777777" w:rsidR="00CE7CD6" w:rsidRDefault="00C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5BE43B79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421DAD">
      <w:rPr>
        <w:rFonts w:cs="Arial"/>
        <w:sz w:val="16"/>
      </w:rPr>
      <w:t>03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>)</w:t>
    </w:r>
    <w:r w:rsidR="00421DAD">
      <w:rPr>
        <w:rFonts w:cs="Arial"/>
        <w:sz w:val="16"/>
      </w:rPr>
      <w:t xml:space="preserve"> 45-Day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421DAD">
      <w:rPr>
        <w:rFonts w:cs="Arial"/>
        <w:sz w:val="16"/>
      </w:rPr>
      <w:t>April 6, 2023</w:t>
    </w:r>
  </w:p>
  <w:p w14:paraId="166C3041" w14:textId="53562BB0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C65607">
      <w:rPr>
        <w:rFonts w:cs="Arial"/>
        <w:sz w:val="16"/>
      </w:rPr>
      <w:t>04/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3737EB">
      <w:rPr>
        <w:rFonts w:cs="Arial"/>
        <w:sz w:val="16"/>
      </w:rPr>
      <w:t>3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421DAD">
      <w:rPr>
        <w:sz w:val="16"/>
      </w:rPr>
      <w:t xml:space="preserve"> 45-DAY </w:t>
    </w:r>
    <w:r>
      <w:rPr>
        <w:sz w:val="16"/>
      </w:rPr>
      <w:t>ET</w:t>
    </w:r>
  </w:p>
  <w:p w14:paraId="4F83FBD6" w14:textId="255A0883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EB3" w14:textId="77777777" w:rsidR="00CE7CD6" w:rsidRDefault="00CE7CD6">
      <w:r>
        <w:separator/>
      </w:r>
    </w:p>
  </w:footnote>
  <w:footnote w:type="continuationSeparator" w:id="0">
    <w:p w14:paraId="05CEDF38" w14:textId="77777777" w:rsidR="00CE7CD6" w:rsidRDefault="00CE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33B7C45A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7D0A"/>
    <w:multiLevelType w:val="hybridMultilevel"/>
    <w:tmpl w:val="0EF4F2E0"/>
    <w:lvl w:ilvl="0" w:tplc="716EF0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595">
    <w:abstractNumId w:val="14"/>
  </w:num>
  <w:num w:numId="2" w16cid:durableId="380980332">
    <w:abstractNumId w:val="23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7"/>
  </w:num>
  <w:num w:numId="6" w16cid:durableId="562836353">
    <w:abstractNumId w:val="24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5"/>
  </w:num>
  <w:num w:numId="11" w16cid:durableId="1125349677">
    <w:abstractNumId w:val="2"/>
  </w:num>
  <w:num w:numId="12" w16cid:durableId="571621019">
    <w:abstractNumId w:val="18"/>
  </w:num>
  <w:num w:numId="13" w16cid:durableId="2050109081">
    <w:abstractNumId w:val="19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0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2"/>
  </w:num>
  <w:num w:numId="22" w16cid:durableId="1290547070">
    <w:abstractNumId w:val="25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6"/>
  </w:num>
  <w:num w:numId="29" w16cid:durableId="377318761">
    <w:abstractNumId w:val="21"/>
  </w:num>
  <w:num w:numId="30" w16cid:durableId="1406684071">
    <w:abstractNumId w:val="4"/>
  </w:num>
  <w:num w:numId="31" w16cid:durableId="116427397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22FC6"/>
    <w:rsid w:val="00023964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2FA2"/>
    <w:rsid w:val="000D41E0"/>
    <w:rsid w:val="000D42C2"/>
    <w:rsid w:val="000D6755"/>
    <w:rsid w:val="000E0DEA"/>
    <w:rsid w:val="000E24B4"/>
    <w:rsid w:val="000E3761"/>
    <w:rsid w:val="000F25B5"/>
    <w:rsid w:val="000F461D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503DE"/>
    <w:rsid w:val="001537F1"/>
    <w:rsid w:val="00153B81"/>
    <w:rsid w:val="00155193"/>
    <w:rsid w:val="00155D57"/>
    <w:rsid w:val="00155E69"/>
    <w:rsid w:val="00160795"/>
    <w:rsid w:val="00163478"/>
    <w:rsid w:val="001701D4"/>
    <w:rsid w:val="001705AC"/>
    <w:rsid w:val="00175449"/>
    <w:rsid w:val="00177F0E"/>
    <w:rsid w:val="001829FA"/>
    <w:rsid w:val="001909A0"/>
    <w:rsid w:val="00191727"/>
    <w:rsid w:val="001A2431"/>
    <w:rsid w:val="001A6884"/>
    <w:rsid w:val="001B6464"/>
    <w:rsid w:val="001C711F"/>
    <w:rsid w:val="001E1310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5D85"/>
    <w:rsid w:val="002705F2"/>
    <w:rsid w:val="00273111"/>
    <w:rsid w:val="0027362E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684C"/>
    <w:rsid w:val="002F066A"/>
    <w:rsid w:val="002F2260"/>
    <w:rsid w:val="002F34EB"/>
    <w:rsid w:val="002F5C0F"/>
    <w:rsid w:val="002F5EDA"/>
    <w:rsid w:val="0030639B"/>
    <w:rsid w:val="003076AA"/>
    <w:rsid w:val="003078EA"/>
    <w:rsid w:val="0031058D"/>
    <w:rsid w:val="00310C7A"/>
    <w:rsid w:val="0032161D"/>
    <w:rsid w:val="00330FB0"/>
    <w:rsid w:val="003319FC"/>
    <w:rsid w:val="00342ECA"/>
    <w:rsid w:val="0035176D"/>
    <w:rsid w:val="00357CA0"/>
    <w:rsid w:val="00365AB5"/>
    <w:rsid w:val="003671AC"/>
    <w:rsid w:val="003737EB"/>
    <w:rsid w:val="003815A5"/>
    <w:rsid w:val="00382F86"/>
    <w:rsid w:val="00384973"/>
    <w:rsid w:val="00391D75"/>
    <w:rsid w:val="003922FB"/>
    <w:rsid w:val="0039323D"/>
    <w:rsid w:val="00394567"/>
    <w:rsid w:val="003A11D1"/>
    <w:rsid w:val="003A5EC5"/>
    <w:rsid w:val="003A75B3"/>
    <w:rsid w:val="003B2262"/>
    <w:rsid w:val="003B3A52"/>
    <w:rsid w:val="003C0E92"/>
    <w:rsid w:val="003C1C51"/>
    <w:rsid w:val="003D3553"/>
    <w:rsid w:val="003D453F"/>
    <w:rsid w:val="003D4DB0"/>
    <w:rsid w:val="003D79D2"/>
    <w:rsid w:val="003E533B"/>
    <w:rsid w:val="003E5C5D"/>
    <w:rsid w:val="003E5D22"/>
    <w:rsid w:val="003E672B"/>
    <w:rsid w:val="003F7FCC"/>
    <w:rsid w:val="003F7FD6"/>
    <w:rsid w:val="004001FA"/>
    <w:rsid w:val="004011D9"/>
    <w:rsid w:val="00406C2F"/>
    <w:rsid w:val="004072C3"/>
    <w:rsid w:val="004133C6"/>
    <w:rsid w:val="00421DAD"/>
    <w:rsid w:val="004259A3"/>
    <w:rsid w:val="00426AC7"/>
    <w:rsid w:val="00435338"/>
    <w:rsid w:val="00441771"/>
    <w:rsid w:val="00447258"/>
    <w:rsid w:val="00457CDC"/>
    <w:rsid w:val="004624C8"/>
    <w:rsid w:val="00462999"/>
    <w:rsid w:val="00463E4E"/>
    <w:rsid w:val="00467AEE"/>
    <w:rsid w:val="00467C5C"/>
    <w:rsid w:val="00472D61"/>
    <w:rsid w:val="004764FF"/>
    <w:rsid w:val="004827A5"/>
    <w:rsid w:val="00486905"/>
    <w:rsid w:val="004A129E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5720"/>
    <w:rsid w:val="00500E80"/>
    <w:rsid w:val="00507BB7"/>
    <w:rsid w:val="00513451"/>
    <w:rsid w:val="00514023"/>
    <w:rsid w:val="00514922"/>
    <w:rsid w:val="00524C10"/>
    <w:rsid w:val="00526CEC"/>
    <w:rsid w:val="00530BF9"/>
    <w:rsid w:val="00535736"/>
    <w:rsid w:val="005361FE"/>
    <w:rsid w:val="00537332"/>
    <w:rsid w:val="0054282C"/>
    <w:rsid w:val="00542B8B"/>
    <w:rsid w:val="00546FCD"/>
    <w:rsid w:val="00550A1A"/>
    <w:rsid w:val="00553E8E"/>
    <w:rsid w:val="00554AB5"/>
    <w:rsid w:val="00562BB3"/>
    <w:rsid w:val="00562FB7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4B74"/>
    <w:rsid w:val="005966DA"/>
    <w:rsid w:val="005A45A0"/>
    <w:rsid w:val="005A6DEB"/>
    <w:rsid w:val="005B4417"/>
    <w:rsid w:val="005B5D80"/>
    <w:rsid w:val="005B6590"/>
    <w:rsid w:val="005D1879"/>
    <w:rsid w:val="005D2311"/>
    <w:rsid w:val="005D47E1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4163"/>
    <w:rsid w:val="00650572"/>
    <w:rsid w:val="006629D7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393A"/>
    <w:rsid w:val="00693C63"/>
    <w:rsid w:val="006A2DAE"/>
    <w:rsid w:val="006A31EC"/>
    <w:rsid w:val="006B25B8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5A89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5EFA"/>
    <w:rsid w:val="0074752B"/>
    <w:rsid w:val="00751EA7"/>
    <w:rsid w:val="007603E4"/>
    <w:rsid w:val="00764A76"/>
    <w:rsid w:val="00775AC7"/>
    <w:rsid w:val="00776586"/>
    <w:rsid w:val="007766BF"/>
    <w:rsid w:val="00781050"/>
    <w:rsid w:val="00782404"/>
    <w:rsid w:val="00786F24"/>
    <w:rsid w:val="007872FD"/>
    <w:rsid w:val="0079144E"/>
    <w:rsid w:val="0079318D"/>
    <w:rsid w:val="00793D55"/>
    <w:rsid w:val="00794B3E"/>
    <w:rsid w:val="00797DEF"/>
    <w:rsid w:val="007A230E"/>
    <w:rsid w:val="007A63F5"/>
    <w:rsid w:val="007B17FE"/>
    <w:rsid w:val="007B30F9"/>
    <w:rsid w:val="007B606B"/>
    <w:rsid w:val="007B7209"/>
    <w:rsid w:val="007C0129"/>
    <w:rsid w:val="007C3980"/>
    <w:rsid w:val="007D1E69"/>
    <w:rsid w:val="007D37AE"/>
    <w:rsid w:val="007D6539"/>
    <w:rsid w:val="007D687D"/>
    <w:rsid w:val="007E4160"/>
    <w:rsid w:val="007E468E"/>
    <w:rsid w:val="007E748E"/>
    <w:rsid w:val="007F25A1"/>
    <w:rsid w:val="00804C5B"/>
    <w:rsid w:val="008073F6"/>
    <w:rsid w:val="00810A22"/>
    <w:rsid w:val="0081573D"/>
    <w:rsid w:val="00815750"/>
    <w:rsid w:val="00816D0B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292C"/>
    <w:rsid w:val="00866236"/>
    <w:rsid w:val="00867C1A"/>
    <w:rsid w:val="00870778"/>
    <w:rsid w:val="008735F8"/>
    <w:rsid w:val="00881B65"/>
    <w:rsid w:val="00887E69"/>
    <w:rsid w:val="0089122F"/>
    <w:rsid w:val="0089464C"/>
    <w:rsid w:val="00895252"/>
    <w:rsid w:val="008A2AC5"/>
    <w:rsid w:val="008A3518"/>
    <w:rsid w:val="008A6BFD"/>
    <w:rsid w:val="008A6CD2"/>
    <w:rsid w:val="008B4344"/>
    <w:rsid w:val="008B4B9E"/>
    <w:rsid w:val="008B6531"/>
    <w:rsid w:val="008C31E6"/>
    <w:rsid w:val="008C3C9C"/>
    <w:rsid w:val="008C7C93"/>
    <w:rsid w:val="008D07BB"/>
    <w:rsid w:val="008D26BA"/>
    <w:rsid w:val="008D4AD2"/>
    <w:rsid w:val="008D5817"/>
    <w:rsid w:val="008D5B20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367CD"/>
    <w:rsid w:val="00937590"/>
    <w:rsid w:val="00941B9F"/>
    <w:rsid w:val="009456A9"/>
    <w:rsid w:val="00946495"/>
    <w:rsid w:val="00957E07"/>
    <w:rsid w:val="00957EDF"/>
    <w:rsid w:val="009676E3"/>
    <w:rsid w:val="00973A9A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42A3"/>
    <w:rsid w:val="009B4B5A"/>
    <w:rsid w:val="009B642C"/>
    <w:rsid w:val="009C0103"/>
    <w:rsid w:val="009C1039"/>
    <w:rsid w:val="009C1919"/>
    <w:rsid w:val="009C5696"/>
    <w:rsid w:val="009C59D5"/>
    <w:rsid w:val="009D114C"/>
    <w:rsid w:val="009D39C9"/>
    <w:rsid w:val="009D439B"/>
    <w:rsid w:val="009D551C"/>
    <w:rsid w:val="009E6B12"/>
    <w:rsid w:val="009E7724"/>
    <w:rsid w:val="009F4CDE"/>
    <w:rsid w:val="00A1790D"/>
    <w:rsid w:val="00A21797"/>
    <w:rsid w:val="00A21DD3"/>
    <w:rsid w:val="00A267F1"/>
    <w:rsid w:val="00A3121D"/>
    <w:rsid w:val="00A33D4B"/>
    <w:rsid w:val="00A3634D"/>
    <w:rsid w:val="00A36D32"/>
    <w:rsid w:val="00A53202"/>
    <w:rsid w:val="00A60CA1"/>
    <w:rsid w:val="00A61D10"/>
    <w:rsid w:val="00A62D07"/>
    <w:rsid w:val="00A67DC9"/>
    <w:rsid w:val="00A74ABC"/>
    <w:rsid w:val="00A80006"/>
    <w:rsid w:val="00A81F65"/>
    <w:rsid w:val="00A879FE"/>
    <w:rsid w:val="00A93D3E"/>
    <w:rsid w:val="00A94D64"/>
    <w:rsid w:val="00A9674B"/>
    <w:rsid w:val="00A97432"/>
    <w:rsid w:val="00AA1609"/>
    <w:rsid w:val="00AA21C3"/>
    <w:rsid w:val="00AA72AC"/>
    <w:rsid w:val="00AB0AD4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733E"/>
    <w:rsid w:val="00AF14EB"/>
    <w:rsid w:val="00AF4E96"/>
    <w:rsid w:val="00B01BBF"/>
    <w:rsid w:val="00B032D4"/>
    <w:rsid w:val="00B0682A"/>
    <w:rsid w:val="00B11DDD"/>
    <w:rsid w:val="00B13839"/>
    <w:rsid w:val="00B21B81"/>
    <w:rsid w:val="00B251BC"/>
    <w:rsid w:val="00B30A6C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3DB0"/>
    <w:rsid w:val="00B946C5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47F8"/>
    <w:rsid w:val="00BD6A83"/>
    <w:rsid w:val="00BE1C6B"/>
    <w:rsid w:val="00BE2344"/>
    <w:rsid w:val="00BE276F"/>
    <w:rsid w:val="00BF3BE7"/>
    <w:rsid w:val="00BF3FC3"/>
    <w:rsid w:val="00BF6F19"/>
    <w:rsid w:val="00C001E2"/>
    <w:rsid w:val="00C05030"/>
    <w:rsid w:val="00C07186"/>
    <w:rsid w:val="00C11907"/>
    <w:rsid w:val="00C14134"/>
    <w:rsid w:val="00C176FA"/>
    <w:rsid w:val="00C318EB"/>
    <w:rsid w:val="00C32E86"/>
    <w:rsid w:val="00C350F9"/>
    <w:rsid w:val="00C3524A"/>
    <w:rsid w:val="00C4088E"/>
    <w:rsid w:val="00C44076"/>
    <w:rsid w:val="00C44A47"/>
    <w:rsid w:val="00C470CB"/>
    <w:rsid w:val="00C52518"/>
    <w:rsid w:val="00C52CA2"/>
    <w:rsid w:val="00C53A5F"/>
    <w:rsid w:val="00C57320"/>
    <w:rsid w:val="00C621E1"/>
    <w:rsid w:val="00C64A99"/>
    <w:rsid w:val="00C65607"/>
    <w:rsid w:val="00C67B72"/>
    <w:rsid w:val="00C75971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432A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FEA"/>
    <w:rsid w:val="00CE495D"/>
    <w:rsid w:val="00CE5820"/>
    <w:rsid w:val="00CE6F0A"/>
    <w:rsid w:val="00CE7CD6"/>
    <w:rsid w:val="00CF041F"/>
    <w:rsid w:val="00CF2A26"/>
    <w:rsid w:val="00CF3372"/>
    <w:rsid w:val="00CF6D78"/>
    <w:rsid w:val="00CF7A83"/>
    <w:rsid w:val="00D05081"/>
    <w:rsid w:val="00D12066"/>
    <w:rsid w:val="00D23AC6"/>
    <w:rsid w:val="00D2536C"/>
    <w:rsid w:val="00D265FF"/>
    <w:rsid w:val="00D3467E"/>
    <w:rsid w:val="00D373F5"/>
    <w:rsid w:val="00D406E8"/>
    <w:rsid w:val="00D40EF6"/>
    <w:rsid w:val="00D43F22"/>
    <w:rsid w:val="00D5025F"/>
    <w:rsid w:val="00D531C5"/>
    <w:rsid w:val="00D55925"/>
    <w:rsid w:val="00D663EE"/>
    <w:rsid w:val="00D700CF"/>
    <w:rsid w:val="00D72A17"/>
    <w:rsid w:val="00D73CFC"/>
    <w:rsid w:val="00D74842"/>
    <w:rsid w:val="00D80B66"/>
    <w:rsid w:val="00D91AE2"/>
    <w:rsid w:val="00DA0D16"/>
    <w:rsid w:val="00DA2E23"/>
    <w:rsid w:val="00DA3DF3"/>
    <w:rsid w:val="00DA6D75"/>
    <w:rsid w:val="00DA7144"/>
    <w:rsid w:val="00DA7EC4"/>
    <w:rsid w:val="00DB0952"/>
    <w:rsid w:val="00DB4228"/>
    <w:rsid w:val="00DB4F0C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2630"/>
    <w:rsid w:val="00E06065"/>
    <w:rsid w:val="00E12770"/>
    <w:rsid w:val="00E165BD"/>
    <w:rsid w:val="00E2195D"/>
    <w:rsid w:val="00E302CB"/>
    <w:rsid w:val="00E33D3E"/>
    <w:rsid w:val="00E35194"/>
    <w:rsid w:val="00E365E1"/>
    <w:rsid w:val="00E3790F"/>
    <w:rsid w:val="00E434EC"/>
    <w:rsid w:val="00E475FB"/>
    <w:rsid w:val="00E53D35"/>
    <w:rsid w:val="00E549BD"/>
    <w:rsid w:val="00E5532D"/>
    <w:rsid w:val="00E56883"/>
    <w:rsid w:val="00E57937"/>
    <w:rsid w:val="00E63331"/>
    <w:rsid w:val="00E646E5"/>
    <w:rsid w:val="00E65CE6"/>
    <w:rsid w:val="00E679BE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3696A"/>
    <w:rsid w:val="00F422AB"/>
    <w:rsid w:val="00F426B6"/>
    <w:rsid w:val="00F42E2C"/>
    <w:rsid w:val="00F45121"/>
    <w:rsid w:val="00F557E5"/>
    <w:rsid w:val="00F57283"/>
    <w:rsid w:val="00F619D0"/>
    <w:rsid w:val="00F74657"/>
    <w:rsid w:val="00F768B4"/>
    <w:rsid w:val="00F80096"/>
    <w:rsid w:val="00F80E0C"/>
    <w:rsid w:val="00F91C28"/>
    <w:rsid w:val="00F93544"/>
    <w:rsid w:val="00F937A8"/>
    <w:rsid w:val="00F93ECC"/>
    <w:rsid w:val="00F94286"/>
    <w:rsid w:val="00FA04BB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C6518-188B-40AA-9A91-4255FBA4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F52EB-565F-4D73-AA8C-CF2157179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A4792-7028-46ED-8251-58B58F702BCD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2071710-83e2-4871-b606-0004f14e9c40"/>
    <ds:schemaRef ds:uri="de349a6f-9dd4-4167-a0ec-0f85ef0207c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SFM-04-22-IET-PT3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SFM-04-22-IET-PT3-45day</dc:title>
  <dc:creator>CBSC</dc:creator>
  <cp:lastModifiedBy>Brauzman, Irina@DGS</cp:lastModifiedBy>
  <cp:revision>4</cp:revision>
  <cp:lastPrinted>2020-06-10T21:02:00Z</cp:lastPrinted>
  <dcterms:created xsi:type="dcterms:W3CDTF">2023-04-07T15:15:00Z</dcterms:created>
  <dcterms:modified xsi:type="dcterms:W3CDTF">2023-04-17T18:43:00Z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