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FEFB" w14:textId="40344A61" w:rsidR="00767766" w:rsidRPr="0044593B" w:rsidRDefault="00786248" w:rsidP="000C7383">
      <w:pPr>
        <w:pStyle w:val="Heading1"/>
        <w:spacing w:before="0" w:after="120"/>
        <w:jc w:val="center"/>
        <w:rPr>
          <w:rFonts w:cs="Arial"/>
          <w:szCs w:val="24"/>
        </w:rPr>
      </w:pPr>
      <w:r w:rsidRPr="0044593B">
        <w:rPr>
          <w:rFonts w:cs="Arial"/>
        </w:rPr>
        <w:t>ADDITIONAL</w:t>
      </w:r>
      <w:r w:rsidR="00767766" w:rsidRPr="0044593B">
        <w:rPr>
          <w:rFonts w:cs="Arial"/>
        </w:rPr>
        <w:t xml:space="preserve"> </w:t>
      </w:r>
      <w:r w:rsidR="00EA35BB">
        <w:rPr>
          <w:rFonts w:cs="Arial"/>
        </w:rPr>
        <w:t>15</w:t>
      </w:r>
      <w:r w:rsidRPr="0044593B">
        <w:rPr>
          <w:rFonts w:cs="Arial"/>
        </w:rPr>
        <w:t xml:space="preserve">-DAY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EA35BB">
        <w:rPr>
          <w:rFonts w:cs="Arial"/>
        </w:rPr>
        <w:t>DIVISION OF THE STATE ARCHITECT</w:t>
      </w:r>
      <w:r w:rsidR="00767766" w:rsidRPr="0044593B">
        <w:rPr>
          <w:rFonts w:cs="Arial"/>
        </w:rPr>
        <w:br/>
        <w:t xml:space="preserve">REGARDING THE </w:t>
      </w:r>
      <w:r w:rsidR="00EA35BB">
        <w:rPr>
          <w:rFonts w:cs="Arial"/>
        </w:rPr>
        <w:t xml:space="preserve">2022 CALIFORNIA </w:t>
      </w:r>
      <w:r w:rsidR="009035D0">
        <w:rPr>
          <w:rFonts w:cs="Arial"/>
        </w:rPr>
        <w:t>PLUMBING</w:t>
      </w:r>
      <w:r w:rsidR="00EA35BB">
        <w:rPr>
          <w:rFonts w:cs="Arial"/>
        </w:rPr>
        <w:t xml:space="preserve"> CODE</w:t>
      </w:r>
      <w:r w:rsidR="00767766" w:rsidRPr="0044593B">
        <w:rPr>
          <w:rFonts w:cs="Arial"/>
        </w:rPr>
        <w:t>,</w:t>
      </w:r>
      <w:r w:rsidR="000C7383">
        <w:rPr>
          <w:rFonts w:cs="Arial"/>
        </w:rPr>
        <w:br/>
      </w:r>
      <w:r w:rsidR="00767766" w:rsidRPr="0044593B">
        <w:rPr>
          <w:rFonts w:cs="Arial"/>
        </w:rPr>
        <w:t xml:space="preserve">CALIFORNIA CODE OF REGULATIONS, TITLE 24, PART </w:t>
      </w:r>
      <w:r w:rsidR="009035D0">
        <w:rPr>
          <w:rFonts w:cs="Arial"/>
        </w:rPr>
        <w:t>5</w:t>
      </w:r>
      <w:r w:rsidR="000C7383">
        <w:rPr>
          <w:rFonts w:cs="Arial"/>
        </w:rPr>
        <w:br/>
      </w:r>
      <w:r w:rsidR="00767766" w:rsidRPr="0044593B">
        <w:rPr>
          <w:rFonts w:cs="Arial"/>
          <w:szCs w:val="24"/>
        </w:rPr>
        <w:t>(</w:t>
      </w:r>
      <w:r w:rsidR="00526C54">
        <w:rPr>
          <w:rFonts w:cs="Arial"/>
          <w:szCs w:val="24"/>
        </w:rPr>
        <w:t>DSA-</w:t>
      </w:r>
      <w:r w:rsidR="009035D0">
        <w:rPr>
          <w:rFonts w:cs="Arial"/>
          <w:szCs w:val="24"/>
        </w:rPr>
        <w:t>SS</w:t>
      </w:r>
      <w:r w:rsidR="00526C54">
        <w:rPr>
          <w:rFonts w:cs="Arial"/>
          <w:szCs w:val="24"/>
        </w:rPr>
        <w:t xml:space="preserve"> 0</w:t>
      </w:r>
      <w:r w:rsidR="009035D0">
        <w:rPr>
          <w:rFonts w:cs="Arial"/>
          <w:szCs w:val="24"/>
        </w:rPr>
        <w:t>5</w:t>
      </w:r>
      <w:r w:rsidR="00526C54">
        <w:rPr>
          <w:rFonts w:cs="Arial"/>
          <w:szCs w:val="24"/>
        </w:rPr>
        <w:t>/22</w:t>
      </w:r>
      <w:r w:rsidR="00767766" w:rsidRPr="0044593B">
        <w:rPr>
          <w:rFonts w:cs="Arial"/>
          <w:szCs w:val="24"/>
        </w:rPr>
        <w:t>)</w:t>
      </w:r>
    </w:p>
    <w:p w14:paraId="2CC5E725" w14:textId="20C933C2" w:rsidR="0017531B" w:rsidRPr="0044593B" w:rsidRDefault="00FB34BE" w:rsidP="00FB34BE">
      <w:pPr>
        <w:spacing w:after="120"/>
        <w:rPr>
          <w:rFonts w:cs="Arial"/>
        </w:rPr>
      </w:pPr>
      <w:r w:rsidRPr="0044593B">
        <w:rPr>
          <w:rFonts w:cs="Arial"/>
        </w:rPr>
        <w:t>No state agency may adopt, amend, or repeal a regulation which has been changed from that which was originally made available to the public pursuant to Section 11346.5, unless the change is (1) non</w:t>
      </w:r>
      <w:r w:rsidR="00EA35BB">
        <w:rPr>
          <w:rFonts w:cs="Arial"/>
        </w:rPr>
        <w:t>-</w:t>
      </w:r>
      <w:r w:rsidRPr="0044593B">
        <w:rPr>
          <w:rFonts w:cs="Arial"/>
        </w:rPr>
        <w:t>substantial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w:t>
      </w:r>
      <w:r w:rsidR="002A0905" w:rsidRPr="0044593B">
        <w:rPr>
          <w:rFonts w:cs="Arial"/>
        </w:rPr>
        <w:t xml:space="preserve"> or 45</w:t>
      </w:r>
      <w:r w:rsidRPr="0044593B">
        <w:rPr>
          <w:rFonts w:cs="Arial"/>
        </w:rPr>
        <w:t xml:space="preserve"> days before the agency adopts, amends, or repeals the resulting regulation.</w:t>
      </w:r>
    </w:p>
    <w:p w14:paraId="1D0B4194" w14:textId="10613FFF" w:rsidR="00FB34BE" w:rsidRPr="0044593B" w:rsidRDefault="00FB34BE" w:rsidP="00FB34BE">
      <w:pPr>
        <w:spacing w:after="120"/>
        <w:rPr>
          <w:rFonts w:cs="Arial"/>
        </w:rPr>
      </w:pPr>
      <w:r w:rsidRPr="0044593B">
        <w:rPr>
          <w:rFonts w:cs="Arial"/>
        </w:rPr>
        <w:t xml:space="preserve">Any written comments received regarding the change must be responded to in the final statement of reasons required by Section 11346.9 (Government Code Section 11346.8(c)). </w:t>
      </w:r>
    </w:p>
    <w:p w14:paraId="508FDA34" w14:textId="131D01FD" w:rsidR="00DD1947" w:rsidRPr="0044593B" w:rsidRDefault="00DD1947" w:rsidP="009D10AD">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sidR="008A63C7">
        <w:rPr>
          <w:rFonts w:cs="Arial"/>
          <w:szCs w:val="24"/>
        </w:rPr>
        <w:t>, double strikeout</w:t>
      </w:r>
      <w:r w:rsidRPr="0044593B">
        <w:rPr>
          <w:rFonts w:cs="Arial"/>
          <w:szCs w:val="24"/>
        </w:rPr>
        <w:t>, italics and ellipsis.</w:t>
      </w:r>
      <w:r w:rsidR="003324BE" w:rsidRPr="0044593B">
        <w:rPr>
          <w:rFonts w:cs="Arial"/>
          <w:szCs w:val="24"/>
        </w:rPr>
        <w:t xml:space="preserve"> Double underline will be indicated by parenthetical notes within the text. The notes will not be codified or published in the code.</w:t>
      </w:r>
    </w:p>
    <w:p w14:paraId="39B2DE99" w14:textId="77777777" w:rsidR="00767766" w:rsidRPr="0044593B" w:rsidRDefault="00767766" w:rsidP="000C7383">
      <w:pPr>
        <w:pStyle w:val="Heading2"/>
        <w:spacing w:before="80" w:after="80"/>
        <w:rPr>
          <w:rFonts w:cs="Arial"/>
        </w:rPr>
      </w:pPr>
      <w:r w:rsidRPr="0044593B">
        <w:rPr>
          <w:rFonts w:cs="Arial"/>
        </w:rPr>
        <w:t xml:space="preserve">LEGEND </w:t>
      </w:r>
      <w:r w:rsidR="0092735E" w:rsidRPr="0044593B">
        <w:rPr>
          <w:rFonts w:cs="Arial"/>
        </w:rPr>
        <w:t>for</w:t>
      </w:r>
      <w:r w:rsidRPr="0044593B">
        <w:rPr>
          <w:rFonts w:cs="Arial"/>
        </w:rPr>
        <w:t xml:space="preserve"> EXPRESS TERMS (Based on model codes - Parts 2, 2.5, 3, 4, 5, 9, 10)</w:t>
      </w:r>
    </w:p>
    <w:p w14:paraId="7F57497E" w14:textId="5926D377" w:rsidR="00CF2161" w:rsidRPr="0044593B" w:rsidRDefault="00CF2161" w:rsidP="00CF2161">
      <w:pPr>
        <w:pStyle w:val="ListParagraph"/>
        <w:numPr>
          <w:ilvl w:val="0"/>
          <w:numId w:val="5"/>
        </w:numPr>
        <w:rPr>
          <w:rFonts w:cs="Arial"/>
        </w:rPr>
      </w:pPr>
      <w:bookmarkStart w:id="0" w:name="_Hlk51751202"/>
      <w:r w:rsidRPr="0044593B">
        <w:rPr>
          <w:rFonts w:cs="Arial"/>
        </w:rPr>
        <w:t>Model Code language appears upright</w:t>
      </w:r>
      <w:r w:rsidR="00B53C67" w:rsidRPr="0044593B">
        <w:rPr>
          <w:rFonts w:cs="Arial"/>
        </w:rPr>
        <w:t>.</w:t>
      </w:r>
    </w:p>
    <w:p w14:paraId="52AB6E65" w14:textId="395D7A77" w:rsidR="00CF2161" w:rsidRPr="0044593B" w:rsidRDefault="00CF2161" w:rsidP="00CF2161">
      <w:pPr>
        <w:pStyle w:val="ListParagraph"/>
        <w:numPr>
          <w:ilvl w:val="0"/>
          <w:numId w:val="5"/>
        </w:numPr>
        <w:rPr>
          <w:rFonts w:cs="Arial"/>
          <w:iCs/>
        </w:rPr>
      </w:pPr>
      <w:r w:rsidRPr="0044593B">
        <w:rPr>
          <w:rFonts w:cs="Arial"/>
        </w:rPr>
        <w:t xml:space="preserve">Unmodified California 45-day amendments appear in </w:t>
      </w:r>
      <w:r w:rsidRPr="008A63C7">
        <w:rPr>
          <w:rFonts w:cs="Arial"/>
          <w:i/>
          <w:u w:val="single"/>
        </w:rPr>
        <w:t xml:space="preserve">underline </w:t>
      </w:r>
      <w:r w:rsidR="00B53C67" w:rsidRPr="008A63C7">
        <w:rPr>
          <w:rFonts w:cs="Arial"/>
          <w:i/>
          <w:u w:val="single"/>
        </w:rPr>
        <w:t>and</w:t>
      </w:r>
      <w:r w:rsidRPr="008A63C7">
        <w:rPr>
          <w:rFonts w:cs="Arial"/>
          <w:i/>
          <w:u w:val="single"/>
        </w:rPr>
        <w:t xml:space="preserve"> italic</w:t>
      </w:r>
      <w:r w:rsidR="00B53C67" w:rsidRPr="0044593B">
        <w:rPr>
          <w:rFonts w:cs="Arial"/>
          <w:iCs/>
        </w:rPr>
        <w:t xml:space="preserve"> and </w:t>
      </w:r>
      <w:r w:rsidR="00B53C67" w:rsidRPr="008A63C7">
        <w:rPr>
          <w:rFonts w:cs="Arial"/>
          <w:i/>
          <w:strike/>
        </w:rPr>
        <w:t>strikeout and italic</w:t>
      </w:r>
      <w:r w:rsidR="00B53C67" w:rsidRPr="0044593B">
        <w:rPr>
          <w:rFonts w:cs="Arial"/>
          <w:i/>
        </w:rPr>
        <w:t>.</w:t>
      </w:r>
    </w:p>
    <w:p w14:paraId="15B6E9D7" w14:textId="0AF71560" w:rsidR="00CF2161" w:rsidRPr="0044593B" w:rsidRDefault="00CF2161" w:rsidP="00CF2161">
      <w:pPr>
        <w:pStyle w:val="ListParagraph"/>
        <w:numPr>
          <w:ilvl w:val="0"/>
          <w:numId w:val="5"/>
        </w:numPr>
        <w:rPr>
          <w:rFonts w:cs="Arial"/>
          <w:i/>
          <w:u w:val="single"/>
        </w:rPr>
      </w:pPr>
      <w:r w:rsidRPr="0044593B">
        <w:rPr>
          <w:rFonts w:cs="Arial"/>
        </w:rPr>
        <w:t xml:space="preserve">California additional </w:t>
      </w:r>
      <w:r w:rsidR="00EA35BB">
        <w:rPr>
          <w:rFonts w:cs="Arial"/>
        </w:rPr>
        <w:t>15</w:t>
      </w:r>
      <w:r w:rsidRPr="0044593B">
        <w:rPr>
          <w:rFonts w:cs="Arial"/>
        </w:rPr>
        <w:t xml:space="preserve">-day amendments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2535AC15" w14:textId="6DD9A469" w:rsidR="00CF2161" w:rsidRPr="0044593B" w:rsidRDefault="00B53C67" w:rsidP="00CF2161">
      <w:pPr>
        <w:pStyle w:val="ListParagraph"/>
        <w:numPr>
          <w:ilvl w:val="0"/>
          <w:numId w:val="5"/>
        </w:numPr>
        <w:rPr>
          <w:rFonts w:cs="Arial"/>
        </w:rPr>
      </w:pPr>
      <w:r w:rsidRPr="0044593B">
        <w:rPr>
          <w:rFonts w:cs="Arial"/>
        </w:rPr>
        <w:t xml:space="preserve">Ellipsis </w:t>
      </w:r>
      <w:r w:rsidRPr="0044593B">
        <w:rPr>
          <w:rFonts w:cs="Arial"/>
          <w:szCs w:val="24"/>
        </w:rPr>
        <w:t>(</w:t>
      </w:r>
      <w:r w:rsidRPr="0044593B">
        <w:rPr>
          <w:rFonts w:cs="Arial"/>
          <w:sz w:val="2"/>
          <w:szCs w:val="2"/>
        </w:rPr>
        <w:t xml:space="preserve"> </w:t>
      </w:r>
      <w:r w:rsidRPr="0044593B">
        <w:rPr>
          <w:rFonts w:eastAsia="Times New Roman" w:cs="Arial"/>
          <w:szCs w:val="24"/>
          <w:lang w:eastAsia="ko-KR"/>
        </w:rPr>
        <w:t>...)</w:t>
      </w:r>
      <w:r w:rsidRPr="0044593B">
        <w:rPr>
          <w:rFonts w:eastAsia="Times New Roman" w:cs="Arial"/>
          <w:lang w:eastAsia="ko-KR"/>
        </w:rPr>
        <w:t xml:space="preserve"> indicate existing text remains unchanged.</w:t>
      </w:r>
    </w:p>
    <w:p w14:paraId="17176657" w14:textId="30416E07" w:rsidR="00CF2161" w:rsidRPr="0044593B" w:rsidRDefault="00B53C67" w:rsidP="00CF2161">
      <w:pPr>
        <w:pStyle w:val="ListParagraph"/>
        <w:numPr>
          <w:ilvl w:val="0"/>
          <w:numId w:val="5"/>
        </w:numPr>
        <w:rPr>
          <w:rFonts w:cs="Arial"/>
        </w:rPr>
      </w:pPr>
      <w:r w:rsidRPr="0044593B">
        <w:rPr>
          <w:rFonts w:cs="Arial"/>
          <w:b/>
          <w:bCs/>
        </w:rPr>
        <w:t>Rationale</w:t>
      </w:r>
      <w:r w:rsidRPr="0044593B">
        <w:rPr>
          <w:rFonts w:cs="Arial"/>
        </w:rPr>
        <w:t>: The justification for the change is shown after each section or series of related changes.</w:t>
      </w:r>
    </w:p>
    <w:bookmarkEnd w:id="0"/>
    <w:p w14:paraId="6573F4A2" w14:textId="77777777" w:rsidR="00786248" w:rsidRPr="0044593B" w:rsidRDefault="00786248" w:rsidP="00786248">
      <w:pPr>
        <w:pStyle w:val="BodyText3"/>
        <w:pBdr>
          <w:bottom w:val="single" w:sz="4" w:space="1" w:color="auto"/>
        </w:pBdr>
        <w:jc w:val="left"/>
        <w:rPr>
          <w:rFonts w:cs="Arial"/>
          <w:sz w:val="10"/>
          <w:szCs w:val="10"/>
        </w:rPr>
      </w:pPr>
    </w:p>
    <w:p w14:paraId="7D4E993D" w14:textId="343A1406" w:rsidR="00767766" w:rsidRPr="0044593B" w:rsidRDefault="00786248" w:rsidP="000C7383">
      <w:pPr>
        <w:pStyle w:val="Heading2"/>
        <w:rPr>
          <w:bCs/>
        </w:rPr>
      </w:pPr>
      <w:r w:rsidRPr="0044593B">
        <w:t>ADDITIONAL</w:t>
      </w:r>
      <w:r w:rsidR="00767766" w:rsidRPr="0044593B">
        <w:t xml:space="preserve"> </w:t>
      </w:r>
      <w:r w:rsidR="00EA35BB">
        <w:t>15</w:t>
      </w:r>
      <w:r w:rsidRPr="0044593B">
        <w:t xml:space="preserve">-DAY </w:t>
      </w:r>
      <w:r w:rsidR="00767766" w:rsidRPr="0044593B">
        <w:t>EXPRESS TERMS</w:t>
      </w:r>
    </w:p>
    <w:p w14:paraId="088DFC8A" w14:textId="77777777" w:rsidR="002F081B" w:rsidRDefault="002F081B" w:rsidP="002F081B">
      <w:pPr>
        <w:pStyle w:val="Heading3"/>
        <w:rPr>
          <w:noProof/>
        </w:rPr>
      </w:pPr>
      <w:r w:rsidRPr="00AD67B3">
        <w:t xml:space="preserve">ITEM </w:t>
      </w:r>
      <w:r>
        <w:rPr>
          <w:noProof/>
        </w:rPr>
        <w:t>1</w:t>
      </w:r>
      <w:r>
        <w:br/>
      </w:r>
      <w:r w:rsidRPr="00AD67B3">
        <w:t xml:space="preserve">Chapter </w:t>
      </w:r>
      <w:r>
        <w:rPr>
          <w:noProof/>
        </w:rPr>
        <w:t xml:space="preserve">2 DEFINITIONS, </w:t>
      </w:r>
      <w:r w:rsidRPr="006F74EE">
        <w:rPr>
          <w:noProof/>
        </w:rPr>
        <w:t xml:space="preserve">Section </w:t>
      </w:r>
      <w:r>
        <w:rPr>
          <w:noProof/>
        </w:rPr>
        <w:t>218.0</w:t>
      </w:r>
      <w:r w:rsidRPr="006F74EE">
        <w:rPr>
          <w:noProof/>
        </w:rPr>
        <w:t>.</w:t>
      </w:r>
    </w:p>
    <w:p w14:paraId="4A1E0044" w14:textId="77777777" w:rsidR="002F081B" w:rsidRDefault="002F081B" w:rsidP="002F081B">
      <w:pPr>
        <w:autoSpaceDE w:val="0"/>
        <w:autoSpaceDN w:val="0"/>
        <w:adjustRightInd w:val="0"/>
        <w:rPr>
          <w:rFonts w:cs="Arial"/>
          <w:i/>
          <w:iCs/>
          <w:szCs w:val="24"/>
        </w:rPr>
      </w:pPr>
    </w:p>
    <w:p w14:paraId="7BFD0B23" w14:textId="77777777" w:rsidR="002F081B" w:rsidRPr="00B13798" w:rsidRDefault="002F081B" w:rsidP="002F081B">
      <w:pPr>
        <w:rPr>
          <w:b/>
          <w:bCs/>
        </w:rPr>
      </w:pPr>
      <w:r w:rsidRPr="00B13798">
        <w:rPr>
          <w:b/>
          <w:bCs/>
        </w:rPr>
        <w:t xml:space="preserve">Section </w:t>
      </w:r>
      <w:r>
        <w:rPr>
          <w:b/>
          <w:bCs/>
        </w:rPr>
        <w:t>218</w:t>
      </w:r>
      <w:r w:rsidRPr="00B13798">
        <w:rPr>
          <w:b/>
          <w:bCs/>
        </w:rPr>
        <w:t xml:space="preserve">.0, Definition of </w:t>
      </w:r>
      <w:r>
        <w:rPr>
          <w:b/>
          <w:bCs/>
          <w:i/>
          <w:iCs/>
        </w:rPr>
        <w:t>Privacy Compartment</w:t>
      </w:r>
      <w:r w:rsidRPr="00B13798">
        <w:rPr>
          <w:b/>
          <w:bCs/>
        </w:rPr>
        <w:t xml:space="preserve"> </w:t>
      </w:r>
    </w:p>
    <w:p w14:paraId="0615841A" w14:textId="77777777" w:rsidR="002F081B" w:rsidRDefault="002F081B" w:rsidP="002F081B">
      <w:pPr>
        <w:spacing w:after="360"/>
        <w:rPr>
          <w:rFonts w:ascii="Calibri" w:hAnsi="Calibri"/>
          <w:i/>
          <w:iCs/>
          <w:sz w:val="22"/>
          <w:u w:val="single"/>
        </w:rPr>
      </w:pPr>
      <w:r>
        <w:rPr>
          <w:b/>
          <w:bCs/>
          <w:i/>
          <w:iCs/>
          <w:u w:val="single"/>
        </w:rPr>
        <w:t>Privacy Compartment: [DSA-SS]</w:t>
      </w:r>
      <w:r>
        <w:rPr>
          <w:b/>
          <w:bCs/>
          <w:i/>
          <w:iCs/>
        </w:rPr>
        <w:t xml:space="preserve"> </w:t>
      </w:r>
      <w:r>
        <w:rPr>
          <w:i/>
          <w:iCs/>
          <w:u w:val="single"/>
        </w:rPr>
        <w:t>A compartment enclosing a water closet or urinal</w:t>
      </w:r>
      <w:r>
        <w:rPr>
          <w:i/>
          <w:iCs/>
        </w:rPr>
        <w:t xml:space="preserve"> </w:t>
      </w:r>
      <w:r w:rsidRPr="0027065B">
        <w:rPr>
          <w:i/>
          <w:iCs/>
          <w:dstrike/>
        </w:rPr>
        <w:t>that</w:t>
      </w:r>
      <w:r w:rsidRPr="002F081B">
        <w:rPr>
          <w:i/>
          <w:iCs/>
          <w:dstrike/>
        </w:rPr>
        <w:t xml:space="preserve"> provides visual privacy for </w:t>
      </w:r>
      <w:r w:rsidRPr="0027065B">
        <w:rPr>
          <w:i/>
          <w:iCs/>
          <w:dstrike/>
        </w:rPr>
        <w:t>the user.</w:t>
      </w:r>
      <w:r>
        <w:rPr>
          <w:i/>
          <w:iCs/>
        </w:rPr>
        <w:t xml:space="preserve"> [Begin Double underline</w:t>
      </w:r>
      <w:r w:rsidRPr="002F081B">
        <w:rPr>
          <w:i/>
          <w:iCs/>
          <w:u w:val="double"/>
        </w:rPr>
        <w:t>] provided with floor-to-ceiling pre-manufactured panels, continuous brackets at abutting panels, and a floor-to-ceiling door with continuous hinges and full height astragals. Privacy compartments may also be constructed with full-height walls and door with head jamb casing.</w:t>
      </w:r>
      <w:r>
        <w:rPr>
          <w:i/>
          <w:iCs/>
          <w:u w:val="single"/>
        </w:rPr>
        <w:t xml:space="preserve"> </w:t>
      </w:r>
      <w:r>
        <w:rPr>
          <w:i/>
          <w:iCs/>
        </w:rPr>
        <w:t>[End Double underline]</w:t>
      </w:r>
    </w:p>
    <w:p w14:paraId="1B47D4C4" w14:textId="34F8FDEE" w:rsidR="007D08DD" w:rsidRDefault="007D08DD" w:rsidP="007D08DD">
      <w:pPr>
        <w:spacing w:before="120"/>
        <w:rPr>
          <w:rFonts w:cs="Arial"/>
          <w:noProof/>
        </w:rPr>
      </w:pPr>
      <w:r w:rsidRPr="0044593B">
        <w:rPr>
          <w:rFonts w:cs="Arial"/>
          <w:b/>
        </w:rPr>
        <w:lastRenderedPageBreak/>
        <w:t>Rationale:</w:t>
      </w:r>
      <w:r w:rsidRPr="0044593B">
        <w:rPr>
          <w:rFonts w:cs="Arial"/>
        </w:rPr>
        <w:t xml:space="preserve"> </w:t>
      </w:r>
      <w:r>
        <w:rPr>
          <w:rFonts w:cs="Arial"/>
          <w:noProof/>
        </w:rPr>
        <w:t xml:space="preserve">Language originally proposed in Section 422.2 is being relocated to the definition to clarify and completely define the definition of a </w:t>
      </w:r>
      <w:r w:rsidRPr="00A53E1E">
        <w:rPr>
          <w:rFonts w:cs="Arial"/>
          <w:noProof/>
        </w:rPr>
        <w:t>pr</w:t>
      </w:r>
      <w:r w:rsidR="008E35CE" w:rsidRPr="00A53E1E">
        <w:rPr>
          <w:rFonts w:cs="Arial"/>
          <w:noProof/>
        </w:rPr>
        <w:t>i</w:t>
      </w:r>
      <w:r w:rsidRPr="00A53E1E">
        <w:rPr>
          <w:rFonts w:cs="Arial"/>
          <w:noProof/>
        </w:rPr>
        <w:t xml:space="preserve">vacy </w:t>
      </w:r>
      <w:r>
        <w:rPr>
          <w:rFonts w:cs="Arial"/>
          <w:noProof/>
        </w:rPr>
        <w:t xml:space="preserve">compartment. These changes are in coordination with </w:t>
      </w:r>
      <w:r w:rsidR="00B53919">
        <w:rPr>
          <w:rFonts w:cs="Arial"/>
          <w:noProof/>
        </w:rPr>
        <w:t>t</w:t>
      </w:r>
      <w:r>
        <w:rPr>
          <w:rFonts w:cs="Arial"/>
          <w:noProof/>
        </w:rPr>
        <w:t>he proposed changes to item 2 Section 422.2</w:t>
      </w:r>
      <w:r w:rsidR="00111DDA">
        <w:rPr>
          <w:rFonts w:cs="Arial"/>
          <w:noProof/>
        </w:rPr>
        <w:t xml:space="preserve">. </w:t>
      </w:r>
    </w:p>
    <w:p w14:paraId="7417331C" w14:textId="77777777" w:rsidR="00CA5BD5" w:rsidRPr="0044593B" w:rsidRDefault="00CA5BD5" w:rsidP="007D08DD">
      <w:pPr>
        <w:spacing w:before="120"/>
        <w:rPr>
          <w:rFonts w:cs="Arial"/>
        </w:rPr>
      </w:pPr>
    </w:p>
    <w:p w14:paraId="415449AE" w14:textId="77777777" w:rsidR="002F081B" w:rsidRPr="00AD67B3" w:rsidRDefault="002F081B" w:rsidP="002F081B">
      <w:pPr>
        <w:spacing w:before="120"/>
        <w:rPr>
          <w:rFonts w:cs="Arial"/>
        </w:rPr>
      </w:pPr>
      <w:bookmarkStart w:id="1" w:name="_Hlk126913904"/>
      <w:r w:rsidRPr="00AD67B3">
        <w:rPr>
          <w:rFonts w:cs="Arial"/>
          <w:b/>
        </w:rPr>
        <w:t>Notation:</w:t>
      </w:r>
      <w:r>
        <w:rPr>
          <w:rFonts w:cs="Arial"/>
          <w:b/>
        </w:rPr>
        <w:t xml:space="preserve"> DSA-SS</w:t>
      </w:r>
    </w:p>
    <w:p w14:paraId="599B65E9" w14:textId="77777777" w:rsidR="002F081B" w:rsidRPr="00AD67B3" w:rsidRDefault="002F081B" w:rsidP="002F081B">
      <w:pPr>
        <w:spacing w:before="120"/>
        <w:rPr>
          <w:rFonts w:cs="Arial"/>
        </w:rPr>
      </w:pPr>
      <w:r w:rsidRPr="00AD67B3">
        <w:rPr>
          <w:rFonts w:cs="Arial"/>
        </w:rPr>
        <w:t xml:space="preserve">Authority: </w:t>
      </w:r>
      <w:r>
        <w:rPr>
          <w:rFonts w:cs="Arial"/>
        </w:rPr>
        <w:t xml:space="preserve">Education Code Sections 17310 and 81142, and </w:t>
      </w:r>
      <w:r>
        <w:rPr>
          <w:rFonts w:cs="Arial"/>
          <w:noProof/>
        </w:rPr>
        <w:t>Health and Safety Code Section 16022.</w:t>
      </w:r>
    </w:p>
    <w:p w14:paraId="39A18359" w14:textId="1CB71C21" w:rsidR="002F081B" w:rsidRDefault="002F081B" w:rsidP="002F081B">
      <w:pPr>
        <w:spacing w:before="120"/>
        <w:rPr>
          <w:rFonts w:cs="Arial"/>
          <w:noProof/>
        </w:rPr>
      </w:pPr>
      <w:r w:rsidRPr="00AD67B3">
        <w:rPr>
          <w:rFonts w:cs="Arial"/>
        </w:rPr>
        <w:t xml:space="preserve">Reference(s): </w:t>
      </w:r>
      <w:bookmarkStart w:id="2" w:name="_Hlk127279071"/>
      <w:r>
        <w:rPr>
          <w:rFonts w:cs="Arial"/>
        </w:rPr>
        <w:t xml:space="preserve">Education Code Sections 17280 through 17317, 81052 and 81130 through 81147, and </w:t>
      </w:r>
      <w:r>
        <w:rPr>
          <w:rFonts w:cs="Arial"/>
          <w:noProof/>
        </w:rPr>
        <w:t>Health and Safety Code Sections 16000 through 16023.</w:t>
      </w:r>
      <w:bookmarkEnd w:id="2"/>
    </w:p>
    <w:p w14:paraId="37BEE373" w14:textId="328E1A69" w:rsidR="00114DC1" w:rsidRDefault="00114DC1" w:rsidP="002F081B">
      <w:pPr>
        <w:spacing w:before="120"/>
        <w:rPr>
          <w:rFonts w:cs="Arial"/>
          <w:noProof/>
        </w:rPr>
      </w:pPr>
    </w:p>
    <w:p w14:paraId="6915F5F4" w14:textId="47E5F3D7" w:rsidR="00114DC1" w:rsidRDefault="00111DDA" w:rsidP="002F081B">
      <w:pPr>
        <w:spacing w:before="120"/>
        <w:rPr>
          <w:rFonts w:eastAsiaTheme="majorEastAsia" w:cstheme="majorBidi"/>
          <w:b/>
          <w:szCs w:val="24"/>
        </w:rPr>
      </w:pPr>
      <w:r w:rsidRPr="00A53E1E">
        <w:rPr>
          <w:rFonts w:eastAsiaTheme="majorEastAsia" w:cstheme="majorBidi"/>
          <w:b/>
          <w:szCs w:val="24"/>
        </w:rPr>
        <w:t>ITEM 2</w:t>
      </w:r>
    </w:p>
    <w:p w14:paraId="0BB02F1F" w14:textId="0DD1D881" w:rsidR="00AD6518" w:rsidRPr="00AD6518" w:rsidRDefault="00AD6518" w:rsidP="002F081B">
      <w:pPr>
        <w:spacing w:before="120"/>
        <w:rPr>
          <w:rFonts w:eastAsiaTheme="majorEastAsia" w:cstheme="majorBidi"/>
          <w:b/>
          <w:bCs/>
          <w:szCs w:val="24"/>
        </w:rPr>
      </w:pPr>
      <w:r w:rsidRPr="00AD6518">
        <w:rPr>
          <w:b/>
          <w:bCs/>
        </w:rPr>
        <w:t xml:space="preserve">Chapter </w:t>
      </w:r>
      <w:r w:rsidRPr="00AD6518">
        <w:rPr>
          <w:b/>
          <w:bCs/>
          <w:noProof/>
        </w:rPr>
        <w:t xml:space="preserve">4 PLUMBING FIXTURES AND FIXTURE FITTINGS, </w:t>
      </w:r>
      <w:bookmarkStart w:id="3" w:name="_Hlk115875451"/>
      <w:r w:rsidR="009F3DE3" w:rsidRPr="0039719F">
        <w:rPr>
          <w:b/>
          <w:bCs/>
          <w:noProof/>
        </w:rPr>
        <w:t>Section</w:t>
      </w:r>
      <w:r w:rsidR="009F3DE3">
        <w:rPr>
          <w:b/>
          <w:bCs/>
          <w:noProof/>
        </w:rPr>
        <w:t xml:space="preserve"> </w:t>
      </w:r>
      <w:r w:rsidRPr="00AD6518">
        <w:rPr>
          <w:b/>
          <w:bCs/>
          <w:noProof/>
        </w:rPr>
        <w:t>422.2 Separate Facilities</w:t>
      </w:r>
      <w:bookmarkEnd w:id="3"/>
      <w:r>
        <w:rPr>
          <w:b/>
          <w:bCs/>
          <w:noProof/>
        </w:rPr>
        <w:t>.</w:t>
      </w:r>
    </w:p>
    <w:p w14:paraId="5BC859D8" w14:textId="426F27FF" w:rsidR="00111DDA" w:rsidRPr="00111DDA" w:rsidRDefault="00111DDA" w:rsidP="002F081B">
      <w:pPr>
        <w:spacing w:before="120"/>
        <w:rPr>
          <w:rFonts w:eastAsiaTheme="majorEastAsia" w:cstheme="majorBidi"/>
          <w:b/>
          <w:szCs w:val="24"/>
        </w:rPr>
      </w:pPr>
      <w:r>
        <w:rPr>
          <w:rFonts w:eastAsiaTheme="majorEastAsia" w:cstheme="majorBidi"/>
          <w:b/>
          <w:szCs w:val="24"/>
        </w:rPr>
        <w:t>…</w:t>
      </w:r>
    </w:p>
    <w:p w14:paraId="5DFCA90D" w14:textId="77777777" w:rsidR="00111DDA" w:rsidRDefault="00111DDA" w:rsidP="00111DDA">
      <w:pPr>
        <w:rPr>
          <w:rFonts w:cs="Arial"/>
          <w:snapToGrid/>
          <w:szCs w:val="24"/>
        </w:rPr>
      </w:pPr>
      <w:r>
        <w:rPr>
          <w:b/>
          <w:bCs/>
        </w:rPr>
        <w:t>422.2 Separate Facilities.</w:t>
      </w:r>
      <w:r>
        <w:t xml:space="preserve"> Separate toilet facilities shall be provided for each sex.</w:t>
      </w:r>
    </w:p>
    <w:p w14:paraId="40EE3B61" w14:textId="77777777" w:rsidR="00111DDA" w:rsidRDefault="00111DDA" w:rsidP="00111DDA">
      <w:pPr>
        <w:rPr>
          <w:rFonts w:ascii="Calibri" w:hAnsi="Calibri" w:cs="Calibri"/>
          <w:b/>
          <w:bCs/>
          <w:sz w:val="22"/>
          <w:szCs w:val="22"/>
        </w:rPr>
      </w:pPr>
      <w:r>
        <w:rPr>
          <w:b/>
          <w:bCs/>
        </w:rPr>
        <w:t xml:space="preserve">Exceptions </w:t>
      </w:r>
      <w:r>
        <w:rPr>
          <w:b/>
          <w:bCs/>
          <w:i/>
          <w:iCs/>
        </w:rPr>
        <w:t>[Not adopted for OSHPD 1, 2, 3, 4, &amp; 5]:</w:t>
      </w:r>
    </w:p>
    <w:p w14:paraId="0E68C20C" w14:textId="7134D311" w:rsidR="00111DDA" w:rsidRDefault="00111DDA" w:rsidP="00111DDA">
      <w:r>
        <w:t>(1)      Residential installations.</w:t>
      </w:r>
    </w:p>
    <w:p w14:paraId="63E8F69D" w14:textId="66E4C3B5" w:rsidR="00111DDA" w:rsidRDefault="00111DDA" w:rsidP="00111DDA">
      <w:pPr>
        <w:ind w:left="720" w:hanging="720"/>
      </w:pPr>
      <w:r>
        <w:t>(2)      In occupancies with a total occupant load of 10 or less, including customers and</w:t>
      </w:r>
      <w:r w:rsidR="00982CF8">
        <w:t xml:space="preserve"> </w:t>
      </w:r>
      <w:r>
        <w:t>employees, one toilet facility, designed for use by no more than one person at a time, shall be permitted for use by both sexes.</w:t>
      </w:r>
    </w:p>
    <w:p w14:paraId="7B49BDF9" w14:textId="01E91C06" w:rsidR="00111DDA" w:rsidRDefault="00111DDA" w:rsidP="00111DDA">
      <w:pPr>
        <w:ind w:left="720" w:hanging="720"/>
      </w:pPr>
      <w:r>
        <w:t>(3)      In business and mercantile occupancies with a total occupant load of 50 or less including customers and employees, one toilet facility, designed for use by no more than one person at a time, shall be permitted for use by both sexes.</w:t>
      </w:r>
    </w:p>
    <w:p w14:paraId="5709EA99" w14:textId="5D60578A" w:rsidR="00111DDA" w:rsidRDefault="00111DDA" w:rsidP="00111DDA">
      <w:pPr>
        <w:ind w:left="720" w:hanging="720"/>
        <w:rPr>
          <w:i/>
          <w:iCs/>
        </w:rPr>
      </w:pPr>
      <w:r>
        <w:rPr>
          <w:i/>
          <w:iCs/>
          <w:u w:val="single"/>
        </w:rPr>
        <w:t>(4)      </w:t>
      </w:r>
      <w:r>
        <w:rPr>
          <w:b/>
          <w:bCs/>
          <w:i/>
          <w:iCs/>
          <w:u w:val="single"/>
        </w:rPr>
        <w:t>[DSA-SS]</w:t>
      </w:r>
      <w:r>
        <w:rPr>
          <w:i/>
          <w:iCs/>
          <w:u w:val="single"/>
        </w:rPr>
        <w:t xml:space="preserve"> Separate facilities shall not be required where rooms have fixtures designed for use by all genders and the water closets are installed in privacy compartments. Urinals, when installed, shall </w:t>
      </w:r>
      <w:proofErr w:type="gramStart"/>
      <w:r>
        <w:rPr>
          <w:i/>
          <w:iCs/>
          <w:u w:val="single"/>
        </w:rPr>
        <w:t>be located in</w:t>
      </w:r>
      <w:proofErr w:type="gramEnd"/>
      <w:r>
        <w:rPr>
          <w:i/>
          <w:iCs/>
          <w:u w:val="single"/>
        </w:rPr>
        <w:t xml:space="preserve"> a privacy compartment or separate private area</w:t>
      </w:r>
      <w:r w:rsidRPr="0035525E">
        <w:rPr>
          <w:i/>
          <w:iCs/>
          <w:u w:val="single"/>
        </w:rPr>
        <w:t xml:space="preserve">. </w:t>
      </w:r>
      <w:r w:rsidRPr="0035525E">
        <w:rPr>
          <w:i/>
          <w:iCs/>
          <w:dstrike/>
        </w:rPr>
        <w:t>Privacy compartments</w:t>
      </w:r>
      <w:r w:rsidRPr="00111DDA">
        <w:rPr>
          <w:i/>
          <w:iCs/>
          <w:dstrike/>
        </w:rPr>
        <w:t xml:space="preserve"> shall be provided with full-height walls or full-height pre-manufactured panel systems with continuous brackets at abutting panels. Each compartment shall be provided with either a full-height door with head jamb casing or a floor-to-ceiling door. Pre-manufactured panel system doors shall be provided with continuous </w:t>
      </w:r>
      <w:r w:rsidRPr="0035525E">
        <w:rPr>
          <w:i/>
          <w:iCs/>
          <w:dstrike/>
        </w:rPr>
        <w:t>hinges.</w:t>
      </w:r>
      <w:r w:rsidR="002C2D6F" w:rsidRPr="0035525E">
        <w:rPr>
          <w:i/>
          <w:iCs/>
          <w:dstrike/>
        </w:rPr>
        <w:t xml:space="preserve"> </w:t>
      </w:r>
      <w:r w:rsidR="00233C40" w:rsidRPr="0035525E">
        <w:rPr>
          <w:i/>
          <w:iCs/>
          <w:dstrike/>
        </w:rPr>
        <w:t>All</w:t>
      </w:r>
      <w:r w:rsidRPr="007C2E2B">
        <w:rPr>
          <w:i/>
          <w:iCs/>
        </w:rPr>
        <w:t xml:space="preserve"> </w:t>
      </w:r>
      <w:r w:rsidR="007C2E2B" w:rsidRPr="007C2E2B">
        <w:rPr>
          <w:i/>
          <w:iCs/>
        </w:rPr>
        <w:t xml:space="preserve">[Begin double underline] </w:t>
      </w:r>
      <w:r w:rsidR="007C2E2B" w:rsidRPr="007C2E2B">
        <w:rPr>
          <w:i/>
          <w:iCs/>
          <w:u w:val="double"/>
        </w:rPr>
        <w:t>Each</w:t>
      </w:r>
      <w:r w:rsidR="007C2E2B">
        <w:rPr>
          <w:i/>
          <w:iCs/>
          <w:u w:val="double"/>
        </w:rPr>
        <w:t xml:space="preserve"> </w:t>
      </w:r>
      <w:r w:rsidR="007C2E2B" w:rsidRPr="007C2E2B">
        <w:rPr>
          <w:i/>
          <w:iCs/>
        </w:rPr>
        <w:t>[End double underline]</w:t>
      </w:r>
      <w:r w:rsidR="007C2E2B" w:rsidRPr="007C2E2B">
        <w:rPr>
          <w:i/>
          <w:iCs/>
          <w:u w:val="single"/>
        </w:rPr>
        <w:t xml:space="preserve"> </w:t>
      </w:r>
      <w:r w:rsidRPr="007C2E2B">
        <w:rPr>
          <w:i/>
          <w:iCs/>
          <w:u w:val="single"/>
        </w:rPr>
        <w:t xml:space="preserve">compartment </w:t>
      </w:r>
      <w:r w:rsidRPr="00A53E1E">
        <w:rPr>
          <w:i/>
          <w:iCs/>
          <w:u w:val="single"/>
        </w:rPr>
        <w:t>door</w:t>
      </w:r>
      <w:r w:rsidR="007C2E2B" w:rsidRPr="00A53E1E">
        <w:rPr>
          <w:i/>
          <w:iCs/>
          <w:dstrike/>
          <w:u w:val="single"/>
        </w:rPr>
        <w:t>s</w:t>
      </w:r>
      <w:r w:rsidR="007C2E2B" w:rsidRPr="00A53E1E">
        <w:rPr>
          <w:i/>
          <w:iCs/>
          <w:u w:val="single"/>
        </w:rPr>
        <w:t xml:space="preserve"> </w:t>
      </w:r>
      <w:r>
        <w:rPr>
          <w:i/>
          <w:iCs/>
          <w:u w:val="single"/>
        </w:rPr>
        <w:t xml:space="preserve">shall be lockable from the inside of the compartment, with a door locking device that is readily distinguishable as locked from the outside of the compartment. </w:t>
      </w:r>
      <w:r>
        <w:rPr>
          <w:i/>
          <w:iCs/>
        </w:rPr>
        <w:t>[Begin Double underline</w:t>
      </w:r>
      <w:r w:rsidRPr="00111DDA">
        <w:rPr>
          <w:i/>
          <w:iCs/>
          <w:u w:val="double"/>
        </w:rPr>
        <w:t xml:space="preserve">] Privacy compartments and doors which are not full height or floor to ceiling may be permitted by the </w:t>
      </w:r>
      <w:r w:rsidR="00982CF8" w:rsidRPr="00A53E1E">
        <w:rPr>
          <w:i/>
          <w:iCs/>
          <w:u w:val="double"/>
        </w:rPr>
        <w:t xml:space="preserve">enforcing </w:t>
      </w:r>
      <w:r w:rsidR="00B40537" w:rsidRPr="00A53E1E">
        <w:rPr>
          <w:i/>
          <w:iCs/>
          <w:u w:val="double"/>
        </w:rPr>
        <w:t>agency.</w:t>
      </w:r>
      <w:r w:rsidR="00B40537" w:rsidRPr="00A53E1E">
        <w:rPr>
          <w:i/>
          <w:iCs/>
          <w:u w:val="single"/>
        </w:rPr>
        <w:t xml:space="preserve"> [</w:t>
      </w:r>
      <w:r>
        <w:rPr>
          <w:i/>
          <w:iCs/>
        </w:rPr>
        <w:t>end double underline]</w:t>
      </w:r>
    </w:p>
    <w:p w14:paraId="396386F9" w14:textId="4152AD73" w:rsidR="00CA5BD5" w:rsidRDefault="00CA5BD5" w:rsidP="00111DDA">
      <w:pPr>
        <w:ind w:left="720" w:hanging="720"/>
        <w:rPr>
          <w:i/>
          <w:iCs/>
          <w:u w:val="single"/>
        </w:rPr>
      </w:pPr>
    </w:p>
    <w:p w14:paraId="50381313" w14:textId="7BA21B75" w:rsidR="00CA5BD5" w:rsidRDefault="00CA5BD5" w:rsidP="00CA5BD5">
      <w:pPr>
        <w:spacing w:before="120"/>
        <w:rPr>
          <w:rFonts w:cs="Arial"/>
          <w:noProof/>
        </w:rPr>
      </w:pPr>
      <w:r w:rsidRPr="0044593B">
        <w:rPr>
          <w:rFonts w:cs="Arial"/>
          <w:b/>
        </w:rPr>
        <w:t>Rationale:</w:t>
      </w:r>
      <w:r w:rsidRPr="0044593B">
        <w:rPr>
          <w:rFonts w:cs="Arial"/>
        </w:rPr>
        <w:t xml:space="preserve"> </w:t>
      </w:r>
      <w:r w:rsidR="009035D0">
        <w:rPr>
          <w:rFonts w:cs="Arial"/>
        </w:rPr>
        <w:t xml:space="preserve">Some language has been moved to the definition of Privacy Compartment. </w:t>
      </w:r>
      <w:r w:rsidR="004A153C">
        <w:rPr>
          <w:rFonts w:cs="Arial"/>
        </w:rPr>
        <w:t>Additionally,</w:t>
      </w:r>
      <w:r w:rsidR="009035D0">
        <w:rPr>
          <w:rFonts w:cs="Arial"/>
        </w:rPr>
        <w:t xml:space="preserve"> c</w:t>
      </w:r>
      <w:r>
        <w:rPr>
          <w:rFonts w:cs="Arial"/>
          <w:noProof/>
        </w:rPr>
        <w:t xml:space="preserve">omments received listed concerns </w:t>
      </w:r>
      <w:r w:rsidR="00155B1E">
        <w:rPr>
          <w:rFonts w:cs="Arial"/>
          <w:noProof/>
        </w:rPr>
        <w:t xml:space="preserve">about </w:t>
      </w:r>
      <w:r>
        <w:rPr>
          <w:rFonts w:cs="Arial"/>
          <w:noProof/>
        </w:rPr>
        <w:t>full height partitions and the lack of flexibility</w:t>
      </w:r>
      <w:r w:rsidR="00155B1E">
        <w:rPr>
          <w:rFonts w:cs="Arial"/>
          <w:noProof/>
        </w:rPr>
        <w:t xml:space="preserve"> and accessibility</w:t>
      </w:r>
      <w:r>
        <w:rPr>
          <w:rFonts w:cs="Arial"/>
          <w:noProof/>
        </w:rPr>
        <w:t xml:space="preserve"> in the full height partitions as proposed. Full height partitions also have the potential for adding </w:t>
      </w:r>
      <w:r w:rsidR="00B53919">
        <w:rPr>
          <w:rFonts w:cs="Arial"/>
          <w:noProof/>
        </w:rPr>
        <w:t>significant</w:t>
      </w:r>
      <w:r>
        <w:rPr>
          <w:rFonts w:cs="Arial"/>
          <w:noProof/>
        </w:rPr>
        <w:t xml:space="preserve"> costs </w:t>
      </w:r>
      <w:r w:rsidR="009035D0">
        <w:rPr>
          <w:rFonts w:cs="Arial"/>
          <w:noProof/>
        </w:rPr>
        <w:t xml:space="preserve">related to mechanical, fire life safety </w:t>
      </w:r>
      <w:r>
        <w:rPr>
          <w:rFonts w:cs="Arial"/>
          <w:noProof/>
        </w:rPr>
        <w:t xml:space="preserve">to </w:t>
      </w:r>
      <w:r w:rsidR="009035D0">
        <w:rPr>
          <w:rFonts w:cs="Arial"/>
          <w:noProof/>
        </w:rPr>
        <w:t xml:space="preserve">an all-gender </w:t>
      </w:r>
      <w:r w:rsidR="009035D0" w:rsidRPr="00A53E1E">
        <w:rPr>
          <w:rFonts w:cs="Arial"/>
          <w:noProof/>
        </w:rPr>
        <w:t>multi-</w:t>
      </w:r>
      <w:r w:rsidR="00982CF8" w:rsidRPr="00A53E1E">
        <w:rPr>
          <w:rFonts w:cs="Arial"/>
          <w:noProof/>
        </w:rPr>
        <w:t xml:space="preserve">user </w:t>
      </w:r>
      <w:r w:rsidR="009035D0" w:rsidRPr="00A53E1E">
        <w:rPr>
          <w:rFonts w:cs="Arial"/>
          <w:noProof/>
        </w:rPr>
        <w:t>restroom</w:t>
      </w:r>
      <w:r w:rsidR="009035D0">
        <w:rPr>
          <w:rFonts w:cs="Arial"/>
          <w:noProof/>
        </w:rPr>
        <w:t xml:space="preserve"> facilit</w:t>
      </w:r>
      <w:r w:rsidR="00155B1E">
        <w:rPr>
          <w:rFonts w:cs="Arial"/>
          <w:noProof/>
        </w:rPr>
        <w:t>ies</w:t>
      </w:r>
      <w:r w:rsidR="009035D0">
        <w:rPr>
          <w:rFonts w:cs="Arial"/>
          <w:noProof/>
        </w:rPr>
        <w:t xml:space="preserve"> which </w:t>
      </w:r>
      <w:r w:rsidR="00155B1E">
        <w:rPr>
          <w:rFonts w:cs="Arial"/>
          <w:noProof/>
        </w:rPr>
        <w:t>could</w:t>
      </w:r>
      <w:r w:rsidR="009035D0">
        <w:rPr>
          <w:rFonts w:cs="Arial"/>
          <w:noProof/>
        </w:rPr>
        <w:t xml:space="preserve"> be a disincentive to providing all-gender </w:t>
      </w:r>
      <w:r w:rsidR="009035D0" w:rsidRPr="001156EE">
        <w:rPr>
          <w:rFonts w:cs="Arial"/>
          <w:noProof/>
        </w:rPr>
        <w:t xml:space="preserve">multi-user restrooms. Adding the ability for an enforcement </w:t>
      </w:r>
      <w:r w:rsidR="009867BC" w:rsidRPr="0039719F">
        <w:rPr>
          <w:rFonts w:cs="Arial"/>
          <w:noProof/>
        </w:rPr>
        <w:t>agency</w:t>
      </w:r>
      <w:r w:rsidR="009035D0" w:rsidRPr="001156EE">
        <w:rPr>
          <w:rFonts w:cs="Arial"/>
          <w:noProof/>
        </w:rPr>
        <w:t xml:space="preserve"> to allow an exception to the full height requrements</w:t>
      </w:r>
      <w:r w:rsidR="009035D0" w:rsidRPr="00A8546C">
        <w:rPr>
          <w:rFonts w:cs="Arial"/>
          <w:noProof/>
        </w:rPr>
        <w:t xml:space="preserve"> of a privacy compartment if </w:t>
      </w:r>
      <w:r w:rsidR="009035D0" w:rsidRPr="00A8546C">
        <w:rPr>
          <w:rFonts w:cs="Arial"/>
          <w:noProof/>
        </w:rPr>
        <w:lastRenderedPageBreak/>
        <w:t>requested</w:t>
      </w:r>
      <w:r w:rsidR="009035D0">
        <w:rPr>
          <w:rFonts w:cs="Arial"/>
          <w:noProof/>
        </w:rPr>
        <w:t xml:space="preserve"> allows flexibility and is responsive to comments received.</w:t>
      </w:r>
    </w:p>
    <w:p w14:paraId="1BD4DD3C" w14:textId="77777777" w:rsidR="00CA5BD5" w:rsidRDefault="00CA5BD5" w:rsidP="00111DDA">
      <w:pPr>
        <w:ind w:left="720" w:hanging="720"/>
        <w:rPr>
          <w:i/>
          <w:iCs/>
          <w:u w:val="single"/>
        </w:rPr>
      </w:pPr>
    </w:p>
    <w:p w14:paraId="5ADFEB37" w14:textId="77777777" w:rsidR="00114DC1" w:rsidRPr="00AD67B3" w:rsidRDefault="00114DC1" w:rsidP="00114DC1">
      <w:pPr>
        <w:spacing w:before="120"/>
        <w:rPr>
          <w:rFonts w:cs="Arial"/>
        </w:rPr>
      </w:pPr>
      <w:r w:rsidRPr="00AD67B3">
        <w:rPr>
          <w:rFonts w:cs="Arial"/>
        </w:rPr>
        <w:t xml:space="preserve">Authority: </w:t>
      </w:r>
      <w:r>
        <w:rPr>
          <w:rFonts w:cs="Arial"/>
        </w:rPr>
        <w:t xml:space="preserve">Education Code Sections 17310 and 81142, and </w:t>
      </w:r>
      <w:r>
        <w:rPr>
          <w:rFonts w:cs="Arial"/>
          <w:noProof/>
        </w:rPr>
        <w:t>Health and Safety Code Section 16022.</w:t>
      </w:r>
    </w:p>
    <w:p w14:paraId="5B4F832E" w14:textId="77777777" w:rsidR="00114DC1" w:rsidRDefault="00114DC1" w:rsidP="00114DC1">
      <w:pPr>
        <w:spacing w:before="120"/>
        <w:rPr>
          <w:rFonts w:cs="Arial"/>
          <w:noProof/>
        </w:rPr>
      </w:pPr>
      <w:r w:rsidRPr="00AD67B3">
        <w:rPr>
          <w:rFonts w:cs="Arial"/>
        </w:rPr>
        <w:t xml:space="preserve">Reference(s): </w:t>
      </w:r>
      <w:r>
        <w:rPr>
          <w:rFonts w:cs="Arial"/>
        </w:rPr>
        <w:t xml:space="preserve">Education Code Sections 17280 through 17317, 81052 and 81130 through 81147, and </w:t>
      </w:r>
      <w:r>
        <w:rPr>
          <w:rFonts w:cs="Arial"/>
          <w:noProof/>
        </w:rPr>
        <w:t>Health and Safety Code Sections 16000 through 16023.</w:t>
      </w:r>
    </w:p>
    <w:p w14:paraId="6BEA46F9" w14:textId="77777777" w:rsidR="00114DC1" w:rsidRDefault="00114DC1" w:rsidP="002F081B">
      <w:pPr>
        <w:spacing w:before="120"/>
        <w:rPr>
          <w:rFonts w:cs="Arial"/>
          <w:noProof/>
        </w:rPr>
      </w:pPr>
    </w:p>
    <w:bookmarkEnd w:id="1"/>
    <w:p w14:paraId="08024AE9" w14:textId="7CA7F081" w:rsidR="00391B17" w:rsidRPr="0044593B" w:rsidRDefault="00391B17" w:rsidP="00767766">
      <w:pPr>
        <w:spacing w:before="120"/>
        <w:rPr>
          <w:rFonts w:cs="Arial"/>
          <w:noProof/>
        </w:rPr>
      </w:pPr>
    </w:p>
    <w:sectPr w:rsidR="00391B17"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9F98" w14:textId="77777777" w:rsidR="00E1576D" w:rsidRDefault="00E1576D">
      <w:r>
        <w:separator/>
      </w:r>
    </w:p>
  </w:endnote>
  <w:endnote w:type="continuationSeparator" w:id="0">
    <w:p w14:paraId="13925D17" w14:textId="77777777" w:rsidR="00E1576D" w:rsidRDefault="00E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0D5DDEC4" w:rsidR="001A4A03" w:rsidRDefault="001A4A03" w:rsidP="007C04EF">
    <w:pPr>
      <w:pStyle w:val="Footer"/>
      <w:tabs>
        <w:tab w:val="clear" w:pos="4320"/>
        <w:tab w:val="clear" w:pos="8640"/>
        <w:tab w:val="right" w:pos="9180"/>
      </w:tabs>
      <w:rPr>
        <w:sz w:val="16"/>
      </w:rPr>
    </w:pPr>
    <w:r>
      <w:rPr>
        <w:sz w:val="16"/>
      </w:rPr>
      <w:t xml:space="preserve">BSC TP-104 (Rev. </w:t>
    </w:r>
    <w:r w:rsidR="000C7383">
      <w:rPr>
        <w:sz w:val="16"/>
      </w:rPr>
      <w:t>03</w:t>
    </w:r>
    <w:r>
      <w:rPr>
        <w:sz w:val="16"/>
      </w:rPr>
      <w:t>/</w:t>
    </w:r>
    <w:r w:rsidR="001D6710">
      <w:rPr>
        <w:sz w:val="16"/>
      </w:rPr>
      <w:t>2</w:t>
    </w:r>
    <w:r w:rsidR="000C7383">
      <w:rPr>
        <w:sz w:val="16"/>
      </w:rPr>
      <w:t>2</w:t>
    </w:r>
    <w:r w:rsidRPr="004C48A0">
      <w:rPr>
        <w:sz w:val="16"/>
      </w:rPr>
      <w:t>)</w:t>
    </w:r>
    <w:r w:rsidR="00EC0A76">
      <w:rPr>
        <w:sz w:val="16"/>
      </w:rPr>
      <w:t xml:space="preserve"> Additional</w:t>
    </w:r>
    <w:r w:rsidR="00A0189B">
      <w:rPr>
        <w:sz w:val="16"/>
      </w:rPr>
      <w:t xml:space="preserve"> 15 </w:t>
    </w:r>
    <w:r>
      <w:rPr>
        <w:sz w:val="16"/>
      </w:rPr>
      <w:t>Day</w:t>
    </w:r>
    <w:r w:rsidR="008E35CE">
      <w:rPr>
        <w:sz w:val="16"/>
      </w:rPr>
      <w:t xml:space="preserve"> </w:t>
    </w:r>
    <w:r>
      <w:rPr>
        <w:sz w:val="16"/>
      </w:rPr>
      <w:t>E</w:t>
    </w:r>
    <w:r w:rsidR="00FF4FC9">
      <w:rPr>
        <w:sz w:val="16"/>
      </w:rPr>
      <w:t>T_05-22</w:t>
    </w:r>
    <w:r w:rsidR="00A0189B">
      <w:rPr>
        <w:sz w:val="16"/>
      </w:rPr>
      <w:tab/>
    </w:r>
    <w:r w:rsidR="00155B1E">
      <w:rPr>
        <w:sz w:val="16"/>
      </w:rPr>
      <w:t>June</w:t>
    </w:r>
    <w:r w:rsidR="0016081A">
      <w:rPr>
        <w:sz w:val="16"/>
      </w:rPr>
      <w:t xml:space="preserve"> </w:t>
    </w:r>
    <w:r w:rsidR="008E35CE">
      <w:rPr>
        <w:sz w:val="16"/>
      </w:rPr>
      <w:t>13</w:t>
    </w:r>
    <w:r w:rsidR="00A0189B">
      <w:rPr>
        <w:sz w:val="16"/>
      </w:rPr>
      <w:t xml:space="preserve">, </w:t>
    </w:r>
    <w:r w:rsidR="0016081A">
      <w:rPr>
        <w:sz w:val="16"/>
      </w:rPr>
      <w:t>2023</w:t>
    </w:r>
  </w:p>
  <w:p w14:paraId="723451C6" w14:textId="664B3AB4" w:rsidR="001A4A03" w:rsidRDefault="0016081A" w:rsidP="007C04EF">
    <w:pPr>
      <w:pStyle w:val="Footer"/>
      <w:tabs>
        <w:tab w:val="clear" w:pos="4320"/>
        <w:tab w:val="clear" w:pos="8640"/>
        <w:tab w:val="center" w:pos="5040"/>
        <w:tab w:val="right" w:pos="9180"/>
      </w:tabs>
      <w:rPr>
        <w:sz w:val="16"/>
        <w:szCs w:val="16"/>
      </w:rPr>
    </w:pPr>
    <w:r>
      <w:rPr>
        <w:sz w:val="16"/>
        <w:szCs w:val="16"/>
      </w:rPr>
      <w:t>DSA-</w:t>
    </w:r>
    <w:r w:rsidR="00155B1E">
      <w:rPr>
        <w:sz w:val="16"/>
        <w:szCs w:val="16"/>
      </w:rPr>
      <w:t>SS</w:t>
    </w:r>
    <w:r>
      <w:rPr>
        <w:sz w:val="16"/>
        <w:szCs w:val="16"/>
      </w:rPr>
      <w:t xml:space="preserve"> 0</w:t>
    </w:r>
    <w:r w:rsidR="00155B1E">
      <w:rPr>
        <w:sz w:val="16"/>
        <w:szCs w:val="16"/>
      </w:rPr>
      <w:t>5</w:t>
    </w:r>
    <w:r>
      <w:rPr>
        <w:sz w:val="16"/>
        <w:szCs w:val="16"/>
      </w:rPr>
      <w:t xml:space="preserve">/22 </w:t>
    </w:r>
    <w:r w:rsidR="001A4A03">
      <w:rPr>
        <w:sz w:val="16"/>
        <w:szCs w:val="16"/>
      </w:rPr>
      <w:t>- Part</w:t>
    </w:r>
    <w:r w:rsidR="00A0189B">
      <w:rPr>
        <w:sz w:val="16"/>
        <w:szCs w:val="16"/>
      </w:rPr>
      <w:t xml:space="preserve"> </w:t>
    </w:r>
    <w:r w:rsidR="00155B1E">
      <w:rPr>
        <w:sz w:val="16"/>
        <w:szCs w:val="16"/>
      </w:rPr>
      <w:t>5</w:t>
    </w:r>
    <w:r w:rsidR="001A4A03">
      <w:rPr>
        <w:sz w:val="16"/>
        <w:szCs w:val="16"/>
      </w:rPr>
      <w:t xml:space="preserve"> </w:t>
    </w:r>
    <w:r>
      <w:rPr>
        <w:sz w:val="16"/>
        <w:szCs w:val="16"/>
      </w:rPr>
      <w:t>–</w:t>
    </w:r>
    <w:r w:rsidR="00A0189B">
      <w:rPr>
        <w:sz w:val="16"/>
        <w:szCs w:val="16"/>
      </w:rPr>
      <w:t xml:space="preserve"> </w:t>
    </w:r>
    <w:r>
      <w:rPr>
        <w:sz w:val="16"/>
        <w:szCs w:val="16"/>
      </w:rPr>
      <w:t xml:space="preserve">2022 </w:t>
    </w:r>
    <w:r w:rsidR="00A0189B">
      <w:rPr>
        <w:sz w:val="16"/>
        <w:szCs w:val="16"/>
      </w:rPr>
      <w:t>Intervening</w:t>
    </w:r>
    <w:r w:rsidR="001A4A03">
      <w:rPr>
        <w:sz w:val="16"/>
        <w:szCs w:val="16"/>
      </w:rPr>
      <w:t xml:space="preserve"> Code Cycle</w:t>
    </w:r>
    <w:r w:rsidR="001A4A03" w:rsidRPr="004C48A0">
      <w:rPr>
        <w:sz w:val="16"/>
        <w:szCs w:val="16"/>
      </w:rPr>
      <w:tab/>
    </w:r>
    <w:r w:rsidR="00A0189B">
      <w:rPr>
        <w:sz w:val="16"/>
        <w:szCs w:val="16"/>
      </w:rPr>
      <w:tab/>
    </w:r>
    <w:r w:rsidR="008E35CE">
      <w:rPr>
        <w:sz w:val="16"/>
        <w:szCs w:val="16"/>
      </w:rPr>
      <w:t>15 Day-ET</w:t>
    </w:r>
  </w:p>
  <w:p w14:paraId="5C321276" w14:textId="62DE637D" w:rsidR="001A4A03" w:rsidRDefault="0016081A" w:rsidP="00A0189B">
    <w:pPr>
      <w:pStyle w:val="Footer"/>
      <w:tabs>
        <w:tab w:val="clear" w:pos="4320"/>
        <w:tab w:val="clear" w:pos="8640"/>
        <w:tab w:val="center" w:pos="5040"/>
        <w:tab w:val="right" w:pos="9180"/>
      </w:tabs>
      <w:rPr>
        <w:sz w:val="16"/>
      </w:rPr>
    </w:pPr>
    <w:r>
      <w:rPr>
        <w:sz w:val="16"/>
        <w:szCs w:val="16"/>
      </w:rPr>
      <w:t>Division of the State Architect</w:t>
    </w:r>
    <w:r w:rsidR="000F6D3A">
      <w:rPr>
        <w:sz w:val="16"/>
      </w:rPr>
      <w:tab/>
    </w:r>
    <w:r w:rsidR="000F6D3A">
      <w:rPr>
        <w:rStyle w:val="PageNumber"/>
        <w:rFonts w:cs="Arial"/>
        <w:sz w:val="16"/>
      </w:rPr>
      <w:t xml:space="preserve">Page </w:t>
    </w:r>
    <w:r w:rsidR="000F6D3A" w:rsidRPr="00B1767F">
      <w:rPr>
        <w:rStyle w:val="PageNumber"/>
        <w:rFonts w:cs="Arial"/>
        <w:sz w:val="16"/>
      </w:rPr>
      <w:fldChar w:fldCharType="begin"/>
    </w:r>
    <w:r w:rsidR="000F6D3A" w:rsidRPr="00B1767F">
      <w:rPr>
        <w:rStyle w:val="PageNumber"/>
        <w:rFonts w:cs="Arial"/>
        <w:sz w:val="16"/>
      </w:rPr>
      <w:instrText xml:space="preserve"> PAGE </w:instrText>
    </w:r>
    <w:r w:rsidR="000F6D3A" w:rsidRPr="00B1767F">
      <w:rPr>
        <w:rStyle w:val="PageNumber"/>
        <w:rFonts w:cs="Arial"/>
        <w:sz w:val="16"/>
      </w:rPr>
      <w:fldChar w:fldCharType="separate"/>
    </w:r>
    <w:r w:rsidR="000F6D3A">
      <w:rPr>
        <w:rStyle w:val="PageNumber"/>
        <w:rFonts w:cs="Arial"/>
        <w:sz w:val="16"/>
      </w:rPr>
      <w:t>1</w:t>
    </w:r>
    <w:r w:rsidR="000F6D3A" w:rsidRPr="00B1767F">
      <w:rPr>
        <w:rStyle w:val="PageNumber"/>
        <w:rFonts w:cs="Arial"/>
        <w:sz w:val="16"/>
      </w:rPr>
      <w:fldChar w:fldCharType="end"/>
    </w:r>
    <w:r w:rsidR="000F6D3A" w:rsidRPr="00B1767F">
      <w:rPr>
        <w:rStyle w:val="PageNumber"/>
        <w:rFonts w:cs="Arial"/>
        <w:sz w:val="16"/>
      </w:rPr>
      <w:t xml:space="preserve"> of </w:t>
    </w:r>
    <w:r w:rsidR="000F6D3A" w:rsidRPr="00B1767F">
      <w:rPr>
        <w:rStyle w:val="PageNumber"/>
        <w:rFonts w:cs="Arial"/>
        <w:sz w:val="16"/>
      </w:rPr>
      <w:fldChar w:fldCharType="begin"/>
    </w:r>
    <w:r w:rsidR="000F6D3A" w:rsidRPr="00B1767F">
      <w:rPr>
        <w:rStyle w:val="PageNumber"/>
        <w:rFonts w:cs="Arial"/>
        <w:sz w:val="16"/>
      </w:rPr>
      <w:instrText xml:space="preserve"> NUMPAGES </w:instrText>
    </w:r>
    <w:r w:rsidR="000F6D3A" w:rsidRPr="00B1767F">
      <w:rPr>
        <w:rStyle w:val="PageNumber"/>
        <w:rFonts w:cs="Arial"/>
        <w:sz w:val="16"/>
      </w:rPr>
      <w:fldChar w:fldCharType="separate"/>
    </w:r>
    <w:r w:rsidR="000F6D3A">
      <w:rPr>
        <w:rStyle w:val="PageNumber"/>
        <w:rFonts w:cs="Arial"/>
        <w:sz w:val="16"/>
      </w:rPr>
      <w:t>2</w:t>
    </w:r>
    <w:r w:rsidR="000F6D3A" w:rsidRPr="00B1767F">
      <w:rPr>
        <w:rStyle w:val="PageNumber"/>
        <w:rFonts w:cs="Arial"/>
        <w:sz w:val="16"/>
      </w:rPr>
      <w:fldChar w:fldCharType="end"/>
    </w:r>
  </w:p>
  <w:p w14:paraId="07FB2AB0" w14:textId="77777777" w:rsidR="007C04EF" w:rsidRDefault="007C04EF" w:rsidP="007C04EF">
    <w:pPr>
      <w:pStyle w:val="Footer"/>
      <w:tabs>
        <w:tab w:val="clear" w:pos="4320"/>
        <w:tab w:val="clear" w:pos="8640"/>
        <w:tab w:val="center" w:pos="4896"/>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31BA" w14:textId="77777777" w:rsidR="00E1576D" w:rsidRDefault="00E1576D">
      <w:r>
        <w:separator/>
      </w:r>
    </w:p>
  </w:footnote>
  <w:footnote w:type="continuationSeparator" w:id="0">
    <w:p w14:paraId="485BBE67" w14:textId="77777777" w:rsidR="00E1576D" w:rsidRDefault="00E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C851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B2A1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6CD3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7C6A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7023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48233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4849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5E2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E88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EE9A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D7C9D"/>
    <w:multiLevelType w:val="hybridMultilevel"/>
    <w:tmpl w:val="5E7898FA"/>
    <w:lvl w:ilvl="0" w:tplc="6D2A5A6C">
      <w:start w:val="1"/>
      <w:numFmt w:val="decimal"/>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16F56A02"/>
    <w:multiLevelType w:val="hybridMultilevel"/>
    <w:tmpl w:val="59F451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3760B"/>
    <w:multiLevelType w:val="hybridMultilevel"/>
    <w:tmpl w:val="9C1A0C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70707633">
    <w:abstractNumId w:val="13"/>
  </w:num>
  <w:num w:numId="2" w16cid:durableId="1123226886">
    <w:abstractNumId w:val="15"/>
  </w:num>
  <w:num w:numId="3" w16cid:durableId="686949694">
    <w:abstractNumId w:val="16"/>
  </w:num>
  <w:num w:numId="4" w16cid:durableId="32578779">
    <w:abstractNumId w:val="12"/>
  </w:num>
  <w:num w:numId="5" w16cid:durableId="560794699">
    <w:abstractNumId w:val="14"/>
  </w:num>
  <w:num w:numId="6" w16cid:durableId="268632860">
    <w:abstractNumId w:val="17"/>
  </w:num>
  <w:num w:numId="7" w16cid:durableId="1456752101">
    <w:abstractNumId w:val="9"/>
  </w:num>
  <w:num w:numId="8" w16cid:durableId="985663441">
    <w:abstractNumId w:val="7"/>
  </w:num>
  <w:num w:numId="9" w16cid:durableId="1862357021">
    <w:abstractNumId w:val="6"/>
  </w:num>
  <w:num w:numId="10" w16cid:durableId="256905221">
    <w:abstractNumId w:val="5"/>
  </w:num>
  <w:num w:numId="11" w16cid:durableId="864363440">
    <w:abstractNumId w:val="4"/>
  </w:num>
  <w:num w:numId="12" w16cid:durableId="1649281639">
    <w:abstractNumId w:val="8"/>
  </w:num>
  <w:num w:numId="13" w16cid:durableId="766341144">
    <w:abstractNumId w:val="3"/>
  </w:num>
  <w:num w:numId="14" w16cid:durableId="1397436216">
    <w:abstractNumId w:val="2"/>
  </w:num>
  <w:num w:numId="15" w16cid:durableId="1339651486">
    <w:abstractNumId w:val="1"/>
  </w:num>
  <w:num w:numId="16" w16cid:durableId="1389963356">
    <w:abstractNumId w:val="0"/>
  </w:num>
  <w:num w:numId="17" w16cid:durableId="44843634">
    <w:abstractNumId w:val="10"/>
  </w:num>
  <w:num w:numId="18" w16cid:durableId="1140851164">
    <w:abstractNumId w:val="11"/>
  </w:num>
  <w:num w:numId="19" w16cid:durableId="1882967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32A92"/>
    <w:rsid w:val="000B33E0"/>
    <w:rsid w:val="000C5682"/>
    <w:rsid w:val="000C7383"/>
    <w:rsid w:val="000E24B4"/>
    <w:rsid w:val="000F2EEE"/>
    <w:rsid w:val="000F6D3A"/>
    <w:rsid w:val="0010093E"/>
    <w:rsid w:val="00111DDA"/>
    <w:rsid w:val="00114DC1"/>
    <w:rsid w:val="001156EE"/>
    <w:rsid w:val="00123F82"/>
    <w:rsid w:val="00127122"/>
    <w:rsid w:val="001362F4"/>
    <w:rsid w:val="00137277"/>
    <w:rsid w:val="00155B1E"/>
    <w:rsid w:val="0016081A"/>
    <w:rsid w:val="0017531B"/>
    <w:rsid w:val="00175449"/>
    <w:rsid w:val="001845B6"/>
    <w:rsid w:val="001A4A03"/>
    <w:rsid w:val="001D5566"/>
    <w:rsid w:val="001D6710"/>
    <w:rsid w:val="001E12EE"/>
    <w:rsid w:val="001E635B"/>
    <w:rsid w:val="001F142C"/>
    <w:rsid w:val="002326AC"/>
    <w:rsid w:val="00233C40"/>
    <w:rsid w:val="00234A84"/>
    <w:rsid w:val="00235B37"/>
    <w:rsid w:val="002367DC"/>
    <w:rsid w:val="0027065B"/>
    <w:rsid w:val="00273722"/>
    <w:rsid w:val="0029083A"/>
    <w:rsid w:val="00295DA9"/>
    <w:rsid w:val="002A0905"/>
    <w:rsid w:val="002C2D6F"/>
    <w:rsid w:val="002D3F86"/>
    <w:rsid w:val="002D5E4A"/>
    <w:rsid w:val="002D7440"/>
    <w:rsid w:val="002E5C1F"/>
    <w:rsid w:val="002F081B"/>
    <w:rsid w:val="00304E2E"/>
    <w:rsid w:val="0030639B"/>
    <w:rsid w:val="00320ED9"/>
    <w:rsid w:val="003324BE"/>
    <w:rsid w:val="0035525E"/>
    <w:rsid w:val="0036102A"/>
    <w:rsid w:val="00366A30"/>
    <w:rsid w:val="0037506B"/>
    <w:rsid w:val="00391B17"/>
    <w:rsid w:val="003942B6"/>
    <w:rsid w:val="0039719F"/>
    <w:rsid w:val="003A2B72"/>
    <w:rsid w:val="003D46A3"/>
    <w:rsid w:val="003E1AB0"/>
    <w:rsid w:val="00433E49"/>
    <w:rsid w:val="0044593B"/>
    <w:rsid w:val="00475081"/>
    <w:rsid w:val="00493409"/>
    <w:rsid w:val="004A153C"/>
    <w:rsid w:val="004A53C6"/>
    <w:rsid w:val="004B2AB9"/>
    <w:rsid w:val="004B48D5"/>
    <w:rsid w:val="004C48A0"/>
    <w:rsid w:val="005119DE"/>
    <w:rsid w:val="00524432"/>
    <w:rsid w:val="00526C54"/>
    <w:rsid w:val="00563190"/>
    <w:rsid w:val="005B5184"/>
    <w:rsid w:val="005D2DCC"/>
    <w:rsid w:val="005E162F"/>
    <w:rsid w:val="005E1E47"/>
    <w:rsid w:val="005E7F3E"/>
    <w:rsid w:val="005F1F14"/>
    <w:rsid w:val="005F696F"/>
    <w:rsid w:val="0061175B"/>
    <w:rsid w:val="006169B9"/>
    <w:rsid w:val="00631F79"/>
    <w:rsid w:val="006721FC"/>
    <w:rsid w:val="00675E1D"/>
    <w:rsid w:val="006A0286"/>
    <w:rsid w:val="006A3B40"/>
    <w:rsid w:val="006B747C"/>
    <w:rsid w:val="006C7CD7"/>
    <w:rsid w:val="006E1A3D"/>
    <w:rsid w:val="00767766"/>
    <w:rsid w:val="00776FA8"/>
    <w:rsid w:val="00786248"/>
    <w:rsid w:val="007915D5"/>
    <w:rsid w:val="007A674B"/>
    <w:rsid w:val="007C04EF"/>
    <w:rsid w:val="007C2E2B"/>
    <w:rsid w:val="007C4832"/>
    <w:rsid w:val="007D08DD"/>
    <w:rsid w:val="007E6A6C"/>
    <w:rsid w:val="0081299A"/>
    <w:rsid w:val="00851721"/>
    <w:rsid w:val="00862625"/>
    <w:rsid w:val="00874876"/>
    <w:rsid w:val="00890C92"/>
    <w:rsid w:val="008A2AC5"/>
    <w:rsid w:val="008A3383"/>
    <w:rsid w:val="008A3DD5"/>
    <w:rsid w:val="008A63C7"/>
    <w:rsid w:val="008D6FF1"/>
    <w:rsid w:val="008E13C6"/>
    <w:rsid w:val="008E35CE"/>
    <w:rsid w:val="008E36A8"/>
    <w:rsid w:val="008F561F"/>
    <w:rsid w:val="009035D0"/>
    <w:rsid w:val="00907A31"/>
    <w:rsid w:val="00923E68"/>
    <w:rsid w:val="00926738"/>
    <w:rsid w:val="0092735E"/>
    <w:rsid w:val="00933897"/>
    <w:rsid w:val="00945C76"/>
    <w:rsid w:val="009462E9"/>
    <w:rsid w:val="0097092F"/>
    <w:rsid w:val="00982CF8"/>
    <w:rsid w:val="009867BC"/>
    <w:rsid w:val="00995899"/>
    <w:rsid w:val="009A693A"/>
    <w:rsid w:val="009D096D"/>
    <w:rsid w:val="009D10AD"/>
    <w:rsid w:val="009E0E79"/>
    <w:rsid w:val="009E6B12"/>
    <w:rsid w:val="009F3DE3"/>
    <w:rsid w:val="00A0189B"/>
    <w:rsid w:val="00A07EE6"/>
    <w:rsid w:val="00A138AA"/>
    <w:rsid w:val="00A43FC1"/>
    <w:rsid w:val="00A53E1E"/>
    <w:rsid w:val="00A60CA1"/>
    <w:rsid w:val="00A63EF9"/>
    <w:rsid w:val="00A6463F"/>
    <w:rsid w:val="00A813A1"/>
    <w:rsid w:val="00A8546C"/>
    <w:rsid w:val="00AC1F10"/>
    <w:rsid w:val="00AD6518"/>
    <w:rsid w:val="00AE38D8"/>
    <w:rsid w:val="00AF3C7A"/>
    <w:rsid w:val="00AF4D10"/>
    <w:rsid w:val="00AF4E96"/>
    <w:rsid w:val="00AF7103"/>
    <w:rsid w:val="00B12576"/>
    <w:rsid w:val="00B177E9"/>
    <w:rsid w:val="00B40537"/>
    <w:rsid w:val="00B435D5"/>
    <w:rsid w:val="00B53919"/>
    <w:rsid w:val="00B53C67"/>
    <w:rsid w:val="00B66748"/>
    <w:rsid w:val="00B954E5"/>
    <w:rsid w:val="00BC67A2"/>
    <w:rsid w:val="00BF3E81"/>
    <w:rsid w:val="00C150B6"/>
    <w:rsid w:val="00C36475"/>
    <w:rsid w:val="00C44C36"/>
    <w:rsid w:val="00C6643B"/>
    <w:rsid w:val="00C67B72"/>
    <w:rsid w:val="00C87028"/>
    <w:rsid w:val="00CA5BD5"/>
    <w:rsid w:val="00CB69CE"/>
    <w:rsid w:val="00CC2F0B"/>
    <w:rsid w:val="00CD63D6"/>
    <w:rsid w:val="00CF2161"/>
    <w:rsid w:val="00CF3372"/>
    <w:rsid w:val="00D04B58"/>
    <w:rsid w:val="00D13D82"/>
    <w:rsid w:val="00D30882"/>
    <w:rsid w:val="00D67CC8"/>
    <w:rsid w:val="00D82CE3"/>
    <w:rsid w:val="00D903E1"/>
    <w:rsid w:val="00D91AE2"/>
    <w:rsid w:val="00DA2AF2"/>
    <w:rsid w:val="00DB2E73"/>
    <w:rsid w:val="00DD1947"/>
    <w:rsid w:val="00E016BA"/>
    <w:rsid w:val="00E1576D"/>
    <w:rsid w:val="00E22041"/>
    <w:rsid w:val="00E27FDE"/>
    <w:rsid w:val="00E3628E"/>
    <w:rsid w:val="00E3790F"/>
    <w:rsid w:val="00E45D23"/>
    <w:rsid w:val="00E5214A"/>
    <w:rsid w:val="00E53D35"/>
    <w:rsid w:val="00EA1267"/>
    <w:rsid w:val="00EA35BB"/>
    <w:rsid w:val="00EA3809"/>
    <w:rsid w:val="00EA55B4"/>
    <w:rsid w:val="00EC0A76"/>
    <w:rsid w:val="00EC1406"/>
    <w:rsid w:val="00ED27E1"/>
    <w:rsid w:val="00EF26E2"/>
    <w:rsid w:val="00F152F2"/>
    <w:rsid w:val="00F17139"/>
    <w:rsid w:val="00F22CD9"/>
    <w:rsid w:val="00F768B4"/>
    <w:rsid w:val="00F87B9E"/>
    <w:rsid w:val="00F97C83"/>
    <w:rsid w:val="00FB34BE"/>
    <w:rsid w:val="00FD45EA"/>
    <w:rsid w:val="00FE033A"/>
    <w:rsid w:val="00FE1863"/>
    <w:rsid w:val="00FF11EA"/>
    <w:rsid w:val="00FF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3E1"/>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character" w:customStyle="1" w:styleId="normaltextrun">
    <w:name w:val="normaltextrun"/>
    <w:basedOn w:val="DefaultParagraphFont"/>
    <w:rsid w:val="006A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311761596">
      <w:bodyDiv w:val="1"/>
      <w:marLeft w:val="0"/>
      <w:marRight w:val="0"/>
      <w:marTop w:val="0"/>
      <w:marBottom w:val="0"/>
      <w:divBdr>
        <w:top w:val="none" w:sz="0" w:space="0" w:color="auto"/>
        <w:left w:val="none" w:sz="0" w:space="0" w:color="auto"/>
        <w:bottom w:val="none" w:sz="0" w:space="0" w:color="auto"/>
        <w:right w:val="none" w:sz="0" w:space="0" w:color="auto"/>
      </w:divBdr>
    </w:div>
    <w:div w:id="363865817">
      <w:bodyDiv w:val="1"/>
      <w:marLeft w:val="0"/>
      <w:marRight w:val="0"/>
      <w:marTop w:val="0"/>
      <w:marBottom w:val="0"/>
      <w:divBdr>
        <w:top w:val="none" w:sz="0" w:space="0" w:color="auto"/>
        <w:left w:val="none" w:sz="0" w:space="0" w:color="auto"/>
        <w:bottom w:val="none" w:sz="0" w:space="0" w:color="auto"/>
        <w:right w:val="none" w:sz="0" w:space="0" w:color="auto"/>
      </w:divBdr>
    </w:div>
    <w:div w:id="797576168">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0E2BB-E0AC-41FA-A6AF-F8E455007A94}">
  <ds:schemaRefs>
    <ds:schemaRef ds:uri="http://schemas.microsoft.com/sharepoint/v3/contenttype/forms"/>
  </ds:schemaRefs>
</ds:datastoreItem>
</file>

<file path=customXml/itemProps2.xml><?xml version="1.0" encoding="utf-8"?>
<ds:datastoreItem xmlns:ds="http://schemas.openxmlformats.org/officeDocument/2006/customXml" ds:itemID="{D5DD7617-4FD8-462C-850D-2D2E71EBB8EA}">
  <ds:schemaRefs>
    <ds:schemaRef ds:uri="http://purl.org/dc/dcmitype/"/>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82071710-83e2-4871-b606-0004f14e9c40"/>
    <ds:schemaRef ds:uri="de349a6f-9dd4-4167-a0ec-0f85ef0207c9"/>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DC6F4AFB-491A-4344-8FED-0559449B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DSA-AC -01-22-ET-Addl 15 Day</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05-22 ET Part 5 15day</dc:title>
  <dc:creator/>
  <cp:lastModifiedBy/>
  <cp:revision>1</cp:revision>
  <dcterms:created xsi:type="dcterms:W3CDTF">2023-06-13T21:09:00Z</dcterms:created>
  <dcterms:modified xsi:type="dcterms:W3CDTF">2023-06-14T20:48:00Z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