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40A4CFD8"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EA35BB">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EA35BB">
        <w:rPr>
          <w:rFonts w:cs="Arial"/>
        </w:rPr>
        <w:t>DIVISION OF THE STATE ARCHITECT</w:t>
      </w:r>
      <w:r w:rsidR="00767766" w:rsidRPr="0044593B">
        <w:rPr>
          <w:rFonts w:cs="Arial"/>
        </w:rPr>
        <w:br/>
        <w:t xml:space="preserve">REGARDING THE </w:t>
      </w:r>
      <w:r w:rsidR="00EA35BB">
        <w:rPr>
          <w:rFonts w:cs="Arial"/>
        </w:rPr>
        <w:t>2022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EA35BB">
        <w:rPr>
          <w:rFonts w:cs="Arial"/>
        </w:rPr>
        <w:t>2</w:t>
      </w:r>
      <w:r w:rsidR="000C7383">
        <w:rPr>
          <w:rFonts w:cs="Arial"/>
        </w:rPr>
        <w:br/>
      </w:r>
      <w:r w:rsidR="00767766" w:rsidRPr="0044593B">
        <w:rPr>
          <w:rFonts w:cs="Arial"/>
          <w:szCs w:val="24"/>
        </w:rPr>
        <w:t>(</w:t>
      </w:r>
      <w:r w:rsidR="00526C54">
        <w:rPr>
          <w:rFonts w:cs="Arial"/>
          <w:szCs w:val="24"/>
        </w:rPr>
        <w:t>DSA-AC 01/22</w:t>
      </w:r>
      <w:r w:rsidR="00767766" w:rsidRPr="0044593B">
        <w:rPr>
          <w:rFonts w:cs="Arial"/>
          <w:szCs w:val="24"/>
        </w:rPr>
        <w:t>)</w:t>
      </w:r>
    </w:p>
    <w:p w14:paraId="2CC5E725" w14:textId="20C933C2"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w:t>
      </w:r>
      <w:r w:rsidR="00EA35BB">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xml:space="preserve">, </w:t>
      </w:r>
      <w:proofErr w:type="gramStart"/>
      <w:r w:rsidRPr="0044593B">
        <w:rPr>
          <w:rFonts w:cs="Arial"/>
          <w:szCs w:val="24"/>
        </w:rPr>
        <w:t>italics</w:t>
      </w:r>
      <w:proofErr w:type="gramEnd"/>
      <w:r w:rsidRPr="0044593B">
        <w:rPr>
          <w:rFonts w:cs="Arial"/>
          <w:szCs w:val="24"/>
        </w:rPr>
        <w:t xml:space="preserve">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0AF71560"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EA35BB">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6DD9A469" w:rsidR="00CF2161" w:rsidRPr="0044593B" w:rsidRDefault="00B53C67" w:rsidP="00CF2161">
      <w:pPr>
        <w:pStyle w:val="ListParagraph"/>
        <w:numPr>
          <w:ilvl w:val="0"/>
          <w:numId w:val="5"/>
        </w:numPr>
        <w:rPr>
          <w:rFonts w:cs="Arial"/>
        </w:rPr>
      </w:pPr>
      <w:r w:rsidRPr="0044593B">
        <w:rPr>
          <w:rFonts w:cs="Arial"/>
        </w:rPr>
        <w:t xml:space="preserve">Ellipsis </w:t>
      </w:r>
      <w:proofErr w:type="gramStart"/>
      <w:r w:rsidRPr="0044593B">
        <w:rPr>
          <w:rFonts w:cs="Arial"/>
          <w:szCs w:val="24"/>
        </w:rPr>
        <w:t>(</w:t>
      </w:r>
      <w:r w:rsidRPr="0044593B">
        <w:rPr>
          <w:rFonts w:cs="Arial"/>
          <w:sz w:val="2"/>
          <w:szCs w:val="2"/>
        </w:rPr>
        <w:t xml:space="preserve"> </w:t>
      </w:r>
      <w:r w:rsidRPr="0044593B">
        <w:rPr>
          <w:rFonts w:eastAsia="Times New Roman" w:cs="Arial"/>
          <w:szCs w:val="24"/>
          <w:lang w:eastAsia="ko-KR"/>
        </w:rPr>
        <w:t>...</w:t>
      </w:r>
      <w:proofErr w:type="gramEnd"/>
      <w:r w:rsidRPr="0044593B">
        <w:rPr>
          <w:rFonts w:eastAsia="Times New Roman" w:cs="Arial"/>
          <w:szCs w:val="24"/>
          <w:lang w:eastAsia="ko-KR"/>
        </w:rPr>
        <w:t>)</w:t>
      </w:r>
      <w:r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343A1406" w:rsidR="00767766" w:rsidRPr="0044593B" w:rsidRDefault="00786248" w:rsidP="000C7383">
      <w:pPr>
        <w:pStyle w:val="Heading2"/>
        <w:rPr>
          <w:bCs/>
        </w:rPr>
      </w:pPr>
      <w:r w:rsidRPr="0044593B">
        <w:t>ADDITIONAL</w:t>
      </w:r>
      <w:r w:rsidR="00767766" w:rsidRPr="0044593B">
        <w:t xml:space="preserve"> </w:t>
      </w:r>
      <w:r w:rsidR="00EA35BB">
        <w:t>15</w:t>
      </w:r>
      <w:r w:rsidRPr="0044593B">
        <w:t xml:space="preserve">-DAY </w:t>
      </w:r>
      <w:r w:rsidR="00767766" w:rsidRPr="0044593B">
        <w:t>EXPRESS TERMS</w:t>
      </w:r>
    </w:p>
    <w:p w14:paraId="1351443B" w14:textId="3760D810" w:rsidR="00D903E1" w:rsidRDefault="00D903E1" w:rsidP="00A6463F">
      <w:pPr>
        <w:pStyle w:val="Heading3"/>
        <w:rPr>
          <w:rFonts w:cs="Arial"/>
          <w:i/>
          <w:iCs/>
        </w:rPr>
      </w:pPr>
      <w:r w:rsidRPr="0044593B">
        <w:t xml:space="preserve">ITEM </w:t>
      </w:r>
      <w:r>
        <w:rPr>
          <w:noProof/>
        </w:rPr>
        <w:t>9</w:t>
      </w:r>
      <w:r w:rsidR="00A6463F">
        <w:rPr>
          <w:noProof/>
        </w:rPr>
        <w:t>-</w:t>
      </w:r>
      <w:r w:rsidR="002E5C1F">
        <w:rPr>
          <w:noProof/>
        </w:rPr>
        <w:t>4</w:t>
      </w:r>
      <w:r w:rsidRPr="0044593B">
        <w:rPr>
          <w:snapToGrid/>
        </w:rPr>
        <w:br/>
      </w:r>
      <w:r w:rsidRPr="0044593B">
        <w:t xml:space="preserve">Chapter </w:t>
      </w:r>
      <w:r>
        <w:rPr>
          <w:noProof/>
        </w:rPr>
        <w:t>11B ACCESSIBILITY TO PUBLIC BUILDINGS, PUBLIC ACCOMMODATIONS, COMMERCIAL BUILDINGS AND PUBLIC HOUSING</w:t>
      </w:r>
      <w:r w:rsidRPr="0044593B">
        <w:rPr>
          <w:noProof/>
        </w:rPr>
        <w:t xml:space="preserve">, </w:t>
      </w:r>
      <w:r w:rsidRPr="0044593B">
        <w:t xml:space="preserve">Section </w:t>
      </w:r>
    </w:p>
    <w:p w14:paraId="40EF5477" w14:textId="77777777" w:rsidR="00D903E1" w:rsidRDefault="00D903E1" w:rsidP="00D903E1">
      <w:pPr>
        <w:ind w:left="360"/>
        <w:rPr>
          <w:rFonts w:cs="Arial"/>
          <w:i/>
          <w:iCs/>
          <w:szCs w:val="24"/>
          <w:u w:val="single"/>
        </w:rPr>
      </w:pPr>
      <w:bookmarkStart w:id="1" w:name="_Hlk115866428"/>
      <w:r>
        <w:rPr>
          <w:rFonts w:cs="Arial"/>
          <w:b/>
          <w:bCs/>
          <w:i/>
          <w:iCs/>
          <w:szCs w:val="24"/>
        </w:rPr>
        <w:t xml:space="preserve">11B-213.3.1 </w:t>
      </w:r>
      <w:r>
        <w:rPr>
          <w:rFonts w:cs="Arial"/>
          <w:b/>
          <w:bCs/>
          <w:i/>
          <w:iCs/>
          <w:szCs w:val="24"/>
          <w:u w:val="single"/>
        </w:rPr>
        <w:t>Toilet compartments and urinal compartments.</w:t>
      </w:r>
      <w:r>
        <w:rPr>
          <w:rFonts w:cs="Arial"/>
          <w:i/>
          <w:iCs/>
          <w:szCs w:val="24"/>
        </w:rPr>
        <w:t xml:space="preserve"> </w:t>
      </w:r>
      <w:r>
        <w:rPr>
          <w:rFonts w:cs="Arial"/>
          <w:i/>
          <w:iCs/>
          <w:szCs w:val="24"/>
          <w:u w:val="single"/>
        </w:rPr>
        <w:t xml:space="preserve">Where only toilet compartments are provided, they shall comply with Section 11B-213.3.1.1. Where both toilet and urinal compartments are provided, they shall comply with Section 11B-213.3.1.2 </w:t>
      </w:r>
    </w:p>
    <w:p w14:paraId="38882F97" w14:textId="77777777" w:rsidR="00D903E1" w:rsidRDefault="00D903E1" w:rsidP="00D903E1">
      <w:pPr>
        <w:ind w:left="720"/>
        <w:rPr>
          <w:rFonts w:cs="Arial"/>
          <w:i/>
          <w:iCs/>
          <w:szCs w:val="24"/>
          <w:u w:val="single"/>
        </w:rPr>
      </w:pPr>
      <w:bookmarkStart w:id="2" w:name="_Hlk134171448"/>
      <w:r>
        <w:rPr>
          <w:rFonts w:cs="Arial"/>
          <w:b/>
          <w:bCs/>
          <w:i/>
          <w:iCs/>
          <w:szCs w:val="24"/>
          <w:u w:val="single"/>
        </w:rPr>
        <w:t>11B-213.3.1.1</w:t>
      </w:r>
      <w:r>
        <w:rPr>
          <w:rFonts w:cs="Arial"/>
          <w:b/>
          <w:bCs/>
          <w:i/>
          <w:iCs/>
          <w:szCs w:val="24"/>
        </w:rPr>
        <w:t xml:space="preserve"> Toilet compartments.</w:t>
      </w:r>
      <w:bookmarkEnd w:id="2"/>
      <w:r>
        <w:rPr>
          <w:rFonts w:cs="Arial"/>
          <w:i/>
          <w:iCs/>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w:t>
      </w:r>
      <w:r>
        <w:rPr>
          <w:rFonts w:cs="Arial"/>
          <w:i/>
          <w:iCs/>
          <w:szCs w:val="24"/>
        </w:rPr>
        <w:lastRenderedPageBreak/>
        <w:t>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5B967830" w14:textId="75B969B9" w:rsidR="00D903E1" w:rsidRDefault="00D903E1" w:rsidP="00D903E1">
      <w:pPr>
        <w:ind w:left="720"/>
        <w:rPr>
          <w:rFonts w:cs="Arial"/>
          <w:i/>
          <w:iCs/>
          <w:szCs w:val="24"/>
          <w:u w:val="single"/>
        </w:rPr>
      </w:pPr>
      <w:bookmarkStart w:id="3" w:name="_Hlk134171467"/>
      <w:r>
        <w:rPr>
          <w:rFonts w:cs="Arial"/>
          <w:b/>
          <w:bCs/>
          <w:i/>
          <w:iCs/>
          <w:szCs w:val="24"/>
          <w:u w:val="single"/>
        </w:rPr>
        <w:t>11B-213.3.1.2 Toilet compartments</w:t>
      </w:r>
      <w:r w:rsidRPr="00A6463F">
        <w:rPr>
          <w:rFonts w:cs="Arial"/>
          <w:b/>
          <w:bCs/>
          <w:i/>
          <w:iCs/>
          <w:szCs w:val="24"/>
        </w:rPr>
        <w:t xml:space="preserve"> </w:t>
      </w:r>
      <w:r w:rsidR="00A6463F" w:rsidRPr="00B177E9">
        <w:rPr>
          <w:rFonts w:cs="Arial"/>
          <w:szCs w:val="24"/>
        </w:rPr>
        <w:t>[</w:t>
      </w:r>
      <w:bookmarkEnd w:id="3"/>
      <w:r w:rsidR="00A6463F" w:rsidRPr="00B177E9">
        <w:rPr>
          <w:rFonts w:cs="Arial"/>
          <w:szCs w:val="24"/>
        </w:rPr>
        <w:t xml:space="preserve">begin double strikeout] </w:t>
      </w:r>
      <w:r w:rsidR="00A6463F" w:rsidRPr="00A6463F">
        <w:rPr>
          <w:rFonts w:cs="Arial"/>
          <w:b/>
          <w:bCs/>
          <w:i/>
          <w:iCs/>
          <w:dstrike/>
          <w:szCs w:val="24"/>
          <w:u w:val="single"/>
        </w:rPr>
        <w:t>and</w:t>
      </w:r>
      <w:r w:rsidR="00A6463F" w:rsidRPr="00A6463F">
        <w:rPr>
          <w:rFonts w:cs="Arial"/>
          <w:b/>
          <w:bCs/>
          <w:i/>
          <w:iCs/>
          <w:szCs w:val="24"/>
        </w:rPr>
        <w:t xml:space="preserve"> </w:t>
      </w:r>
      <w:r w:rsidR="00A6463F" w:rsidRPr="00B177E9">
        <w:rPr>
          <w:rFonts w:cs="Arial"/>
          <w:szCs w:val="24"/>
        </w:rPr>
        <w:t>[end double strikeout] [begin double underline]</w:t>
      </w:r>
      <w:r w:rsidR="00A6463F" w:rsidRPr="00B177E9">
        <w:rPr>
          <w:rFonts w:cs="Arial"/>
          <w:i/>
          <w:iCs/>
          <w:szCs w:val="24"/>
        </w:rPr>
        <w:t xml:space="preserve"> </w:t>
      </w:r>
      <w:r w:rsidR="00A6463F" w:rsidRPr="00A6463F">
        <w:rPr>
          <w:rFonts w:cs="Arial"/>
          <w:b/>
          <w:bCs/>
          <w:i/>
          <w:iCs/>
          <w:szCs w:val="24"/>
          <w:u w:val="double"/>
        </w:rPr>
        <w:t>with</w:t>
      </w:r>
      <w:r w:rsidR="00A6463F" w:rsidRPr="00A6463F">
        <w:rPr>
          <w:rFonts w:cs="Arial"/>
          <w:b/>
          <w:bCs/>
          <w:i/>
          <w:iCs/>
          <w:szCs w:val="24"/>
        </w:rPr>
        <w:t xml:space="preserve"> </w:t>
      </w:r>
      <w:r w:rsidR="00A6463F" w:rsidRPr="00B177E9">
        <w:rPr>
          <w:rFonts w:cs="Arial"/>
          <w:color w:val="000000" w:themeColor="text1"/>
          <w:szCs w:val="24"/>
        </w:rPr>
        <w:t xml:space="preserve">[end double </w:t>
      </w:r>
      <w:proofErr w:type="gramStart"/>
      <w:r w:rsidR="00A6463F" w:rsidRPr="00B177E9">
        <w:rPr>
          <w:rFonts w:cs="Arial"/>
          <w:color w:val="000000" w:themeColor="text1"/>
          <w:szCs w:val="24"/>
        </w:rPr>
        <w:t xml:space="preserve">underline] </w:t>
      </w:r>
      <w:r w:rsidRPr="00A6463F">
        <w:rPr>
          <w:rFonts w:cs="Arial"/>
          <w:b/>
          <w:bCs/>
          <w:i/>
          <w:iCs/>
          <w:szCs w:val="24"/>
        </w:rPr>
        <w:t xml:space="preserve"> </w:t>
      </w:r>
      <w:r>
        <w:rPr>
          <w:rFonts w:cs="Arial"/>
          <w:b/>
          <w:bCs/>
          <w:i/>
          <w:iCs/>
          <w:szCs w:val="24"/>
          <w:u w:val="single"/>
        </w:rPr>
        <w:t>urinal</w:t>
      </w:r>
      <w:proofErr w:type="gramEnd"/>
      <w:r>
        <w:rPr>
          <w:rFonts w:cs="Arial"/>
          <w:b/>
          <w:bCs/>
          <w:i/>
          <w:iCs/>
          <w:szCs w:val="24"/>
          <w:u w:val="single"/>
        </w:rPr>
        <w:t xml:space="preserve"> compartments.</w:t>
      </w:r>
      <w:r>
        <w:rPr>
          <w:rFonts w:cs="Arial"/>
          <w:i/>
          <w:iCs/>
          <w:szCs w:val="24"/>
        </w:rPr>
        <w:t xml:space="preserve"> </w:t>
      </w:r>
      <w:r>
        <w:rPr>
          <w:rFonts w:cs="Arial"/>
          <w:i/>
          <w:iCs/>
          <w:szCs w:val="24"/>
          <w:u w:val="single"/>
        </w:rPr>
        <w:t>Where both toilet compartments and urinal compartments are provided, at least five percent of toilet compartments, but no fewer than one, shall comply with Section 11B-604.8.1 and at least ten percent of urinal compartments, but no fewer than one, shall comply with Section 11B-605.5. In addition to the toilet compartments required to comply with Section 11B-604.8.1 and urinal compartments required to comply with Section 11B-605.5, where the combination of urinals and water closets totals six or more fixtures, toilet compartments complying with Section 11B-604.8.2 shall be provided in the same quantity as the toilet compartments required to comply with Section 11B-604.8.1. At all compartments not required to comply with Section 11B-604.8 or Section 11B-605.5, compartment doors shall be in-swinging and self-closing. All individual compartments shall be identified with a sign complying with Section 11B-216.8.3.</w:t>
      </w:r>
      <w:bookmarkEnd w:id="1"/>
    </w:p>
    <w:p w14:paraId="368DBC74" w14:textId="77777777" w:rsidR="00D903E1" w:rsidRDefault="00D903E1" w:rsidP="00D903E1">
      <w:pPr>
        <w:ind w:left="360"/>
        <w:rPr>
          <w:rFonts w:cs="Arial"/>
          <w:szCs w:val="24"/>
        </w:rPr>
      </w:pPr>
      <w:r>
        <w:rPr>
          <w:rFonts w:cs="Arial"/>
          <w:b/>
          <w:bCs/>
          <w:i/>
          <w:iCs/>
          <w:szCs w:val="24"/>
        </w:rPr>
        <w:t>11B-</w:t>
      </w:r>
      <w:r>
        <w:rPr>
          <w:rFonts w:cs="Arial"/>
          <w:b/>
          <w:bCs/>
          <w:szCs w:val="24"/>
        </w:rPr>
        <w:t>213.3.2 Water closets.</w:t>
      </w:r>
      <w:r>
        <w:rPr>
          <w:rFonts w:cs="Arial"/>
          <w:szCs w:val="24"/>
        </w:rPr>
        <w:t xml:space="preserve"> Where water closets are provided…</w:t>
      </w:r>
    </w:p>
    <w:p w14:paraId="76838102" w14:textId="77777777" w:rsidR="00D903E1" w:rsidRDefault="00D903E1" w:rsidP="00D903E1">
      <w:pPr>
        <w:ind w:left="360"/>
        <w:rPr>
          <w:rFonts w:cs="Arial"/>
          <w:strike/>
          <w:szCs w:val="24"/>
        </w:rPr>
      </w:pPr>
      <w:r>
        <w:rPr>
          <w:rFonts w:cs="Arial"/>
          <w:b/>
          <w:bCs/>
          <w:i/>
          <w:iCs/>
          <w:szCs w:val="24"/>
        </w:rPr>
        <w:t>11B-</w:t>
      </w:r>
      <w:r>
        <w:rPr>
          <w:rFonts w:cs="Arial"/>
          <w:b/>
          <w:bCs/>
          <w:szCs w:val="24"/>
        </w:rPr>
        <w:t>213.3.3 Urinals.</w:t>
      </w:r>
      <w:r>
        <w:rPr>
          <w:rFonts w:cs="Arial"/>
          <w:szCs w:val="24"/>
        </w:rPr>
        <w:t xml:space="preserve"> Where one or more urinals are provided, at least 10 percent but no fewer than one shall comply with </w:t>
      </w:r>
      <w:r>
        <w:rPr>
          <w:rFonts w:cs="Arial"/>
          <w:i/>
          <w:iCs/>
          <w:szCs w:val="24"/>
        </w:rPr>
        <w:t>Section 11B-</w:t>
      </w:r>
      <w:r>
        <w:rPr>
          <w:rFonts w:cs="Arial"/>
          <w:szCs w:val="24"/>
        </w:rPr>
        <w:t xml:space="preserve">605. </w:t>
      </w:r>
    </w:p>
    <w:p w14:paraId="2DF925E2" w14:textId="77777777" w:rsidR="00D903E1" w:rsidRDefault="00D903E1" w:rsidP="00D903E1">
      <w:pPr>
        <w:ind w:left="360"/>
        <w:rPr>
          <w:rFonts w:cs="Arial"/>
          <w:i/>
          <w:iCs/>
          <w:szCs w:val="24"/>
        </w:rPr>
      </w:pPr>
      <w:r>
        <w:rPr>
          <w:rFonts w:cs="Arial"/>
          <w:b/>
          <w:bCs/>
          <w:i/>
          <w:iCs/>
          <w:szCs w:val="24"/>
        </w:rPr>
        <w:t>11B-</w:t>
      </w:r>
      <w:r>
        <w:rPr>
          <w:rFonts w:cs="Arial"/>
          <w:b/>
          <w:bCs/>
          <w:szCs w:val="24"/>
        </w:rPr>
        <w:t xml:space="preserve">213.3.4 Lavatories. </w:t>
      </w:r>
      <w:r>
        <w:rPr>
          <w:rFonts w:cs="Arial"/>
          <w:szCs w:val="24"/>
        </w:rPr>
        <w:t xml:space="preserve">Where lavatories are provided, at least </w:t>
      </w:r>
      <w:r>
        <w:rPr>
          <w:rFonts w:cs="Arial"/>
          <w:i/>
          <w:iCs/>
          <w:szCs w:val="24"/>
        </w:rPr>
        <w:t>10 percent but no fewer than</w:t>
      </w:r>
      <w:r>
        <w:rPr>
          <w:rFonts w:cs="Arial"/>
          <w:szCs w:val="24"/>
        </w:rPr>
        <w:t xml:space="preserve"> one shall comply with Section </w:t>
      </w:r>
      <w:r>
        <w:rPr>
          <w:rFonts w:cs="Arial"/>
          <w:i/>
          <w:iCs/>
          <w:szCs w:val="24"/>
        </w:rPr>
        <w:t>11B-</w:t>
      </w:r>
      <w:r>
        <w:rPr>
          <w:rFonts w:cs="Arial"/>
          <w:szCs w:val="24"/>
        </w:rPr>
        <w:t xml:space="preserve">606 and shall not </w:t>
      </w:r>
      <w:proofErr w:type="gramStart"/>
      <w:r>
        <w:rPr>
          <w:rFonts w:cs="Arial"/>
          <w:szCs w:val="24"/>
        </w:rPr>
        <w:t>be located in</w:t>
      </w:r>
      <w:proofErr w:type="gramEnd"/>
      <w:r>
        <w:rPr>
          <w:rFonts w:cs="Arial"/>
          <w:szCs w:val="24"/>
        </w:rPr>
        <w:t xml:space="preserve"> a toilet</w:t>
      </w:r>
      <w:r>
        <w:rPr>
          <w:rFonts w:cs="Arial"/>
          <w:i/>
          <w:iCs/>
          <w:szCs w:val="24"/>
        </w:rPr>
        <w:t xml:space="preserve"> </w:t>
      </w:r>
      <w:r>
        <w:rPr>
          <w:rFonts w:cs="Arial"/>
          <w:i/>
          <w:iCs/>
          <w:szCs w:val="24"/>
          <w:u w:val="single"/>
        </w:rPr>
        <w:t>or urinal</w:t>
      </w:r>
      <w:r>
        <w:rPr>
          <w:rFonts w:cs="Arial"/>
          <w:i/>
          <w:iCs/>
          <w:szCs w:val="24"/>
        </w:rPr>
        <w:t xml:space="preserve"> </w:t>
      </w:r>
      <w:r>
        <w:rPr>
          <w:rFonts w:cs="Arial"/>
          <w:szCs w:val="24"/>
        </w:rPr>
        <w:t>compartment.</w:t>
      </w:r>
    </w:p>
    <w:p w14:paraId="6FC53BE0" w14:textId="1EC92E5E" w:rsidR="00D903E1" w:rsidRPr="0044593B" w:rsidRDefault="00D903E1" w:rsidP="00D903E1">
      <w:pPr>
        <w:spacing w:before="120"/>
        <w:rPr>
          <w:rFonts w:cs="Arial"/>
        </w:rPr>
      </w:pPr>
      <w:r w:rsidRPr="0044593B">
        <w:rPr>
          <w:rFonts w:cs="Arial"/>
          <w:b/>
        </w:rPr>
        <w:t>Rationale:</w:t>
      </w:r>
      <w:r w:rsidRPr="0044593B">
        <w:rPr>
          <w:rFonts w:cs="Arial"/>
        </w:rPr>
        <w:t xml:space="preserve"> </w:t>
      </w:r>
      <w:r>
        <w:rPr>
          <w:rFonts w:cs="Arial"/>
          <w:noProof/>
        </w:rPr>
        <w:t>A commenter noted during the 45-day comment period that sub-section 11B-213.3.1.2 Toilet compartments and urinal compartments was indented relative to sub-section 11B-213.3.1.1.  This was a typographical error and DSA did not intend to change the indentation or priority of one sub-section relative to the other.</w:t>
      </w:r>
      <w:r w:rsidR="00A6463F">
        <w:rPr>
          <w:rFonts w:cs="Arial"/>
          <w:noProof/>
        </w:rPr>
        <w:t xml:space="preserve">  DSA also proposes to retitle the sub-section, removing the word “and” and replacing it with the word “with” to avoid identical titles at this sub-section and the section above</w:t>
      </w:r>
      <w:r w:rsidR="00890C92">
        <w:rPr>
          <w:rFonts w:cs="Arial"/>
          <w:noProof/>
        </w:rPr>
        <w:t xml:space="preserve"> at 11B-213.3.1</w:t>
      </w:r>
      <w:r w:rsidR="00A6463F">
        <w:rPr>
          <w:rFonts w:cs="Arial"/>
          <w:noProof/>
        </w:rPr>
        <w:t>.</w:t>
      </w:r>
    </w:p>
    <w:p w14:paraId="7C96E586" w14:textId="77777777" w:rsidR="00D903E1" w:rsidRPr="0044593B" w:rsidRDefault="00D903E1" w:rsidP="00D903E1">
      <w:pPr>
        <w:spacing w:before="240"/>
        <w:rPr>
          <w:rFonts w:cs="Arial"/>
        </w:rPr>
      </w:pPr>
      <w:r w:rsidRPr="0044593B">
        <w:rPr>
          <w:rFonts w:cs="Arial"/>
          <w:b/>
        </w:rPr>
        <w:t>Notation:</w:t>
      </w:r>
    </w:p>
    <w:p w14:paraId="43F04E46" w14:textId="7FF4F157" w:rsidR="00D903E1" w:rsidRPr="0044593B" w:rsidRDefault="00D903E1" w:rsidP="00D903E1">
      <w:pPr>
        <w:spacing w:before="120"/>
        <w:rPr>
          <w:rFonts w:cs="Arial"/>
        </w:rPr>
      </w:pPr>
      <w:r w:rsidRPr="0044593B">
        <w:rPr>
          <w:rFonts w:cs="Arial"/>
        </w:rPr>
        <w:t xml:space="preserve">Authority: </w:t>
      </w:r>
      <w:r>
        <w:rPr>
          <w:rFonts w:cs="Arial"/>
          <w:noProof/>
        </w:rPr>
        <w:t>Government Code 4450</w:t>
      </w:r>
    </w:p>
    <w:p w14:paraId="5A21ACAF" w14:textId="78CA5882" w:rsidR="00D903E1" w:rsidRPr="00D903E1" w:rsidRDefault="00D903E1" w:rsidP="00D903E1">
      <w:pPr>
        <w:spacing w:before="120"/>
        <w:rPr>
          <w:rFonts w:cs="Arial"/>
          <w:noProof/>
        </w:rPr>
      </w:pPr>
      <w:r w:rsidRPr="0044593B">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p>
    <w:p w14:paraId="2F854EE3" w14:textId="2443EA54" w:rsidR="000B33E0" w:rsidRPr="0044593B" w:rsidRDefault="001E12EE" w:rsidP="000C7383">
      <w:pPr>
        <w:pStyle w:val="Heading3"/>
        <w:rPr>
          <w:noProof/>
        </w:rPr>
      </w:pPr>
      <w:r w:rsidRPr="0044593B">
        <w:t>ITEM</w:t>
      </w:r>
      <w:r w:rsidR="000B33E0" w:rsidRPr="0044593B">
        <w:t xml:space="preserve"> </w:t>
      </w:r>
      <w:r w:rsidR="00366A30">
        <w:rPr>
          <w:noProof/>
        </w:rPr>
        <w:t>11</w:t>
      </w:r>
      <w:r w:rsidR="002E5C1F">
        <w:rPr>
          <w:noProof/>
        </w:rPr>
        <w:t>-2</w:t>
      </w:r>
      <w:r w:rsidR="00391B17" w:rsidRPr="0044593B">
        <w:rPr>
          <w:snapToGrid/>
        </w:rPr>
        <w:br/>
      </w:r>
      <w:r w:rsidR="000B33E0" w:rsidRPr="0044593B">
        <w:t xml:space="preserve">Chapter </w:t>
      </w:r>
      <w:r w:rsidR="00366A30">
        <w:rPr>
          <w:noProof/>
        </w:rPr>
        <w:t>11B ACCESSIBILITY TO PUBLIC BUILDINGS, PUBLIC ACCOMMODATIONS, COMMERCIAL BUILDINGS AND PUBLIC HOUSING</w:t>
      </w:r>
      <w:r w:rsidR="00786248" w:rsidRPr="0044593B">
        <w:rPr>
          <w:noProof/>
        </w:rPr>
        <w:t xml:space="preserve">, </w:t>
      </w:r>
      <w:r w:rsidR="000B33E0" w:rsidRPr="0044593B">
        <w:t xml:space="preserve">Section </w:t>
      </w:r>
      <w:r w:rsidR="00366A30" w:rsidRPr="00366A30">
        <w:rPr>
          <w:i/>
          <w:iCs/>
          <w:noProof/>
        </w:rPr>
        <w:t>11B-</w:t>
      </w:r>
      <w:r w:rsidR="00366A30">
        <w:rPr>
          <w:noProof/>
        </w:rPr>
        <w:t xml:space="preserve">233 </w:t>
      </w:r>
      <w:r w:rsidR="00366A30" w:rsidRPr="00366A30">
        <w:rPr>
          <w:i/>
          <w:iCs/>
          <w:noProof/>
        </w:rPr>
        <w:t>Public housing</w:t>
      </w:r>
      <w:r w:rsidR="00366A30">
        <w:rPr>
          <w:noProof/>
        </w:rPr>
        <w:t xml:space="preserve"> facilities</w:t>
      </w:r>
    </w:p>
    <w:p w14:paraId="1A3A0EBF" w14:textId="081FAD1E" w:rsidR="00FE1863" w:rsidRPr="00D82CE3" w:rsidRDefault="00FE1863" w:rsidP="00FE1863">
      <w:pPr>
        <w:pStyle w:val="ListParagraph"/>
        <w:tabs>
          <w:tab w:val="left" w:pos="1440"/>
        </w:tabs>
        <w:autoSpaceDE w:val="0"/>
        <w:autoSpaceDN w:val="0"/>
        <w:adjustRightInd w:val="0"/>
        <w:ind w:left="1440"/>
        <w:rPr>
          <w:rFonts w:cs="Arial"/>
          <w:i/>
          <w:iCs/>
          <w:szCs w:val="24"/>
        </w:rPr>
      </w:pPr>
      <w:r w:rsidRPr="00642841">
        <w:rPr>
          <w:rFonts w:cs="Arial"/>
          <w:b/>
          <w:bCs/>
          <w:i/>
          <w:iCs/>
          <w:szCs w:val="24"/>
        </w:rPr>
        <w:t>11B-233.3.1.2.1 Elevator buildings.</w:t>
      </w:r>
      <w:r w:rsidRPr="00642841">
        <w:rPr>
          <w:rFonts w:cs="Arial"/>
          <w:i/>
          <w:iCs/>
          <w:szCs w:val="24"/>
        </w:rPr>
        <w:t xml:space="preserve"> </w:t>
      </w:r>
      <w:r w:rsidRPr="00B77423">
        <w:rPr>
          <w:rFonts w:cs="Arial"/>
          <w:i/>
          <w:iCs/>
          <w:color w:val="000000" w:themeColor="text1"/>
          <w:szCs w:val="24"/>
          <w:u w:val="single"/>
        </w:rPr>
        <w:t>A residential building with one or more elevators shall have an elevator serve all floors with a residential dwelling unit</w:t>
      </w:r>
      <w:r w:rsidRPr="00B177E9">
        <w:rPr>
          <w:rFonts w:cs="Arial"/>
          <w:i/>
          <w:iCs/>
          <w:color w:val="000000" w:themeColor="text1"/>
          <w:szCs w:val="24"/>
        </w:rPr>
        <w:t xml:space="preserve"> </w:t>
      </w:r>
      <w:r w:rsidR="00B177E9" w:rsidRPr="00B177E9">
        <w:rPr>
          <w:rFonts w:cs="Arial"/>
          <w:szCs w:val="24"/>
        </w:rPr>
        <w:t>[begin double underline]</w:t>
      </w:r>
      <w:r w:rsidR="00B177E9" w:rsidRPr="00B177E9">
        <w:rPr>
          <w:rFonts w:cs="Arial"/>
          <w:i/>
          <w:iCs/>
          <w:szCs w:val="24"/>
        </w:rPr>
        <w:t xml:space="preserve"> </w:t>
      </w:r>
      <w:r w:rsidRPr="00FE1863">
        <w:rPr>
          <w:rFonts w:cs="Arial"/>
          <w:i/>
          <w:iCs/>
          <w:color w:val="000000" w:themeColor="text1"/>
          <w:szCs w:val="24"/>
          <w:u w:val="double"/>
        </w:rPr>
        <w:t>primary</w:t>
      </w:r>
      <w:r w:rsidRPr="00B177E9">
        <w:rPr>
          <w:rFonts w:cs="Arial"/>
          <w:i/>
          <w:iCs/>
          <w:color w:val="000000" w:themeColor="text1"/>
          <w:szCs w:val="24"/>
        </w:rPr>
        <w:t xml:space="preserve"> </w:t>
      </w:r>
      <w:r w:rsidR="00B177E9" w:rsidRPr="00B177E9">
        <w:rPr>
          <w:rFonts w:cs="Arial"/>
          <w:color w:val="000000" w:themeColor="text1"/>
          <w:szCs w:val="24"/>
        </w:rPr>
        <w:t xml:space="preserve">[end double underline] </w:t>
      </w:r>
      <w:r w:rsidRPr="0067239D">
        <w:rPr>
          <w:rFonts w:cs="Arial"/>
          <w:i/>
          <w:iCs/>
          <w:szCs w:val="24"/>
          <w:u w:val="single"/>
        </w:rPr>
        <w:t>entrance and all floors with common use</w:t>
      </w:r>
      <w:r w:rsidRPr="00B177E9">
        <w:rPr>
          <w:rFonts w:cs="Arial"/>
          <w:i/>
          <w:iCs/>
          <w:szCs w:val="24"/>
        </w:rPr>
        <w:t xml:space="preserve"> </w:t>
      </w:r>
      <w:r w:rsidR="00B177E9" w:rsidRPr="00B177E9">
        <w:rPr>
          <w:rFonts w:cs="Arial"/>
          <w:szCs w:val="24"/>
        </w:rPr>
        <w:t xml:space="preserve">[begin double strikeout] </w:t>
      </w:r>
      <w:r w:rsidRPr="00FE1863">
        <w:rPr>
          <w:rFonts w:cs="Arial"/>
          <w:i/>
          <w:iCs/>
          <w:dstrike/>
          <w:szCs w:val="24"/>
          <w:u w:val="single"/>
        </w:rPr>
        <w:t>spaces</w:t>
      </w:r>
      <w:r w:rsidR="00B954E5" w:rsidRPr="00B177E9">
        <w:rPr>
          <w:rFonts w:cs="Arial"/>
          <w:szCs w:val="24"/>
        </w:rPr>
        <w:t xml:space="preserve"> </w:t>
      </w:r>
      <w:r w:rsidR="00B177E9" w:rsidRPr="00B177E9">
        <w:rPr>
          <w:rFonts w:cs="Arial"/>
          <w:szCs w:val="24"/>
        </w:rPr>
        <w:lastRenderedPageBreak/>
        <w:t>[end double strikeout] [begin double underline]</w:t>
      </w:r>
      <w:r w:rsidR="00B177E9" w:rsidRPr="00B177E9">
        <w:rPr>
          <w:rFonts w:cs="Arial"/>
          <w:i/>
          <w:iCs/>
          <w:szCs w:val="24"/>
        </w:rPr>
        <w:t xml:space="preserve"> </w:t>
      </w:r>
      <w:r w:rsidR="00B954E5" w:rsidRPr="00B954E5">
        <w:rPr>
          <w:rFonts w:cs="Arial"/>
          <w:i/>
          <w:iCs/>
          <w:szCs w:val="24"/>
          <w:u w:val="double"/>
        </w:rPr>
        <w:t>areas</w:t>
      </w:r>
      <w:r w:rsidR="00B177E9">
        <w:rPr>
          <w:rFonts w:cs="Arial"/>
          <w:i/>
          <w:iCs/>
          <w:szCs w:val="24"/>
          <w:u w:val="double"/>
        </w:rPr>
        <w:t xml:space="preserve"> </w:t>
      </w:r>
      <w:r w:rsidR="00B177E9">
        <w:rPr>
          <w:rFonts w:cs="Arial"/>
          <w:szCs w:val="24"/>
        </w:rPr>
        <w:t>[end double underline]</w:t>
      </w:r>
      <w:r w:rsidRPr="0067239D">
        <w:rPr>
          <w:rFonts w:cs="Arial"/>
          <w:i/>
          <w:iCs/>
          <w:szCs w:val="24"/>
          <w:u w:val="single"/>
        </w:rPr>
        <w:t xml:space="preserve">. Elevators shall comply with Section 11B-407. </w:t>
      </w:r>
      <w:r w:rsidRPr="0097092F">
        <w:rPr>
          <w:rFonts w:cs="Arial"/>
          <w:i/>
          <w:iCs/>
          <w:szCs w:val="24"/>
        </w:rPr>
        <w:t>Residential dwelling units on floors served by an elevator shall be adaptable.</w:t>
      </w:r>
    </w:p>
    <w:p w14:paraId="40546411" w14:textId="77777777" w:rsidR="00FE1863" w:rsidRPr="00B77423" w:rsidRDefault="00FE1863" w:rsidP="00FE1863">
      <w:pPr>
        <w:autoSpaceDE w:val="0"/>
        <w:autoSpaceDN w:val="0"/>
        <w:adjustRightInd w:val="0"/>
        <w:ind w:left="1890"/>
        <w:rPr>
          <w:rFonts w:cs="Arial"/>
          <w:b/>
          <w:bCs/>
          <w:i/>
          <w:iCs/>
          <w:color w:val="000000" w:themeColor="text1"/>
          <w:szCs w:val="24"/>
          <w:u w:val="single"/>
        </w:rPr>
      </w:pPr>
      <w:r w:rsidRPr="00B77423">
        <w:rPr>
          <w:rFonts w:cs="Arial"/>
          <w:b/>
          <w:bCs/>
          <w:i/>
          <w:iCs/>
          <w:color w:val="000000" w:themeColor="text1"/>
          <w:szCs w:val="24"/>
          <w:u w:val="single"/>
        </w:rPr>
        <w:t xml:space="preserve">Exceptions: </w:t>
      </w:r>
    </w:p>
    <w:p w14:paraId="008FC03D" w14:textId="77777777" w:rsidR="00FE1863" w:rsidRPr="00B77423" w:rsidRDefault="00FE1863" w:rsidP="00FE1863">
      <w:pPr>
        <w:pStyle w:val="ListParagraph"/>
        <w:widowControl/>
        <w:numPr>
          <w:ilvl w:val="0"/>
          <w:numId w:val="17"/>
        </w:numPr>
        <w:autoSpaceDE w:val="0"/>
        <w:autoSpaceDN w:val="0"/>
        <w:adjustRightInd w:val="0"/>
        <w:rPr>
          <w:rFonts w:cs="Arial"/>
          <w:i/>
          <w:iCs/>
          <w:color w:val="000000" w:themeColor="text1"/>
          <w:szCs w:val="24"/>
          <w:u w:val="single"/>
        </w:rPr>
      </w:pPr>
      <w:r w:rsidRPr="00B77423">
        <w:rPr>
          <w:rFonts w:cs="Arial"/>
          <w:i/>
          <w:iCs/>
          <w:color w:val="000000" w:themeColor="text1"/>
          <w:szCs w:val="24"/>
          <w:u w:val="single"/>
        </w:rPr>
        <w:t xml:space="preserve">A building with only an elevator that serves a parking garage or building entry level not containing residential dwelling units to the first ground floor above grade containing residential dwelling units. </w:t>
      </w:r>
    </w:p>
    <w:p w14:paraId="25CE9265" w14:textId="77777777" w:rsidR="00FE1863" w:rsidRPr="00B77423" w:rsidRDefault="00FE1863" w:rsidP="00FE1863">
      <w:pPr>
        <w:pStyle w:val="ListParagraph"/>
        <w:widowControl/>
        <w:numPr>
          <w:ilvl w:val="0"/>
          <w:numId w:val="17"/>
        </w:numPr>
        <w:autoSpaceDE w:val="0"/>
        <w:autoSpaceDN w:val="0"/>
        <w:adjustRightInd w:val="0"/>
        <w:spacing w:after="240"/>
        <w:rPr>
          <w:rFonts w:cs="Arial"/>
          <w:i/>
          <w:iCs/>
          <w:color w:val="000000" w:themeColor="text1"/>
          <w:szCs w:val="24"/>
          <w:u w:val="single"/>
        </w:rPr>
      </w:pPr>
      <w:r w:rsidRPr="0067239D">
        <w:rPr>
          <w:rFonts w:cs="Arial"/>
          <w:i/>
          <w:iCs/>
          <w:szCs w:val="24"/>
          <w:u w:val="single"/>
        </w:rPr>
        <w:t xml:space="preserve">A building with a </w:t>
      </w:r>
      <w:r w:rsidRPr="00B77423">
        <w:rPr>
          <w:rFonts w:cs="Arial"/>
          <w:i/>
          <w:iCs/>
          <w:color w:val="000000" w:themeColor="text1"/>
          <w:szCs w:val="24"/>
          <w:u w:val="single"/>
        </w:rPr>
        <w:t>multi-story residential dwelling unit with an elevator within the unit.</w:t>
      </w:r>
    </w:p>
    <w:p w14:paraId="2069702E" w14:textId="050F2588" w:rsidR="00AE38D8" w:rsidRDefault="002367DC" w:rsidP="00023B9A">
      <w:pPr>
        <w:spacing w:before="120"/>
        <w:rPr>
          <w:rFonts w:cs="Arial"/>
          <w:noProof/>
        </w:rPr>
      </w:pPr>
      <w:r w:rsidRPr="0044593B">
        <w:rPr>
          <w:rFonts w:cs="Arial"/>
          <w:b/>
        </w:rPr>
        <w:t>Rationale:</w:t>
      </w:r>
      <w:r w:rsidR="002D5E4A" w:rsidRPr="0044593B">
        <w:rPr>
          <w:rFonts w:cs="Arial"/>
        </w:rPr>
        <w:t xml:space="preserve"> </w:t>
      </w:r>
      <w:r w:rsidR="00AE38D8">
        <w:rPr>
          <w:rFonts w:cs="Arial"/>
          <w:noProof/>
        </w:rPr>
        <w:t>The Division of the State Architect is proposing to amend this section to include the descriptor “primary” when describing which entrances must be served by an elevator.  The Division of the State Architect is also proposing to replace the word “spaces” with “areas” to align with terminology used in other sections of this chapter.</w:t>
      </w:r>
    </w:p>
    <w:p w14:paraId="360CD629" w14:textId="4971E26A" w:rsidR="00AE38D8" w:rsidRDefault="00AE38D8" w:rsidP="00023B9A">
      <w:pPr>
        <w:spacing w:before="120"/>
        <w:rPr>
          <w:rFonts w:cs="Arial"/>
          <w:noProof/>
        </w:rPr>
      </w:pPr>
      <w:r>
        <w:rPr>
          <w:rFonts w:cs="Arial"/>
          <w:noProof/>
        </w:rPr>
        <w:t>Public comments received during the 45-Day Public Comment period stated that the section could be read to include secondary entrances and that such an intrepretation would exceed the requirements of the Fair Housing Act. The Division of State Architect agrees that it was the intent of the code language to align with the Fair Housing Act and is amending the language for clarity.</w:t>
      </w:r>
    </w:p>
    <w:p w14:paraId="3107E57C" w14:textId="055D7D8F" w:rsidR="0010093E" w:rsidRPr="0044593B" w:rsidRDefault="0010093E" w:rsidP="00023B9A">
      <w:pPr>
        <w:spacing w:before="120"/>
        <w:rPr>
          <w:rFonts w:cs="Arial"/>
        </w:rPr>
      </w:pPr>
      <w:r>
        <w:rPr>
          <w:rFonts w:cs="Arial"/>
          <w:noProof/>
        </w:rPr>
        <w:t>Public comments received during the 45-Day Public Comment period also pointed out that the phrase “common use spaces” was not generally used in other sections of Chapter 11B but that “common use areas” was used.  The Division of the State Architect agrees with the comment and is amending the word “space” to “area” for consistency.</w:t>
      </w:r>
    </w:p>
    <w:p w14:paraId="63A3FF48" w14:textId="33B9EF4A" w:rsidR="00767766" w:rsidRPr="0044593B" w:rsidRDefault="00767766" w:rsidP="0037506B">
      <w:pPr>
        <w:spacing w:before="240"/>
        <w:rPr>
          <w:rFonts w:cs="Arial"/>
        </w:rPr>
      </w:pPr>
      <w:r w:rsidRPr="0044593B">
        <w:rPr>
          <w:rFonts w:cs="Arial"/>
          <w:b/>
        </w:rPr>
        <w:t>Notation:</w:t>
      </w:r>
    </w:p>
    <w:p w14:paraId="25855F16" w14:textId="1F308054" w:rsidR="00767766" w:rsidRPr="0044593B" w:rsidRDefault="00767766" w:rsidP="00767766">
      <w:pPr>
        <w:spacing w:before="120"/>
        <w:rPr>
          <w:rFonts w:cs="Arial"/>
        </w:rPr>
      </w:pPr>
      <w:r w:rsidRPr="0044593B">
        <w:rPr>
          <w:rFonts w:cs="Arial"/>
        </w:rPr>
        <w:t xml:space="preserve">Authority: </w:t>
      </w:r>
      <w:r w:rsidR="0010093E">
        <w:rPr>
          <w:rFonts w:cs="Arial"/>
          <w:noProof/>
        </w:rPr>
        <w:t>Government Code 4450</w:t>
      </w:r>
    </w:p>
    <w:p w14:paraId="089D9CC5" w14:textId="666EACAE" w:rsidR="00767766" w:rsidRDefault="00767766" w:rsidP="00767766">
      <w:pPr>
        <w:spacing w:before="120"/>
        <w:rPr>
          <w:szCs w:val="24"/>
        </w:rPr>
      </w:pPr>
      <w:r w:rsidRPr="0044593B">
        <w:rPr>
          <w:rFonts w:cs="Arial"/>
        </w:rPr>
        <w:t xml:space="preserve">Reference(s): </w:t>
      </w:r>
      <w:r w:rsidR="0010093E">
        <w:rPr>
          <w:rFonts w:cs="Arial"/>
          <w:noProof/>
        </w:rPr>
        <w:t xml:space="preserve">Government Code Section 4450 through 4452, 4456, 4457, 4459, 12955.1, and 14679. </w:t>
      </w:r>
      <w:r w:rsidR="0010093E">
        <w:rPr>
          <w:szCs w:val="24"/>
        </w:rPr>
        <w:t>Health and Safety Code Sections 19952 through 19959.</w:t>
      </w:r>
    </w:p>
    <w:p w14:paraId="3EE38F90" w14:textId="77777777" w:rsidR="006A3B40" w:rsidRPr="0044593B" w:rsidRDefault="006A3B40" w:rsidP="00767766">
      <w:pPr>
        <w:spacing w:before="120"/>
        <w:rPr>
          <w:rFonts w:cs="Arial"/>
          <w:noProof/>
        </w:rPr>
      </w:pPr>
    </w:p>
    <w:p w14:paraId="7791ABD5" w14:textId="69C9AD64" w:rsidR="00127122" w:rsidRPr="0044593B" w:rsidRDefault="00127122" w:rsidP="00127122">
      <w:pPr>
        <w:pStyle w:val="Heading3"/>
        <w:rPr>
          <w:noProof/>
        </w:rPr>
      </w:pPr>
      <w:r w:rsidRPr="0044593B">
        <w:t xml:space="preserve">ITEM </w:t>
      </w:r>
      <w:r>
        <w:rPr>
          <w:noProof/>
        </w:rPr>
        <w:t>15</w:t>
      </w:r>
      <w:r w:rsidR="00CC2F0B">
        <w:rPr>
          <w:noProof/>
        </w:rPr>
        <w:t>-1.1</w:t>
      </w:r>
      <w:r w:rsidRPr="0044593B">
        <w:rPr>
          <w:snapToGrid/>
        </w:rPr>
        <w:br/>
      </w:r>
      <w:r w:rsidRPr="0044593B">
        <w:t xml:space="preserve">Chapter </w:t>
      </w:r>
      <w:r>
        <w:rPr>
          <w:noProof/>
        </w:rPr>
        <w:t>11B ACCESSIBILITY TO PUBLIC BUILDINGS, PUBLIC ACCOMMODATIONS, COMMERCIAL BUILDINGS AND PUBLIC HOUSING</w:t>
      </w:r>
      <w:r w:rsidRPr="0044593B">
        <w:rPr>
          <w:noProof/>
        </w:rPr>
        <w:t xml:space="preserve">, </w:t>
      </w:r>
      <w:r w:rsidRPr="0044593B">
        <w:t xml:space="preserve">Section </w:t>
      </w:r>
      <w:r>
        <w:rPr>
          <w:noProof/>
        </w:rPr>
        <w:t>11B-605 Urinals</w:t>
      </w:r>
      <w:r w:rsidR="00032A92">
        <w:rPr>
          <w:noProof/>
        </w:rPr>
        <w:t>, Sub-section 11B-605.4 Flush controls</w:t>
      </w:r>
      <w:r>
        <w:rPr>
          <w:noProof/>
        </w:rPr>
        <w:t>.</w:t>
      </w:r>
    </w:p>
    <w:p w14:paraId="2A7A0E1B" w14:textId="6FD1B1C3" w:rsidR="00127122" w:rsidRPr="00032A92" w:rsidRDefault="00032A92" w:rsidP="00032A92">
      <w:pPr>
        <w:spacing w:after="120"/>
        <w:rPr>
          <w:rFonts w:cs="Arial"/>
          <w:szCs w:val="24"/>
        </w:rPr>
      </w:pPr>
      <w:r w:rsidRPr="002912BE">
        <w:rPr>
          <w:rFonts w:cs="Arial"/>
          <w:b/>
          <w:bCs/>
          <w:i/>
          <w:iCs/>
          <w:szCs w:val="24"/>
        </w:rPr>
        <w:t>11B-</w:t>
      </w:r>
      <w:r w:rsidRPr="002912BE">
        <w:rPr>
          <w:rFonts w:cs="Arial"/>
          <w:b/>
          <w:bCs/>
          <w:szCs w:val="24"/>
        </w:rPr>
        <w:t>605.4 Flush controls.</w:t>
      </w:r>
      <w:r w:rsidRPr="002912BE">
        <w:rPr>
          <w:rFonts w:cs="Arial"/>
          <w:szCs w:val="24"/>
        </w:rPr>
        <w:t xml:space="preserve"> Flush controls shall be hand operated or automatic. Hand operated flush controls shall comply with Section 11B-309 except that the flush control shall be mounted at a maximum height of 44 inches (1118 mm) above the finish floor. </w:t>
      </w:r>
      <w:r w:rsidRPr="002912BE">
        <w:rPr>
          <w:rFonts w:cs="Arial"/>
          <w:i/>
          <w:iCs/>
          <w:szCs w:val="24"/>
          <w:u w:val="single"/>
        </w:rPr>
        <w:t>Urinals provided in urinal compartments</w:t>
      </w:r>
      <w:r w:rsidRPr="00032A92">
        <w:rPr>
          <w:rFonts w:cs="Arial"/>
          <w:i/>
          <w:iCs/>
          <w:szCs w:val="24"/>
        </w:rPr>
        <w:t xml:space="preserve"> </w:t>
      </w:r>
      <w:r w:rsidRPr="00B177E9">
        <w:rPr>
          <w:rFonts w:cs="Arial"/>
          <w:szCs w:val="24"/>
        </w:rPr>
        <w:t xml:space="preserve">[begin double strikeout] </w:t>
      </w:r>
      <w:r w:rsidRPr="00032A92">
        <w:rPr>
          <w:rFonts w:cs="Arial"/>
          <w:i/>
          <w:iCs/>
          <w:dstrike/>
          <w:szCs w:val="24"/>
          <w:u w:val="single"/>
        </w:rPr>
        <w:t xml:space="preserve">shall </w:t>
      </w:r>
      <w:proofErr w:type="gramStart"/>
      <w:r w:rsidRPr="00032A92">
        <w:rPr>
          <w:rFonts w:cs="Arial"/>
          <w:i/>
          <w:iCs/>
          <w:dstrike/>
          <w:szCs w:val="24"/>
          <w:u w:val="single"/>
        </w:rPr>
        <w:t>have</w:t>
      </w:r>
      <w:r w:rsidRPr="00B177E9">
        <w:rPr>
          <w:rFonts w:cs="Arial"/>
          <w:szCs w:val="24"/>
        </w:rPr>
        <w:t>[</w:t>
      </w:r>
      <w:proofErr w:type="gramEnd"/>
      <w:r w:rsidRPr="00B177E9">
        <w:rPr>
          <w:rFonts w:cs="Arial"/>
          <w:szCs w:val="24"/>
        </w:rPr>
        <w:t>end double strikeout] [begin double underline]</w:t>
      </w:r>
      <w:r w:rsidRPr="002912BE">
        <w:rPr>
          <w:rFonts w:cs="Arial"/>
          <w:i/>
          <w:iCs/>
          <w:szCs w:val="24"/>
          <w:u w:val="single"/>
        </w:rPr>
        <w:t xml:space="preserve"> </w:t>
      </w:r>
      <w:r w:rsidRPr="00032A92">
        <w:rPr>
          <w:rFonts w:cs="Arial"/>
          <w:i/>
          <w:iCs/>
          <w:szCs w:val="24"/>
          <w:u w:val="double"/>
        </w:rPr>
        <w:t>and with</w:t>
      </w:r>
      <w:r>
        <w:rPr>
          <w:rFonts w:cs="Arial"/>
          <w:i/>
          <w:iCs/>
          <w:szCs w:val="24"/>
          <w:u w:val="double"/>
        </w:rPr>
        <w:t xml:space="preserve"> </w:t>
      </w:r>
      <w:r>
        <w:rPr>
          <w:rFonts w:cs="Arial"/>
          <w:szCs w:val="24"/>
        </w:rPr>
        <w:t>[end double underline]</w:t>
      </w:r>
      <w:r>
        <w:rPr>
          <w:rFonts w:cs="Arial"/>
          <w:i/>
          <w:iCs/>
          <w:szCs w:val="24"/>
          <w:u w:val="single"/>
        </w:rPr>
        <w:t xml:space="preserve"> </w:t>
      </w:r>
      <w:r w:rsidRPr="002912BE">
        <w:rPr>
          <w:rFonts w:cs="Arial"/>
          <w:i/>
          <w:iCs/>
          <w:szCs w:val="24"/>
          <w:u w:val="single"/>
        </w:rPr>
        <w:t xml:space="preserve">hand operated flush controls </w:t>
      </w:r>
      <w:r w:rsidRPr="00B177E9">
        <w:rPr>
          <w:rFonts w:cs="Arial"/>
          <w:szCs w:val="24"/>
        </w:rPr>
        <w:t>[begin double underline]</w:t>
      </w:r>
      <w:r w:rsidRPr="00B177E9">
        <w:rPr>
          <w:rFonts w:cs="Arial"/>
          <w:i/>
          <w:iCs/>
          <w:szCs w:val="24"/>
        </w:rPr>
        <w:t xml:space="preserve"> </w:t>
      </w:r>
      <w:r w:rsidRPr="00032A92">
        <w:rPr>
          <w:rFonts w:cs="Arial"/>
          <w:i/>
          <w:iCs/>
          <w:szCs w:val="24"/>
          <w:u w:val="double"/>
        </w:rPr>
        <w:t>shall have the controls</w:t>
      </w:r>
      <w:r>
        <w:rPr>
          <w:rFonts w:cs="Arial"/>
          <w:i/>
          <w:iCs/>
          <w:szCs w:val="24"/>
          <w:u w:val="double"/>
        </w:rPr>
        <w:t xml:space="preserve"> </w:t>
      </w:r>
      <w:r>
        <w:rPr>
          <w:rFonts w:cs="Arial"/>
          <w:szCs w:val="24"/>
        </w:rPr>
        <w:t>[end double underline]</w:t>
      </w:r>
      <w:r>
        <w:rPr>
          <w:rFonts w:cs="Arial"/>
          <w:i/>
          <w:iCs/>
          <w:szCs w:val="24"/>
          <w:u w:val="single"/>
        </w:rPr>
        <w:t xml:space="preserve"> </w:t>
      </w:r>
      <w:r w:rsidRPr="002912BE">
        <w:rPr>
          <w:rFonts w:cs="Arial"/>
          <w:i/>
          <w:iCs/>
          <w:szCs w:val="24"/>
          <w:u w:val="single"/>
        </w:rPr>
        <w:t>located on the open side of the urinal.</w:t>
      </w:r>
    </w:p>
    <w:p w14:paraId="277BE1E0" w14:textId="01668825" w:rsidR="00127122" w:rsidRPr="0044593B" w:rsidRDefault="00127122" w:rsidP="00127122">
      <w:pPr>
        <w:spacing w:before="120"/>
        <w:rPr>
          <w:rFonts w:cs="Arial"/>
        </w:rPr>
      </w:pPr>
      <w:r w:rsidRPr="0044593B">
        <w:rPr>
          <w:rFonts w:cs="Arial"/>
          <w:b/>
        </w:rPr>
        <w:t>Rationale:</w:t>
      </w:r>
      <w:r w:rsidRPr="0044593B">
        <w:rPr>
          <w:rFonts w:cs="Arial"/>
        </w:rPr>
        <w:t xml:space="preserve"> </w:t>
      </w:r>
      <w:r w:rsidR="00032A92">
        <w:rPr>
          <w:rFonts w:cs="Arial"/>
          <w:noProof/>
        </w:rPr>
        <w:t>The previously proposed sentence structure could have been intrepreted to require hand operated flush controls at urinals in compartments.  DSA intended to allow both hand operated and automatic flush devices at urinals in compartments</w:t>
      </w:r>
      <w:r w:rsidR="00526C54">
        <w:rPr>
          <w:rFonts w:cs="Arial"/>
          <w:noProof/>
        </w:rPr>
        <w:t xml:space="preserve"> and is </w:t>
      </w:r>
      <w:r w:rsidR="00526C54">
        <w:rPr>
          <w:rFonts w:cs="Arial"/>
          <w:noProof/>
        </w:rPr>
        <w:lastRenderedPageBreak/>
        <w:t>amending the language for clarity.</w:t>
      </w:r>
    </w:p>
    <w:p w14:paraId="56950D77" w14:textId="77777777" w:rsidR="00127122" w:rsidRPr="0044593B" w:rsidRDefault="00127122" w:rsidP="00127122">
      <w:pPr>
        <w:spacing w:before="240"/>
        <w:rPr>
          <w:rFonts w:cs="Arial"/>
        </w:rPr>
      </w:pPr>
      <w:r w:rsidRPr="0044593B">
        <w:rPr>
          <w:rFonts w:cs="Arial"/>
          <w:b/>
        </w:rPr>
        <w:t>Notation:</w:t>
      </w:r>
    </w:p>
    <w:p w14:paraId="2F3265D3" w14:textId="38BBB133" w:rsidR="00127122" w:rsidRPr="0044593B" w:rsidRDefault="00127122" w:rsidP="00127122">
      <w:pPr>
        <w:spacing w:before="120"/>
        <w:rPr>
          <w:rFonts w:cs="Arial"/>
        </w:rPr>
      </w:pPr>
      <w:r w:rsidRPr="0044593B">
        <w:rPr>
          <w:rFonts w:cs="Arial"/>
        </w:rPr>
        <w:t xml:space="preserve">Authority: </w:t>
      </w:r>
      <w:r w:rsidR="00032A92">
        <w:rPr>
          <w:rFonts w:cs="Arial"/>
          <w:noProof/>
        </w:rPr>
        <w:t>Government Code 4450</w:t>
      </w:r>
    </w:p>
    <w:p w14:paraId="3B791017" w14:textId="67E4EF3D" w:rsidR="00127122" w:rsidRDefault="00127122" w:rsidP="00127122">
      <w:pPr>
        <w:spacing w:before="120"/>
        <w:rPr>
          <w:rFonts w:cs="Arial"/>
          <w:noProof/>
        </w:rPr>
      </w:pPr>
      <w:r w:rsidRPr="0044593B">
        <w:rPr>
          <w:rFonts w:cs="Arial"/>
        </w:rPr>
        <w:t xml:space="preserve">Reference(s): </w:t>
      </w:r>
      <w:r w:rsidR="0029083A">
        <w:rPr>
          <w:rFonts w:cs="Arial"/>
          <w:noProof/>
        </w:rPr>
        <w:t xml:space="preserve">Government Code Section 4450 through 4452, 4456, 4457, 4459, 12955.1, and 14679. </w:t>
      </w:r>
      <w:r w:rsidR="0029083A">
        <w:rPr>
          <w:szCs w:val="24"/>
        </w:rPr>
        <w:t>Health and Safety Code Sections 19952 through 19959.</w:t>
      </w:r>
    </w:p>
    <w:p w14:paraId="2651B8FA" w14:textId="77777777" w:rsidR="006A3B40" w:rsidRPr="0044593B" w:rsidRDefault="006A3B40" w:rsidP="00127122">
      <w:pPr>
        <w:spacing w:before="120"/>
        <w:rPr>
          <w:rFonts w:cs="Arial"/>
          <w:noProof/>
        </w:rPr>
      </w:pPr>
    </w:p>
    <w:p w14:paraId="04557D93" w14:textId="23161076" w:rsidR="00127122" w:rsidRPr="0044593B" w:rsidRDefault="00127122" w:rsidP="00127122">
      <w:pPr>
        <w:pStyle w:val="Heading3"/>
        <w:rPr>
          <w:noProof/>
        </w:rPr>
      </w:pPr>
      <w:r w:rsidRPr="0044593B">
        <w:t xml:space="preserve">ITEM </w:t>
      </w:r>
      <w:r w:rsidR="006A3B40">
        <w:rPr>
          <w:noProof/>
        </w:rPr>
        <w:t>15</w:t>
      </w:r>
      <w:r w:rsidR="00CC2F0B">
        <w:rPr>
          <w:noProof/>
        </w:rPr>
        <w:t>-4</w:t>
      </w:r>
      <w:r w:rsidRPr="0044593B">
        <w:rPr>
          <w:snapToGrid/>
        </w:rPr>
        <w:br/>
      </w:r>
      <w:r w:rsidRPr="0044593B">
        <w:t>Chapter</w:t>
      </w:r>
      <w:r w:rsidR="006A3B40" w:rsidRPr="0044593B">
        <w:t xml:space="preserve"> </w:t>
      </w:r>
      <w:r w:rsidR="006A3B40">
        <w:rPr>
          <w:noProof/>
        </w:rPr>
        <w:t>11B ACCESSIBILITY TO PUBLIC BUILDINGS, PUBLIC ACCOMMODATIONS, COMMERCIAL BUILDINGS AND PUBLIC HOUSING</w:t>
      </w:r>
      <w:r w:rsidRPr="0044593B">
        <w:rPr>
          <w:noProof/>
        </w:rPr>
        <w:t xml:space="preserve">, </w:t>
      </w:r>
      <w:r w:rsidRPr="0044593B">
        <w:t xml:space="preserve">Section </w:t>
      </w:r>
      <w:r w:rsidR="006A3B40">
        <w:t>11B-605 Urinals, Sub-</w:t>
      </w:r>
      <w:r w:rsidR="006A3B40">
        <w:rPr>
          <w:noProof/>
        </w:rPr>
        <w:t>section 11B-605.5.4 Toe Clearance, Exception.</w:t>
      </w:r>
    </w:p>
    <w:p w14:paraId="3C0DF356" w14:textId="77777777" w:rsidR="006A3B40" w:rsidRPr="002912BE" w:rsidRDefault="006A3B40" w:rsidP="006A3B40">
      <w:pPr>
        <w:spacing w:after="120"/>
        <w:ind w:left="360"/>
        <w:rPr>
          <w:rFonts w:cs="Arial"/>
          <w:i/>
          <w:iCs/>
          <w:szCs w:val="24"/>
          <w:u w:val="single"/>
        </w:rPr>
      </w:pPr>
      <w:r w:rsidRPr="002912BE">
        <w:rPr>
          <w:rFonts w:cs="Arial"/>
          <w:b/>
          <w:bCs/>
          <w:i/>
          <w:iCs/>
          <w:szCs w:val="24"/>
          <w:u w:val="single"/>
        </w:rPr>
        <w:t>11B-605.5.4 Toe Clearance.</w:t>
      </w:r>
      <w:r w:rsidRPr="002912BE">
        <w:rPr>
          <w:rFonts w:cs="Arial"/>
          <w:i/>
          <w:iCs/>
          <w:szCs w:val="24"/>
        </w:rPr>
        <w:t xml:space="preserve"> </w:t>
      </w:r>
      <w:r w:rsidRPr="002912BE">
        <w:rPr>
          <w:rFonts w:cs="Arial"/>
          <w:i/>
          <w:iCs/>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p w14:paraId="7E3CF0D2" w14:textId="66185970" w:rsidR="006A3B40" w:rsidRPr="002912BE" w:rsidRDefault="006A3B40" w:rsidP="006A3B40">
      <w:pPr>
        <w:spacing w:after="120"/>
        <w:ind w:left="720"/>
        <w:rPr>
          <w:rFonts w:cs="Arial"/>
          <w:i/>
          <w:iCs/>
          <w:szCs w:val="24"/>
        </w:rPr>
      </w:pPr>
      <w:r w:rsidRPr="00B177E9">
        <w:rPr>
          <w:rFonts w:cs="Arial"/>
          <w:szCs w:val="24"/>
        </w:rPr>
        <w:t xml:space="preserve">[begin double </w:t>
      </w:r>
      <w:proofErr w:type="gramStart"/>
      <w:r w:rsidRPr="00B177E9">
        <w:rPr>
          <w:rFonts w:cs="Arial"/>
          <w:szCs w:val="24"/>
        </w:rPr>
        <w:t>strikeout]</w:t>
      </w:r>
      <w:r w:rsidRPr="006A3B40">
        <w:rPr>
          <w:rStyle w:val="normaltextrun"/>
          <w:rFonts w:cs="Arial"/>
          <w:b/>
          <w:bCs/>
          <w:i/>
          <w:iCs/>
          <w:dstrike/>
          <w:szCs w:val="24"/>
          <w:u w:val="single"/>
          <w:shd w:val="clear" w:color="auto" w:fill="FFFFFF"/>
        </w:rPr>
        <w:t>Exception</w:t>
      </w:r>
      <w:proofErr w:type="gramEnd"/>
      <w:r w:rsidRPr="006A3B40">
        <w:rPr>
          <w:rStyle w:val="normaltextrun"/>
          <w:rFonts w:cs="Arial"/>
          <w:b/>
          <w:bCs/>
          <w:i/>
          <w:iCs/>
          <w:dstrike/>
          <w:szCs w:val="24"/>
          <w:u w:val="single"/>
          <w:shd w:val="clear" w:color="auto" w:fill="FFFFFF"/>
        </w:rPr>
        <w:t>:</w:t>
      </w:r>
      <w:r w:rsidRPr="006A3B40">
        <w:rPr>
          <w:rStyle w:val="normaltextrun"/>
          <w:rFonts w:cs="Arial"/>
          <w:i/>
          <w:iCs/>
          <w:dstrike/>
          <w:szCs w:val="24"/>
          <w:shd w:val="clear" w:color="auto" w:fill="FFFFFF"/>
        </w:rPr>
        <w:t xml:space="preserve"> </w:t>
      </w:r>
      <w:r w:rsidRPr="006A3B40">
        <w:rPr>
          <w:rStyle w:val="normaltextrun"/>
          <w:rFonts w:cs="Arial"/>
          <w:i/>
          <w:iCs/>
          <w:dstrike/>
          <w:szCs w:val="24"/>
          <w:u w:val="single"/>
          <w:shd w:val="clear" w:color="auto" w:fill="FFFFFF"/>
        </w:rPr>
        <w:t>Toe clearance at the front partition is not required in a compartment where the maneuvering clearance in front of the urinal is 66 inches (1524 mm) deep minimum. Toe clearance at the side partition is not required in a compartment greater than 66 inches (1676 mm) wide.</w:t>
      </w:r>
      <w:r w:rsidRPr="006A3B40">
        <w:rPr>
          <w:rFonts w:cs="Arial"/>
          <w:szCs w:val="24"/>
        </w:rPr>
        <w:t xml:space="preserve"> </w:t>
      </w:r>
      <w:r w:rsidRPr="00B177E9">
        <w:rPr>
          <w:rFonts w:cs="Arial"/>
          <w:szCs w:val="24"/>
        </w:rPr>
        <w:t>[end double strikeout</w:t>
      </w:r>
      <w:r>
        <w:rPr>
          <w:rFonts w:cs="Arial"/>
          <w:szCs w:val="24"/>
        </w:rPr>
        <w:t>]</w:t>
      </w:r>
    </w:p>
    <w:p w14:paraId="647FEF8A" w14:textId="0F578F48" w:rsidR="00127122" w:rsidRPr="0044593B" w:rsidRDefault="00127122" w:rsidP="00127122">
      <w:pPr>
        <w:spacing w:before="120"/>
        <w:rPr>
          <w:rFonts w:cs="Arial"/>
        </w:rPr>
      </w:pPr>
      <w:r w:rsidRPr="0044593B">
        <w:rPr>
          <w:rFonts w:cs="Arial"/>
          <w:b/>
        </w:rPr>
        <w:t>Rationale:</w:t>
      </w:r>
      <w:r w:rsidRPr="0044593B">
        <w:rPr>
          <w:rFonts w:cs="Arial"/>
        </w:rPr>
        <w:t xml:space="preserve"> </w:t>
      </w:r>
      <w:r w:rsidR="006A3B40">
        <w:rPr>
          <w:rFonts w:cs="Arial"/>
          <w:noProof/>
        </w:rPr>
        <w:t>DSA has further coordinated with the proposed Plumbing Code language changes and notes that full height walls or partitions are required, therefore the exception to allow toe clearance under walls or partitions is not needed</w:t>
      </w:r>
      <w:r w:rsidR="00526C54">
        <w:rPr>
          <w:rFonts w:cs="Arial"/>
          <w:noProof/>
        </w:rPr>
        <w:t xml:space="preserve"> and DSA proposes to strike the language as it could be perceived as conflicting.</w:t>
      </w:r>
    </w:p>
    <w:p w14:paraId="1B157054" w14:textId="77777777" w:rsidR="00127122" w:rsidRPr="0044593B" w:rsidRDefault="00127122" w:rsidP="00127122">
      <w:pPr>
        <w:spacing w:before="240"/>
        <w:rPr>
          <w:rFonts w:cs="Arial"/>
        </w:rPr>
      </w:pPr>
      <w:r w:rsidRPr="0044593B">
        <w:rPr>
          <w:rFonts w:cs="Arial"/>
          <w:b/>
        </w:rPr>
        <w:t>Notation:</w:t>
      </w:r>
    </w:p>
    <w:p w14:paraId="20830F46" w14:textId="58E3FAD5" w:rsidR="00127122" w:rsidRPr="0044593B" w:rsidRDefault="00127122" w:rsidP="00127122">
      <w:pPr>
        <w:spacing w:before="120"/>
        <w:rPr>
          <w:rFonts w:cs="Arial"/>
        </w:rPr>
      </w:pPr>
      <w:r w:rsidRPr="0044593B">
        <w:rPr>
          <w:rFonts w:cs="Arial"/>
        </w:rPr>
        <w:t xml:space="preserve">Authority: </w:t>
      </w:r>
      <w:r w:rsidR="006A3B40">
        <w:rPr>
          <w:rFonts w:cs="Arial"/>
          <w:noProof/>
        </w:rPr>
        <w:t>Government Code 4450</w:t>
      </w:r>
    </w:p>
    <w:p w14:paraId="08024AE9" w14:textId="208231BF" w:rsidR="00391B17" w:rsidRPr="0044593B" w:rsidRDefault="00127122" w:rsidP="00767766">
      <w:pPr>
        <w:spacing w:before="120"/>
        <w:rPr>
          <w:rFonts w:cs="Arial"/>
          <w:noProof/>
        </w:rPr>
      </w:pPr>
      <w:r w:rsidRPr="0044593B">
        <w:rPr>
          <w:rFonts w:cs="Arial"/>
        </w:rPr>
        <w:t xml:space="preserve">Reference(s): </w:t>
      </w:r>
      <w:r w:rsidR="0029083A">
        <w:rPr>
          <w:rFonts w:cs="Arial"/>
          <w:noProof/>
        </w:rPr>
        <w:t xml:space="preserve">Government Code Section 4450 through 4452, 4456, 4457, 4459, 12955.1, and 14679. </w:t>
      </w:r>
      <w:r w:rsidR="0029083A">
        <w:rPr>
          <w:szCs w:val="24"/>
        </w:rPr>
        <w:t>Health and Safety Code Sections 19952 through 19959.</w:t>
      </w:r>
    </w:p>
    <w:sectPr w:rsidR="00391B17"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6F1DBF02" w:rsidR="001A4A03" w:rsidRDefault="001A4A03" w:rsidP="007C04EF">
    <w:pPr>
      <w:pStyle w:val="Footer"/>
      <w:tabs>
        <w:tab w:val="clear" w:pos="4320"/>
        <w:tab w:val="clear" w:pos="8640"/>
        <w:tab w:val="right" w:pos="9180"/>
      </w:tabs>
      <w:rPr>
        <w:sz w:val="16"/>
      </w:rPr>
    </w:pPr>
    <w:r>
      <w:rPr>
        <w:sz w:val="16"/>
      </w:rPr>
      <w:t xml:space="preserve">BSC TP-104 (Rev. </w:t>
    </w:r>
    <w:r w:rsidR="000C7383">
      <w:rPr>
        <w:sz w:val="16"/>
      </w:rPr>
      <w:t>03</w:t>
    </w:r>
    <w:r>
      <w:rPr>
        <w:sz w:val="16"/>
      </w:rPr>
      <w:t>/</w:t>
    </w:r>
    <w:r w:rsidR="001D6710">
      <w:rPr>
        <w:sz w:val="16"/>
      </w:rPr>
      <w:t>2</w:t>
    </w:r>
    <w:r w:rsidR="000C7383">
      <w:rPr>
        <w:sz w:val="16"/>
      </w:rPr>
      <w:t>2</w:t>
    </w:r>
    <w:r w:rsidRPr="004C48A0">
      <w:rPr>
        <w:sz w:val="16"/>
      </w:rPr>
      <w:t>)</w:t>
    </w:r>
    <w:r w:rsidR="00EC0A76">
      <w:rPr>
        <w:sz w:val="16"/>
      </w:rPr>
      <w:t xml:space="preserve"> Additional</w:t>
    </w:r>
    <w:r w:rsidR="00A0189B">
      <w:rPr>
        <w:sz w:val="16"/>
      </w:rPr>
      <w:t xml:space="preserve"> 15 </w:t>
    </w:r>
    <w:r>
      <w:rPr>
        <w:sz w:val="16"/>
      </w:rPr>
      <w:t>Day E</w:t>
    </w:r>
    <w:r w:rsidR="00FF4FC9">
      <w:rPr>
        <w:sz w:val="16"/>
      </w:rPr>
      <w:t>T_05-22</w:t>
    </w:r>
    <w:r w:rsidR="00A0189B">
      <w:rPr>
        <w:sz w:val="16"/>
      </w:rPr>
      <w:tab/>
      <w:t>M</w:t>
    </w:r>
    <w:r w:rsidR="0016081A">
      <w:rPr>
        <w:sz w:val="16"/>
      </w:rPr>
      <w:t>ay 5</w:t>
    </w:r>
    <w:r w:rsidR="00A0189B">
      <w:rPr>
        <w:sz w:val="16"/>
      </w:rPr>
      <w:t xml:space="preserve">, </w:t>
    </w:r>
    <w:r w:rsidR="0016081A">
      <w:rPr>
        <w:sz w:val="16"/>
      </w:rPr>
      <w:t>2023</w:t>
    </w:r>
  </w:p>
  <w:p w14:paraId="723451C6" w14:textId="79557187" w:rsidR="001A4A03" w:rsidRDefault="0016081A" w:rsidP="007C04EF">
    <w:pPr>
      <w:pStyle w:val="Footer"/>
      <w:tabs>
        <w:tab w:val="clear" w:pos="4320"/>
        <w:tab w:val="clear" w:pos="8640"/>
        <w:tab w:val="center" w:pos="5040"/>
        <w:tab w:val="right" w:pos="9180"/>
      </w:tabs>
      <w:rPr>
        <w:sz w:val="16"/>
        <w:szCs w:val="16"/>
      </w:rPr>
    </w:pPr>
    <w:r>
      <w:rPr>
        <w:sz w:val="16"/>
        <w:szCs w:val="16"/>
      </w:rPr>
      <w:t xml:space="preserve">DSA-AC 01/22 </w:t>
    </w:r>
    <w:r w:rsidR="001A4A03">
      <w:rPr>
        <w:sz w:val="16"/>
        <w:szCs w:val="16"/>
      </w:rPr>
      <w:t>- Part</w:t>
    </w:r>
    <w:r w:rsidR="00A0189B">
      <w:rPr>
        <w:sz w:val="16"/>
        <w:szCs w:val="16"/>
      </w:rPr>
      <w:t xml:space="preserve"> </w:t>
    </w:r>
    <w:r>
      <w:rPr>
        <w:sz w:val="16"/>
        <w:szCs w:val="16"/>
      </w:rPr>
      <w:t>2</w:t>
    </w:r>
    <w:r w:rsidR="001A4A03">
      <w:rPr>
        <w:sz w:val="16"/>
        <w:szCs w:val="16"/>
      </w:rPr>
      <w:t xml:space="preserve"> </w:t>
    </w:r>
    <w:r>
      <w:rPr>
        <w:sz w:val="16"/>
        <w:szCs w:val="16"/>
      </w:rPr>
      <w:t>–</w:t>
    </w:r>
    <w:r w:rsidR="00A0189B">
      <w:rPr>
        <w:sz w:val="16"/>
        <w:szCs w:val="16"/>
      </w:rPr>
      <w:t xml:space="preserve"> </w:t>
    </w:r>
    <w:r>
      <w:rPr>
        <w:sz w:val="16"/>
        <w:szCs w:val="16"/>
      </w:rPr>
      <w:t xml:space="preserve">2022 </w:t>
    </w:r>
    <w:r w:rsidR="00A0189B">
      <w:rPr>
        <w:sz w:val="16"/>
        <w:szCs w:val="16"/>
      </w:rPr>
      <w:t>Intervening</w:t>
    </w:r>
    <w:r w:rsidR="001A4A03">
      <w:rPr>
        <w:sz w:val="16"/>
        <w:szCs w:val="16"/>
      </w:rPr>
      <w:t xml:space="preserve"> Code Cycle</w:t>
    </w:r>
    <w:r w:rsidR="001A4A03" w:rsidRPr="004C48A0">
      <w:rPr>
        <w:sz w:val="16"/>
        <w:szCs w:val="16"/>
      </w:rPr>
      <w:tab/>
    </w:r>
    <w:r w:rsidR="00A0189B">
      <w:rPr>
        <w:sz w:val="16"/>
        <w:szCs w:val="16"/>
      </w:rPr>
      <w:tab/>
    </w:r>
    <w:r w:rsidR="00CD63D6">
      <w:rPr>
        <w:sz w:val="16"/>
        <w:szCs w:val="16"/>
      </w:rPr>
      <w:t>ET/ISOR</w:t>
    </w:r>
  </w:p>
  <w:p w14:paraId="5C321276" w14:textId="62DE637D" w:rsidR="001A4A03" w:rsidRDefault="0016081A" w:rsidP="00A0189B">
    <w:pPr>
      <w:pStyle w:val="Footer"/>
      <w:tabs>
        <w:tab w:val="clear" w:pos="4320"/>
        <w:tab w:val="clear" w:pos="8640"/>
        <w:tab w:val="center" w:pos="5040"/>
        <w:tab w:val="right" w:pos="9180"/>
      </w:tabs>
      <w:rPr>
        <w:sz w:val="16"/>
      </w:rPr>
    </w:pPr>
    <w:r>
      <w:rPr>
        <w:sz w:val="16"/>
        <w:szCs w:val="16"/>
      </w:rPr>
      <w:t>Division of the State Architect</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D7C9D"/>
    <w:multiLevelType w:val="hybridMultilevel"/>
    <w:tmpl w:val="5E7898FA"/>
    <w:lvl w:ilvl="0" w:tplc="6D2A5A6C">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6F56A02"/>
    <w:multiLevelType w:val="hybridMultilevel"/>
    <w:tmpl w:val="59F45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3760B"/>
    <w:multiLevelType w:val="hybridMultilevel"/>
    <w:tmpl w:val="9C1A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70707633">
    <w:abstractNumId w:val="13"/>
  </w:num>
  <w:num w:numId="2" w16cid:durableId="1123226886">
    <w:abstractNumId w:val="15"/>
  </w:num>
  <w:num w:numId="3" w16cid:durableId="686949694">
    <w:abstractNumId w:val="16"/>
  </w:num>
  <w:num w:numId="4" w16cid:durableId="32578779">
    <w:abstractNumId w:val="12"/>
  </w:num>
  <w:num w:numId="5" w16cid:durableId="560794699">
    <w:abstractNumId w:val="14"/>
  </w:num>
  <w:num w:numId="6" w16cid:durableId="268632860">
    <w:abstractNumId w:val="17"/>
  </w:num>
  <w:num w:numId="7" w16cid:durableId="1456752101">
    <w:abstractNumId w:val="9"/>
  </w:num>
  <w:num w:numId="8" w16cid:durableId="985663441">
    <w:abstractNumId w:val="7"/>
  </w:num>
  <w:num w:numId="9" w16cid:durableId="1862357021">
    <w:abstractNumId w:val="6"/>
  </w:num>
  <w:num w:numId="10" w16cid:durableId="256905221">
    <w:abstractNumId w:val="5"/>
  </w:num>
  <w:num w:numId="11" w16cid:durableId="864363440">
    <w:abstractNumId w:val="4"/>
  </w:num>
  <w:num w:numId="12" w16cid:durableId="1649281639">
    <w:abstractNumId w:val="8"/>
  </w:num>
  <w:num w:numId="13" w16cid:durableId="766341144">
    <w:abstractNumId w:val="3"/>
  </w:num>
  <w:num w:numId="14" w16cid:durableId="1397436216">
    <w:abstractNumId w:val="2"/>
  </w:num>
  <w:num w:numId="15" w16cid:durableId="1339651486">
    <w:abstractNumId w:val="1"/>
  </w:num>
  <w:num w:numId="16" w16cid:durableId="1389963356">
    <w:abstractNumId w:val="0"/>
  </w:num>
  <w:num w:numId="17" w16cid:durableId="44843634">
    <w:abstractNumId w:val="10"/>
  </w:num>
  <w:num w:numId="18" w16cid:durableId="1140851164">
    <w:abstractNumId w:val="11"/>
  </w:num>
  <w:num w:numId="19" w16cid:durableId="188296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64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2A92"/>
    <w:rsid w:val="000B33E0"/>
    <w:rsid w:val="000C5682"/>
    <w:rsid w:val="000C7383"/>
    <w:rsid w:val="000E24B4"/>
    <w:rsid w:val="000F2EEE"/>
    <w:rsid w:val="000F6D3A"/>
    <w:rsid w:val="0010093E"/>
    <w:rsid w:val="00123F82"/>
    <w:rsid w:val="00127122"/>
    <w:rsid w:val="001362F4"/>
    <w:rsid w:val="0016081A"/>
    <w:rsid w:val="0017531B"/>
    <w:rsid w:val="00175449"/>
    <w:rsid w:val="001845B6"/>
    <w:rsid w:val="001A4A03"/>
    <w:rsid w:val="001D5566"/>
    <w:rsid w:val="001D6710"/>
    <w:rsid w:val="001E12EE"/>
    <w:rsid w:val="001E635B"/>
    <w:rsid w:val="001F142C"/>
    <w:rsid w:val="002326AC"/>
    <w:rsid w:val="00234A84"/>
    <w:rsid w:val="00235B37"/>
    <w:rsid w:val="002367DC"/>
    <w:rsid w:val="0029083A"/>
    <w:rsid w:val="00295DA9"/>
    <w:rsid w:val="002A0905"/>
    <w:rsid w:val="002D3F86"/>
    <w:rsid w:val="002D5E4A"/>
    <w:rsid w:val="002E5C1F"/>
    <w:rsid w:val="0030639B"/>
    <w:rsid w:val="00320ED9"/>
    <w:rsid w:val="003324BE"/>
    <w:rsid w:val="00366A30"/>
    <w:rsid w:val="0037506B"/>
    <w:rsid w:val="00391B17"/>
    <w:rsid w:val="003942B6"/>
    <w:rsid w:val="003D46A3"/>
    <w:rsid w:val="003E1AB0"/>
    <w:rsid w:val="00433E49"/>
    <w:rsid w:val="0044593B"/>
    <w:rsid w:val="004A53C6"/>
    <w:rsid w:val="004B2AB9"/>
    <w:rsid w:val="004B48D5"/>
    <w:rsid w:val="004C48A0"/>
    <w:rsid w:val="00526C54"/>
    <w:rsid w:val="00563190"/>
    <w:rsid w:val="005B5184"/>
    <w:rsid w:val="005D2DCC"/>
    <w:rsid w:val="005E162F"/>
    <w:rsid w:val="005E1E47"/>
    <w:rsid w:val="005F1F14"/>
    <w:rsid w:val="005F696F"/>
    <w:rsid w:val="0061175B"/>
    <w:rsid w:val="006169B9"/>
    <w:rsid w:val="00631F79"/>
    <w:rsid w:val="006721FC"/>
    <w:rsid w:val="00675E1D"/>
    <w:rsid w:val="006A0286"/>
    <w:rsid w:val="006A3B40"/>
    <w:rsid w:val="006B747C"/>
    <w:rsid w:val="00767766"/>
    <w:rsid w:val="00776FA8"/>
    <w:rsid w:val="00786248"/>
    <w:rsid w:val="007915D5"/>
    <w:rsid w:val="007A674B"/>
    <w:rsid w:val="007C04EF"/>
    <w:rsid w:val="007C4832"/>
    <w:rsid w:val="007E6A6C"/>
    <w:rsid w:val="0081299A"/>
    <w:rsid w:val="00862625"/>
    <w:rsid w:val="00874876"/>
    <w:rsid w:val="00890C92"/>
    <w:rsid w:val="008A2AC5"/>
    <w:rsid w:val="008A3DD5"/>
    <w:rsid w:val="008A63C7"/>
    <w:rsid w:val="008E36A8"/>
    <w:rsid w:val="008F561F"/>
    <w:rsid w:val="00923E68"/>
    <w:rsid w:val="00926738"/>
    <w:rsid w:val="0092735E"/>
    <w:rsid w:val="00933897"/>
    <w:rsid w:val="00945C76"/>
    <w:rsid w:val="009462E9"/>
    <w:rsid w:val="0097092F"/>
    <w:rsid w:val="00995899"/>
    <w:rsid w:val="009A693A"/>
    <w:rsid w:val="009D096D"/>
    <w:rsid w:val="009D10AD"/>
    <w:rsid w:val="009E0E79"/>
    <w:rsid w:val="009E6B12"/>
    <w:rsid w:val="00A0189B"/>
    <w:rsid w:val="00A07EE6"/>
    <w:rsid w:val="00A138AA"/>
    <w:rsid w:val="00A60CA1"/>
    <w:rsid w:val="00A63EF9"/>
    <w:rsid w:val="00A6463F"/>
    <w:rsid w:val="00A813A1"/>
    <w:rsid w:val="00AC1F10"/>
    <w:rsid w:val="00AE38D8"/>
    <w:rsid w:val="00AF4D10"/>
    <w:rsid w:val="00AF4E96"/>
    <w:rsid w:val="00B12576"/>
    <w:rsid w:val="00B177E9"/>
    <w:rsid w:val="00B435D5"/>
    <w:rsid w:val="00B53C67"/>
    <w:rsid w:val="00B954E5"/>
    <w:rsid w:val="00BF3E81"/>
    <w:rsid w:val="00C36475"/>
    <w:rsid w:val="00C44C36"/>
    <w:rsid w:val="00C6643B"/>
    <w:rsid w:val="00C67B72"/>
    <w:rsid w:val="00CB69CE"/>
    <w:rsid w:val="00CC2F0B"/>
    <w:rsid w:val="00CD63D6"/>
    <w:rsid w:val="00CF2161"/>
    <w:rsid w:val="00CF3372"/>
    <w:rsid w:val="00D04B58"/>
    <w:rsid w:val="00D13D82"/>
    <w:rsid w:val="00D30882"/>
    <w:rsid w:val="00D67CC8"/>
    <w:rsid w:val="00D82CE3"/>
    <w:rsid w:val="00D903E1"/>
    <w:rsid w:val="00D91AE2"/>
    <w:rsid w:val="00DB2E73"/>
    <w:rsid w:val="00DD1947"/>
    <w:rsid w:val="00E016BA"/>
    <w:rsid w:val="00E22041"/>
    <w:rsid w:val="00E3628E"/>
    <w:rsid w:val="00E3790F"/>
    <w:rsid w:val="00E45D23"/>
    <w:rsid w:val="00E5214A"/>
    <w:rsid w:val="00E53D35"/>
    <w:rsid w:val="00EA1267"/>
    <w:rsid w:val="00EA35BB"/>
    <w:rsid w:val="00EA55B4"/>
    <w:rsid w:val="00EC0A76"/>
    <w:rsid w:val="00EC1406"/>
    <w:rsid w:val="00ED27E1"/>
    <w:rsid w:val="00EF26E2"/>
    <w:rsid w:val="00F152F2"/>
    <w:rsid w:val="00F17139"/>
    <w:rsid w:val="00F22CD9"/>
    <w:rsid w:val="00F768B4"/>
    <w:rsid w:val="00F87B9E"/>
    <w:rsid w:val="00F97C83"/>
    <w:rsid w:val="00FB34BE"/>
    <w:rsid w:val="00FD45EA"/>
    <w:rsid w:val="00FE1863"/>
    <w:rsid w:val="00FF11EA"/>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3E1"/>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normaltextrun">
    <w:name w:val="normaltextrun"/>
    <w:basedOn w:val="DefaultParagraphFont"/>
    <w:rsid w:val="006A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363865817">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0E2BB-E0AC-41FA-A6AF-F8E455007A94}">
  <ds:schemaRefs>
    <ds:schemaRef ds:uri="http://schemas.microsoft.com/sharepoint/v3/contenttype/forms"/>
  </ds:schemaRefs>
</ds:datastoreItem>
</file>

<file path=customXml/itemProps2.xml><?xml version="1.0" encoding="utf-8"?>
<ds:datastoreItem xmlns:ds="http://schemas.openxmlformats.org/officeDocument/2006/customXml" ds:itemID="{D5DD7617-4FD8-462C-850D-2D2E71EBB8EA}">
  <ds:schemaRefs>
    <ds:schemaRef ds:uri="http://www.w3.org/XML/1998/namespace"/>
    <ds:schemaRef ds:uri="82071710-83e2-4871-b606-0004f14e9c40"/>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e349a6f-9dd4-4167-a0ec-0f85ef0207c9"/>
    <ds:schemaRef ds:uri="http://purl.org/dc/elements/1.1/"/>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DC6F4AFB-491A-4344-8FED-0559449B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 -01-22-ET-Addl 15 Day</dc:title>
  <dc:creator/>
  <cp:lastModifiedBy/>
  <cp:revision>1</cp:revision>
  <dcterms:created xsi:type="dcterms:W3CDTF">2023-05-05T17:03:00Z</dcterms:created>
  <dcterms:modified xsi:type="dcterms:W3CDTF">2023-05-05T17:03:00Z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