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FEFB" w14:textId="40A4CFD8" w:rsidR="00767766" w:rsidRPr="0044593B" w:rsidRDefault="00786248" w:rsidP="000C7383">
      <w:pPr>
        <w:pStyle w:val="Heading1"/>
        <w:spacing w:before="0" w:after="120"/>
        <w:jc w:val="center"/>
        <w:rPr>
          <w:rFonts w:cs="Arial"/>
          <w:szCs w:val="24"/>
        </w:rPr>
      </w:pPr>
      <w:r w:rsidRPr="0044593B">
        <w:rPr>
          <w:rFonts w:cs="Arial"/>
        </w:rPr>
        <w:t>ADDITIONAL</w:t>
      </w:r>
      <w:r w:rsidR="00767766" w:rsidRPr="0044593B">
        <w:rPr>
          <w:rFonts w:cs="Arial"/>
        </w:rPr>
        <w:t xml:space="preserve"> </w:t>
      </w:r>
      <w:r w:rsidR="00EA35BB">
        <w:rPr>
          <w:rFonts w:cs="Arial"/>
        </w:rPr>
        <w:t>15</w:t>
      </w:r>
      <w:r w:rsidRPr="0044593B">
        <w:rPr>
          <w:rFonts w:cs="Arial"/>
        </w:rPr>
        <w:t xml:space="preserve">-DAY </w:t>
      </w:r>
      <w:r w:rsidR="00767766" w:rsidRPr="0044593B">
        <w:rPr>
          <w:rFonts w:cs="Arial"/>
        </w:rPr>
        <w:t>EXPRESS TERMS</w:t>
      </w:r>
      <w:r w:rsidR="00EC1406" w:rsidRPr="0044593B">
        <w:rPr>
          <w:rFonts w:cs="Arial"/>
        </w:rPr>
        <w:t xml:space="preserve"> AND RATIONALE</w:t>
      </w:r>
      <w:r w:rsidR="00767766" w:rsidRPr="0044593B">
        <w:rPr>
          <w:rFonts w:cs="Arial"/>
        </w:rPr>
        <w:br/>
        <w:t>FOR PROPOSED BUILDING STANDARDS</w:t>
      </w:r>
      <w:r w:rsidR="00767766" w:rsidRPr="0044593B">
        <w:rPr>
          <w:rFonts w:cs="Arial"/>
        </w:rPr>
        <w:br/>
        <w:t xml:space="preserve">OF THE </w:t>
      </w:r>
      <w:r w:rsidR="00EA35BB">
        <w:rPr>
          <w:rFonts w:cs="Arial"/>
        </w:rPr>
        <w:t>DIVISION OF THE STATE ARCHITECT</w:t>
      </w:r>
      <w:r w:rsidR="00767766" w:rsidRPr="0044593B">
        <w:rPr>
          <w:rFonts w:cs="Arial"/>
        </w:rPr>
        <w:br/>
        <w:t xml:space="preserve">REGARDING THE </w:t>
      </w:r>
      <w:r w:rsidR="00EA35BB">
        <w:rPr>
          <w:rFonts w:cs="Arial"/>
        </w:rPr>
        <w:t>2022 CALIFORNIA BUILDING CODE</w:t>
      </w:r>
      <w:r w:rsidR="00767766" w:rsidRPr="0044593B">
        <w:rPr>
          <w:rFonts w:cs="Arial"/>
        </w:rPr>
        <w:t>,</w:t>
      </w:r>
      <w:r w:rsidR="000C7383">
        <w:rPr>
          <w:rFonts w:cs="Arial"/>
        </w:rPr>
        <w:br/>
      </w:r>
      <w:r w:rsidR="00767766" w:rsidRPr="0044593B">
        <w:rPr>
          <w:rFonts w:cs="Arial"/>
        </w:rPr>
        <w:t xml:space="preserve">CALIFORNIA CODE OF REGULATIONS, TITLE 24, PART </w:t>
      </w:r>
      <w:r w:rsidR="00EA35BB">
        <w:rPr>
          <w:rFonts w:cs="Arial"/>
        </w:rPr>
        <w:t>2</w:t>
      </w:r>
      <w:r w:rsidR="000C7383">
        <w:rPr>
          <w:rFonts w:cs="Arial"/>
        </w:rPr>
        <w:br/>
      </w:r>
      <w:r w:rsidR="00767766" w:rsidRPr="0044593B">
        <w:rPr>
          <w:rFonts w:cs="Arial"/>
          <w:szCs w:val="24"/>
        </w:rPr>
        <w:t>(</w:t>
      </w:r>
      <w:r w:rsidR="00526C54">
        <w:rPr>
          <w:rFonts w:cs="Arial"/>
          <w:szCs w:val="24"/>
        </w:rPr>
        <w:t>DSA-AC 01/22</w:t>
      </w:r>
      <w:r w:rsidR="00767766" w:rsidRPr="0044593B">
        <w:rPr>
          <w:rFonts w:cs="Arial"/>
          <w:szCs w:val="24"/>
        </w:rPr>
        <w:t>)</w:t>
      </w:r>
    </w:p>
    <w:p w14:paraId="2CC5E725" w14:textId="20C933C2" w:rsidR="0017531B" w:rsidRPr="0044593B" w:rsidRDefault="00FB34BE" w:rsidP="00FB34BE">
      <w:pPr>
        <w:spacing w:after="120"/>
        <w:rPr>
          <w:rFonts w:cs="Arial"/>
        </w:rPr>
      </w:pPr>
      <w:r w:rsidRPr="0044593B">
        <w:rPr>
          <w:rFonts w:cs="Arial"/>
        </w:rPr>
        <w:t>No state agency may adopt, amend, or repeal a regulation which has been changed from that which was originally made available to the public pursuant to Section 11346.5, unless the change is (1) non</w:t>
      </w:r>
      <w:r w:rsidR="00EA35BB">
        <w:rPr>
          <w:rFonts w:cs="Arial"/>
        </w:rPr>
        <w:t>-</w:t>
      </w:r>
      <w:r w:rsidRPr="0044593B">
        <w:rPr>
          <w:rFonts w:cs="Arial"/>
        </w:rPr>
        <w:t>substantial or solely grammatical in nature, or (2) sufficiently related to the original text that the public was adequately placed on notice that the change could result from the originally proposed regulatory action. If a sufficiently related change is made, the full text of the resulting adoption, amendment, or repeal, with the change clearly indicated, shall be made available to the public for at least 15</w:t>
      </w:r>
      <w:r w:rsidR="002A0905" w:rsidRPr="0044593B">
        <w:rPr>
          <w:rFonts w:cs="Arial"/>
        </w:rPr>
        <w:t xml:space="preserve"> or 45</w:t>
      </w:r>
      <w:r w:rsidRPr="0044593B">
        <w:rPr>
          <w:rFonts w:cs="Arial"/>
        </w:rPr>
        <w:t xml:space="preserve"> days before the agency adopts, amends, or repeals the resulting regulation.</w:t>
      </w:r>
    </w:p>
    <w:p w14:paraId="1D0B4194" w14:textId="10613FFF" w:rsidR="00FB34BE" w:rsidRPr="0044593B" w:rsidRDefault="00FB34BE" w:rsidP="00FB34BE">
      <w:pPr>
        <w:spacing w:after="120"/>
        <w:rPr>
          <w:rFonts w:cs="Arial"/>
        </w:rPr>
      </w:pPr>
      <w:r w:rsidRPr="0044593B">
        <w:rPr>
          <w:rFonts w:cs="Arial"/>
        </w:rPr>
        <w:t xml:space="preserve">Any written comments received regarding the change must be responded to in the final statement of reasons required by Section 11346.9 (Government Code Section 11346.8(c)). </w:t>
      </w:r>
    </w:p>
    <w:p w14:paraId="508FDA34" w14:textId="131D01FD" w:rsidR="00DD1947" w:rsidRPr="0044593B" w:rsidRDefault="00DD1947" w:rsidP="009D10AD">
      <w:pPr>
        <w:pStyle w:val="BodyText3"/>
        <w:pBdr>
          <w:top w:val="single" w:sz="4" w:space="1" w:color="auto"/>
        </w:pBdr>
        <w:spacing w:before="120"/>
        <w:jc w:val="left"/>
        <w:rPr>
          <w:rFonts w:cs="Arial"/>
          <w:szCs w:val="24"/>
        </w:rPr>
      </w:pPr>
      <w:r w:rsidRPr="0044593B">
        <w:rPr>
          <w:rFonts w:cs="Arial"/>
          <w:szCs w:val="24"/>
        </w:rPr>
        <w:t>If using assistive technology, please adjust your settings to recognize underline, strikeout</w:t>
      </w:r>
      <w:r w:rsidR="008A63C7">
        <w:rPr>
          <w:rFonts w:cs="Arial"/>
          <w:szCs w:val="24"/>
        </w:rPr>
        <w:t>, double strikeout</w:t>
      </w:r>
      <w:r w:rsidRPr="0044593B">
        <w:rPr>
          <w:rFonts w:cs="Arial"/>
          <w:szCs w:val="24"/>
        </w:rPr>
        <w:t xml:space="preserve">, </w:t>
      </w:r>
      <w:proofErr w:type="gramStart"/>
      <w:r w:rsidRPr="0044593B">
        <w:rPr>
          <w:rFonts w:cs="Arial"/>
          <w:szCs w:val="24"/>
        </w:rPr>
        <w:t>italics</w:t>
      </w:r>
      <w:proofErr w:type="gramEnd"/>
      <w:r w:rsidRPr="0044593B">
        <w:rPr>
          <w:rFonts w:cs="Arial"/>
          <w:szCs w:val="24"/>
        </w:rPr>
        <w:t xml:space="preserve"> and ellipsis.</w:t>
      </w:r>
      <w:r w:rsidR="003324BE" w:rsidRPr="0044593B">
        <w:rPr>
          <w:rFonts w:cs="Arial"/>
          <w:szCs w:val="24"/>
        </w:rPr>
        <w:t xml:space="preserve"> Double underline will be indicated by parenthetical notes within the text. The notes will not be codified or published in the code.</w:t>
      </w:r>
    </w:p>
    <w:p w14:paraId="39B2DE99" w14:textId="77777777" w:rsidR="00767766" w:rsidRPr="0044593B" w:rsidRDefault="00767766" w:rsidP="000C7383">
      <w:pPr>
        <w:pStyle w:val="Heading2"/>
        <w:spacing w:before="80" w:after="80"/>
        <w:rPr>
          <w:rFonts w:cs="Arial"/>
        </w:rPr>
      </w:pPr>
      <w:r w:rsidRPr="0044593B">
        <w:rPr>
          <w:rFonts w:cs="Arial"/>
        </w:rPr>
        <w:t xml:space="preserve">LEGEND </w:t>
      </w:r>
      <w:r w:rsidR="0092735E" w:rsidRPr="0044593B">
        <w:rPr>
          <w:rFonts w:cs="Arial"/>
        </w:rPr>
        <w:t>for</w:t>
      </w:r>
      <w:r w:rsidRPr="0044593B">
        <w:rPr>
          <w:rFonts w:cs="Arial"/>
        </w:rPr>
        <w:t xml:space="preserve"> EXPRESS TERMS (Based on model codes - Parts 2, 2.5, 3, 4, 5, 9, 10)</w:t>
      </w:r>
    </w:p>
    <w:p w14:paraId="7F57497E" w14:textId="5926D377" w:rsidR="00CF2161" w:rsidRPr="0044593B" w:rsidRDefault="00CF2161" w:rsidP="00CF2161">
      <w:pPr>
        <w:pStyle w:val="ListParagraph"/>
        <w:numPr>
          <w:ilvl w:val="0"/>
          <w:numId w:val="5"/>
        </w:numPr>
        <w:rPr>
          <w:rFonts w:cs="Arial"/>
        </w:rPr>
      </w:pPr>
      <w:bookmarkStart w:id="0" w:name="_Hlk51751202"/>
      <w:r w:rsidRPr="0044593B">
        <w:rPr>
          <w:rFonts w:cs="Arial"/>
        </w:rPr>
        <w:t>Model Code language appears upright</w:t>
      </w:r>
      <w:r w:rsidR="00B53C67" w:rsidRPr="0044593B">
        <w:rPr>
          <w:rFonts w:cs="Arial"/>
        </w:rPr>
        <w:t>.</w:t>
      </w:r>
    </w:p>
    <w:p w14:paraId="52AB6E65" w14:textId="395D7A77" w:rsidR="00CF2161" w:rsidRPr="0044593B" w:rsidRDefault="00CF2161" w:rsidP="00CF2161">
      <w:pPr>
        <w:pStyle w:val="ListParagraph"/>
        <w:numPr>
          <w:ilvl w:val="0"/>
          <w:numId w:val="5"/>
        </w:numPr>
        <w:rPr>
          <w:rFonts w:cs="Arial"/>
          <w:iCs/>
        </w:rPr>
      </w:pPr>
      <w:r w:rsidRPr="0044593B">
        <w:rPr>
          <w:rFonts w:cs="Arial"/>
        </w:rPr>
        <w:t xml:space="preserve">Unmodified California 45-day amendments appear in </w:t>
      </w:r>
      <w:r w:rsidRPr="008A63C7">
        <w:rPr>
          <w:rFonts w:cs="Arial"/>
          <w:i/>
          <w:u w:val="single"/>
        </w:rPr>
        <w:t xml:space="preserve">underline </w:t>
      </w:r>
      <w:r w:rsidR="00B53C67" w:rsidRPr="008A63C7">
        <w:rPr>
          <w:rFonts w:cs="Arial"/>
          <w:i/>
          <w:u w:val="single"/>
        </w:rPr>
        <w:t>and</w:t>
      </w:r>
      <w:r w:rsidRPr="008A63C7">
        <w:rPr>
          <w:rFonts w:cs="Arial"/>
          <w:i/>
          <w:u w:val="single"/>
        </w:rPr>
        <w:t xml:space="preserve"> italic</w:t>
      </w:r>
      <w:r w:rsidR="00B53C67" w:rsidRPr="0044593B">
        <w:rPr>
          <w:rFonts w:cs="Arial"/>
          <w:iCs/>
        </w:rPr>
        <w:t xml:space="preserve"> and </w:t>
      </w:r>
      <w:r w:rsidR="00B53C67" w:rsidRPr="008A63C7">
        <w:rPr>
          <w:rFonts w:cs="Arial"/>
          <w:i/>
          <w:strike/>
        </w:rPr>
        <w:t>strikeout and italic</w:t>
      </w:r>
      <w:r w:rsidR="00B53C67" w:rsidRPr="0044593B">
        <w:rPr>
          <w:rFonts w:cs="Arial"/>
          <w:i/>
        </w:rPr>
        <w:t>.</w:t>
      </w:r>
    </w:p>
    <w:p w14:paraId="15B6E9D7" w14:textId="0AF71560" w:rsidR="00CF2161" w:rsidRPr="0044593B" w:rsidRDefault="00CF2161" w:rsidP="00CF2161">
      <w:pPr>
        <w:pStyle w:val="ListParagraph"/>
        <w:numPr>
          <w:ilvl w:val="0"/>
          <w:numId w:val="5"/>
        </w:numPr>
        <w:rPr>
          <w:rFonts w:cs="Arial"/>
          <w:i/>
          <w:u w:val="single"/>
        </w:rPr>
      </w:pPr>
      <w:r w:rsidRPr="0044593B">
        <w:rPr>
          <w:rFonts w:cs="Arial"/>
        </w:rPr>
        <w:t xml:space="preserve">California additional </w:t>
      </w:r>
      <w:r w:rsidR="00EA35BB">
        <w:rPr>
          <w:rFonts w:cs="Arial"/>
        </w:rPr>
        <w:t>15</w:t>
      </w:r>
      <w:r w:rsidRPr="0044593B">
        <w:rPr>
          <w:rFonts w:cs="Arial"/>
        </w:rPr>
        <w:t xml:space="preserve">-day amendments appear in </w:t>
      </w:r>
      <w:r w:rsidRPr="008A63C7">
        <w:rPr>
          <w:rFonts w:cs="Arial"/>
          <w:i/>
          <w:iCs/>
          <w:u w:val="double"/>
        </w:rPr>
        <w:t>double underline and italic</w:t>
      </w:r>
      <w:r w:rsidRPr="0044593B">
        <w:rPr>
          <w:rFonts w:cs="Arial"/>
        </w:rPr>
        <w:t xml:space="preserve"> and </w:t>
      </w:r>
      <w:r w:rsidRPr="008A63C7">
        <w:rPr>
          <w:rFonts w:cs="Arial"/>
          <w:i/>
          <w:iCs/>
          <w:dstrike/>
        </w:rPr>
        <w:t>double strikeout and italic</w:t>
      </w:r>
      <w:r w:rsidRPr="0044593B">
        <w:rPr>
          <w:rFonts w:cs="Arial"/>
        </w:rPr>
        <w:t>.</w:t>
      </w:r>
    </w:p>
    <w:p w14:paraId="2535AC15" w14:textId="6DD9A469" w:rsidR="00CF2161" w:rsidRPr="0044593B" w:rsidRDefault="00B53C67" w:rsidP="00CF2161">
      <w:pPr>
        <w:pStyle w:val="ListParagraph"/>
        <w:numPr>
          <w:ilvl w:val="0"/>
          <w:numId w:val="5"/>
        </w:numPr>
        <w:rPr>
          <w:rFonts w:cs="Arial"/>
        </w:rPr>
      </w:pPr>
      <w:r w:rsidRPr="0044593B">
        <w:rPr>
          <w:rFonts w:cs="Arial"/>
        </w:rPr>
        <w:t xml:space="preserve">Ellipsis </w:t>
      </w:r>
      <w:proofErr w:type="gramStart"/>
      <w:r w:rsidRPr="0044593B">
        <w:rPr>
          <w:rFonts w:cs="Arial"/>
          <w:szCs w:val="24"/>
        </w:rPr>
        <w:t>(</w:t>
      </w:r>
      <w:r w:rsidRPr="0044593B">
        <w:rPr>
          <w:rFonts w:cs="Arial"/>
          <w:sz w:val="2"/>
          <w:szCs w:val="2"/>
        </w:rPr>
        <w:t xml:space="preserve"> </w:t>
      </w:r>
      <w:r w:rsidRPr="0044593B">
        <w:rPr>
          <w:rFonts w:eastAsia="Times New Roman" w:cs="Arial"/>
          <w:szCs w:val="24"/>
          <w:lang w:eastAsia="ko-KR"/>
        </w:rPr>
        <w:t>...</w:t>
      </w:r>
      <w:proofErr w:type="gramEnd"/>
      <w:r w:rsidRPr="0044593B">
        <w:rPr>
          <w:rFonts w:eastAsia="Times New Roman" w:cs="Arial"/>
          <w:szCs w:val="24"/>
          <w:lang w:eastAsia="ko-KR"/>
        </w:rPr>
        <w:t>)</w:t>
      </w:r>
      <w:r w:rsidRPr="0044593B">
        <w:rPr>
          <w:rFonts w:eastAsia="Times New Roman" w:cs="Arial"/>
          <w:lang w:eastAsia="ko-KR"/>
        </w:rPr>
        <w:t xml:space="preserve"> indicate existing text remains unchanged.</w:t>
      </w:r>
    </w:p>
    <w:p w14:paraId="17176657" w14:textId="30416E07" w:rsidR="00CF2161" w:rsidRPr="0044593B" w:rsidRDefault="00B53C67" w:rsidP="00CF2161">
      <w:pPr>
        <w:pStyle w:val="ListParagraph"/>
        <w:numPr>
          <w:ilvl w:val="0"/>
          <w:numId w:val="5"/>
        </w:numPr>
        <w:rPr>
          <w:rFonts w:cs="Arial"/>
        </w:rPr>
      </w:pPr>
      <w:r w:rsidRPr="0044593B">
        <w:rPr>
          <w:rFonts w:cs="Arial"/>
          <w:b/>
          <w:bCs/>
        </w:rPr>
        <w:t>Rationale</w:t>
      </w:r>
      <w:r w:rsidRPr="0044593B">
        <w:rPr>
          <w:rFonts w:cs="Arial"/>
        </w:rPr>
        <w:t>: The justification for the change is shown after each section or series of related changes.</w:t>
      </w:r>
    </w:p>
    <w:bookmarkEnd w:id="0"/>
    <w:p w14:paraId="6573F4A2" w14:textId="77777777" w:rsidR="00786248" w:rsidRPr="0044593B" w:rsidRDefault="00786248" w:rsidP="00786248">
      <w:pPr>
        <w:pStyle w:val="BodyText3"/>
        <w:pBdr>
          <w:bottom w:val="single" w:sz="4" w:space="1" w:color="auto"/>
        </w:pBdr>
        <w:jc w:val="left"/>
        <w:rPr>
          <w:rFonts w:cs="Arial"/>
          <w:sz w:val="10"/>
          <w:szCs w:val="10"/>
        </w:rPr>
      </w:pPr>
    </w:p>
    <w:p w14:paraId="7D4E993D" w14:textId="343A1406" w:rsidR="00767766" w:rsidRPr="0044593B" w:rsidRDefault="00786248" w:rsidP="000C7383">
      <w:pPr>
        <w:pStyle w:val="Heading2"/>
        <w:rPr>
          <w:bCs/>
        </w:rPr>
      </w:pPr>
      <w:r w:rsidRPr="0044593B">
        <w:t>ADDITIONAL</w:t>
      </w:r>
      <w:r w:rsidR="00767766" w:rsidRPr="0044593B">
        <w:t xml:space="preserve"> </w:t>
      </w:r>
      <w:r w:rsidR="00EA35BB">
        <w:t>15</w:t>
      </w:r>
      <w:r w:rsidRPr="0044593B">
        <w:t xml:space="preserve">-DAY </w:t>
      </w:r>
      <w:r w:rsidR="00767766" w:rsidRPr="0044593B">
        <w:t>EXPRESS TERMS</w:t>
      </w:r>
    </w:p>
    <w:p w14:paraId="1351443B" w14:textId="3760D810" w:rsidR="00D903E1" w:rsidRDefault="00D903E1" w:rsidP="00A6463F">
      <w:pPr>
        <w:pStyle w:val="Heading3"/>
        <w:rPr>
          <w:rFonts w:cs="Arial"/>
          <w:i/>
          <w:iCs/>
        </w:rPr>
      </w:pPr>
      <w:r w:rsidRPr="0044593B">
        <w:t xml:space="preserve">ITEM </w:t>
      </w:r>
      <w:r>
        <w:rPr>
          <w:noProof/>
        </w:rPr>
        <w:t>9</w:t>
      </w:r>
      <w:r w:rsidR="00A6463F">
        <w:rPr>
          <w:noProof/>
        </w:rPr>
        <w:t>-</w:t>
      </w:r>
      <w:r w:rsidR="002E5C1F">
        <w:rPr>
          <w:noProof/>
        </w:rPr>
        <w:t>4</w:t>
      </w:r>
      <w:r w:rsidRPr="0044593B">
        <w:rPr>
          <w:snapToGrid/>
        </w:rPr>
        <w:br/>
      </w:r>
      <w:r w:rsidRPr="0044593B">
        <w:t xml:space="preserve">Chapter </w:t>
      </w:r>
      <w:r>
        <w:rPr>
          <w:noProof/>
        </w:rPr>
        <w:t>11B ACCESSIBILITY TO PUBLIC BUILDINGS, PUBLIC ACCOMMODATIONS, COMMERCIAL BUILDINGS AND PUBLIC HOUSING</w:t>
      </w:r>
      <w:r w:rsidRPr="0044593B">
        <w:rPr>
          <w:noProof/>
        </w:rPr>
        <w:t xml:space="preserve">, </w:t>
      </w:r>
      <w:r w:rsidRPr="0044593B">
        <w:t xml:space="preserve">Section </w:t>
      </w:r>
    </w:p>
    <w:p w14:paraId="40EF5477" w14:textId="77777777" w:rsidR="00D903E1" w:rsidRDefault="00D903E1" w:rsidP="00D903E1">
      <w:pPr>
        <w:ind w:left="360"/>
        <w:rPr>
          <w:rFonts w:cs="Arial"/>
          <w:i/>
          <w:iCs/>
          <w:szCs w:val="24"/>
          <w:u w:val="single"/>
        </w:rPr>
      </w:pPr>
      <w:bookmarkStart w:id="1" w:name="_Hlk115866428"/>
      <w:r>
        <w:rPr>
          <w:rFonts w:cs="Arial"/>
          <w:b/>
          <w:bCs/>
          <w:i/>
          <w:iCs/>
          <w:szCs w:val="24"/>
        </w:rPr>
        <w:t xml:space="preserve">11B-213.3.1 </w:t>
      </w:r>
      <w:r>
        <w:rPr>
          <w:rFonts w:cs="Arial"/>
          <w:b/>
          <w:bCs/>
          <w:i/>
          <w:iCs/>
          <w:szCs w:val="24"/>
          <w:u w:val="single"/>
        </w:rPr>
        <w:t>Toilet compartments and urinal compartments.</w:t>
      </w:r>
      <w:r>
        <w:rPr>
          <w:rFonts w:cs="Arial"/>
          <w:i/>
          <w:iCs/>
          <w:szCs w:val="24"/>
        </w:rPr>
        <w:t xml:space="preserve"> </w:t>
      </w:r>
      <w:r>
        <w:rPr>
          <w:rFonts w:cs="Arial"/>
          <w:i/>
          <w:iCs/>
          <w:szCs w:val="24"/>
          <w:u w:val="single"/>
        </w:rPr>
        <w:t xml:space="preserve">Where only toilet compartments are provided, they shall comply with Section 11B-213.3.1.1. Where both toilet and urinal compartments are provided, they shall comply with Section 11B-213.3.1.2 </w:t>
      </w:r>
    </w:p>
    <w:p w14:paraId="38882F97" w14:textId="77777777" w:rsidR="00D903E1" w:rsidRDefault="00D903E1" w:rsidP="00D903E1">
      <w:pPr>
        <w:ind w:left="720"/>
        <w:rPr>
          <w:rFonts w:cs="Arial"/>
          <w:i/>
          <w:iCs/>
          <w:szCs w:val="24"/>
          <w:u w:val="single"/>
        </w:rPr>
      </w:pPr>
      <w:bookmarkStart w:id="2" w:name="_Hlk134171448"/>
      <w:r>
        <w:rPr>
          <w:rFonts w:cs="Arial"/>
          <w:b/>
          <w:bCs/>
          <w:i/>
          <w:iCs/>
          <w:szCs w:val="24"/>
          <w:u w:val="single"/>
        </w:rPr>
        <w:t>11B-213.3.1.1</w:t>
      </w:r>
      <w:r>
        <w:rPr>
          <w:rFonts w:cs="Arial"/>
          <w:b/>
          <w:bCs/>
          <w:i/>
          <w:iCs/>
          <w:szCs w:val="24"/>
        </w:rPr>
        <w:t xml:space="preserve"> Toilet compartments.</w:t>
      </w:r>
      <w:bookmarkEnd w:id="2"/>
      <w:r>
        <w:rPr>
          <w:rFonts w:cs="Arial"/>
          <w:i/>
          <w:iCs/>
          <w:szCs w:val="24"/>
        </w:rPr>
        <w:t xml:space="preserve"> Where toilet compartments are provided, at least five percent of the toilet compartments, or five percent of the combination of toilet compartments and urinals, but no fewer than one toilet compartment shall comply with Section 11B-604.8.1. In addition to the compartments required </w:t>
      </w:r>
      <w:r>
        <w:rPr>
          <w:rFonts w:cs="Arial"/>
          <w:i/>
          <w:iCs/>
          <w:szCs w:val="24"/>
        </w:rPr>
        <w:lastRenderedPageBreak/>
        <w:t>to comply with Section 11B-604.8.1, where six or more toilet compartments are provided, or where the combination of urinals and water closets totals six or more fixtures, toilet compartments complying with Section 11B-604.8.2 shall be provided in the same quantity as the toilet compartments required to comply with Section 11B-604.8.1.</w:t>
      </w:r>
    </w:p>
    <w:p w14:paraId="5B967830" w14:textId="75B969B9" w:rsidR="00D903E1" w:rsidRDefault="00D903E1" w:rsidP="00D903E1">
      <w:pPr>
        <w:ind w:left="720"/>
        <w:rPr>
          <w:rFonts w:cs="Arial"/>
          <w:i/>
          <w:iCs/>
          <w:szCs w:val="24"/>
          <w:u w:val="single"/>
        </w:rPr>
      </w:pPr>
      <w:bookmarkStart w:id="3" w:name="_Hlk134171467"/>
      <w:r>
        <w:rPr>
          <w:rFonts w:cs="Arial"/>
          <w:b/>
          <w:bCs/>
          <w:i/>
          <w:iCs/>
          <w:szCs w:val="24"/>
          <w:u w:val="single"/>
        </w:rPr>
        <w:t>11B-213.3.1.2 Toilet compartments</w:t>
      </w:r>
      <w:r w:rsidRPr="00A6463F">
        <w:rPr>
          <w:rFonts w:cs="Arial"/>
          <w:b/>
          <w:bCs/>
          <w:i/>
          <w:iCs/>
          <w:szCs w:val="24"/>
        </w:rPr>
        <w:t xml:space="preserve"> </w:t>
      </w:r>
      <w:r w:rsidR="00A6463F" w:rsidRPr="00B177E9">
        <w:rPr>
          <w:rFonts w:cs="Arial"/>
          <w:szCs w:val="24"/>
        </w:rPr>
        <w:t>[</w:t>
      </w:r>
      <w:bookmarkEnd w:id="3"/>
      <w:r w:rsidR="00A6463F" w:rsidRPr="00B177E9">
        <w:rPr>
          <w:rFonts w:cs="Arial"/>
          <w:szCs w:val="24"/>
        </w:rPr>
        <w:t xml:space="preserve">begin double strikeout] </w:t>
      </w:r>
      <w:r w:rsidR="00A6463F" w:rsidRPr="00A6463F">
        <w:rPr>
          <w:rFonts w:cs="Arial"/>
          <w:b/>
          <w:bCs/>
          <w:i/>
          <w:iCs/>
          <w:dstrike/>
          <w:szCs w:val="24"/>
          <w:u w:val="single"/>
        </w:rPr>
        <w:t>and</w:t>
      </w:r>
      <w:r w:rsidR="00A6463F" w:rsidRPr="00A6463F">
        <w:rPr>
          <w:rFonts w:cs="Arial"/>
          <w:b/>
          <w:bCs/>
          <w:i/>
          <w:iCs/>
          <w:szCs w:val="24"/>
        </w:rPr>
        <w:t xml:space="preserve"> </w:t>
      </w:r>
      <w:r w:rsidR="00A6463F" w:rsidRPr="00B177E9">
        <w:rPr>
          <w:rFonts w:cs="Arial"/>
          <w:szCs w:val="24"/>
        </w:rPr>
        <w:t>[end double strikeout] [begin double underline]</w:t>
      </w:r>
      <w:r w:rsidR="00A6463F" w:rsidRPr="00B177E9">
        <w:rPr>
          <w:rFonts w:cs="Arial"/>
          <w:i/>
          <w:iCs/>
          <w:szCs w:val="24"/>
        </w:rPr>
        <w:t xml:space="preserve"> </w:t>
      </w:r>
      <w:r w:rsidR="00A6463F" w:rsidRPr="00A6463F">
        <w:rPr>
          <w:rFonts w:cs="Arial"/>
          <w:b/>
          <w:bCs/>
          <w:i/>
          <w:iCs/>
          <w:szCs w:val="24"/>
          <w:u w:val="double"/>
        </w:rPr>
        <w:t>with</w:t>
      </w:r>
      <w:r w:rsidR="00A6463F" w:rsidRPr="00A6463F">
        <w:rPr>
          <w:rFonts w:cs="Arial"/>
          <w:b/>
          <w:bCs/>
          <w:i/>
          <w:iCs/>
          <w:szCs w:val="24"/>
        </w:rPr>
        <w:t xml:space="preserve"> </w:t>
      </w:r>
      <w:r w:rsidR="00A6463F" w:rsidRPr="00B177E9">
        <w:rPr>
          <w:rFonts w:cs="Arial"/>
          <w:color w:val="000000" w:themeColor="text1"/>
          <w:szCs w:val="24"/>
        </w:rPr>
        <w:t xml:space="preserve">[end double </w:t>
      </w:r>
      <w:proofErr w:type="gramStart"/>
      <w:r w:rsidR="00A6463F" w:rsidRPr="00B177E9">
        <w:rPr>
          <w:rFonts w:cs="Arial"/>
          <w:color w:val="000000" w:themeColor="text1"/>
          <w:szCs w:val="24"/>
        </w:rPr>
        <w:t xml:space="preserve">underline] </w:t>
      </w:r>
      <w:r w:rsidRPr="00A6463F">
        <w:rPr>
          <w:rFonts w:cs="Arial"/>
          <w:b/>
          <w:bCs/>
          <w:i/>
          <w:iCs/>
          <w:szCs w:val="24"/>
        </w:rPr>
        <w:t xml:space="preserve"> </w:t>
      </w:r>
      <w:r>
        <w:rPr>
          <w:rFonts w:cs="Arial"/>
          <w:b/>
          <w:bCs/>
          <w:i/>
          <w:iCs/>
          <w:szCs w:val="24"/>
          <w:u w:val="single"/>
        </w:rPr>
        <w:t>urinal</w:t>
      </w:r>
      <w:proofErr w:type="gramEnd"/>
      <w:r>
        <w:rPr>
          <w:rFonts w:cs="Arial"/>
          <w:b/>
          <w:bCs/>
          <w:i/>
          <w:iCs/>
          <w:szCs w:val="24"/>
          <w:u w:val="single"/>
        </w:rPr>
        <w:t xml:space="preserve"> compartments.</w:t>
      </w:r>
      <w:r>
        <w:rPr>
          <w:rFonts w:cs="Arial"/>
          <w:i/>
          <w:iCs/>
          <w:szCs w:val="24"/>
        </w:rPr>
        <w:t xml:space="preserve"> </w:t>
      </w:r>
      <w:r>
        <w:rPr>
          <w:rFonts w:cs="Arial"/>
          <w:i/>
          <w:iCs/>
          <w:szCs w:val="24"/>
          <w:u w:val="single"/>
        </w:rPr>
        <w:t>Where both toilet compartments and urinal compartments are provided, at least five percent of toilet compartments, but no fewer than one, shall comply with Section 11B-604.8.1 and at least ten percent of urinal compartments, but no fewer than one, shall comply with Section 11B-605.5. In addition to the toilet compartments required to comply with Section 11B-604.8.1 and urinal compartments required to comply with Section 11B-605.5, where the combination of urinals and water closets totals six or more fixtures, toilet compartments complying with Section 11B-604.8.2 shall be provided in the same quantity as the toilet compartments required to comply with Section 11B-604.8.1. At all compartments not required to comply with Section 11B-604.8 or Section 11B-605.5, compartment doors shall be in-swinging and self-closing. All individual compartments shall be identified with a sign complying with Section 11B-216.8.3.</w:t>
      </w:r>
      <w:bookmarkEnd w:id="1"/>
    </w:p>
    <w:p w14:paraId="368DBC74" w14:textId="77777777" w:rsidR="00D903E1" w:rsidRDefault="00D903E1" w:rsidP="00D903E1">
      <w:pPr>
        <w:ind w:left="360"/>
        <w:rPr>
          <w:rFonts w:cs="Arial"/>
          <w:szCs w:val="24"/>
        </w:rPr>
      </w:pPr>
      <w:r>
        <w:rPr>
          <w:rFonts w:cs="Arial"/>
          <w:b/>
          <w:bCs/>
          <w:i/>
          <w:iCs/>
          <w:szCs w:val="24"/>
        </w:rPr>
        <w:t>11B-</w:t>
      </w:r>
      <w:r>
        <w:rPr>
          <w:rFonts w:cs="Arial"/>
          <w:b/>
          <w:bCs/>
          <w:szCs w:val="24"/>
        </w:rPr>
        <w:t>213.3.2 Water closets.</w:t>
      </w:r>
      <w:r>
        <w:rPr>
          <w:rFonts w:cs="Arial"/>
          <w:szCs w:val="24"/>
        </w:rPr>
        <w:t xml:space="preserve"> Where water closets are provided…</w:t>
      </w:r>
    </w:p>
    <w:p w14:paraId="76838102" w14:textId="77777777" w:rsidR="00D903E1" w:rsidRDefault="00D903E1" w:rsidP="00D903E1">
      <w:pPr>
        <w:ind w:left="360"/>
        <w:rPr>
          <w:rFonts w:cs="Arial"/>
          <w:strike/>
          <w:szCs w:val="24"/>
        </w:rPr>
      </w:pPr>
      <w:r>
        <w:rPr>
          <w:rFonts w:cs="Arial"/>
          <w:b/>
          <w:bCs/>
          <w:i/>
          <w:iCs/>
          <w:szCs w:val="24"/>
        </w:rPr>
        <w:t>11B-</w:t>
      </w:r>
      <w:r>
        <w:rPr>
          <w:rFonts w:cs="Arial"/>
          <w:b/>
          <w:bCs/>
          <w:szCs w:val="24"/>
        </w:rPr>
        <w:t>213.3.3 Urinals.</w:t>
      </w:r>
      <w:r>
        <w:rPr>
          <w:rFonts w:cs="Arial"/>
          <w:szCs w:val="24"/>
        </w:rPr>
        <w:t xml:space="preserve"> Where one or more urinals are provided, at least 10 percent but no fewer than one shall comply with </w:t>
      </w:r>
      <w:r>
        <w:rPr>
          <w:rFonts w:cs="Arial"/>
          <w:i/>
          <w:iCs/>
          <w:szCs w:val="24"/>
        </w:rPr>
        <w:t>Section 11B-</w:t>
      </w:r>
      <w:r>
        <w:rPr>
          <w:rFonts w:cs="Arial"/>
          <w:szCs w:val="24"/>
        </w:rPr>
        <w:t xml:space="preserve">605. </w:t>
      </w:r>
    </w:p>
    <w:p w14:paraId="2DF925E2" w14:textId="77777777" w:rsidR="00D903E1" w:rsidRDefault="00D903E1" w:rsidP="00D903E1">
      <w:pPr>
        <w:ind w:left="360"/>
        <w:rPr>
          <w:rFonts w:cs="Arial"/>
          <w:i/>
          <w:iCs/>
          <w:szCs w:val="24"/>
        </w:rPr>
      </w:pPr>
      <w:r>
        <w:rPr>
          <w:rFonts w:cs="Arial"/>
          <w:b/>
          <w:bCs/>
          <w:i/>
          <w:iCs/>
          <w:szCs w:val="24"/>
        </w:rPr>
        <w:t>11B-</w:t>
      </w:r>
      <w:r>
        <w:rPr>
          <w:rFonts w:cs="Arial"/>
          <w:b/>
          <w:bCs/>
          <w:szCs w:val="24"/>
        </w:rPr>
        <w:t xml:space="preserve">213.3.4 Lavatories. </w:t>
      </w:r>
      <w:r>
        <w:rPr>
          <w:rFonts w:cs="Arial"/>
          <w:szCs w:val="24"/>
        </w:rPr>
        <w:t xml:space="preserve">Where lavatories are provided, at least </w:t>
      </w:r>
      <w:r>
        <w:rPr>
          <w:rFonts w:cs="Arial"/>
          <w:i/>
          <w:iCs/>
          <w:szCs w:val="24"/>
        </w:rPr>
        <w:t>10 percent but no fewer than</w:t>
      </w:r>
      <w:r>
        <w:rPr>
          <w:rFonts w:cs="Arial"/>
          <w:szCs w:val="24"/>
        </w:rPr>
        <w:t xml:space="preserve"> one shall comply with Section </w:t>
      </w:r>
      <w:r>
        <w:rPr>
          <w:rFonts w:cs="Arial"/>
          <w:i/>
          <w:iCs/>
          <w:szCs w:val="24"/>
        </w:rPr>
        <w:t>11B-</w:t>
      </w:r>
      <w:r>
        <w:rPr>
          <w:rFonts w:cs="Arial"/>
          <w:szCs w:val="24"/>
        </w:rPr>
        <w:t xml:space="preserve">606 and shall not </w:t>
      </w:r>
      <w:proofErr w:type="gramStart"/>
      <w:r>
        <w:rPr>
          <w:rFonts w:cs="Arial"/>
          <w:szCs w:val="24"/>
        </w:rPr>
        <w:t>be located in</w:t>
      </w:r>
      <w:proofErr w:type="gramEnd"/>
      <w:r>
        <w:rPr>
          <w:rFonts w:cs="Arial"/>
          <w:szCs w:val="24"/>
        </w:rPr>
        <w:t xml:space="preserve"> a toilet</w:t>
      </w:r>
      <w:r>
        <w:rPr>
          <w:rFonts w:cs="Arial"/>
          <w:i/>
          <w:iCs/>
          <w:szCs w:val="24"/>
        </w:rPr>
        <w:t xml:space="preserve"> </w:t>
      </w:r>
      <w:r>
        <w:rPr>
          <w:rFonts w:cs="Arial"/>
          <w:i/>
          <w:iCs/>
          <w:szCs w:val="24"/>
          <w:u w:val="single"/>
        </w:rPr>
        <w:t>or urinal</w:t>
      </w:r>
      <w:r>
        <w:rPr>
          <w:rFonts w:cs="Arial"/>
          <w:i/>
          <w:iCs/>
          <w:szCs w:val="24"/>
        </w:rPr>
        <w:t xml:space="preserve"> </w:t>
      </w:r>
      <w:r>
        <w:rPr>
          <w:rFonts w:cs="Arial"/>
          <w:szCs w:val="24"/>
        </w:rPr>
        <w:t>compartment.</w:t>
      </w:r>
    </w:p>
    <w:p w14:paraId="6FC53BE0" w14:textId="1EC92E5E" w:rsidR="00D903E1" w:rsidRPr="0044593B" w:rsidRDefault="00D903E1" w:rsidP="00D903E1">
      <w:pPr>
        <w:spacing w:before="120"/>
        <w:rPr>
          <w:rFonts w:cs="Arial"/>
        </w:rPr>
      </w:pPr>
      <w:r w:rsidRPr="0044593B">
        <w:rPr>
          <w:rFonts w:cs="Arial"/>
          <w:b/>
        </w:rPr>
        <w:t>Rationale:</w:t>
      </w:r>
      <w:r w:rsidRPr="0044593B">
        <w:rPr>
          <w:rFonts w:cs="Arial"/>
        </w:rPr>
        <w:t xml:space="preserve"> </w:t>
      </w:r>
      <w:r>
        <w:rPr>
          <w:rFonts w:cs="Arial"/>
          <w:noProof/>
        </w:rPr>
        <w:t>A commenter noted during the 45-day comment period that sub-section 11B-213.3.1.2 Toilet compartments and urinal compartments was indented relative to sub-section 11B-213.3.1.1.  This was a typographical error and DSA did not intend to change the indentation or priority of one sub-section relative to the other.</w:t>
      </w:r>
      <w:r w:rsidR="00A6463F">
        <w:rPr>
          <w:rFonts w:cs="Arial"/>
          <w:noProof/>
        </w:rPr>
        <w:t xml:space="preserve">  DSA also proposes to retitle the sub-section, removing the word “and” and replacing it with the word “with” to avoid identical titles at this sub-section and the section above</w:t>
      </w:r>
      <w:r w:rsidR="00890C92">
        <w:rPr>
          <w:rFonts w:cs="Arial"/>
          <w:noProof/>
        </w:rPr>
        <w:t xml:space="preserve"> at 11B-213.3.1</w:t>
      </w:r>
      <w:r w:rsidR="00A6463F">
        <w:rPr>
          <w:rFonts w:cs="Arial"/>
          <w:noProof/>
        </w:rPr>
        <w:t>.</w:t>
      </w:r>
    </w:p>
    <w:p w14:paraId="7C96E586" w14:textId="77777777" w:rsidR="00D903E1" w:rsidRPr="0044593B" w:rsidRDefault="00D903E1" w:rsidP="00D903E1">
      <w:pPr>
        <w:spacing w:before="240"/>
        <w:rPr>
          <w:rFonts w:cs="Arial"/>
        </w:rPr>
      </w:pPr>
      <w:r w:rsidRPr="0044593B">
        <w:rPr>
          <w:rFonts w:cs="Arial"/>
          <w:b/>
        </w:rPr>
        <w:t>Notation:</w:t>
      </w:r>
    </w:p>
    <w:p w14:paraId="43F04E46" w14:textId="7FF4F157" w:rsidR="00D903E1" w:rsidRPr="0044593B" w:rsidRDefault="00D903E1" w:rsidP="00D903E1">
      <w:pPr>
        <w:spacing w:before="120"/>
        <w:rPr>
          <w:rFonts w:cs="Arial"/>
        </w:rPr>
      </w:pPr>
      <w:r w:rsidRPr="0044593B">
        <w:rPr>
          <w:rFonts w:cs="Arial"/>
        </w:rPr>
        <w:t xml:space="preserve">Authority: </w:t>
      </w:r>
      <w:r>
        <w:rPr>
          <w:rFonts w:cs="Arial"/>
          <w:noProof/>
        </w:rPr>
        <w:t>Government Code 4450</w:t>
      </w:r>
    </w:p>
    <w:p w14:paraId="5A21ACAF" w14:textId="78CA5882" w:rsidR="00D903E1" w:rsidRPr="00D903E1" w:rsidRDefault="00D903E1" w:rsidP="00D903E1">
      <w:pPr>
        <w:spacing w:before="120"/>
        <w:rPr>
          <w:rFonts w:cs="Arial"/>
          <w:noProof/>
        </w:rPr>
      </w:pPr>
      <w:r w:rsidRPr="0044593B">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p>
    <w:p w14:paraId="2F854EE3" w14:textId="2443EA54" w:rsidR="000B33E0" w:rsidRPr="0044593B" w:rsidRDefault="001E12EE" w:rsidP="000C7383">
      <w:pPr>
        <w:pStyle w:val="Heading3"/>
        <w:rPr>
          <w:noProof/>
        </w:rPr>
      </w:pPr>
      <w:r w:rsidRPr="0044593B">
        <w:t>ITEM</w:t>
      </w:r>
      <w:r w:rsidR="000B33E0" w:rsidRPr="0044593B">
        <w:t xml:space="preserve"> </w:t>
      </w:r>
      <w:r w:rsidR="00366A30">
        <w:rPr>
          <w:noProof/>
        </w:rPr>
        <w:t>11</w:t>
      </w:r>
      <w:r w:rsidR="002E5C1F">
        <w:rPr>
          <w:noProof/>
        </w:rPr>
        <w:t>-2</w:t>
      </w:r>
      <w:r w:rsidR="00391B17" w:rsidRPr="0044593B">
        <w:rPr>
          <w:snapToGrid/>
        </w:rPr>
        <w:br/>
      </w:r>
      <w:r w:rsidR="000B33E0" w:rsidRPr="0044593B">
        <w:t xml:space="preserve">Chapter </w:t>
      </w:r>
      <w:r w:rsidR="00366A30">
        <w:rPr>
          <w:noProof/>
        </w:rPr>
        <w:t>11B ACCESSIBILITY TO PUBLIC BUILDINGS, PUBLIC ACCOMMODATIONS, COMMERCIAL BUILDINGS AND PUBLIC HOUSING</w:t>
      </w:r>
      <w:r w:rsidR="00786248" w:rsidRPr="0044593B">
        <w:rPr>
          <w:noProof/>
        </w:rPr>
        <w:t xml:space="preserve">, </w:t>
      </w:r>
      <w:r w:rsidR="000B33E0" w:rsidRPr="0044593B">
        <w:t xml:space="preserve">Section </w:t>
      </w:r>
      <w:r w:rsidR="00366A30" w:rsidRPr="00366A30">
        <w:rPr>
          <w:i/>
          <w:iCs/>
          <w:noProof/>
        </w:rPr>
        <w:t>11B-</w:t>
      </w:r>
      <w:r w:rsidR="00366A30">
        <w:rPr>
          <w:noProof/>
        </w:rPr>
        <w:t xml:space="preserve">233 </w:t>
      </w:r>
      <w:r w:rsidR="00366A30" w:rsidRPr="00366A30">
        <w:rPr>
          <w:i/>
          <w:iCs/>
          <w:noProof/>
        </w:rPr>
        <w:t>Public housing</w:t>
      </w:r>
      <w:r w:rsidR="00366A30">
        <w:rPr>
          <w:noProof/>
        </w:rPr>
        <w:t xml:space="preserve"> facilities</w:t>
      </w:r>
    </w:p>
    <w:p w14:paraId="1A3A0EBF" w14:textId="081FAD1E" w:rsidR="00FE1863" w:rsidRPr="00D82CE3" w:rsidRDefault="00FE1863" w:rsidP="00FE1863">
      <w:pPr>
        <w:pStyle w:val="ListParagraph"/>
        <w:tabs>
          <w:tab w:val="left" w:pos="1440"/>
        </w:tabs>
        <w:autoSpaceDE w:val="0"/>
        <w:autoSpaceDN w:val="0"/>
        <w:adjustRightInd w:val="0"/>
        <w:ind w:left="1440"/>
        <w:rPr>
          <w:rFonts w:cs="Arial"/>
          <w:i/>
          <w:iCs/>
          <w:szCs w:val="24"/>
        </w:rPr>
      </w:pPr>
      <w:r w:rsidRPr="00642841">
        <w:rPr>
          <w:rFonts w:cs="Arial"/>
          <w:b/>
          <w:bCs/>
          <w:i/>
          <w:iCs/>
          <w:szCs w:val="24"/>
        </w:rPr>
        <w:t>11B-233.3.1.2.1 Elevator buildings.</w:t>
      </w:r>
      <w:r w:rsidRPr="00642841">
        <w:rPr>
          <w:rFonts w:cs="Arial"/>
          <w:i/>
          <w:iCs/>
          <w:szCs w:val="24"/>
        </w:rPr>
        <w:t xml:space="preserve"> </w:t>
      </w:r>
      <w:r w:rsidRPr="00B77423">
        <w:rPr>
          <w:rFonts w:cs="Arial"/>
          <w:i/>
          <w:iCs/>
          <w:color w:val="000000" w:themeColor="text1"/>
          <w:szCs w:val="24"/>
          <w:u w:val="single"/>
        </w:rPr>
        <w:t>A residential building with one or more elevators shall have an elevator serve all floors with a residential dwelling unit</w:t>
      </w:r>
      <w:r w:rsidRPr="00B177E9">
        <w:rPr>
          <w:rFonts w:cs="Arial"/>
          <w:i/>
          <w:iCs/>
          <w:color w:val="000000" w:themeColor="text1"/>
          <w:szCs w:val="24"/>
        </w:rPr>
        <w:t xml:space="preserve"> </w:t>
      </w:r>
      <w:r w:rsidR="00B177E9" w:rsidRPr="00B177E9">
        <w:rPr>
          <w:rFonts w:cs="Arial"/>
          <w:szCs w:val="24"/>
        </w:rPr>
        <w:t>[begin double underline]</w:t>
      </w:r>
      <w:r w:rsidR="00B177E9" w:rsidRPr="00B177E9">
        <w:rPr>
          <w:rFonts w:cs="Arial"/>
          <w:i/>
          <w:iCs/>
          <w:szCs w:val="24"/>
        </w:rPr>
        <w:t xml:space="preserve"> </w:t>
      </w:r>
      <w:r w:rsidRPr="00FE1863">
        <w:rPr>
          <w:rFonts w:cs="Arial"/>
          <w:i/>
          <w:iCs/>
          <w:color w:val="000000" w:themeColor="text1"/>
          <w:szCs w:val="24"/>
          <w:u w:val="double"/>
        </w:rPr>
        <w:t>primary</w:t>
      </w:r>
      <w:r w:rsidRPr="00B177E9">
        <w:rPr>
          <w:rFonts w:cs="Arial"/>
          <w:i/>
          <w:iCs/>
          <w:color w:val="000000" w:themeColor="text1"/>
          <w:szCs w:val="24"/>
        </w:rPr>
        <w:t xml:space="preserve"> </w:t>
      </w:r>
      <w:r w:rsidR="00B177E9" w:rsidRPr="00B177E9">
        <w:rPr>
          <w:rFonts w:cs="Arial"/>
          <w:color w:val="000000" w:themeColor="text1"/>
          <w:szCs w:val="24"/>
        </w:rPr>
        <w:t xml:space="preserve">[end double underline] </w:t>
      </w:r>
      <w:r w:rsidRPr="0067239D">
        <w:rPr>
          <w:rFonts w:cs="Arial"/>
          <w:i/>
          <w:iCs/>
          <w:szCs w:val="24"/>
          <w:u w:val="single"/>
        </w:rPr>
        <w:t>entrance and all floors with common use</w:t>
      </w:r>
      <w:r w:rsidRPr="00B177E9">
        <w:rPr>
          <w:rFonts w:cs="Arial"/>
          <w:i/>
          <w:iCs/>
          <w:szCs w:val="24"/>
        </w:rPr>
        <w:t xml:space="preserve"> </w:t>
      </w:r>
      <w:r w:rsidR="00B177E9" w:rsidRPr="00B177E9">
        <w:rPr>
          <w:rFonts w:cs="Arial"/>
          <w:szCs w:val="24"/>
        </w:rPr>
        <w:t xml:space="preserve">[begin double strikeout] </w:t>
      </w:r>
      <w:r w:rsidRPr="00FE1863">
        <w:rPr>
          <w:rFonts w:cs="Arial"/>
          <w:i/>
          <w:iCs/>
          <w:dstrike/>
          <w:szCs w:val="24"/>
          <w:u w:val="single"/>
        </w:rPr>
        <w:t>spaces</w:t>
      </w:r>
      <w:r w:rsidR="00B954E5" w:rsidRPr="00B177E9">
        <w:rPr>
          <w:rFonts w:cs="Arial"/>
          <w:szCs w:val="24"/>
        </w:rPr>
        <w:t xml:space="preserve"> </w:t>
      </w:r>
      <w:r w:rsidR="00B177E9" w:rsidRPr="00B177E9">
        <w:rPr>
          <w:rFonts w:cs="Arial"/>
          <w:szCs w:val="24"/>
        </w:rPr>
        <w:lastRenderedPageBreak/>
        <w:t>[end double strikeout] [begin double underline]</w:t>
      </w:r>
      <w:r w:rsidR="00B177E9" w:rsidRPr="00B177E9">
        <w:rPr>
          <w:rFonts w:cs="Arial"/>
          <w:i/>
          <w:iCs/>
          <w:szCs w:val="24"/>
        </w:rPr>
        <w:t xml:space="preserve"> </w:t>
      </w:r>
      <w:r w:rsidR="00B954E5" w:rsidRPr="00B954E5">
        <w:rPr>
          <w:rFonts w:cs="Arial"/>
          <w:i/>
          <w:iCs/>
          <w:szCs w:val="24"/>
          <w:u w:val="double"/>
        </w:rPr>
        <w:t>areas</w:t>
      </w:r>
      <w:r w:rsidR="00B177E9">
        <w:rPr>
          <w:rFonts w:cs="Arial"/>
          <w:i/>
          <w:iCs/>
          <w:szCs w:val="24"/>
          <w:u w:val="double"/>
        </w:rPr>
        <w:t xml:space="preserve"> </w:t>
      </w:r>
      <w:r w:rsidR="00B177E9">
        <w:rPr>
          <w:rFonts w:cs="Arial"/>
          <w:szCs w:val="24"/>
        </w:rPr>
        <w:t>[end double underline]</w:t>
      </w:r>
      <w:r w:rsidRPr="0067239D">
        <w:rPr>
          <w:rFonts w:cs="Arial"/>
          <w:i/>
          <w:iCs/>
          <w:szCs w:val="24"/>
          <w:u w:val="single"/>
        </w:rPr>
        <w:t xml:space="preserve">. Elevators shall comply with Section 11B-407. </w:t>
      </w:r>
      <w:r w:rsidRPr="0097092F">
        <w:rPr>
          <w:rFonts w:cs="Arial"/>
          <w:i/>
          <w:iCs/>
          <w:szCs w:val="24"/>
        </w:rPr>
        <w:t>Residential dwelling units on floors served by an elevator shall be adaptable.</w:t>
      </w:r>
    </w:p>
    <w:p w14:paraId="40546411" w14:textId="77777777" w:rsidR="00FE1863" w:rsidRPr="00B77423" w:rsidRDefault="00FE1863" w:rsidP="00FE1863">
      <w:pPr>
        <w:autoSpaceDE w:val="0"/>
        <w:autoSpaceDN w:val="0"/>
        <w:adjustRightInd w:val="0"/>
        <w:ind w:left="1890"/>
        <w:rPr>
          <w:rFonts w:cs="Arial"/>
          <w:b/>
          <w:bCs/>
          <w:i/>
          <w:iCs/>
          <w:color w:val="000000" w:themeColor="text1"/>
          <w:szCs w:val="24"/>
          <w:u w:val="single"/>
        </w:rPr>
      </w:pPr>
      <w:r w:rsidRPr="00B77423">
        <w:rPr>
          <w:rFonts w:cs="Arial"/>
          <w:b/>
          <w:bCs/>
          <w:i/>
          <w:iCs/>
          <w:color w:val="000000" w:themeColor="text1"/>
          <w:szCs w:val="24"/>
          <w:u w:val="single"/>
        </w:rPr>
        <w:t xml:space="preserve">Exceptions: </w:t>
      </w:r>
    </w:p>
    <w:p w14:paraId="008FC03D" w14:textId="77777777" w:rsidR="00FE1863" w:rsidRPr="00B77423" w:rsidRDefault="00FE1863" w:rsidP="00FE1863">
      <w:pPr>
        <w:pStyle w:val="ListParagraph"/>
        <w:widowControl/>
        <w:numPr>
          <w:ilvl w:val="0"/>
          <w:numId w:val="17"/>
        </w:numPr>
        <w:autoSpaceDE w:val="0"/>
        <w:autoSpaceDN w:val="0"/>
        <w:adjustRightInd w:val="0"/>
        <w:rPr>
          <w:rFonts w:cs="Arial"/>
          <w:i/>
          <w:iCs/>
          <w:color w:val="000000" w:themeColor="text1"/>
          <w:szCs w:val="24"/>
          <w:u w:val="single"/>
        </w:rPr>
      </w:pPr>
      <w:r w:rsidRPr="00B77423">
        <w:rPr>
          <w:rFonts w:cs="Arial"/>
          <w:i/>
          <w:iCs/>
          <w:color w:val="000000" w:themeColor="text1"/>
          <w:szCs w:val="24"/>
          <w:u w:val="single"/>
        </w:rPr>
        <w:t xml:space="preserve">A building with only an elevator that serves a parking garage or building entry level not containing residential dwelling units to the first ground floor above grade containing residential dwelling units. </w:t>
      </w:r>
    </w:p>
    <w:p w14:paraId="25CE9265" w14:textId="77777777" w:rsidR="00FE1863" w:rsidRPr="00B77423" w:rsidRDefault="00FE1863" w:rsidP="00FE1863">
      <w:pPr>
        <w:pStyle w:val="ListParagraph"/>
        <w:widowControl/>
        <w:numPr>
          <w:ilvl w:val="0"/>
          <w:numId w:val="17"/>
        </w:numPr>
        <w:autoSpaceDE w:val="0"/>
        <w:autoSpaceDN w:val="0"/>
        <w:adjustRightInd w:val="0"/>
        <w:spacing w:after="240"/>
        <w:rPr>
          <w:rFonts w:cs="Arial"/>
          <w:i/>
          <w:iCs/>
          <w:color w:val="000000" w:themeColor="text1"/>
          <w:szCs w:val="24"/>
          <w:u w:val="single"/>
        </w:rPr>
      </w:pPr>
      <w:r w:rsidRPr="0067239D">
        <w:rPr>
          <w:rFonts w:cs="Arial"/>
          <w:i/>
          <w:iCs/>
          <w:szCs w:val="24"/>
          <w:u w:val="single"/>
        </w:rPr>
        <w:t xml:space="preserve">A building with a </w:t>
      </w:r>
      <w:r w:rsidRPr="00B77423">
        <w:rPr>
          <w:rFonts w:cs="Arial"/>
          <w:i/>
          <w:iCs/>
          <w:color w:val="000000" w:themeColor="text1"/>
          <w:szCs w:val="24"/>
          <w:u w:val="single"/>
        </w:rPr>
        <w:t>multi-story residential dwelling unit with an elevator within the unit.</w:t>
      </w:r>
    </w:p>
    <w:p w14:paraId="2069702E" w14:textId="050F2588" w:rsidR="00AE38D8" w:rsidRDefault="002367DC" w:rsidP="00023B9A">
      <w:pPr>
        <w:spacing w:before="120"/>
        <w:rPr>
          <w:rFonts w:cs="Arial"/>
          <w:noProof/>
        </w:rPr>
      </w:pPr>
      <w:r w:rsidRPr="0044593B">
        <w:rPr>
          <w:rFonts w:cs="Arial"/>
          <w:b/>
        </w:rPr>
        <w:t>Rationale:</w:t>
      </w:r>
      <w:r w:rsidR="002D5E4A" w:rsidRPr="0044593B">
        <w:rPr>
          <w:rFonts w:cs="Arial"/>
        </w:rPr>
        <w:t xml:space="preserve"> </w:t>
      </w:r>
      <w:r w:rsidR="00AE38D8">
        <w:rPr>
          <w:rFonts w:cs="Arial"/>
          <w:noProof/>
        </w:rPr>
        <w:t>The Division of the State Architect is proposing to amend this section to include the descriptor “primary” when describing which entrances must be served by an elevator.  The Division of the State Architect is also proposing to replace the word “spaces” with “areas” to align with terminology used in other sections of this chapter.</w:t>
      </w:r>
    </w:p>
    <w:p w14:paraId="360CD629" w14:textId="4971E26A" w:rsidR="00AE38D8" w:rsidRDefault="00AE38D8" w:rsidP="00023B9A">
      <w:pPr>
        <w:spacing w:before="120"/>
        <w:rPr>
          <w:rFonts w:cs="Arial"/>
          <w:noProof/>
        </w:rPr>
      </w:pPr>
      <w:r>
        <w:rPr>
          <w:rFonts w:cs="Arial"/>
          <w:noProof/>
        </w:rPr>
        <w:t>Public comments received during the 45-Day Public Comment period stated that the section could be read to include secondary entrances and that such an intrepretation would exceed the requirements of the Fair Housing Act. The Division of State Architect agrees that it was the intent of the code language to align with the Fair Housing Act and is amending the language for clarity.</w:t>
      </w:r>
    </w:p>
    <w:p w14:paraId="3107E57C" w14:textId="055D7D8F" w:rsidR="0010093E" w:rsidRPr="0044593B" w:rsidRDefault="0010093E" w:rsidP="00023B9A">
      <w:pPr>
        <w:spacing w:before="120"/>
        <w:rPr>
          <w:rFonts w:cs="Arial"/>
        </w:rPr>
      </w:pPr>
      <w:r>
        <w:rPr>
          <w:rFonts w:cs="Arial"/>
          <w:noProof/>
        </w:rPr>
        <w:t>Public comments received during the 45-Day Public Comment period also pointed out that the phrase “common use spaces” was not generally used in other sections of Chapter 11B but that “common use areas” was used.  The Division of the State Architect agrees with the comment and is amending the word “space” to “area” for consistency.</w:t>
      </w:r>
    </w:p>
    <w:p w14:paraId="63A3FF48" w14:textId="33B9EF4A" w:rsidR="00767766" w:rsidRPr="0044593B" w:rsidRDefault="00767766" w:rsidP="0037506B">
      <w:pPr>
        <w:spacing w:before="240"/>
        <w:rPr>
          <w:rFonts w:cs="Arial"/>
        </w:rPr>
      </w:pPr>
      <w:r w:rsidRPr="0044593B">
        <w:rPr>
          <w:rFonts w:cs="Arial"/>
          <w:b/>
        </w:rPr>
        <w:t>Notation:</w:t>
      </w:r>
    </w:p>
    <w:p w14:paraId="25855F16" w14:textId="1F308054" w:rsidR="00767766" w:rsidRPr="0044593B" w:rsidRDefault="00767766" w:rsidP="00767766">
      <w:pPr>
        <w:spacing w:before="120"/>
        <w:rPr>
          <w:rFonts w:cs="Arial"/>
        </w:rPr>
      </w:pPr>
      <w:r w:rsidRPr="0044593B">
        <w:rPr>
          <w:rFonts w:cs="Arial"/>
        </w:rPr>
        <w:t xml:space="preserve">Authority: </w:t>
      </w:r>
      <w:r w:rsidR="0010093E">
        <w:rPr>
          <w:rFonts w:cs="Arial"/>
          <w:noProof/>
        </w:rPr>
        <w:t>Government Code 4450</w:t>
      </w:r>
    </w:p>
    <w:p w14:paraId="089D9CC5" w14:textId="666EACAE" w:rsidR="00767766" w:rsidRDefault="00767766" w:rsidP="00767766">
      <w:pPr>
        <w:spacing w:before="120"/>
        <w:rPr>
          <w:szCs w:val="24"/>
        </w:rPr>
      </w:pPr>
      <w:r w:rsidRPr="0044593B">
        <w:rPr>
          <w:rFonts w:cs="Arial"/>
        </w:rPr>
        <w:t xml:space="preserve">Reference(s): </w:t>
      </w:r>
      <w:r w:rsidR="0010093E">
        <w:rPr>
          <w:rFonts w:cs="Arial"/>
          <w:noProof/>
        </w:rPr>
        <w:t xml:space="preserve">Government Code Section 4450 through 4452, 4456, 4457, 4459, 12955.1, and 14679. </w:t>
      </w:r>
      <w:r w:rsidR="0010093E">
        <w:rPr>
          <w:szCs w:val="24"/>
        </w:rPr>
        <w:t>Health and Safety Code Sections 19952 through 19959.</w:t>
      </w:r>
    </w:p>
    <w:p w14:paraId="3EE38F90" w14:textId="77777777" w:rsidR="006A3B40" w:rsidRPr="0044593B" w:rsidRDefault="006A3B40" w:rsidP="00767766">
      <w:pPr>
        <w:spacing w:before="120"/>
        <w:rPr>
          <w:rFonts w:cs="Arial"/>
          <w:noProof/>
        </w:rPr>
      </w:pPr>
    </w:p>
    <w:p w14:paraId="7791ABD5" w14:textId="69C9AD64" w:rsidR="00127122" w:rsidRPr="0044593B" w:rsidRDefault="00127122" w:rsidP="00127122">
      <w:pPr>
        <w:pStyle w:val="Heading3"/>
        <w:rPr>
          <w:noProof/>
        </w:rPr>
      </w:pPr>
      <w:r w:rsidRPr="0044593B">
        <w:t xml:space="preserve">ITEM </w:t>
      </w:r>
      <w:r>
        <w:rPr>
          <w:noProof/>
        </w:rPr>
        <w:t>15</w:t>
      </w:r>
      <w:r w:rsidR="00CC2F0B">
        <w:rPr>
          <w:noProof/>
        </w:rPr>
        <w:t>-1.1</w:t>
      </w:r>
      <w:r w:rsidRPr="0044593B">
        <w:rPr>
          <w:snapToGrid/>
        </w:rPr>
        <w:br/>
      </w:r>
      <w:r w:rsidRPr="0044593B">
        <w:t xml:space="preserve">Chapter </w:t>
      </w:r>
      <w:r>
        <w:rPr>
          <w:noProof/>
        </w:rPr>
        <w:t>11B ACCESSIBILITY TO PUBLIC BUILDINGS, PUBLIC ACCOMMODATIONS, COMMERCIAL BUILDINGS AND PUBLIC HOUSING</w:t>
      </w:r>
      <w:r w:rsidRPr="0044593B">
        <w:rPr>
          <w:noProof/>
        </w:rPr>
        <w:t xml:space="preserve">, </w:t>
      </w:r>
      <w:r w:rsidRPr="0044593B">
        <w:t xml:space="preserve">Section </w:t>
      </w:r>
      <w:r>
        <w:rPr>
          <w:noProof/>
        </w:rPr>
        <w:t>11B-605 Urinals</w:t>
      </w:r>
      <w:r w:rsidR="00032A92">
        <w:rPr>
          <w:noProof/>
        </w:rPr>
        <w:t>, Sub-section 11B-605.4 Flush controls</w:t>
      </w:r>
      <w:r>
        <w:rPr>
          <w:noProof/>
        </w:rPr>
        <w:t>.</w:t>
      </w:r>
    </w:p>
    <w:p w14:paraId="2A7A0E1B" w14:textId="6FD1B1C3" w:rsidR="00127122" w:rsidRPr="00032A92" w:rsidRDefault="00032A92" w:rsidP="00032A92">
      <w:pPr>
        <w:spacing w:after="120"/>
        <w:rPr>
          <w:rFonts w:cs="Arial"/>
          <w:szCs w:val="24"/>
        </w:rPr>
      </w:pPr>
      <w:r w:rsidRPr="002912BE">
        <w:rPr>
          <w:rFonts w:cs="Arial"/>
          <w:b/>
          <w:bCs/>
          <w:i/>
          <w:iCs/>
          <w:szCs w:val="24"/>
        </w:rPr>
        <w:t>11B-</w:t>
      </w:r>
      <w:r w:rsidRPr="002912BE">
        <w:rPr>
          <w:rFonts w:cs="Arial"/>
          <w:b/>
          <w:bCs/>
          <w:szCs w:val="24"/>
        </w:rPr>
        <w:t>605.4 Flush controls.</w:t>
      </w:r>
      <w:r w:rsidRPr="002912BE">
        <w:rPr>
          <w:rFonts w:cs="Arial"/>
          <w:szCs w:val="24"/>
        </w:rPr>
        <w:t xml:space="preserve"> Flush controls shall be hand operated or automatic. Hand operated flush controls shall comply with Section 11B-309 except that the flush control shall be mounted at a maximum height of 44 inches (1118 mm) above the finish floor. </w:t>
      </w:r>
      <w:r w:rsidRPr="002912BE">
        <w:rPr>
          <w:rFonts w:cs="Arial"/>
          <w:i/>
          <w:iCs/>
          <w:szCs w:val="24"/>
          <w:u w:val="single"/>
        </w:rPr>
        <w:t>Urinals provided in urinal compartments</w:t>
      </w:r>
      <w:r w:rsidRPr="00032A92">
        <w:rPr>
          <w:rFonts w:cs="Arial"/>
          <w:i/>
          <w:iCs/>
          <w:szCs w:val="24"/>
        </w:rPr>
        <w:t xml:space="preserve"> </w:t>
      </w:r>
      <w:r w:rsidRPr="00B177E9">
        <w:rPr>
          <w:rFonts w:cs="Arial"/>
          <w:szCs w:val="24"/>
        </w:rPr>
        <w:t xml:space="preserve">[begin double strikeout] </w:t>
      </w:r>
      <w:r w:rsidRPr="00032A92">
        <w:rPr>
          <w:rFonts w:cs="Arial"/>
          <w:i/>
          <w:iCs/>
          <w:dstrike/>
          <w:szCs w:val="24"/>
          <w:u w:val="single"/>
        </w:rPr>
        <w:t xml:space="preserve">shall </w:t>
      </w:r>
      <w:proofErr w:type="gramStart"/>
      <w:r w:rsidRPr="00032A92">
        <w:rPr>
          <w:rFonts w:cs="Arial"/>
          <w:i/>
          <w:iCs/>
          <w:dstrike/>
          <w:szCs w:val="24"/>
          <w:u w:val="single"/>
        </w:rPr>
        <w:t>have</w:t>
      </w:r>
      <w:r w:rsidRPr="00B177E9">
        <w:rPr>
          <w:rFonts w:cs="Arial"/>
          <w:szCs w:val="24"/>
        </w:rPr>
        <w:t>[</w:t>
      </w:r>
      <w:proofErr w:type="gramEnd"/>
      <w:r w:rsidRPr="00B177E9">
        <w:rPr>
          <w:rFonts w:cs="Arial"/>
          <w:szCs w:val="24"/>
        </w:rPr>
        <w:t>end double strikeout] [begin double underline]</w:t>
      </w:r>
      <w:r w:rsidRPr="002912BE">
        <w:rPr>
          <w:rFonts w:cs="Arial"/>
          <w:i/>
          <w:iCs/>
          <w:szCs w:val="24"/>
          <w:u w:val="single"/>
        </w:rPr>
        <w:t xml:space="preserve"> </w:t>
      </w:r>
      <w:r w:rsidRPr="00032A92">
        <w:rPr>
          <w:rFonts w:cs="Arial"/>
          <w:i/>
          <w:iCs/>
          <w:szCs w:val="24"/>
          <w:u w:val="double"/>
        </w:rPr>
        <w:t>and with</w:t>
      </w:r>
      <w:r>
        <w:rPr>
          <w:rFonts w:cs="Arial"/>
          <w:i/>
          <w:iCs/>
          <w:szCs w:val="24"/>
          <w:u w:val="double"/>
        </w:rPr>
        <w:t xml:space="preserve"> </w:t>
      </w:r>
      <w:r>
        <w:rPr>
          <w:rFonts w:cs="Arial"/>
          <w:szCs w:val="24"/>
        </w:rPr>
        <w:t>[end double underline]</w:t>
      </w:r>
      <w:r>
        <w:rPr>
          <w:rFonts w:cs="Arial"/>
          <w:i/>
          <w:iCs/>
          <w:szCs w:val="24"/>
          <w:u w:val="single"/>
        </w:rPr>
        <w:t xml:space="preserve"> </w:t>
      </w:r>
      <w:r w:rsidRPr="002912BE">
        <w:rPr>
          <w:rFonts w:cs="Arial"/>
          <w:i/>
          <w:iCs/>
          <w:szCs w:val="24"/>
          <w:u w:val="single"/>
        </w:rPr>
        <w:t xml:space="preserve">hand operated flush controls </w:t>
      </w:r>
      <w:r w:rsidRPr="00B177E9">
        <w:rPr>
          <w:rFonts w:cs="Arial"/>
          <w:szCs w:val="24"/>
        </w:rPr>
        <w:t>[begin double underline]</w:t>
      </w:r>
      <w:r w:rsidRPr="00B177E9">
        <w:rPr>
          <w:rFonts w:cs="Arial"/>
          <w:i/>
          <w:iCs/>
          <w:szCs w:val="24"/>
        </w:rPr>
        <w:t xml:space="preserve"> </w:t>
      </w:r>
      <w:r w:rsidRPr="00032A92">
        <w:rPr>
          <w:rFonts w:cs="Arial"/>
          <w:i/>
          <w:iCs/>
          <w:szCs w:val="24"/>
          <w:u w:val="double"/>
        </w:rPr>
        <w:t>shall have the controls</w:t>
      </w:r>
      <w:r>
        <w:rPr>
          <w:rFonts w:cs="Arial"/>
          <w:i/>
          <w:iCs/>
          <w:szCs w:val="24"/>
          <w:u w:val="double"/>
        </w:rPr>
        <w:t xml:space="preserve"> </w:t>
      </w:r>
      <w:r>
        <w:rPr>
          <w:rFonts w:cs="Arial"/>
          <w:szCs w:val="24"/>
        </w:rPr>
        <w:t>[end double underline]</w:t>
      </w:r>
      <w:r>
        <w:rPr>
          <w:rFonts w:cs="Arial"/>
          <w:i/>
          <w:iCs/>
          <w:szCs w:val="24"/>
          <w:u w:val="single"/>
        </w:rPr>
        <w:t xml:space="preserve"> </w:t>
      </w:r>
      <w:r w:rsidRPr="002912BE">
        <w:rPr>
          <w:rFonts w:cs="Arial"/>
          <w:i/>
          <w:iCs/>
          <w:szCs w:val="24"/>
          <w:u w:val="single"/>
        </w:rPr>
        <w:t>located on the open side of the urinal.</w:t>
      </w:r>
    </w:p>
    <w:p w14:paraId="277BE1E0" w14:textId="01668825" w:rsidR="00127122" w:rsidRPr="0044593B" w:rsidRDefault="00127122" w:rsidP="00127122">
      <w:pPr>
        <w:spacing w:before="120"/>
        <w:rPr>
          <w:rFonts w:cs="Arial"/>
        </w:rPr>
      </w:pPr>
      <w:r w:rsidRPr="0044593B">
        <w:rPr>
          <w:rFonts w:cs="Arial"/>
          <w:b/>
        </w:rPr>
        <w:t>Rationale:</w:t>
      </w:r>
      <w:r w:rsidRPr="0044593B">
        <w:rPr>
          <w:rFonts w:cs="Arial"/>
        </w:rPr>
        <w:t xml:space="preserve"> </w:t>
      </w:r>
      <w:r w:rsidR="00032A92">
        <w:rPr>
          <w:rFonts w:cs="Arial"/>
          <w:noProof/>
        </w:rPr>
        <w:t>The previously proposed sentence structure could have been intrepreted to require hand operated flush controls at urinals in compartments.  DSA intended to allow both hand operated and automatic flush devices at urinals in compartments</w:t>
      </w:r>
      <w:r w:rsidR="00526C54">
        <w:rPr>
          <w:rFonts w:cs="Arial"/>
          <w:noProof/>
        </w:rPr>
        <w:t xml:space="preserve"> and is </w:t>
      </w:r>
      <w:r w:rsidR="00526C54">
        <w:rPr>
          <w:rFonts w:cs="Arial"/>
          <w:noProof/>
        </w:rPr>
        <w:lastRenderedPageBreak/>
        <w:t>amending the language for clarity.</w:t>
      </w:r>
    </w:p>
    <w:p w14:paraId="56950D77" w14:textId="77777777" w:rsidR="00127122" w:rsidRPr="0044593B" w:rsidRDefault="00127122" w:rsidP="00127122">
      <w:pPr>
        <w:spacing w:before="240"/>
        <w:rPr>
          <w:rFonts w:cs="Arial"/>
        </w:rPr>
      </w:pPr>
      <w:r w:rsidRPr="0044593B">
        <w:rPr>
          <w:rFonts w:cs="Arial"/>
          <w:b/>
        </w:rPr>
        <w:t>Notation:</w:t>
      </w:r>
    </w:p>
    <w:p w14:paraId="2F3265D3" w14:textId="38BBB133" w:rsidR="00127122" w:rsidRPr="0044593B" w:rsidRDefault="00127122" w:rsidP="00127122">
      <w:pPr>
        <w:spacing w:before="120"/>
        <w:rPr>
          <w:rFonts w:cs="Arial"/>
        </w:rPr>
      </w:pPr>
      <w:r w:rsidRPr="0044593B">
        <w:rPr>
          <w:rFonts w:cs="Arial"/>
        </w:rPr>
        <w:t xml:space="preserve">Authority: </w:t>
      </w:r>
      <w:r w:rsidR="00032A92">
        <w:rPr>
          <w:rFonts w:cs="Arial"/>
          <w:noProof/>
        </w:rPr>
        <w:t>Government Code 4450</w:t>
      </w:r>
    </w:p>
    <w:p w14:paraId="3B791017" w14:textId="67E4EF3D" w:rsidR="00127122" w:rsidRDefault="00127122" w:rsidP="00127122">
      <w:pPr>
        <w:spacing w:before="120"/>
        <w:rPr>
          <w:rFonts w:cs="Arial"/>
          <w:noProof/>
        </w:rPr>
      </w:pPr>
      <w:r w:rsidRPr="0044593B">
        <w:rPr>
          <w:rFonts w:cs="Arial"/>
        </w:rPr>
        <w:t xml:space="preserve">Reference(s): </w:t>
      </w:r>
      <w:r w:rsidR="0029083A">
        <w:rPr>
          <w:rFonts w:cs="Arial"/>
          <w:noProof/>
        </w:rPr>
        <w:t xml:space="preserve">Government Code Section 4450 through 4452, 4456, 4457, 4459, 12955.1, and 14679. </w:t>
      </w:r>
      <w:r w:rsidR="0029083A">
        <w:rPr>
          <w:szCs w:val="24"/>
        </w:rPr>
        <w:t>Health and Safety Code Sections 19952 through 19959.</w:t>
      </w:r>
    </w:p>
    <w:p w14:paraId="2651B8FA" w14:textId="77777777" w:rsidR="006A3B40" w:rsidRPr="0044593B" w:rsidRDefault="006A3B40" w:rsidP="00127122">
      <w:pPr>
        <w:spacing w:before="120"/>
        <w:rPr>
          <w:rFonts w:cs="Arial"/>
          <w:noProof/>
        </w:rPr>
      </w:pPr>
    </w:p>
    <w:p w14:paraId="04557D93" w14:textId="23161076" w:rsidR="00127122" w:rsidRPr="0044593B" w:rsidRDefault="00127122" w:rsidP="00127122">
      <w:pPr>
        <w:pStyle w:val="Heading3"/>
        <w:rPr>
          <w:noProof/>
        </w:rPr>
      </w:pPr>
      <w:r w:rsidRPr="0044593B">
        <w:t xml:space="preserve">ITEM </w:t>
      </w:r>
      <w:r w:rsidR="006A3B40">
        <w:rPr>
          <w:noProof/>
        </w:rPr>
        <w:t>15</w:t>
      </w:r>
      <w:r w:rsidR="00CC2F0B">
        <w:rPr>
          <w:noProof/>
        </w:rPr>
        <w:t>-4</w:t>
      </w:r>
      <w:r w:rsidRPr="0044593B">
        <w:rPr>
          <w:snapToGrid/>
        </w:rPr>
        <w:br/>
      </w:r>
      <w:r w:rsidRPr="0044593B">
        <w:t>Chapter</w:t>
      </w:r>
      <w:r w:rsidR="006A3B40" w:rsidRPr="0044593B">
        <w:t xml:space="preserve"> </w:t>
      </w:r>
      <w:r w:rsidR="006A3B40">
        <w:rPr>
          <w:noProof/>
        </w:rPr>
        <w:t>11B ACCESSIBILITY TO PUBLIC BUILDINGS, PUBLIC ACCOMMODATIONS, COMMERCIAL BUILDINGS AND PUBLIC HOUSING</w:t>
      </w:r>
      <w:r w:rsidRPr="0044593B">
        <w:rPr>
          <w:noProof/>
        </w:rPr>
        <w:t xml:space="preserve">, </w:t>
      </w:r>
      <w:r w:rsidRPr="0044593B">
        <w:t xml:space="preserve">Section </w:t>
      </w:r>
      <w:r w:rsidR="006A3B40">
        <w:t>11B-605 Urinals, Sub-</w:t>
      </w:r>
      <w:r w:rsidR="006A3B40">
        <w:rPr>
          <w:noProof/>
        </w:rPr>
        <w:t>section 11B-605.5.4 Toe Clearance, Exception.</w:t>
      </w:r>
    </w:p>
    <w:p w14:paraId="3C0DF356" w14:textId="77777777" w:rsidR="006A3B40" w:rsidRPr="002912BE" w:rsidRDefault="006A3B40" w:rsidP="006A3B40">
      <w:pPr>
        <w:spacing w:after="120"/>
        <w:ind w:left="360"/>
        <w:rPr>
          <w:rFonts w:cs="Arial"/>
          <w:i/>
          <w:iCs/>
          <w:szCs w:val="24"/>
          <w:u w:val="single"/>
        </w:rPr>
      </w:pPr>
      <w:r w:rsidRPr="002912BE">
        <w:rPr>
          <w:rFonts w:cs="Arial"/>
          <w:b/>
          <w:bCs/>
          <w:i/>
          <w:iCs/>
          <w:szCs w:val="24"/>
          <w:u w:val="single"/>
        </w:rPr>
        <w:t>11B-605.5.4 Toe Clearance.</w:t>
      </w:r>
      <w:r w:rsidRPr="002912BE">
        <w:rPr>
          <w:rFonts w:cs="Arial"/>
          <w:i/>
          <w:iCs/>
          <w:szCs w:val="24"/>
        </w:rPr>
        <w:t xml:space="preserve"> </w:t>
      </w:r>
      <w:r w:rsidRPr="002912BE">
        <w:rPr>
          <w:rFonts w:cs="Arial"/>
          <w:i/>
          <w:iCs/>
          <w:szCs w:val="24"/>
          <w:u w:val="single"/>
        </w:rPr>
        <w:t>The front partition and at least one side partition shall provide a toe clearance of 9 inches (229 mm) minimum above the finish floor and 6 inches (152 mm) deep minimum beyond the compartment-side face of the partition, exclusive of partition support members. Partition components at toe clearances shall be smooth without sharp edges or abrasive surfaces. Compartments for children’s use shall provide a toe clearance of 12 inches (305 mm) minimum above the finish floor.</w:t>
      </w:r>
    </w:p>
    <w:p w14:paraId="7E3CF0D2" w14:textId="66185970" w:rsidR="006A3B40" w:rsidRPr="002912BE" w:rsidRDefault="006A3B40" w:rsidP="006A3B40">
      <w:pPr>
        <w:spacing w:after="120"/>
        <w:ind w:left="720"/>
        <w:rPr>
          <w:rFonts w:cs="Arial"/>
          <w:i/>
          <w:iCs/>
          <w:szCs w:val="24"/>
        </w:rPr>
      </w:pPr>
      <w:r w:rsidRPr="00B177E9">
        <w:rPr>
          <w:rFonts w:cs="Arial"/>
          <w:szCs w:val="24"/>
        </w:rPr>
        <w:t xml:space="preserve">[begin double </w:t>
      </w:r>
      <w:proofErr w:type="gramStart"/>
      <w:r w:rsidRPr="00B177E9">
        <w:rPr>
          <w:rFonts w:cs="Arial"/>
          <w:szCs w:val="24"/>
        </w:rPr>
        <w:t>strikeout]</w:t>
      </w:r>
      <w:r w:rsidRPr="006A3B40">
        <w:rPr>
          <w:rStyle w:val="normaltextrun"/>
          <w:rFonts w:cs="Arial"/>
          <w:b/>
          <w:bCs/>
          <w:i/>
          <w:iCs/>
          <w:dstrike/>
          <w:szCs w:val="24"/>
          <w:u w:val="single"/>
          <w:shd w:val="clear" w:color="auto" w:fill="FFFFFF"/>
        </w:rPr>
        <w:t>Exception</w:t>
      </w:r>
      <w:proofErr w:type="gramEnd"/>
      <w:r w:rsidRPr="006A3B40">
        <w:rPr>
          <w:rStyle w:val="normaltextrun"/>
          <w:rFonts w:cs="Arial"/>
          <w:b/>
          <w:bCs/>
          <w:i/>
          <w:iCs/>
          <w:dstrike/>
          <w:szCs w:val="24"/>
          <w:u w:val="single"/>
          <w:shd w:val="clear" w:color="auto" w:fill="FFFFFF"/>
        </w:rPr>
        <w:t>:</w:t>
      </w:r>
      <w:r w:rsidRPr="006A3B40">
        <w:rPr>
          <w:rStyle w:val="normaltextrun"/>
          <w:rFonts w:cs="Arial"/>
          <w:i/>
          <w:iCs/>
          <w:dstrike/>
          <w:szCs w:val="24"/>
          <w:shd w:val="clear" w:color="auto" w:fill="FFFFFF"/>
        </w:rPr>
        <w:t xml:space="preserve"> </w:t>
      </w:r>
      <w:r w:rsidRPr="006A3B40">
        <w:rPr>
          <w:rStyle w:val="normaltextrun"/>
          <w:rFonts w:cs="Arial"/>
          <w:i/>
          <w:iCs/>
          <w:dstrike/>
          <w:szCs w:val="24"/>
          <w:u w:val="single"/>
          <w:shd w:val="clear" w:color="auto" w:fill="FFFFFF"/>
        </w:rPr>
        <w:t>Toe clearance at the front partition is not required in a compartment where the maneuvering clearance in front of the urinal is 66 inches (1524 mm) deep minimum. Toe clearance at the side partition is not required in a compartment greater than 66 inches (1676 mm) wide.</w:t>
      </w:r>
      <w:r w:rsidRPr="006A3B40">
        <w:rPr>
          <w:rFonts w:cs="Arial"/>
          <w:szCs w:val="24"/>
        </w:rPr>
        <w:t xml:space="preserve"> </w:t>
      </w:r>
      <w:r w:rsidRPr="00B177E9">
        <w:rPr>
          <w:rFonts w:cs="Arial"/>
          <w:szCs w:val="24"/>
        </w:rPr>
        <w:t>[end double strikeout</w:t>
      </w:r>
      <w:r>
        <w:rPr>
          <w:rFonts w:cs="Arial"/>
          <w:szCs w:val="24"/>
        </w:rPr>
        <w:t>]</w:t>
      </w:r>
    </w:p>
    <w:p w14:paraId="647FEF8A" w14:textId="0F578F48" w:rsidR="00127122" w:rsidRPr="0044593B" w:rsidRDefault="00127122" w:rsidP="00127122">
      <w:pPr>
        <w:spacing w:before="120"/>
        <w:rPr>
          <w:rFonts w:cs="Arial"/>
        </w:rPr>
      </w:pPr>
      <w:r w:rsidRPr="0044593B">
        <w:rPr>
          <w:rFonts w:cs="Arial"/>
          <w:b/>
        </w:rPr>
        <w:t>Rationale:</w:t>
      </w:r>
      <w:r w:rsidRPr="0044593B">
        <w:rPr>
          <w:rFonts w:cs="Arial"/>
        </w:rPr>
        <w:t xml:space="preserve"> </w:t>
      </w:r>
      <w:r w:rsidR="006A3B40">
        <w:rPr>
          <w:rFonts w:cs="Arial"/>
          <w:noProof/>
        </w:rPr>
        <w:t>DSA has further coordinated with the proposed Plumbing Code language changes and notes that full height walls or partitions are required, therefore the exception to allow toe clearance under walls or partitions is not needed</w:t>
      </w:r>
      <w:r w:rsidR="00526C54">
        <w:rPr>
          <w:rFonts w:cs="Arial"/>
          <w:noProof/>
        </w:rPr>
        <w:t xml:space="preserve"> and DSA proposes to strike the language as it could be perceived as conflicting.</w:t>
      </w:r>
    </w:p>
    <w:p w14:paraId="1B157054" w14:textId="77777777" w:rsidR="00127122" w:rsidRPr="0044593B" w:rsidRDefault="00127122" w:rsidP="00127122">
      <w:pPr>
        <w:spacing w:before="240"/>
        <w:rPr>
          <w:rFonts w:cs="Arial"/>
        </w:rPr>
      </w:pPr>
      <w:r w:rsidRPr="0044593B">
        <w:rPr>
          <w:rFonts w:cs="Arial"/>
          <w:b/>
        </w:rPr>
        <w:t>Notation:</w:t>
      </w:r>
    </w:p>
    <w:p w14:paraId="20830F46" w14:textId="58E3FAD5" w:rsidR="00127122" w:rsidRPr="0044593B" w:rsidRDefault="00127122" w:rsidP="00127122">
      <w:pPr>
        <w:spacing w:before="120"/>
        <w:rPr>
          <w:rFonts w:cs="Arial"/>
        </w:rPr>
      </w:pPr>
      <w:r w:rsidRPr="0044593B">
        <w:rPr>
          <w:rFonts w:cs="Arial"/>
        </w:rPr>
        <w:t xml:space="preserve">Authority: </w:t>
      </w:r>
      <w:r w:rsidR="006A3B40">
        <w:rPr>
          <w:rFonts w:cs="Arial"/>
          <w:noProof/>
        </w:rPr>
        <w:t>Government Code 4450</w:t>
      </w:r>
    </w:p>
    <w:p w14:paraId="08024AE9" w14:textId="208231BF" w:rsidR="00391B17" w:rsidRPr="0044593B" w:rsidRDefault="00127122" w:rsidP="00767766">
      <w:pPr>
        <w:spacing w:before="120"/>
        <w:rPr>
          <w:rFonts w:cs="Arial"/>
          <w:noProof/>
        </w:rPr>
      </w:pPr>
      <w:r w:rsidRPr="0044593B">
        <w:rPr>
          <w:rFonts w:cs="Arial"/>
        </w:rPr>
        <w:t xml:space="preserve">Reference(s): </w:t>
      </w:r>
      <w:r w:rsidR="0029083A">
        <w:rPr>
          <w:rFonts w:cs="Arial"/>
          <w:noProof/>
        </w:rPr>
        <w:t xml:space="preserve">Government Code Section 4450 through 4452, 4456, 4457, 4459, 12955.1, and 14679. </w:t>
      </w:r>
      <w:r w:rsidR="0029083A">
        <w:rPr>
          <w:szCs w:val="24"/>
        </w:rPr>
        <w:t>Health and Safety Code Sections 19952 through 19959.</w:t>
      </w:r>
    </w:p>
    <w:sectPr w:rsidR="00391B17" w:rsidRPr="0044593B" w:rsidSect="007C04EF">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C8FB" w14:textId="77777777" w:rsidR="00995899" w:rsidRDefault="00995899">
      <w:r>
        <w:separator/>
      </w:r>
    </w:p>
  </w:endnote>
  <w:endnote w:type="continuationSeparator" w:id="0">
    <w:p w14:paraId="2ED12334" w14:textId="77777777" w:rsidR="00995899" w:rsidRDefault="0099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62F1D2E4" w14:textId="6F1DBF02" w:rsidR="001A4A03" w:rsidRDefault="001A4A03" w:rsidP="007C04EF">
    <w:pPr>
      <w:pStyle w:val="Footer"/>
      <w:tabs>
        <w:tab w:val="clear" w:pos="4320"/>
        <w:tab w:val="clear" w:pos="8640"/>
        <w:tab w:val="right" w:pos="9180"/>
      </w:tabs>
      <w:rPr>
        <w:sz w:val="16"/>
      </w:rPr>
    </w:pPr>
    <w:r>
      <w:rPr>
        <w:sz w:val="16"/>
      </w:rPr>
      <w:t xml:space="preserve">BSC TP-104 (Rev. </w:t>
    </w:r>
    <w:r w:rsidR="000C7383">
      <w:rPr>
        <w:sz w:val="16"/>
      </w:rPr>
      <w:t>03</w:t>
    </w:r>
    <w:r>
      <w:rPr>
        <w:sz w:val="16"/>
      </w:rPr>
      <w:t>/</w:t>
    </w:r>
    <w:r w:rsidR="001D6710">
      <w:rPr>
        <w:sz w:val="16"/>
      </w:rPr>
      <w:t>2</w:t>
    </w:r>
    <w:r w:rsidR="000C7383">
      <w:rPr>
        <w:sz w:val="16"/>
      </w:rPr>
      <w:t>2</w:t>
    </w:r>
    <w:r w:rsidRPr="004C48A0">
      <w:rPr>
        <w:sz w:val="16"/>
      </w:rPr>
      <w:t>)</w:t>
    </w:r>
    <w:r w:rsidR="00EC0A76">
      <w:rPr>
        <w:sz w:val="16"/>
      </w:rPr>
      <w:t xml:space="preserve"> Additional</w:t>
    </w:r>
    <w:r w:rsidR="00A0189B">
      <w:rPr>
        <w:sz w:val="16"/>
      </w:rPr>
      <w:t xml:space="preserve"> 15 </w:t>
    </w:r>
    <w:r>
      <w:rPr>
        <w:sz w:val="16"/>
      </w:rPr>
      <w:t>Day E</w:t>
    </w:r>
    <w:r w:rsidR="00FF4FC9">
      <w:rPr>
        <w:sz w:val="16"/>
      </w:rPr>
      <w:t>T_05-22</w:t>
    </w:r>
    <w:r w:rsidR="00A0189B">
      <w:rPr>
        <w:sz w:val="16"/>
      </w:rPr>
      <w:tab/>
      <w:t>M</w:t>
    </w:r>
    <w:r w:rsidR="0016081A">
      <w:rPr>
        <w:sz w:val="16"/>
      </w:rPr>
      <w:t>ay 5</w:t>
    </w:r>
    <w:r w:rsidR="00A0189B">
      <w:rPr>
        <w:sz w:val="16"/>
      </w:rPr>
      <w:t xml:space="preserve">, </w:t>
    </w:r>
    <w:r w:rsidR="0016081A">
      <w:rPr>
        <w:sz w:val="16"/>
      </w:rPr>
      <w:t>2023</w:t>
    </w:r>
  </w:p>
  <w:p w14:paraId="723451C6" w14:textId="79557187" w:rsidR="001A4A03" w:rsidRDefault="0016081A" w:rsidP="007C04EF">
    <w:pPr>
      <w:pStyle w:val="Footer"/>
      <w:tabs>
        <w:tab w:val="clear" w:pos="4320"/>
        <w:tab w:val="clear" w:pos="8640"/>
        <w:tab w:val="center" w:pos="5040"/>
        <w:tab w:val="right" w:pos="9180"/>
      </w:tabs>
      <w:rPr>
        <w:sz w:val="16"/>
        <w:szCs w:val="16"/>
      </w:rPr>
    </w:pPr>
    <w:r>
      <w:rPr>
        <w:sz w:val="16"/>
        <w:szCs w:val="16"/>
      </w:rPr>
      <w:t xml:space="preserve">DSA-AC 01/22 </w:t>
    </w:r>
    <w:r w:rsidR="001A4A03">
      <w:rPr>
        <w:sz w:val="16"/>
        <w:szCs w:val="16"/>
      </w:rPr>
      <w:t>- Part</w:t>
    </w:r>
    <w:r w:rsidR="00A0189B">
      <w:rPr>
        <w:sz w:val="16"/>
        <w:szCs w:val="16"/>
      </w:rPr>
      <w:t xml:space="preserve"> </w:t>
    </w:r>
    <w:r>
      <w:rPr>
        <w:sz w:val="16"/>
        <w:szCs w:val="16"/>
      </w:rPr>
      <w:t>2</w:t>
    </w:r>
    <w:r w:rsidR="001A4A03">
      <w:rPr>
        <w:sz w:val="16"/>
        <w:szCs w:val="16"/>
      </w:rPr>
      <w:t xml:space="preserve"> </w:t>
    </w:r>
    <w:r>
      <w:rPr>
        <w:sz w:val="16"/>
        <w:szCs w:val="16"/>
      </w:rPr>
      <w:t>–</w:t>
    </w:r>
    <w:r w:rsidR="00A0189B">
      <w:rPr>
        <w:sz w:val="16"/>
        <w:szCs w:val="16"/>
      </w:rPr>
      <w:t xml:space="preserve"> </w:t>
    </w:r>
    <w:r>
      <w:rPr>
        <w:sz w:val="16"/>
        <w:szCs w:val="16"/>
      </w:rPr>
      <w:t xml:space="preserve">2022 </w:t>
    </w:r>
    <w:r w:rsidR="00A0189B">
      <w:rPr>
        <w:sz w:val="16"/>
        <w:szCs w:val="16"/>
      </w:rPr>
      <w:t>Intervening</w:t>
    </w:r>
    <w:r w:rsidR="001A4A03">
      <w:rPr>
        <w:sz w:val="16"/>
        <w:szCs w:val="16"/>
      </w:rPr>
      <w:t xml:space="preserve"> Code Cycle</w:t>
    </w:r>
    <w:r w:rsidR="001A4A03" w:rsidRPr="004C48A0">
      <w:rPr>
        <w:sz w:val="16"/>
        <w:szCs w:val="16"/>
      </w:rPr>
      <w:tab/>
    </w:r>
    <w:r w:rsidR="00A0189B">
      <w:rPr>
        <w:sz w:val="16"/>
        <w:szCs w:val="16"/>
      </w:rPr>
      <w:tab/>
    </w:r>
    <w:r w:rsidR="00CD63D6">
      <w:rPr>
        <w:sz w:val="16"/>
        <w:szCs w:val="16"/>
      </w:rPr>
      <w:t>ET/ISOR</w:t>
    </w:r>
  </w:p>
  <w:p w14:paraId="5C321276" w14:textId="62DE637D" w:rsidR="001A4A03" w:rsidRDefault="0016081A" w:rsidP="00A0189B">
    <w:pPr>
      <w:pStyle w:val="Footer"/>
      <w:tabs>
        <w:tab w:val="clear" w:pos="4320"/>
        <w:tab w:val="clear" w:pos="8640"/>
        <w:tab w:val="center" w:pos="5040"/>
        <w:tab w:val="right" w:pos="9180"/>
      </w:tabs>
      <w:rPr>
        <w:sz w:val="16"/>
      </w:rPr>
    </w:pPr>
    <w:r>
      <w:rPr>
        <w:sz w:val="16"/>
        <w:szCs w:val="16"/>
      </w:rPr>
      <w:t>Division of the State Architect</w:t>
    </w:r>
    <w:r w:rsidR="000F6D3A">
      <w:rPr>
        <w:sz w:val="16"/>
      </w:rPr>
      <w:tab/>
    </w:r>
    <w:r w:rsidR="000F6D3A">
      <w:rPr>
        <w:rStyle w:val="PageNumber"/>
        <w:rFonts w:cs="Arial"/>
        <w:sz w:val="16"/>
      </w:rPr>
      <w:t xml:space="preserve">Page </w:t>
    </w:r>
    <w:r w:rsidR="000F6D3A" w:rsidRPr="00B1767F">
      <w:rPr>
        <w:rStyle w:val="PageNumber"/>
        <w:rFonts w:cs="Arial"/>
        <w:sz w:val="16"/>
      </w:rPr>
      <w:fldChar w:fldCharType="begin"/>
    </w:r>
    <w:r w:rsidR="000F6D3A" w:rsidRPr="00B1767F">
      <w:rPr>
        <w:rStyle w:val="PageNumber"/>
        <w:rFonts w:cs="Arial"/>
        <w:sz w:val="16"/>
      </w:rPr>
      <w:instrText xml:space="preserve"> PAGE </w:instrText>
    </w:r>
    <w:r w:rsidR="000F6D3A" w:rsidRPr="00B1767F">
      <w:rPr>
        <w:rStyle w:val="PageNumber"/>
        <w:rFonts w:cs="Arial"/>
        <w:sz w:val="16"/>
      </w:rPr>
      <w:fldChar w:fldCharType="separate"/>
    </w:r>
    <w:r w:rsidR="000F6D3A">
      <w:rPr>
        <w:rStyle w:val="PageNumber"/>
        <w:rFonts w:cs="Arial"/>
        <w:sz w:val="16"/>
      </w:rPr>
      <w:t>1</w:t>
    </w:r>
    <w:r w:rsidR="000F6D3A" w:rsidRPr="00B1767F">
      <w:rPr>
        <w:rStyle w:val="PageNumber"/>
        <w:rFonts w:cs="Arial"/>
        <w:sz w:val="16"/>
      </w:rPr>
      <w:fldChar w:fldCharType="end"/>
    </w:r>
    <w:r w:rsidR="000F6D3A" w:rsidRPr="00B1767F">
      <w:rPr>
        <w:rStyle w:val="PageNumber"/>
        <w:rFonts w:cs="Arial"/>
        <w:sz w:val="16"/>
      </w:rPr>
      <w:t xml:space="preserve"> of </w:t>
    </w:r>
    <w:r w:rsidR="000F6D3A" w:rsidRPr="00B1767F">
      <w:rPr>
        <w:rStyle w:val="PageNumber"/>
        <w:rFonts w:cs="Arial"/>
        <w:sz w:val="16"/>
      </w:rPr>
      <w:fldChar w:fldCharType="begin"/>
    </w:r>
    <w:r w:rsidR="000F6D3A" w:rsidRPr="00B1767F">
      <w:rPr>
        <w:rStyle w:val="PageNumber"/>
        <w:rFonts w:cs="Arial"/>
        <w:sz w:val="16"/>
      </w:rPr>
      <w:instrText xml:space="preserve"> NUMPAGES </w:instrText>
    </w:r>
    <w:r w:rsidR="000F6D3A" w:rsidRPr="00B1767F">
      <w:rPr>
        <w:rStyle w:val="PageNumber"/>
        <w:rFonts w:cs="Arial"/>
        <w:sz w:val="16"/>
      </w:rPr>
      <w:fldChar w:fldCharType="separate"/>
    </w:r>
    <w:r w:rsidR="000F6D3A">
      <w:rPr>
        <w:rStyle w:val="PageNumber"/>
        <w:rFonts w:cs="Arial"/>
        <w:sz w:val="16"/>
      </w:rPr>
      <w:t>2</w:t>
    </w:r>
    <w:r w:rsidR="000F6D3A" w:rsidRPr="00B1767F">
      <w:rPr>
        <w:rStyle w:val="PageNumber"/>
        <w:rFonts w:cs="Arial"/>
        <w:sz w:val="16"/>
      </w:rPr>
      <w:fldChar w:fldCharType="end"/>
    </w:r>
  </w:p>
  <w:p w14:paraId="07FB2AB0" w14:textId="77777777" w:rsidR="007C04EF" w:rsidRDefault="007C04EF" w:rsidP="007C04EF">
    <w:pPr>
      <w:pStyle w:val="Footer"/>
      <w:tabs>
        <w:tab w:val="clear" w:pos="4320"/>
        <w:tab w:val="clear" w:pos="8640"/>
        <w:tab w:val="center" w:pos="4896"/>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D25" w14:textId="77777777" w:rsidR="00995899" w:rsidRDefault="00995899">
      <w:r>
        <w:separator/>
      </w:r>
    </w:p>
  </w:footnote>
  <w:footnote w:type="continuationSeparator" w:id="0">
    <w:p w14:paraId="05018B41" w14:textId="77777777" w:rsidR="00995899" w:rsidRDefault="0099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851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B2A1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6CD3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7C6A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023C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8233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4849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5E2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E8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EE9A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D7C9D"/>
    <w:multiLevelType w:val="hybridMultilevel"/>
    <w:tmpl w:val="5E7898FA"/>
    <w:lvl w:ilvl="0" w:tplc="6D2A5A6C">
      <w:start w:val="1"/>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16F56A02"/>
    <w:multiLevelType w:val="hybridMultilevel"/>
    <w:tmpl w:val="59F451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3760B"/>
    <w:multiLevelType w:val="hybridMultilevel"/>
    <w:tmpl w:val="9C1A0C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70707633">
    <w:abstractNumId w:val="13"/>
  </w:num>
  <w:num w:numId="2" w16cid:durableId="1123226886">
    <w:abstractNumId w:val="15"/>
  </w:num>
  <w:num w:numId="3" w16cid:durableId="686949694">
    <w:abstractNumId w:val="16"/>
  </w:num>
  <w:num w:numId="4" w16cid:durableId="32578779">
    <w:abstractNumId w:val="12"/>
  </w:num>
  <w:num w:numId="5" w16cid:durableId="560794699">
    <w:abstractNumId w:val="14"/>
  </w:num>
  <w:num w:numId="6" w16cid:durableId="268632860">
    <w:abstractNumId w:val="17"/>
  </w:num>
  <w:num w:numId="7" w16cid:durableId="1456752101">
    <w:abstractNumId w:val="9"/>
  </w:num>
  <w:num w:numId="8" w16cid:durableId="985663441">
    <w:abstractNumId w:val="7"/>
  </w:num>
  <w:num w:numId="9" w16cid:durableId="1862357021">
    <w:abstractNumId w:val="6"/>
  </w:num>
  <w:num w:numId="10" w16cid:durableId="256905221">
    <w:abstractNumId w:val="5"/>
  </w:num>
  <w:num w:numId="11" w16cid:durableId="864363440">
    <w:abstractNumId w:val="4"/>
  </w:num>
  <w:num w:numId="12" w16cid:durableId="1649281639">
    <w:abstractNumId w:val="8"/>
  </w:num>
  <w:num w:numId="13" w16cid:durableId="766341144">
    <w:abstractNumId w:val="3"/>
  </w:num>
  <w:num w:numId="14" w16cid:durableId="1397436216">
    <w:abstractNumId w:val="2"/>
  </w:num>
  <w:num w:numId="15" w16cid:durableId="1339651486">
    <w:abstractNumId w:val="1"/>
  </w:num>
  <w:num w:numId="16" w16cid:durableId="1389963356">
    <w:abstractNumId w:val="0"/>
  </w:num>
  <w:num w:numId="17" w16cid:durableId="44843634">
    <w:abstractNumId w:val="10"/>
  </w:num>
  <w:num w:numId="18" w16cid:durableId="1140851164">
    <w:abstractNumId w:val="11"/>
  </w:num>
  <w:num w:numId="19" w16cid:durableId="1882967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64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3B9A"/>
    <w:rsid w:val="000257AD"/>
    <w:rsid w:val="00032A92"/>
    <w:rsid w:val="000B33E0"/>
    <w:rsid w:val="000C5682"/>
    <w:rsid w:val="000C7383"/>
    <w:rsid w:val="000E24B4"/>
    <w:rsid w:val="000F2EEE"/>
    <w:rsid w:val="000F6D3A"/>
    <w:rsid w:val="0010093E"/>
    <w:rsid w:val="00123F82"/>
    <w:rsid w:val="00127122"/>
    <w:rsid w:val="001362F4"/>
    <w:rsid w:val="0016081A"/>
    <w:rsid w:val="0017531B"/>
    <w:rsid w:val="00175449"/>
    <w:rsid w:val="001845B6"/>
    <w:rsid w:val="001A4A03"/>
    <w:rsid w:val="001D5566"/>
    <w:rsid w:val="001D6710"/>
    <w:rsid w:val="001E12EE"/>
    <w:rsid w:val="001E635B"/>
    <w:rsid w:val="001F142C"/>
    <w:rsid w:val="002326AC"/>
    <w:rsid w:val="00234A84"/>
    <w:rsid w:val="00235B37"/>
    <w:rsid w:val="002367DC"/>
    <w:rsid w:val="0029083A"/>
    <w:rsid w:val="00295DA9"/>
    <w:rsid w:val="002A0905"/>
    <w:rsid w:val="002D3F86"/>
    <w:rsid w:val="002D5E4A"/>
    <w:rsid w:val="002E5C1F"/>
    <w:rsid w:val="0030639B"/>
    <w:rsid w:val="00320ED9"/>
    <w:rsid w:val="003324BE"/>
    <w:rsid w:val="00366A30"/>
    <w:rsid w:val="0037506B"/>
    <w:rsid w:val="00391B17"/>
    <w:rsid w:val="003942B6"/>
    <w:rsid w:val="003D46A3"/>
    <w:rsid w:val="003E1AB0"/>
    <w:rsid w:val="00433E49"/>
    <w:rsid w:val="0044593B"/>
    <w:rsid w:val="004A53C6"/>
    <w:rsid w:val="004B2AB9"/>
    <w:rsid w:val="004B48D5"/>
    <w:rsid w:val="004C48A0"/>
    <w:rsid w:val="00526C54"/>
    <w:rsid w:val="00563190"/>
    <w:rsid w:val="005B5184"/>
    <w:rsid w:val="005D2DCC"/>
    <w:rsid w:val="005E162F"/>
    <w:rsid w:val="005E1E47"/>
    <w:rsid w:val="005F1F14"/>
    <w:rsid w:val="005F696F"/>
    <w:rsid w:val="0061175B"/>
    <w:rsid w:val="006169B9"/>
    <w:rsid w:val="00631F79"/>
    <w:rsid w:val="006721FC"/>
    <w:rsid w:val="00675E1D"/>
    <w:rsid w:val="006A0286"/>
    <w:rsid w:val="006A3B40"/>
    <w:rsid w:val="006B747C"/>
    <w:rsid w:val="00767766"/>
    <w:rsid w:val="00776FA8"/>
    <w:rsid w:val="00786248"/>
    <w:rsid w:val="007915D5"/>
    <w:rsid w:val="007A674B"/>
    <w:rsid w:val="007C04EF"/>
    <w:rsid w:val="007C4832"/>
    <w:rsid w:val="007E6A6C"/>
    <w:rsid w:val="0081299A"/>
    <w:rsid w:val="00862625"/>
    <w:rsid w:val="00874876"/>
    <w:rsid w:val="00890C92"/>
    <w:rsid w:val="008A2AC5"/>
    <w:rsid w:val="008A3DD5"/>
    <w:rsid w:val="008A63C7"/>
    <w:rsid w:val="008E36A8"/>
    <w:rsid w:val="008F561F"/>
    <w:rsid w:val="00923E68"/>
    <w:rsid w:val="00926738"/>
    <w:rsid w:val="0092735E"/>
    <w:rsid w:val="00933897"/>
    <w:rsid w:val="00945C76"/>
    <w:rsid w:val="009462E9"/>
    <w:rsid w:val="0097092F"/>
    <w:rsid w:val="00995899"/>
    <w:rsid w:val="009A693A"/>
    <w:rsid w:val="009D096D"/>
    <w:rsid w:val="009D10AD"/>
    <w:rsid w:val="009E0E79"/>
    <w:rsid w:val="009E6B12"/>
    <w:rsid w:val="00A0189B"/>
    <w:rsid w:val="00A07EE6"/>
    <w:rsid w:val="00A138AA"/>
    <w:rsid w:val="00A60CA1"/>
    <w:rsid w:val="00A63EF9"/>
    <w:rsid w:val="00A6463F"/>
    <w:rsid w:val="00A813A1"/>
    <w:rsid w:val="00AC1F10"/>
    <w:rsid w:val="00AE38D8"/>
    <w:rsid w:val="00AF4D10"/>
    <w:rsid w:val="00AF4E96"/>
    <w:rsid w:val="00B12576"/>
    <w:rsid w:val="00B177E9"/>
    <w:rsid w:val="00B435D5"/>
    <w:rsid w:val="00B53C67"/>
    <w:rsid w:val="00B954E5"/>
    <w:rsid w:val="00BF3E81"/>
    <w:rsid w:val="00C36475"/>
    <w:rsid w:val="00C44C36"/>
    <w:rsid w:val="00C6643B"/>
    <w:rsid w:val="00C67B72"/>
    <w:rsid w:val="00CB69CE"/>
    <w:rsid w:val="00CC2F0B"/>
    <w:rsid w:val="00CD63D6"/>
    <w:rsid w:val="00CF2161"/>
    <w:rsid w:val="00CF3372"/>
    <w:rsid w:val="00D04B58"/>
    <w:rsid w:val="00D13D82"/>
    <w:rsid w:val="00D30882"/>
    <w:rsid w:val="00D67CC8"/>
    <w:rsid w:val="00D82CE3"/>
    <w:rsid w:val="00D903E1"/>
    <w:rsid w:val="00D91AE2"/>
    <w:rsid w:val="00DB2E73"/>
    <w:rsid w:val="00DD1947"/>
    <w:rsid w:val="00E016BA"/>
    <w:rsid w:val="00E22041"/>
    <w:rsid w:val="00E3628E"/>
    <w:rsid w:val="00E3790F"/>
    <w:rsid w:val="00E45D23"/>
    <w:rsid w:val="00E5214A"/>
    <w:rsid w:val="00E53D35"/>
    <w:rsid w:val="00EA1267"/>
    <w:rsid w:val="00EA35BB"/>
    <w:rsid w:val="00EA55B4"/>
    <w:rsid w:val="00EC0A76"/>
    <w:rsid w:val="00EC1406"/>
    <w:rsid w:val="00ED27E1"/>
    <w:rsid w:val="00EF26E2"/>
    <w:rsid w:val="00F152F2"/>
    <w:rsid w:val="00F17139"/>
    <w:rsid w:val="00F22CD9"/>
    <w:rsid w:val="00F768B4"/>
    <w:rsid w:val="00F87B9E"/>
    <w:rsid w:val="00F97C83"/>
    <w:rsid w:val="00FB34BE"/>
    <w:rsid w:val="00FD45EA"/>
    <w:rsid w:val="00FE1863"/>
    <w:rsid w:val="00FF11EA"/>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4E62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3E1"/>
    <w:pPr>
      <w:widowControl w:val="0"/>
    </w:pPr>
    <w:rPr>
      <w:rFonts w:ascii="Arial" w:hAnsi="Arial"/>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b/>
    </w:rPr>
  </w:style>
  <w:style w:type="paragraph" w:styleId="Heading2">
    <w:name w:val="heading 2"/>
    <w:basedOn w:val="Normal"/>
    <w:next w:val="Normal"/>
    <w:qFormat/>
    <w:rsid w:val="000C7383"/>
    <w:pPr>
      <w:keepNext/>
      <w:widowControl/>
      <w:spacing w:before="120" w:after="120"/>
      <w:jc w:val="both"/>
      <w:outlineLvl w:val="1"/>
    </w:pPr>
    <w:rPr>
      <w:b/>
    </w:rPr>
  </w:style>
  <w:style w:type="paragraph" w:styleId="Heading3">
    <w:name w:val="heading 3"/>
    <w:basedOn w:val="Normal"/>
    <w:next w:val="Normal"/>
    <w:link w:val="Heading3Char"/>
    <w:unhideWhenUsed/>
    <w:qFormat/>
    <w:rsid w:val="000C7383"/>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rsid w:val="004B48D5"/>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semiHidden/>
    <w:unhideWhenUsed/>
    <w:rsid w:val="00EA55B4"/>
    <w:rPr>
      <w:sz w:val="16"/>
      <w:szCs w:val="16"/>
    </w:rPr>
  </w:style>
  <w:style w:type="paragraph" w:styleId="CommentText">
    <w:name w:val="annotation text"/>
    <w:basedOn w:val="Normal"/>
    <w:link w:val="CommentTextChar"/>
    <w:semiHidden/>
    <w:unhideWhenUsed/>
    <w:rsid w:val="00EA55B4"/>
    <w:rPr>
      <w:sz w:val="20"/>
    </w:rPr>
  </w:style>
  <w:style w:type="character" w:customStyle="1" w:styleId="CommentTextChar">
    <w:name w:val="Comment Text Char"/>
    <w:basedOn w:val="DefaultParagraphFont"/>
    <w:link w:val="CommentText"/>
    <w:semiHidden/>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 w:type="character" w:customStyle="1" w:styleId="Heading3Char">
    <w:name w:val="Heading 3 Char"/>
    <w:basedOn w:val="DefaultParagraphFont"/>
    <w:link w:val="Heading3"/>
    <w:rsid w:val="000C7383"/>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0C7383"/>
    <w:rPr>
      <w:rFonts w:ascii="Arial" w:hAnsi="Arial"/>
      <w:b/>
      <w:snapToGrid w:val="0"/>
      <w:u w:val="single"/>
    </w:rPr>
  </w:style>
  <w:style w:type="character" w:customStyle="1" w:styleId="normaltextrun">
    <w:name w:val="normaltextrun"/>
    <w:basedOn w:val="DefaultParagraphFont"/>
    <w:rsid w:val="006A3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363865817">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0E2BB-E0AC-41FA-A6AF-F8E455007A94}">
  <ds:schemaRefs>
    <ds:schemaRef ds:uri="http://schemas.microsoft.com/sharepoint/v3/contenttype/forms"/>
  </ds:schemaRefs>
</ds:datastoreItem>
</file>

<file path=customXml/itemProps2.xml><?xml version="1.0" encoding="utf-8"?>
<ds:datastoreItem xmlns:ds="http://schemas.openxmlformats.org/officeDocument/2006/customXml" ds:itemID="{D5DD7617-4FD8-462C-850D-2D2E71EBB8EA}">
  <ds:schemaRefs>
    <ds:schemaRef ds:uri="http://www.w3.org/XML/1998/namespace"/>
    <ds:schemaRef ds:uri="82071710-83e2-4871-b606-0004f14e9c40"/>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e349a6f-9dd4-4167-a0ec-0f85ef0207c9"/>
    <ds:schemaRef ds:uri="http://purl.org/dc/elements/1.1/"/>
  </ds:schemaRefs>
</ds:datastoreItem>
</file>

<file path=customXml/itemProps3.xml><?xml version="1.0" encoding="utf-8"?>
<ds:datastoreItem xmlns:ds="http://schemas.openxmlformats.org/officeDocument/2006/customXml" ds:itemID="{BF61C865-B9C8-443A-AFC0-CEC45B3B43B1}">
  <ds:schemaRefs>
    <ds:schemaRef ds:uri="http://schemas.openxmlformats.org/officeDocument/2006/bibliography"/>
  </ds:schemaRefs>
</ds:datastoreItem>
</file>

<file path=customXml/itemProps4.xml><?xml version="1.0" encoding="utf-8"?>
<ds:datastoreItem xmlns:ds="http://schemas.openxmlformats.org/officeDocument/2006/customXml" ds:itemID="{DC6F4AFB-491A-4344-8FED-0559449B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DSA-AC -01-22-ET-Addl 15 Day</dc:title>
  <dc:creator/>
  <cp:lastModifiedBy/>
  <cp:revision>1</cp:revision>
  <dcterms:created xsi:type="dcterms:W3CDTF">2023-05-05T17:03:00Z</dcterms:created>
  <dcterms:modified xsi:type="dcterms:W3CDTF">2023-05-05T17:03:00Z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