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C8502" w14:textId="46959D01" w:rsidR="00704C9C" w:rsidRPr="00AD67B3" w:rsidRDefault="00F163D3" w:rsidP="002F5C0F">
      <w:pPr>
        <w:pStyle w:val="Heading1"/>
      </w:pPr>
      <w:r w:rsidRPr="00AD67B3">
        <w:t>INITIAL</w:t>
      </w:r>
      <w:r w:rsidR="00E3790F" w:rsidRPr="00AD67B3">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0751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60751C">
        <w:rPr>
          <w:rFonts w:eastAsiaTheme="majorEastAsia"/>
        </w:rPr>
        <w:t>2022 CALIFORNIA PLUMBING CODE</w:t>
      </w:r>
      <w:r w:rsidR="002A55E0" w:rsidRPr="00AD67B3">
        <w:t>,</w:t>
      </w:r>
      <w:r w:rsidR="00941B9F">
        <w:br/>
      </w:r>
      <w:r w:rsidR="000257AD" w:rsidRPr="00AD67B3">
        <w:t xml:space="preserve">CALIFORNIA CODE OF REGULATIONS, TITLE 24, PART </w:t>
      </w:r>
      <w:r w:rsidR="0060751C">
        <w:rPr>
          <w:rFonts w:eastAsiaTheme="majorEastAsia"/>
        </w:rPr>
        <w:t>5</w:t>
      </w:r>
      <w:r w:rsidR="00941B9F">
        <w:br/>
      </w:r>
      <w:r w:rsidR="001701D4" w:rsidRPr="00AD67B3">
        <w:t>(</w:t>
      </w:r>
      <w:r w:rsidR="0060751C">
        <w:t>BSC-XX-22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426657C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6F5953" w:rsidRPr="00AD67B3">
        <w:rPr>
          <w:rFonts w:cs="Arial"/>
          <w:szCs w:val="24"/>
        </w:rPr>
        <w:t>italic,</w:t>
      </w:r>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Model Code language appears upright</w:t>
      </w:r>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7F847A7D" w14:textId="0B0E3F54" w:rsidR="002F066A" w:rsidRPr="00AD67B3" w:rsidRDefault="002F066A" w:rsidP="005859F2">
      <w:pPr>
        <w:pStyle w:val="ListParagraph"/>
        <w:numPr>
          <w:ilvl w:val="0"/>
          <w:numId w:val="5"/>
        </w:numPr>
        <w:spacing w:after="0"/>
        <w:rPr>
          <w:rFonts w:cs="Arial"/>
        </w:rPr>
      </w:pPr>
      <w:r w:rsidRPr="00C8513E">
        <w:t xml:space="preserve">Ellipsis </w:t>
      </w:r>
      <w:r w:rsidR="00F123A2" w:rsidRPr="00C8513E">
        <w:t>(...</w:t>
      </w:r>
      <w:r w:rsidRPr="00C8513E">
        <w:t>) indicate existing text remains unchange</w:t>
      </w:r>
      <w:r w:rsidRPr="00AD67B3">
        <w:rPr>
          <w:rFonts w:eastAsia="Times New Roman" w:cs="Arial"/>
          <w:lang w:eastAsia="ko-KR"/>
        </w:rPr>
        <w:t>d</w:t>
      </w:r>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77777777" w:rsidR="000257AD" w:rsidRPr="00AD67B3" w:rsidRDefault="00F163D3" w:rsidP="002F5C0F">
      <w:pPr>
        <w:pStyle w:val="Heading2"/>
        <w:rPr>
          <w:bCs/>
        </w:rPr>
      </w:pPr>
      <w:r w:rsidRPr="00AD67B3">
        <w:t>INITIAL</w:t>
      </w:r>
      <w:r w:rsidR="006D74C1" w:rsidRPr="00AD67B3">
        <w:t xml:space="preserve"> </w:t>
      </w:r>
      <w:r w:rsidR="000257AD" w:rsidRPr="00AD67B3">
        <w:t>EXPRESS TERMS</w:t>
      </w:r>
    </w:p>
    <w:p w14:paraId="5FD9242E" w14:textId="2C933BB7" w:rsidR="00DE3643" w:rsidRPr="00AD67B3" w:rsidRDefault="00DE3643" w:rsidP="00DE3643">
      <w:pPr>
        <w:pStyle w:val="Heading3"/>
        <w:rPr>
          <w:noProof/>
        </w:rPr>
      </w:pPr>
      <w:r w:rsidRPr="00AD67B3">
        <w:t xml:space="preserve">ITEM </w:t>
      </w:r>
      <w:r>
        <w:rPr>
          <w:noProof/>
        </w:rPr>
        <w:t>1</w:t>
      </w:r>
      <w:r>
        <w:br/>
      </w:r>
      <w:r w:rsidRPr="00AD67B3">
        <w:t xml:space="preserve">Chapter </w:t>
      </w:r>
      <w:r>
        <w:rPr>
          <w:noProof/>
        </w:rPr>
        <w:t>4</w:t>
      </w:r>
      <w:r w:rsidRPr="00AD67B3">
        <w:rPr>
          <w:noProof/>
        </w:rPr>
        <w:t xml:space="preserve">, </w:t>
      </w:r>
      <w:r w:rsidRPr="00AD67B3">
        <w:t xml:space="preserve">Section </w:t>
      </w:r>
      <w:r w:rsidR="00F87DB6">
        <w:rPr>
          <w:noProof/>
        </w:rPr>
        <w:t xml:space="preserve">422.1 Fixture Count and </w:t>
      </w:r>
      <w:r w:rsidR="00F87DB6" w:rsidRPr="00F87DB6">
        <w:rPr>
          <w:i/>
          <w:iCs/>
          <w:noProof/>
        </w:rPr>
        <w:t>422.1.1 Fixture Calculations</w:t>
      </w:r>
    </w:p>
    <w:p w14:paraId="261A6A1C" w14:textId="6854725F" w:rsidR="002319D7" w:rsidRPr="002319D7" w:rsidRDefault="002319D7" w:rsidP="002319D7">
      <w:pPr>
        <w:widowControl/>
        <w:autoSpaceDE w:val="0"/>
        <w:autoSpaceDN w:val="0"/>
        <w:adjustRightInd w:val="0"/>
        <w:spacing w:after="0"/>
        <w:rPr>
          <w:rFonts w:cs="Arial"/>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0BAF758F" w14:textId="77777777" w:rsidR="002319D7" w:rsidRPr="002319D7" w:rsidRDefault="002319D7" w:rsidP="002319D7">
      <w:pPr>
        <w:widowControl/>
        <w:autoSpaceDE w:val="0"/>
        <w:autoSpaceDN w:val="0"/>
        <w:adjustRightInd w:val="0"/>
        <w:spacing w:after="0"/>
        <w:rPr>
          <w:rFonts w:cs="Arial"/>
          <w:b/>
          <w:bCs/>
          <w:i/>
          <w:iCs/>
          <w:snapToGrid/>
          <w:szCs w:val="24"/>
        </w:rPr>
      </w:pPr>
    </w:p>
    <w:p w14:paraId="21671981" w14:textId="2A2B17C6" w:rsidR="002319D7" w:rsidRPr="002319D7" w:rsidRDefault="002319D7" w:rsidP="002319D7">
      <w:pPr>
        <w:widowControl/>
        <w:autoSpaceDE w:val="0"/>
        <w:autoSpaceDN w:val="0"/>
        <w:adjustRightInd w:val="0"/>
        <w:spacing w:after="0"/>
        <w:rPr>
          <w:rFonts w:cs="Arial"/>
          <w:i/>
          <w:iCs/>
          <w:snapToGrid/>
          <w:szCs w:val="24"/>
        </w:rPr>
      </w:pPr>
      <w:r w:rsidRPr="002319D7">
        <w:rPr>
          <w:rFonts w:cs="Arial"/>
          <w:b/>
          <w:bCs/>
          <w:i/>
          <w:iCs/>
          <w:snapToGrid/>
          <w:szCs w:val="24"/>
        </w:rPr>
        <w:t xml:space="preserve">Exception: [BSC, DSA-SS &amp; DSA-SS/CC]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occupant load factor from Table 4-1 Occupant Load Factor, of this chapter.</w:t>
      </w:r>
    </w:p>
    <w:p w14:paraId="50D3BB4B" w14:textId="77777777" w:rsidR="002319D7" w:rsidRDefault="002319D7" w:rsidP="002319D7">
      <w:pPr>
        <w:widowControl/>
        <w:autoSpaceDE w:val="0"/>
        <w:autoSpaceDN w:val="0"/>
        <w:adjustRightInd w:val="0"/>
        <w:spacing w:after="0"/>
        <w:rPr>
          <w:rFonts w:ascii="TimesNewRomanPS-ItalicMT" w:hAnsi="TimesNewRomanPS-ItalicMT" w:cs="TimesNewRomanPS-ItalicMT"/>
          <w:i/>
          <w:iCs/>
          <w:snapToGrid/>
          <w:sz w:val="20"/>
        </w:rPr>
      </w:pPr>
    </w:p>
    <w:p w14:paraId="284DDC4B" w14:textId="4D85FA7F" w:rsidR="00DE3643" w:rsidRDefault="00F87DB6" w:rsidP="002319D7">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 xml:space="preserve">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w:t>
      </w:r>
      <w:r w:rsidRPr="00F87DB6">
        <w:rPr>
          <w:noProof/>
        </w:rPr>
        <w:lastRenderedPageBreak/>
        <w:t>next whole number.</w:t>
      </w:r>
      <w:r>
        <w:rPr>
          <w:noProof/>
        </w:rPr>
        <w:t xml:space="preserve"> </w:t>
      </w:r>
      <w:r w:rsidRPr="00F87DB6">
        <w:rPr>
          <w:i/>
          <w:iCs/>
          <w:noProof/>
          <w:u w:val="single"/>
        </w:rPr>
        <w:t xml:space="preserve">For </w:t>
      </w:r>
      <w:r w:rsidR="000A082A">
        <w:rPr>
          <w:i/>
          <w:iCs/>
          <w:noProof/>
          <w:u w:val="single"/>
        </w:rPr>
        <w:t>toilet facilities</w:t>
      </w:r>
      <w:r w:rsidR="000A082A" w:rsidRPr="00F87DB6">
        <w:rPr>
          <w:i/>
          <w:iCs/>
          <w:noProof/>
          <w:u w:val="single"/>
        </w:rPr>
        <w:t xml:space="preserve"> </w:t>
      </w:r>
      <w:r w:rsidRPr="00F87DB6">
        <w:rPr>
          <w:i/>
          <w:iCs/>
          <w:noProof/>
          <w:u w:val="single"/>
        </w:rPr>
        <w:t xml:space="preserve">designed for use by all genders, the minimum number of fixtures shall be the aggregate calculated at 50 percent female and 50 percent male in accordance with Table 422.1. </w:t>
      </w:r>
      <w:r w:rsidR="008642DE" w:rsidRPr="008642DE">
        <w:rPr>
          <w:i/>
          <w:iCs/>
          <w:noProof/>
          <w:u w:val="single"/>
        </w:rPr>
        <w:t xml:space="preserve">Where multi-user all-gender facilities are provided </w:t>
      </w:r>
      <w:r w:rsidR="000A082A">
        <w:rPr>
          <w:i/>
          <w:iCs/>
          <w:noProof/>
          <w:u w:val="single"/>
        </w:rPr>
        <w:t xml:space="preserve">in lieu of or </w:t>
      </w:r>
      <w:r w:rsidR="008642DE" w:rsidRPr="008642DE">
        <w:rPr>
          <w:i/>
          <w:iCs/>
          <w:noProof/>
          <w:u w:val="single"/>
        </w:rPr>
        <w:t>in addition to separate men’s and women’s facilities, the total number of fixtures collectively shall be used to determine the number of fixtures provided in an occupancy</w:t>
      </w:r>
      <w:r w:rsidRPr="00F87DB6">
        <w:rPr>
          <w:i/>
          <w:iCs/>
          <w:noProof/>
          <w:u w:val="single"/>
        </w:rPr>
        <w:t>.</w:t>
      </w:r>
    </w:p>
    <w:p w14:paraId="16B3CBEC" w14:textId="55F9C0E5" w:rsidR="00C0297E" w:rsidRDefault="004348D3" w:rsidP="00C0297E">
      <w:pPr>
        <w:ind w:left="720"/>
        <w:rPr>
          <w:noProof/>
        </w:rPr>
      </w:pPr>
      <w:r w:rsidRPr="004348D3">
        <w:rPr>
          <w:b/>
          <w:bCs/>
          <w:strike/>
          <w:noProof/>
        </w:rPr>
        <w:t>422.1.</w:t>
      </w:r>
      <w:r w:rsidR="00C0297E">
        <w:rPr>
          <w:b/>
          <w:bCs/>
          <w:strike/>
          <w:noProof/>
        </w:rPr>
        <w:t>1</w:t>
      </w:r>
      <w:r w:rsidRPr="004348D3">
        <w:rPr>
          <w:b/>
          <w:bCs/>
          <w:noProof/>
        </w:rPr>
        <w:t xml:space="preserve"> </w:t>
      </w:r>
      <w:r w:rsidRPr="004348D3">
        <w:rPr>
          <w:b/>
          <w:bCs/>
          <w:i/>
          <w:iCs/>
          <w:noProof/>
          <w:u w:val="single"/>
        </w:rPr>
        <w:t>422.</w:t>
      </w:r>
      <w:r w:rsidR="00C0297E">
        <w:rPr>
          <w:b/>
          <w:bCs/>
          <w:i/>
          <w:iCs/>
          <w:noProof/>
          <w:u w:val="single"/>
        </w:rPr>
        <w:t>1</w:t>
      </w:r>
      <w:r w:rsidRPr="004348D3">
        <w:rPr>
          <w:b/>
          <w:bCs/>
          <w:i/>
          <w:iCs/>
          <w:noProof/>
          <w:u w:val="single"/>
        </w:rPr>
        <w:t>.2</w:t>
      </w:r>
      <w:r w:rsidRPr="004348D3">
        <w:rPr>
          <w:b/>
          <w:bCs/>
          <w:noProof/>
        </w:rPr>
        <w:t xml:space="preserve"> </w:t>
      </w:r>
      <w:r w:rsidR="00C0297E" w:rsidRPr="00C0297E">
        <w:rPr>
          <w:b/>
          <w:bCs/>
          <w:noProof/>
        </w:rPr>
        <w:t>Family or Assisted-Use Toilet and</w:t>
      </w:r>
      <w:r w:rsidR="00C0297E">
        <w:rPr>
          <w:b/>
          <w:bCs/>
          <w:noProof/>
        </w:rPr>
        <w:t xml:space="preserve"> </w:t>
      </w:r>
      <w:r w:rsidR="00C0297E" w:rsidRPr="00C0297E">
        <w:rPr>
          <w:b/>
          <w:bCs/>
          <w:noProof/>
        </w:rPr>
        <w:t xml:space="preserve">Bathing Facilities. </w:t>
      </w:r>
      <w:r w:rsidR="00C0297E" w:rsidRPr="00C0297E">
        <w:rPr>
          <w:noProof/>
        </w:rPr>
        <w:t>Where family or assisted-use toilet</w:t>
      </w:r>
      <w:r w:rsidR="00C0297E">
        <w:rPr>
          <w:noProof/>
        </w:rPr>
        <w:t xml:space="preserve"> </w:t>
      </w:r>
      <w:r w:rsidR="00C0297E" w:rsidRPr="00C0297E">
        <w:rPr>
          <w:noProof/>
        </w:rPr>
        <w:t>and bathing rooms are required, in applicable building</w:t>
      </w:r>
      <w:r w:rsidR="00C0297E">
        <w:rPr>
          <w:noProof/>
        </w:rPr>
        <w:t xml:space="preserve"> </w:t>
      </w:r>
      <w:r w:rsidR="00C0297E" w:rsidRPr="00C0297E">
        <w:rPr>
          <w:noProof/>
        </w:rPr>
        <w:t>regulations, the facilities shall be installed in accordance</w:t>
      </w:r>
      <w:r w:rsidR="00C0297E">
        <w:rPr>
          <w:noProof/>
        </w:rPr>
        <w:t xml:space="preserve"> </w:t>
      </w:r>
      <w:r w:rsidR="00C0297E" w:rsidRPr="00C0297E">
        <w:rPr>
          <w:noProof/>
        </w:rPr>
        <w:t>with those regulations.</w:t>
      </w:r>
    </w:p>
    <w:p w14:paraId="20463B57" w14:textId="187C8F48" w:rsidR="00C0297E" w:rsidRDefault="00C0297E" w:rsidP="00C0297E">
      <w:pPr>
        <w:ind w:left="720"/>
        <w:rPr>
          <w:noProof/>
        </w:rPr>
      </w:pPr>
      <w:r>
        <w:rPr>
          <w:noProof/>
        </w:rPr>
        <w:t>(renumber remaining sections)</w:t>
      </w:r>
    </w:p>
    <w:p w14:paraId="27D3BC0A" w14:textId="77777777" w:rsidR="00C0297E" w:rsidRPr="00C0297E" w:rsidRDefault="00C0297E" w:rsidP="00C0297E">
      <w:pPr>
        <w:ind w:left="720"/>
        <w:rPr>
          <w:noProof/>
        </w:rPr>
      </w:pPr>
    </w:p>
    <w:p w14:paraId="23E91844" w14:textId="4897ADF3" w:rsidR="0021559B" w:rsidRPr="0021559B" w:rsidRDefault="0021559B" w:rsidP="00C0297E">
      <w:pPr>
        <w:rPr>
          <w:noProof/>
        </w:rPr>
      </w:pPr>
      <w:r w:rsidRPr="0021559B">
        <w:rPr>
          <w:b/>
          <w:bCs/>
          <w:noProof/>
        </w:rPr>
        <w:t xml:space="preserve">Rationale: </w:t>
      </w:r>
      <w:r>
        <w:rPr>
          <w:noProof/>
        </w:rPr>
        <w:t xml:space="preserve">This </w:t>
      </w:r>
      <w:r w:rsidR="003C4123">
        <w:rPr>
          <w:noProof/>
        </w:rPr>
        <w:t>amendment</w:t>
      </w:r>
      <w:r>
        <w:rPr>
          <w:noProof/>
        </w:rPr>
        <w:t xml:space="preserve"> is currently being proposed by the International Association of Plumbing and Mechanical Officials (IAPMO) for inclusion in the 2024 Uniform Plumbing Code (U</w:t>
      </w:r>
      <w:r w:rsidR="0058676D">
        <w:rPr>
          <w:noProof/>
        </w:rPr>
        <w:t>PC). See 2024 UPC Report on Comments Item #94</w:t>
      </w:r>
      <w:r w:rsidR="009E4C18">
        <w:rPr>
          <w:noProof/>
        </w:rPr>
        <w:t xml:space="preserve">, as published August </w:t>
      </w:r>
      <w:r w:rsidR="00433ABC">
        <w:rPr>
          <w:noProof/>
        </w:rPr>
        <w:t>12</w:t>
      </w:r>
      <w:r w:rsidR="009E4C18">
        <w:rPr>
          <w:noProof/>
        </w:rPr>
        <w:t xml:space="preserve">, 2022. The Building Standards Commission (BSC) is proposing additional amendments that delete the term “all-gender fixtures”. During the July 19, 2022 California Plumbing Code All-Gender Workshop facilitated by BSC and the Division of the State Architect (DSA), stakeholders </w:t>
      </w:r>
      <w:r w:rsidR="005376A6">
        <w:rPr>
          <w:noProof/>
        </w:rPr>
        <w:t>expressed</w:t>
      </w:r>
      <w:r w:rsidR="009E4C18">
        <w:rPr>
          <w:noProof/>
        </w:rPr>
        <w:t xml:space="preserve"> confusion with the term “all-gender fixtures,” asking </w:t>
      </w:r>
      <w:r w:rsidR="00666594">
        <w:rPr>
          <w:noProof/>
        </w:rPr>
        <w:t xml:space="preserve">the </w:t>
      </w:r>
      <w:r w:rsidR="009E4C18">
        <w:rPr>
          <w:noProof/>
        </w:rPr>
        <w:t xml:space="preserve">IAPMO </w:t>
      </w:r>
      <w:r w:rsidR="00666594">
        <w:rPr>
          <w:noProof/>
        </w:rPr>
        <w:t xml:space="preserve">representative </w:t>
      </w:r>
      <w:r w:rsidR="009E4C18">
        <w:rPr>
          <w:noProof/>
        </w:rPr>
        <w:t xml:space="preserve">if this referred to all-gender facilities or the </w:t>
      </w:r>
      <w:r w:rsidR="005376A6">
        <w:rPr>
          <w:noProof/>
        </w:rPr>
        <w:t xml:space="preserve">plumbing </w:t>
      </w:r>
      <w:r w:rsidR="009E4C18">
        <w:rPr>
          <w:noProof/>
        </w:rPr>
        <w:t xml:space="preserve">fixtures within. </w:t>
      </w:r>
      <w:r w:rsidR="00EB3FD3">
        <w:rPr>
          <w:noProof/>
        </w:rPr>
        <w:t xml:space="preserve">The </w:t>
      </w:r>
      <w:r w:rsidR="009E4C18">
        <w:rPr>
          <w:noProof/>
        </w:rPr>
        <w:t xml:space="preserve">IAPMO </w:t>
      </w:r>
      <w:r w:rsidR="00EB3FD3">
        <w:rPr>
          <w:noProof/>
        </w:rPr>
        <w:t xml:space="preserve">representative </w:t>
      </w:r>
      <w:r w:rsidR="009E4C18">
        <w:rPr>
          <w:noProof/>
        </w:rPr>
        <w:t xml:space="preserve">clarified that fixtures are determined </w:t>
      </w:r>
      <w:r w:rsidR="00666594">
        <w:rPr>
          <w:noProof/>
        </w:rPr>
        <w:t>by CPC Table 422.1 first</w:t>
      </w:r>
      <w:r w:rsidR="00EB3FD3">
        <w:rPr>
          <w:noProof/>
        </w:rPr>
        <w:t xml:space="preserve"> (e.g., total number of toilets and urinals)</w:t>
      </w:r>
      <w:r w:rsidR="00666594">
        <w:rPr>
          <w:noProof/>
        </w:rPr>
        <w:t xml:space="preserve">, then </w:t>
      </w:r>
      <w:r w:rsidR="00EB3FD3">
        <w:rPr>
          <w:noProof/>
        </w:rPr>
        <w:t xml:space="preserve">the multi-user restroom exception may be used to design a facility for use by all genders, not that there are specific “all-gender fixtures.” This BSC amendment seeks to early adopt IAPMO’s proposal clarifying use of Table 422.1 to calculate </w:t>
      </w:r>
      <w:r w:rsidR="005376A6">
        <w:rPr>
          <w:noProof/>
        </w:rPr>
        <w:t xml:space="preserve">the </w:t>
      </w:r>
      <w:r w:rsidR="00EB3FD3">
        <w:rPr>
          <w:noProof/>
        </w:rPr>
        <w:t>minim</w:t>
      </w:r>
      <w:r w:rsidR="005376A6">
        <w:rPr>
          <w:noProof/>
        </w:rPr>
        <w:t>u</w:t>
      </w:r>
      <w:r w:rsidR="00EB3FD3">
        <w:rPr>
          <w:noProof/>
        </w:rPr>
        <w:t>m number of plumbing fixtures for bathrooms designed for use by all genders, and is further amended to remove the term “all-gender fixtures” and replace it with “multi-user all-gender facilities”</w:t>
      </w:r>
      <w:r w:rsidR="00E256C8">
        <w:rPr>
          <w:noProof/>
        </w:rPr>
        <w:t xml:space="preserve"> and other clarifying language </w:t>
      </w:r>
      <w:r w:rsidR="00C775C6">
        <w:rPr>
          <w:noProof/>
        </w:rPr>
        <w:t>that removes</w:t>
      </w:r>
      <w:r w:rsidR="00E256C8">
        <w:rPr>
          <w:noProof/>
        </w:rPr>
        <w:t xml:space="preserve"> the misplaced prounoun “those fixtures” and </w:t>
      </w:r>
      <w:r w:rsidR="00C775C6">
        <w:rPr>
          <w:noProof/>
        </w:rPr>
        <w:t>replaces</w:t>
      </w:r>
      <w:r w:rsidR="00E256C8">
        <w:rPr>
          <w:noProof/>
        </w:rPr>
        <w:t xml:space="preserve"> it with the phrase “the total number of fixtures </w:t>
      </w:r>
      <w:r w:rsidR="00117F0D">
        <w:rPr>
          <w:noProof/>
        </w:rPr>
        <w:t xml:space="preserve">collectively shall be used to determine the number of fixtures provided in an occupancy”. </w:t>
      </w:r>
    </w:p>
    <w:p w14:paraId="26C70A85" w14:textId="77777777" w:rsidR="0021559B" w:rsidRPr="0021559B" w:rsidRDefault="0021559B" w:rsidP="0021559B"/>
    <w:p w14:paraId="4E08EC15" w14:textId="77777777" w:rsidR="00DE3643" w:rsidRPr="00AD67B3" w:rsidRDefault="00DE3643" w:rsidP="00DE3643">
      <w:pPr>
        <w:spacing w:before="120"/>
        <w:rPr>
          <w:rFonts w:cs="Arial"/>
        </w:rPr>
      </w:pPr>
      <w:r w:rsidRPr="00AD67B3">
        <w:rPr>
          <w:rFonts w:cs="Arial"/>
          <w:b/>
        </w:rPr>
        <w:t>Notation:</w:t>
      </w:r>
    </w:p>
    <w:p w14:paraId="4755BC5E" w14:textId="5FD55017" w:rsidR="00DE3643" w:rsidRPr="00AD67B3" w:rsidRDefault="00DE3643" w:rsidP="00DE3643">
      <w:pPr>
        <w:spacing w:before="120"/>
        <w:rPr>
          <w:rFonts w:cs="Arial"/>
        </w:rPr>
      </w:pPr>
      <w:r w:rsidRPr="00AD67B3">
        <w:rPr>
          <w:rFonts w:cs="Arial"/>
        </w:rPr>
        <w:t xml:space="preserve">Authority: </w:t>
      </w:r>
      <w:r w:rsidR="00852C81">
        <w:rPr>
          <w:rFonts w:cs="Arial"/>
          <w:noProof/>
        </w:rPr>
        <w:t>Health and Safety Code Section 18934.5</w:t>
      </w:r>
      <w:r w:rsidR="00395A05">
        <w:rPr>
          <w:rFonts w:cs="Arial"/>
          <w:noProof/>
        </w:rPr>
        <w:t>, 18928.1</w:t>
      </w:r>
    </w:p>
    <w:p w14:paraId="5BD0264D" w14:textId="72241568" w:rsidR="00DE3643" w:rsidRDefault="00DE3643" w:rsidP="00DE3643">
      <w:pPr>
        <w:spacing w:before="120"/>
        <w:rPr>
          <w:rFonts w:cs="Arial"/>
          <w:noProof/>
        </w:rPr>
      </w:pPr>
      <w:r w:rsidRPr="00AD67B3">
        <w:rPr>
          <w:rFonts w:cs="Arial"/>
        </w:rPr>
        <w:t xml:space="preserve">Reference(s): </w:t>
      </w:r>
      <w:r w:rsidR="00395A05">
        <w:rPr>
          <w:rFonts w:cs="Arial"/>
          <w:noProof/>
        </w:rPr>
        <w:t>Health and Safety Code Section 18934.5, 18928.1</w:t>
      </w:r>
    </w:p>
    <w:p w14:paraId="17C9523C" w14:textId="77777777" w:rsidR="00DE3643" w:rsidRPr="00DE3643" w:rsidRDefault="00DE3643" w:rsidP="00DE3643">
      <w:pPr>
        <w:spacing w:before="120"/>
        <w:rPr>
          <w:rFonts w:cs="Arial"/>
        </w:rPr>
      </w:pPr>
    </w:p>
    <w:p w14:paraId="08F0C672" w14:textId="44A728AC" w:rsidR="002C03CE" w:rsidRPr="00AD67B3" w:rsidRDefault="005B4417" w:rsidP="002F5C0F">
      <w:pPr>
        <w:pStyle w:val="Heading3"/>
        <w:rPr>
          <w:noProof/>
        </w:rPr>
      </w:pPr>
      <w:r w:rsidRPr="00AD67B3">
        <w:t>ITEM</w:t>
      </w:r>
      <w:r w:rsidR="002C03CE" w:rsidRPr="00AD67B3">
        <w:t xml:space="preserve"> </w:t>
      </w:r>
      <w:r w:rsidR="00DE3643">
        <w:rPr>
          <w:noProof/>
        </w:rPr>
        <w:t>2</w:t>
      </w:r>
      <w:r w:rsidR="008E0E16">
        <w:br/>
      </w:r>
      <w:r w:rsidR="002C03CE" w:rsidRPr="00AD67B3">
        <w:t xml:space="preserve">Chapter </w:t>
      </w:r>
      <w:r w:rsidR="006F5953">
        <w:rPr>
          <w:noProof/>
        </w:rPr>
        <w:t>4</w:t>
      </w:r>
      <w:r w:rsidR="00AD67B3" w:rsidRPr="00AD67B3">
        <w:rPr>
          <w:noProof/>
        </w:rPr>
        <w:t xml:space="preserve">, </w:t>
      </w:r>
      <w:r w:rsidR="002C03CE" w:rsidRPr="00AD67B3">
        <w:t xml:space="preserve">Section </w:t>
      </w:r>
      <w:r w:rsidR="006F5953">
        <w:rPr>
          <w:noProof/>
        </w:rPr>
        <w:t>422.2 Separate Facilities</w:t>
      </w:r>
    </w:p>
    <w:p w14:paraId="7ACFAF86" w14:textId="77777777" w:rsidR="006F5953" w:rsidRDefault="006F5953" w:rsidP="006F5953">
      <w:pPr>
        <w:rPr>
          <w:noProof/>
        </w:rPr>
      </w:pPr>
      <w:r w:rsidRPr="00105BD4">
        <w:rPr>
          <w:b/>
          <w:bCs/>
          <w:noProof/>
        </w:rPr>
        <w:t>422.2 Separate Facilities.</w:t>
      </w:r>
      <w:r>
        <w:rPr>
          <w:noProof/>
        </w:rPr>
        <w:t xml:space="preserve"> Separate toilet facilities shall be provided for each sex.</w:t>
      </w:r>
    </w:p>
    <w:p w14:paraId="0C8D905C" w14:textId="41B077FD" w:rsidR="006F5953" w:rsidRPr="00CC5936" w:rsidRDefault="006F5953" w:rsidP="006F5953">
      <w:pPr>
        <w:rPr>
          <w:b/>
          <w:bCs/>
          <w:noProof/>
        </w:rPr>
      </w:pPr>
      <w:r w:rsidRPr="00CC5936">
        <w:rPr>
          <w:b/>
          <w:bCs/>
          <w:noProof/>
        </w:rPr>
        <w:t>Exceptions</w:t>
      </w:r>
      <w:r w:rsidR="00CC5936" w:rsidRPr="00CC5936">
        <w:rPr>
          <w:b/>
          <w:bCs/>
          <w:noProof/>
        </w:rPr>
        <w:t xml:space="preserve"> </w:t>
      </w:r>
      <w:r w:rsidR="00CC5936" w:rsidRPr="00CC5936">
        <w:rPr>
          <w:b/>
          <w:bCs/>
          <w:i/>
          <w:iCs/>
          <w:noProof/>
        </w:rPr>
        <w:t>[Not adopted for OSHPD 1, 2, 3, 4, &amp; 5]</w:t>
      </w:r>
      <w:r w:rsidRPr="00CC5936">
        <w:rPr>
          <w:b/>
          <w:bCs/>
          <w:i/>
          <w:iCs/>
          <w:noProof/>
        </w:rPr>
        <w:t>:</w:t>
      </w:r>
    </w:p>
    <w:p w14:paraId="2DE7C375" w14:textId="77777777" w:rsidR="006F5953" w:rsidRDefault="006F5953" w:rsidP="006F5953">
      <w:pPr>
        <w:rPr>
          <w:noProof/>
        </w:rPr>
      </w:pPr>
      <w:r>
        <w:rPr>
          <w:noProof/>
        </w:rPr>
        <w:t>(1)</w:t>
      </w:r>
      <w:r>
        <w:rPr>
          <w:noProof/>
        </w:rPr>
        <w:tab/>
        <w:t>Residential installations.</w:t>
      </w:r>
    </w:p>
    <w:p w14:paraId="2F423586" w14:textId="77777777" w:rsidR="006F5953" w:rsidRDefault="006F5953" w:rsidP="00105BD4">
      <w:pPr>
        <w:ind w:left="720" w:hanging="720"/>
        <w:rPr>
          <w:noProof/>
        </w:rPr>
      </w:pPr>
      <w:r>
        <w:rPr>
          <w:noProof/>
        </w:rPr>
        <w:t>(2)</w:t>
      </w:r>
      <w:r>
        <w:rPr>
          <w:noProof/>
        </w:rPr>
        <w:tab/>
        <w:t xml:space="preserve">In occupancies with a total occupant load of 10 or less, including customers and employees, one toilet facility, designed for use by no more than one person at a </w:t>
      </w:r>
      <w:r>
        <w:rPr>
          <w:noProof/>
        </w:rPr>
        <w:lastRenderedPageBreak/>
        <w:t>time, shall be permitted for use by both sexes.</w:t>
      </w:r>
    </w:p>
    <w:p w14:paraId="1A0C1D3D" w14:textId="77777777" w:rsidR="006F5953" w:rsidRDefault="006F5953" w:rsidP="00105BD4">
      <w:pPr>
        <w:ind w:left="720" w:hanging="720"/>
        <w:rPr>
          <w:noProof/>
        </w:rPr>
      </w:pPr>
      <w:r>
        <w:rPr>
          <w:noProof/>
        </w:rPr>
        <w:t>(3)</w:t>
      </w:r>
      <w:r>
        <w:rPr>
          <w:noProof/>
        </w:rPr>
        <w:tab/>
        <w:t>In business and mercantile occupancies with a total occupant load of 50 or less including customers and employees, one toilet facility, designed for use by no more than one person at a time, shall be permitted for use by both sexes.</w:t>
      </w:r>
    </w:p>
    <w:p w14:paraId="67D9A8B3" w14:textId="1DF0E6C6" w:rsidR="00562BB3" w:rsidRPr="00823BB9" w:rsidRDefault="006F5953" w:rsidP="00105BD4">
      <w:pPr>
        <w:ind w:left="720" w:hanging="720"/>
        <w:rPr>
          <w:i/>
          <w:iCs/>
          <w:noProof/>
          <w:u w:val="single"/>
        </w:rPr>
      </w:pPr>
      <w:r w:rsidRPr="006F5953">
        <w:rPr>
          <w:i/>
          <w:iCs/>
          <w:noProof/>
          <w:u w:val="single"/>
        </w:rPr>
        <w:t>(4)</w:t>
      </w:r>
      <w:r w:rsidR="00105BD4">
        <w:rPr>
          <w:i/>
          <w:iCs/>
          <w:noProof/>
          <w:u w:val="single"/>
        </w:rPr>
        <w:tab/>
      </w:r>
      <w:r w:rsidRPr="006F5953">
        <w:rPr>
          <w:i/>
          <w:iCs/>
          <w:noProof/>
          <w:u w:val="single"/>
        </w:rPr>
        <w:t xml:space="preserve">Separate facilities shall not be required where rooms have fixtures designed for use by </w:t>
      </w:r>
      <w:r w:rsidR="005376A6" w:rsidRPr="000A082A">
        <w:rPr>
          <w:i/>
          <w:iCs/>
          <w:noProof/>
          <w:u w:val="single"/>
        </w:rPr>
        <w:t>all genders</w:t>
      </w:r>
      <w:r w:rsidRPr="006F5953">
        <w:rPr>
          <w:i/>
          <w:iCs/>
          <w:noProof/>
          <w:u w:val="single"/>
        </w:rPr>
        <w:t xml:space="preserve"> and the water closets are installed in privacy compartments. </w:t>
      </w:r>
      <w:r w:rsidR="00AB62F1" w:rsidRPr="00823BB9">
        <w:rPr>
          <w:i/>
          <w:iCs/>
          <w:noProof/>
          <w:u w:val="single"/>
        </w:rPr>
        <w:t xml:space="preserve">When installed, urinals </w:t>
      </w:r>
      <w:r w:rsidRPr="00823BB9">
        <w:rPr>
          <w:i/>
          <w:iCs/>
          <w:noProof/>
          <w:u w:val="single"/>
        </w:rPr>
        <w:t>shall be located in a privacy compartment</w:t>
      </w:r>
      <w:r w:rsidR="00117F0D" w:rsidRPr="00823BB9">
        <w:rPr>
          <w:i/>
          <w:iCs/>
          <w:noProof/>
          <w:u w:val="single"/>
        </w:rPr>
        <w:t xml:space="preserve"> or separate private area</w:t>
      </w:r>
      <w:r w:rsidRPr="00823BB9">
        <w:rPr>
          <w:i/>
          <w:iCs/>
          <w:noProof/>
          <w:u w:val="single"/>
        </w:rPr>
        <w:t>.</w:t>
      </w:r>
    </w:p>
    <w:p w14:paraId="147BBD22" w14:textId="3DD20E00" w:rsidR="003016E9" w:rsidRDefault="00AB62F1" w:rsidP="00105BD4">
      <w:pPr>
        <w:ind w:left="720" w:hanging="720"/>
        <w:rPr>
          <w:i/>
          <w:iCs/>
          <w:noProof/>
          <w:u w:val="single"/>
        </w:rPr>
      </w:pPr>
      <w:r w:rsidRPr="00823BB9">
        <w:rPr>
          <w:i/>
          <w:iCs/>
          <w:noProof/>
          <w:u w:val="single"/>
        </w:rPr>
        <w:t>(5)</w:t>
      </w:r>
      <w:r w:rsidR="00105BD4" w:rsidRPr="00823BB9">
        <w:rPr>
          <w:i/>
          <w:iCs/>
          <w:noProof/>
          <w:u w:val="single"/>
        </w:rPr>
        <w:tab/>
      </w:r>
      <w:r w:rsidR="00117F0D" w:rsidRPr="00823BB9">
        <w:rPr>
          <w:i/>
          <w:iCs/>
          <w:noProof/>
          <w:u w:val="single"/>
        </w:rPr>
        <w:t>The substitution of a water closet</w:t>
      </w:r>
      <w:r w:rsidR="00117F0D">
        <w:rPr>
          <w:i/>
          <w:iCs/>
          <w:noProof/>
          <w:u w:val="single"/>
        </w:rPr>
        <w:t xml:space="preserve"> for </w:t>
      </w:r>
      <w:r w:rsidR="000A082A">
        <w:rPr>
          <w:i/>
          <w:iCs/>
          <w:noProof/>
          <w:u w:val="single"/>
        </w:rPr>
        <w:t xml:space="preserve">each </w:t>
      </w:r>
      <w:r w:rsidR="00117F0D">
        <w:rPr>
          <w:i/>
          <w:iCs/>
          <w:noProof/>
          <w:u w:val="single"/>
        </w:rPr>
        <w:t>urinal shall be permitted provided the total number of fixtures installed complies with Table 422.1</w:t>
      </w:r>
      <w:r w:rsidR="003016E9">
        <w:rPr>
          <w:i/>
          <w:iCs/>
          <w:noProof/>
          <w:u w:val="single"/>
        </w:rPr>
        <w:t xml:space="preserve">. </w:t>
      </w:r>
    </w:p>
    <w:p w14:paraId="25328E69" w14:textId="5438512D" w:rsidR="00395A05" w:rsidRPr="006732E2" w:rsidRDefault="00395A05" w:rsidP="00395A05">
      <w:pPr>
        <w:spacing w:before="240"/>
        <w:rPr>
          <w:strike/>
          <w:noProof/>
        </w:rPr>
      </w:pPr>
      <w:r w:rsidRPr="0021559B">
        <w:rPr>
          <w:b/>
          <w:bCs/>
          <w:noProof/>
        </w:rPr>
        <w:t xml:space="preserve">Rationale: </w:t>
      </w:r>
      <w:r>
        <w:rPr>
          <w:noProof/>
        </w:rPr>
        <w:t>This</w:t>
      </w:r>
      <w:r w:rsidR="003C4123">
        <w:rPr>
          <w:noProof/>
        </w:rPr>
        <w:t xml:space="preserve"> amendment</w:t>
      </w:r>
      <w:r>
        <w:rPr>
          <w:noProof/>
        </w:rPr>
        <w:t xml:space="preserve"> is currently being proposed by the International Association of Plumbing and Mechanical Officials (IAPMO) for inclusion in the 2024 Uniform Plumbing Code (UPC). See 2024 UPC Report on Comments Item #93, as published August </w:t>
      </w:r>
      <w:r w:rsidR="006732E2">
        <w:rPr>
          <w:noProof/>
        </w:rPr>
        <w:t>12</w:t>
      </w:r>
      <w:r>
        <w:rPr>
          <w:noProof/>
        </w:rPr>
        <w:t>, 2022. The Building Standards Commission (BSC) is proposing additional amendments that delete the phrase “</w:t>
      </w:r>
      <w:r w:rsidR="005E22C3">
        <w:rPr>
          <w:noProof/>
        </w:rPr>
        <w:t>both</w:t>
      </w:r>
      <w:r>
        <w:rPr>
          <w:noProof/>
        </w:rPr>
        <w:t xml:space="preserve"> sexes” and replace with “all genders” based on feedback received by stakeholders during the July 19, 2022 California Plumbing Code All-Gender Workshop facilitated by BSC and the Division of the State Architect (DSA). During this workshop stakeholders indicated that referring to</w:t>
      </w:r>
      <w:r w:rsidR="00863E7D">
        <w:rPr>
          <w:noProof/>
        </w:rPr>
        <w:t xml:space="preserve"> a person’s sex is inapprorpiate for purposes of identifying </w:t>
      </w:r>
      <w:r w:rsidR="008F2F91">
        <w:rPr>
          <w:noProof/>
        </w:rPr>
        <w:t>designated</w:t>
      </w:r>
      <w:r w:rsidR="005E22C3">
        <w:rPr>
          <w:noProof/>
        </w:rPr>
        <w:t xml:space="preserve"> use</w:t>
      </w:r>
      <w:r w:rsidR="00863E7D">
        <w:rPr>
          <w:noProof/>
        </w:rPr>
        <w:t xml:space="preserve"> of public restrooms, and that “all genders” is a more </w:t>
      </w:r>
      <w:r w:rsidR="005E22C3">
        <w:rPr>
          <w:noProof/>
        </w:rPr>
        <w:t>appropriate</w:t>
      </w:r>
      <w:r w:rsidR="00863E7D">
        <w:rPr>
          <w:noProof/>
        </w:rPr>
        <w:t xml:space="preserve"> term (see joint public comment received from Translatin@ Coalition, Disability Rights California, and ACLU California Action dated August 1, 2022). </w:t>
      </w:r>
      <w:r w:rsidR="005E22C3">
        <w:rPr>
          <w:noProof/>
        </w:rPr>
        <w:t xml:space="preserve">This is also consistent with the proposed amendment above in Section 422.1.1. </w:t>
      </w:r>
      <w:r w:rsidR="00FD203D">
        <w:rPr>
          <w:noProof/>
        </w:rPr>
        <w:t xml:space="preserve">Additional amendments to Exception 4 clarify that urinals shall be located in a privacy compartment </w:t>
      </w:r>
      <w:r w:rsidR="006732E2">
        <w:rPr>
          <w:noProof/>
        </w:rPr>
        <w:t xml:space="preserve">or separate private area </w:t>
      </w:r>
      <w:r w:rsidR="00FD203D">
        <w:rPr>
          <w:noProof/>
        </w:rPr>
        <w:t xml:space="preserve">only when installed, as newly proposed Exception 5 allows them to be </w:t>
      </w:r>
      <w:r w:rsidR="006732E2">
        <w:rPr>
          <w:noProof/>
        </w:rPr>
        <w:t>substituted</w:t>
      </w:r>
      <w:r w:rsidR="00FD203D">
        <w:rPr>
          <w:noProof/>
        </w:rPr>
        <w:t xml:space="preserve"> with an equal number of water closets. </w:t>
      </w:r>
    </w:p>
    <w:p w14:paraId="517EE763" w14:textId="77777777" w:rsidR="005E22C3" w:rsidRDefault="005E22C3" w:rsidP="002F5C0F">
      <w:pPr>
        <w:spacing w:before="120"/>
        <w:rPr>
          <w:noProof/>
        </w:rPr>
      </w:pPr>
    </w:p>
    <w:p w14:paraId="2E392623" w14:textId="2B5AB282" w:rsidR="002C03CE" w:rsidRPr="00AD67B3" w:rsidRDefault="002C03CE" w:rsidP="002F5C0F">
      <w:pPr>
        <w:spacing w:before="120"/>
        <w:rPr>
          <w:rFonts w:cs="Arial"/>
        </w:rPr>
      </w:pPr>
      <w:r w:rsidRPr="00AD67B3">
        <w:rPr>
          <w:rFonts w:cs="Arial"/>
          <w:b/>
        </w:rPr>
        <w:t>Notation:</w:t>
      </w:r>
    </w:p>
    <w:p w14:paraId="6178D757" w14:textId="44B437C9" w:rsidR="002C03CE" w:rsidRPr="00AD67B3" w:rsidRDefault="002C03CE" w:rsidP="002F5C0F">
      <w:pPr>
        <w:spacing w:before="120"/>
        <w:rPr>
          <w:rFonts w:cs="Arial"/>
        </w:rPr>
      </w:pPr>
      <w:r w:rsidRPr="00AD67B3">
        <w:rPr>
          <w:rFonts w:cs="Arial"/>
        </w:rPr>
        <w:t xml:space="preserve">Authority: </w:t>
      </w:r>
      <w:r w:rsidR="00395A05">
        <w:rPr>
          <w:rFonts w:cs="Arial"/>
          <w:noProof/>
        </w:rPr>
        <w:t>Health and Safety Code Section 18934.5, 18928, 18928.1</w:t>
      </w:r>
    </w:p>
    <w:p w14:paraId="73EA2182" w14:textId="61B130B9" w:rsidR="00203931" w:rsidRDefault="002C03CE" w:rsidP="002F5C0F">
      <w:pPr>
        <w:spacing w:before="120"/>
        <w:rPr>
          <w:rFonts w:cs="Arial"/>
          <w:noProof/>
        </w:rPr>
      </w:pPr>
      <w:r w:rsidRPr="00AD67B3">
        <w:rPr>
          <w:rFonts w:cs="Arial"/>
        </w:rPr>
        <w:t xml:space="preserve">Reference(s): </w:t>
      </w:r>
      <w:r w:rsidR="00395A05">
        <w:rPr>
          <w:rFonts w:cs="Arial"/>
          <w:noProof/>
        </w:rPr>
        <w:t>Health and Safety Code Section 18934.5, 18928, 18928.1</w:t>
      </w:r>
    </w:p>
    <w:p w14:paraId="3D665BF6" w14:textId="77777777" w:rsidR="006F5953" w:rsidRPr="00AD67B3" w:rsidRDefault="006F5953" w:rsidP="002F5C0F">
      <w:pPr>
        <w:spacing w:before="120"/>
        <w:rPr>
          <w:rFonts w:cs="Arial"/>
        </w:rPr>
      </w:pPr>
    </w:p>
    <w:sectPr w:rsidR="006F5953" w:rsidRPr="00AD67B3" w:rsidSect="00957E07">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4EC6" w14:textId="77777777" w:rsidR="006605EF" w:rsidRDefault="006605EF">
      <w:r>
        <w:separator/>
      </w:r>
    </w:p>
  </w:endnote>
  <w:endnote w:type="continuationSeparator" w:id="0">
    <w:p w14:paraId="0CEBB8ED" w14:textId="77777777" w:rsidR="006605EF" w:rsidRDefault="0066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75A83DD2" w:rsidR="0067477E"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Initial Express Terms</w:t>
    </w:r>
    <w:r w:rsidR="00830ABA">
      <w:rPr>
        <w:rFonts w:cs="Arial"/>
        <w:sz w:val="16"/>
      </w:rPr>
      <w:tab/>
    </w:r>
    <w:r w:rsidR="00F123A2">
      <w:rPr>
        <w:rFonts w:cs="Arial"/>
        <w:sz w:val="16"/>
      </w:rPr>
      <w:t xml:space="preserve">September </w:t>
    </w:r>
    <w:r w:rsidR="00C775C6">
      <w:rPr>
        <w:rFonts w:cs="Arial"/>
        <w:sz w:val="16"/>
      </w:rPr>
      <w:t>15</w:t>
    </w:r>
    <w:r w:rsidR="00F123A2">
      <w:rPr>
        <w:rFonts w:cs="Arial"/>
        <w:sz w:val="16"/>
      </w:rPr>
      <w:t>, 2022</w:t>
    </w:r>
  </w:p>
  <w:p w14:paraId="166C3041" w14:textId="250A8046" w:rsidR="0067477E" w:rsidRDefault="006F5953" w:rsidP="002F5C0F">
    <w:pPr>
      <w:pStyle w:val="Footer"/>
      <w:tabs>
        <w:tab w:val="clear" w:pos="4320"/>
        <w:tab w:val="clear" w:pos="8640"/>
        <w:tab w:val="center" w:pos="5040"/>
        <w:tab w:val="right" w:pos="9180"/>
      </w:tabs>
      <w:spacing w:after="0"/>
      <w:ind w:left="108"/>
      <w:rPr>
        <w:sz w:val="16"/>
      </w:rPr>
    </w:pPr>
    <w:r>
      <w:rPr>
        <w:rFonts w:cs="Arial"/>
        <w:sz w:val="16"/>
      </w:rPr>
      <w:t>BSC-XX-22</w:t>
    </w:r>
    <w:r w:rsidR="0067477E" w:rsidRPr="00B70204">
      <w:rPr>
        <w:rFonts w:cs="Arial"/>
        <w:sz w:val="16"/>
      </w:rPr>
      <w:t xml:space="preserve"> - Part</w:t>
    </w:r>
    <w:r w:rsidR="00830ABA">
      <w:rPr>
        <w:rFonts w:cs="Arial"/>
        <w:sz w:val="16"/>
      </w:rPr>
      <w:t xml:space="preserve"> </w:t>
    </w:r>
    <w:r>
      <w:rPr>
        <w:rFonts w:cs="Arial"/>
        <w:sz w:val="16"/>
      </w:rPr>
      <w:t>5</w:t>
    </w:r>
    <w:r w:rsidR="0067477E" w:rsidRPr="00B70204">
      <w:rPr>
        <w:rFonts w:cs="Arial"/>
        <w:sz w:val="16"/>
      </w:rPr>
      <w:t xml:space="preserve"> </w:t>
    </w:r>
    <w:r>
      <w:rPr>
        <w:rFonts w:cs="Arial"/>
        <w:sz w:val="16"/>
      </w:rPr>
      <w:t>–</w:t>
    </w:r>
    <w:r w:rsidR="00830ABA">
      <w:rPr>
        <w:rFonts w:cs="Arial"/>
        <w:sz w:val="16"/>
      </w:rPr>
      <w:t xml:space="preserve"> </w:t>
    </w:r>
    <w:r>
      <w:rPr>
        <w:rFonts w:cs="Arial"/>
        <w:sz w:val="16"/>
      </w:rPr>
      <w:t>2022 Intervening Code Cycle</w:t>
    </w:r>
    <w:r w:rsidR="0067477E">
      <w:rPr>
        <w:sz w:val="16"/>
      </w:rPr>
      <w:tab/>
    </w:r>
    <w:r w:rsidR="00830ABA">
      <w:rPr>
        <w:sz w:val="16"/>
      </w:rPr>
      <w:tab/>
    </w:r>
    <w:r>
      <w:rPr>
        <w:sz w:val="16"/>
      </w:rPr>
      <w:t>BSC-All-Gender-ET-22</w:t>
    </w:r>
  </w:p>
  <w:p w14:paraId="4F83FBD6" w14:textId="636239C1" w:rsidR="0067477E" w:rsidRDefault="006F5953"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1AF6" w14:textId="77777777" w:rsidR="006605EF" w:rsidRDefault="006605EF">
      <w:r>
        <w:separator/>
      </w:r>
    </w:p>
  </w:footnote>
  <w:footnote w:type="continuationSeparator" w:id="0">
    <w:p w14:paraId="5BC553F4" w14:textId="77777777" w:rsidR="006605EF" w:rsidRDefault="0066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8DDC64D"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071">
    <w:abstractNumId w:val="10"/>
  </w:num>
  <w:num w:numId="2" w16cid:durableId="2060353525">
    <w:abstractNumId w:val="12"/>
  </w:num>
  <w:num w:numId="3" w16cid:durableId="303463934">
    <w:abstractNumId w:val="13"/>
  </w:num>
  <w:num w:numId="4" w16cid:durableId="1714766540">
    <w:abstractNumId w:val="15"/>
  </w:num>
  <w:num w:numId="5" w16cid:durableId="2050256435">
    <w:abstractNumId w:val="11"/>
  </w:num>
  <w:num w:numId="6" w16cid:durableId="2119325251">
    <w:abstractNumId w:val="14"/>
  </w:num>
  <w:num w:numId="7" w16cid:durableId="1063522437">
    <w:abstractNumId w:val="9"/>
  </w:num>
  <w:num w:numId="8" w16cid:durableId="1274823806">
    <w:abstractNumId w:val="7"/>
  </w:num>
  <w:num w:numId="9" w16cid:durableId="299700502">
    <w:abstractNumId w:val="6"/>
  </w:num>
  <w:num w:numId="10" w16cid:durableId="838927306">
    <w:abstractNumId w:val="5"/>
  </w:num>
  <w:num w:numId="11" w16cid:durableId="2092116982">
    <w:abstractNumId w:val="4"/>
  </w:num>
  <w:num w:numId="12" w16cid:durableId="903759501">
    <w:abstractNumId w:val="8"/>
  </w:num>
  <w:num w:numId="13" w16cid:durableId="448016533">
    <w:abstractNumId w:val="3"/>
  </w:num>
  <w:num w:numId="14" w16cid:durableId="2018344774">
    <w:abstractNumId w:val="2"/>
  </w:num>
  <w:num w:numId="15" w16cid:durableId="764958989">
    <w:abstractNumId w:val="1"/>
  </w:num>
  <w:num w:numId="16" w16cid:durableId="19249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6692"/>
    <w:rsid w:val="000257AD"/>
    <w:rsid w:val="00033111"/>
    <w:rsid w:val="00046F6C"/>
    <w:rsid w:val="00050DCC"/>
    <w:rsid w:val="000559E2"/>
    <w:rsid w:val="000A0803"/>
    <w:rsid w:val="000A082A"/>
    <w:rsid w:val="000A2D7E"/>
    <w:rsid w:val="000E24B4"/>
    <w:rsid w:val="000F25B5"/>
    <w:rsid w:val="00105BD4"/>
    <w:rsid w:val="00117B8A"/>
    <w:rsid w:val="00117F0D"/>
    <w:rsid w:val="00123F82"/>
    <w:rsid w:val="00137624"/>
    <w:rsid w:val="00140550"/>
    <w:rsid w:val="00143D71"/>
    <w:rsid w:val="00153B81"/>
    <w:rsid w:val="001701D4"/>
    <w:rsid w:val="00175449"/>
    <w:rsid w:val="001A2431"/>
    <w:rsid w:val="001E635B"/>
    <w:rsid w:val="001E690C"/>
    <w:rsid w:val="001F3417"/>
    <w:rsid w:val="001F79FC"/>
    <w:rsid w:val="00203931"/>
    <w:rsid w:val="0021559B"/>
    <w:rsid w:val="0022513E"/>
    <w:rsid w:val="002319D7"/>
    <w:rsid w:val="00234A84"/>
    <w:rsid w:val="002367C1"/>
    <w:rsid w:val="00236DB8"/>
    <w:rsid w:val="002604E2"/>
    <w:rsid w:val="0027362E"/>
    <w:rsid w:val="002A2507"/>
    <w:rsid w:val="002A4D52"/>
    <w:rsid w:val="002A55E0"/>
    <w:rsid w:val="002C03CE"/>
    <w:rsid w:val="002C62F7"/>
    <w:rsid w:val="002E03D9"/>
    <w:rsid w:val="002F066A"/>
    <w:rsid w:val="002F34EB"/>
    <w:rsid w:val="002F5C0F"/>
    <w:rsid w:val="003016E9"/>
    <w:rsid w:val="0030639B"/>
    <w:rsid w:val="00394567"/>
    <w:rsid w:val="00395A05"/>
    <w:rsid w:val="003A5EC5"/>
    <w:rsid w:val="003C4123"/>
    <w:rsid w:val="003D68C0"/>
    <w:rsid w:val="003F54CA"/>
    <w:rsid w:val="003F7FD6"/>
    <w:rsid w:val="00414E66"/>
    <w:rsid w:val="004259A3"/>
    <w:rsid w:val="00433ABC"/>
    <w:rsid w:val="004348D3"/>
    <w:rsid w:val="00457CDC"/>
    <w:rsid w:val="004624C8"/>
    <w:rsid w:val="00476546"/>
    <w:rsid w:val="00493E93"/>
    <w:rsid w:val="004A129E"/>
    <w:rsid w:val="004B2AB9"/>
    <w:rsid w:val="004C0306"/>
    <w:rsid w:val="00507BB7"/>
    <w:rsid w:val="00513451"/>
    <w:rsid w:val="005376A6"/>
    <w:rsid w:val="00543D5E"/>
    <w:rsid w:val="00562BB3"/>
    <w:rsid w:val="00566465"/>
    <w:rsid w:val="005859F2"/>
    <w:rsid w:val="0058676D"/>
    <w:rsid w:val="005B4417"/>
    <w:rsid w:val="005E162F"/>
    <w:rsid w:val="005E22C3"/>
    <w:rsid w:val="005E6371"/>
    <w:rsid w:val="005F1F14"/>
    <w:rsid w:val="0060751C"/>
    <w:rsid w:val="006605EF"/>
    <w:rsid w:val="00666594"/>
    <w:rsid w:val="006674EF"/>
    <w:rsid w:val="006732E2"/>
    <w:rsid w:val="0067477E"/>
    <w:rsid w:val="00677400"/>
    <w:rsid w:val="00682FE0"/>
    <w:rsid w:val="006A2DAE"/>
    <w:rsid w:val="006C5A92"/>
    <w:rsid w:val="006D74C1"/>
    <w:rsid w:val="006F5953"/>
    <w:rsid w:val="00700726"/>
    <w:rsid w:val="0070359F"/>
    <w:rsid w:val="00704C9C"/>
    <w:rsid w:val="007105E9"/>
    <w:rsid w:val="00713507"/>
    <w:rsid w:val="00714FF3"/>
    <w:rsid w:val="00723F31"/>
    <w:rsid w:val="007318E3"/>
    <w:rsid w:val="007354DB"/>
    <w:rsid w:val="007432AC"/>
    <w:rsid w:val="007777EA"/>
    <w:rsid w:val="007872FD"/>
    <w:rsid w:val="007C0129"/>
    <w:rsid w:val="007C5478"/>
    <w:rsid w:val="007C6F3B"/>
    <w:rsid w:val="007F3ED3"/>
    <w:rsid w:val="00810A22"/>
    <w:rsid w:val="00823527"/>
    <w:rsid w:val="00823BB9"/>
    <w:rsid w:val="00830ABA"/>
    <w:rsid w:val="00852C81"/>
    <w:rsid w:val="00863E7D"/>
    <w:rsid w:val="008642DE"/>
    <w:rsid w:val="00866236"/>
    <w:rsid w:val="00870778"/>
    <w:rsid w:val="00890644"/>
    <w:rsid w:val="008A2AC5"/>
    <w:rsid w:val="008A6CD2"/>
    <w:rsid w:val="008B4B9E"/>
    <w:rsid w:val="008D4AD2"/>
    <w:rsid w:val="008E0E16"/>
    <w:rsid w:val="008E36A8"/>
    <w:rsid w:val="008F2F91"/>
    <w:rsid w:val="00920F3B"/>
    <w:rsid w:val="00921D6C"/>
    <w:rsid w:val="009256C6"/>
    <w:rsid w:val="00941B9F"/>
    <w:rsid w:val="00947E6F"/>
    <w:rsid w:val="00957E07"/>
    <w:rsid w:val="00992CB9"/>
    <w:rsid w:val="009A09B4"/>
    <w:rsid w:val="009A693A"/>
    <w:rsid w:val="009E4C18"/>
    <w:rsid w:val="009E6B12"/>
    <w:rsid w:val="009E7724"/>
    <w:rsid w:val="00A17F08"/>
    <w:rsid w:val="00A21DD3"/>
    <w:rsid w:val="00A461E3"/>
    <w:rsid w:val="00A60CA1"/>
    <w:rsid w:val="00A90E78"/>
    <w:rsid w:val="00A97432"/>
    <w:rsid w:val="00AA1609"/>
    <w:rsid w:val="00AA21C3"/>
    <w:rsid w:val="00AA6A06"/>
    <w:rsid w:val="00AA72AC"/>
    <w:rsid w:val="00AB62F1"/>
    <w:rsid w:val="00AC1F10"/>
    <w:rsid w:val="00AC6024"/>
    <w:rsid w:val="00AD0174"/>
    <w:rsid w:val="00AD67B3"/>
    <w:rsid w:val="00AF4E96"/>
    <w:rsid w:val="00B21B81"/>
    <w:rsid w:val="00B35333"/>
    <w:rsid w:val="00B35AE9"/>
    <w:rsid w:val="00B448CF"/>
    <w:rsid w:val="00B70204"/>
    <w:rsid w:val="00B9062F"/>
    <w:rsid w:val="00BA52A0"/>
    <w:rsid w:val="00BC0A2A"/>
    <w:rsid w:val="00BC7FAB"/>
    <w:rsid w:val="00BD6A83"/>
    <w:rsid w:val="00C001E2"/>
    <w:rsid w:val="00C0297E"/>
    <w:rsid w:val="00C14134"/>
    <w:rsid w:val="00C23DE2"/>
    <w:rsid w:val="00C240B1"/>
    <w:rsid w:val="00C57320"/>
    <w:rsid w:val="00C64A99"/>
    <w:rsid w:val="00C67B72"/>
    <w:rsid w:val="00C768D3"/>
    <w:rsid w:val="00C775C6"/>
    <w:rsid w:val="00C82AE7"/>
    <w:rsid w:val="00C8513E"/>
    <w:rsid w:val="00CC2CDF"/>
    <w:rsid w:val="00CC5936"/>
    <w:rsid w:val="00CE185E"/>
    <w:rsid w:val="00CF3372"/>
    <w:rsid w:val="00D32812"/>
    <w:rsid w:val="00D406E8"/>
    <w:rsid w:val="00D72A17"/>
    <w:rsid w:val="00D91AE2"/>
    <w:rsid w:val="00DB4F0C"/>
    <w:rsid w:val="00DE3643"/>
    <w:rsid w:val="00E256C8"/>
    <w:rsid w:val="00E3790F"/>
    <w:rsid w:val="00E434EC"/>
    <w:rsid w:val="00E53D35"/>
    <w:rsid w:val="00E63331"/>
    <w:rsid w:val="00E65CE6"/>
    <w:rsid w:val="00E80470"/>
    <w:rsid w:val="00EB2BA3"/>
    <w:rsid w:val="00EB3FD3"/>
    <w:rsid w:val="00ED0ADA"/>
    <w:rsid w:val="00EF26E2"/>
    <w:rsid w:val="00F06528"/>
    <w:rsid w:val="00F123A2"/>
    <w:rsid w:val="00F152F2"/>
    <w:rsid w:val="00F163D3"/>
    <w:rsid w:val="00F17139"/>
    <w:rsid w:val="00F42E2C"/>
    <w:rsid w:val="00F4723B"/>
    <w:rsid w:val="00F7556B"/>
    <w:rsid w:val="00F768B4"/>
    <w:rsid w:val="00F87DB6"/>
    <w:rsid w:val="00F94286"/>
    <w:rsid w:val="00FB1D64"/>
    <w:rsid w:val="00FB7064"/>
    <w:rsid w:val="00FD203D"/>
    <w:rsid w:val="00FD45EA"/>
    <w:rsid w:val="00FE4E16"/>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A6A0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1126</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BSC Template 121 Initial Express Terms</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Precycle ET Part 5</dc:title>
  <dc:creator>CBSC</dc:creator>
  <cp:lastModifiedBy>Mills, Laura@DGS</cp:lastModifiedBy>
  <cp:revision>9</cp:revision>
  <cp:lastPrinted>2020-06-10T21:02:00Z</cp:lastPrinted>
  <dcterms:created xsi:type="dcterms:W3CDTF">2022-09-08T22:59:00Z</dcterms:created>
  <dcterms:modified xsi:type="dcterms:W3CDTF">2022-09-16T18:48:00Z</dcterms:modified>
</cp:coreProperties>
</file>