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0C99" w14:textId="4ADDEE40" w:rsidR="00346684" w:rsidRPr="00DF2D3C" w:rsidRDefault="00346684" w:rsidP="00346684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8F5A0C">
        <w:t xml:space="preserve">AUGUST </w:t>
      </w:r>
      <w:r>
        <w:t>1</w:t>
      </w:r>
      <w:r w:rsidRPr="00DF2D3C">
        <w:t>, 2023</w:t>
      </w:r>
    </w:p>
    <w:p w14:paraId="5EC9AB54" w14:textId="18FBDEA9" w:rsidR="00346684" w:rsidRPr="00352A6A" w:rsidRDefault="00346684" w:rsidP="00352A6A">
      <w:pPr>
        <w:keepNext/>
        <w:keepLines/>
        <w:widowControl/>
        <w:spacing w:before="240" w:after="360" w:line="259" w:lineRule="auto"/>
        <w:jc w:val="center"/>
        <w:outlineLvl w:val="0"/>
        <w:rPr>
          <w:rFonts w:ascii="Arial" w:hAnsi="Arial"/>
          <w:b/>
          <w:bCs/>
          <w:sz w:val="24"/>
          <w:szCs w:val="32"/>
        </w:rPr>
      </w:pPr>
      <w:r w:rsidRPr="00346684">
        <w:rPr>
          <w:rFonts w:ascii="Arial" w:hAnsi="Arial"/>
          <w:b/>
          <w:bCs/>
          <w:sz w:val="24"/>
          <w:szCs w:val="32"/>
        </w:rPr>
        <w:t>AMENDED JUSTIFICATION #1</w:t>
      </w:r>
      <w:r w:rsidRPr="00346684">
        <w:rPr>
          <w:rFonts w:ascii="Arial" w:hAnsi="Arial"/>
          <w:b/>
          <w:bCs/>
          <w:sz w:val="24"/>
          <w:szCs w:val="32"/>
        </w:rPr>
        <w:br/>
        <w:t>FOR PROPOSED BUILDING STANDARDS OF</w:t>
      </w:r>
      <w:r w:rsidRPr="00346684">
        <w:rPr>
          <w:rFonts w:ascii="Arial" w:hAnsi="Arial"/>
          <w:b/>
          <w:bCs/>
          <w:sz w:val="24"/>
          <w:szCs w:val="32"/>
        </w:rPr>
        <w:br/>
      </w:r>
      <w:r w:rsidR="00F772F1">
        <w:rPr>
          <w:rFonts w:ascii="Arial" w:hAnsi="Arial"/>
          <w:b/>
          <w:bCs/>
          <w:sz w:val="24"/>
          <w:szCs w:val="32"/>
        </w:rPr>
        <w:t>OFFICE OF STATEWIDE HOSPITAL PLANNING AND DEVELOPMENT</w:t>
      </w:r>
      <w:r w:rsidRPr="00346684">
        <w:rPr>
          <w:rFonts w:ascii="Arial" w:hAnsi="Arial"/>
          <w:b/>
          <w:bCs/>
          <w:sz w:val="24"/>
          <w:szCs w:val="32"/>
        </w:rPr>
        <w:br/>
        <w:t xml:space="preserve">REGARDING THE 2022 CALIFORNIA </w:t>
      </w:r>
      <w:r>
        <w:rPr>
          <w:rFonts w:ascii="Arial" w:hAnsi="Arial"/>
          <w:b/>
          <w:bCs/>
          <w:sz w:val="24"/>
          <w:szCs w:val="32"/>
        </w:rPr>
        <w:t>MECHANICAL</w:t>
      </w:r>
      <w:r w:rsidRPr="00346684">
        <w:rPr>
          <w:rFonts w:ascii="Arial" w:hAnsi="Arial"/>
          <w:b/>
          <w:bCs/>
          <w:sz w:val="24"/>
          <w:szCs w:val="32"/>
        </w:rPr>
        <w:t xml:space="preserve"> CODE,</w:t>
      </w:r>
      <w:r w:rsidRPr="00346684">
        <w:rPr>
          <w:rFonts w:ascii="Arial" w:hAnsi="Arial"/>
          <w:b/>
          <w:bCs/>
          <w:sz w:val="24"/>
          <w:szCs w:val="32"/>
        </w:rPr>
        <w:br/>
        <w:t xml:space="preserve">CALIFORNIA CODE OF REGULATIONS, TITLE 24, PART </w:t>
      </w:r>
      <w:r>
        <w:rPr>
          <w:rFonts w:ascii="Arial" w:hAnsi="Arial"/>
          <w:b/>
          <w:bCs/>
          <w:sz w:val="24"/>
          <w:szCs w:val="32"/>
        </w:rPr>
        <w:t>4</w:t>
      </w:r>
      <w:r w:rsidRPr="00346684">
        <w:rPr>
          <w:rFonts w:ascii="Arial" w:hAnsi="Arial"/>
          <w:b/>
          <w:bCs/>
          <w:sz w:val="24"/>
          <w:szCs w:val="32"/>
        </w:rPr>
        <w:br/>
        <w:t>(</w:t>
      </w:r>
      <w:r w:rsidR="00F772F1">
        <w:rPr>
          <w:rFonts w:ascii="Arial" w:hAnsi="Arial"/>
          <w:b/>
          <w:bCs/>
          <w:sz w:val="24"/>
          <w:szCs w:val="32"/>
        </w:rPr>
        <w:t>OSHPD</w:t>
      </w:r>
      <w:r>
        <w:rPr>
          <w:rFonts w:ascii="Arial" w:hAnsi="Arial"/>
          <w:b/>
          <w:bCs/>
          <w:sz w:val="24"/>
          <w:szCs w:val="32"/>
        </w:rPr>
        <w:t xml:space="preserve"> 05/</w:t>
      </w:r>
      <w:r w:rsidRPr="00346684">
        <w:rPr>
          <w:rFonts w:ascii="Arial" w:hAnsi="Arial"/>
          <w:b/>
          <w:bCs/>
          <w:sz w:val="24"/>
          <w:szCs w:val="32"/>
        </w:rPr>
        <w:t>22)</w:t>
      </w:r>
    </w:p>
    <w:p w14:paraId="40FEC270" w14:textId="51ED92AB" w:rsidR="00A7065F" w:rsidRPr="008F5A0C" w:rsidRDefault="00346684" w:rsidP="009E1BCB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iCs/>
          <w:sz w:val="24"/>
          <w:szCs w:val="24"/>
        </w:rPr>
      </w:pPr>
      <w:r w:rsidRPr="008F5A0C">
        <w:rPr>
          <w:rFonts w:ascii="Arial" w:hAnsi="Arial"/>
          <w:iCs/>
          <w:sz w:val="24"/>
          <w:szCs w:val="24"/>
        </w:rPr>
        <w:t xml:space="preserve">OFFICE OF </w:t>
      </w:r>
      <w:r w:rsidR="00F772F1" w:rsidRPr="008F5A0C">
        <w:rPr>
          <w:rFonts w:ascii="Arial" w:hAnsi="Arial"/>
          <w:iCs/>
          <w:sz w:val="24"/>
          <w:szCs w:val="24"/>
        </w:rPr>
        <w:t>STATEWIDE HOSPITAL PLANNING AND DEVELOPMENT</w:t>
      </w:r>
      <w:r w:rsidR="008F5A0C" w:rsidRPr="008F5A0C">
        <w:rPr>
          <w:rFonts w:ascii="Arial" w:hAnsi="Arial"/>
          <w:iCs/>
          <w:sz w:val="24"/>
          <w:szCs w:val="24"/>
        </w:rPr>
        <w:t xml:space="preserve"> (OSHPD)</w:t>
      </w:r>
    </w:p>
    <w:p w14:paraId="7696EFE6" w14:textId="4A83F478" w:rsidR="00346684" w:rsidRPr="00352A6A" w:rsidRDefault="00F772F1" w:rsidP="00352A6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/>
          <w:b/>
          <w:bCs/>
          <w:iCs/>
          <w:sz w:val="24"/>
          <w:szCs w:val="24"/>
        </w:rPr>
      </w:pPr>
      <w:r w:rsidRPr="008F5A0C">
        <w:rPr>
          <w:rFonts w:ascii="Arial" w:hAnsi="Arial"/>
          <w:b/>
          <w:bCs/>
          <w:iCs/>
          <w:sz w:val="24"/>
          <w:szCs w:val="24"/>
        </w:rPr>
        <w:t>OSHPD</w:t>
      </w:r>
      <w:r w:rsidR="00346684" w:rsidRPr="008F5A0C">
        <w:rPr>
          <w:rFonts w:ascii="Arial" w:hAnsi="Arial"/>
          <w:b/>
          <w:bCs/>
          <w:iCs/>
          <w:sz w:val="24"/>
          <w:szCs w:val="24"/>
        </w:rPr>
        <w:t xml:space="preserve"> 05/22 Part 4, 2022 California Mechanical Code</w:t>
      </w:r>
    </w:p>
    <w:p w14:paraId="62A50A9E" w14:textId="51B11F75" w:rsidR="00346684" w:rsidRPr="00352A6A" w:rsidRDefault="00346684" w:rsidP="00352A6A">
      <w:pPr>
        <w:widowControl/>
        <w:spacing w:after="240" w:line="259" w:lineRule="auto"/>
        <w:rPr>
          <w:rFonts w:ascii="Arial" w:eastAsia="Calibri" w:hAnsi="Arial" w:cs="Arial"/>
          <w:sz w:val="24"/>
          <w:szCs w:val="24"/>
        </w:rPr>
      </w:pPr>
      <w:r w:rsidRPr="008F5A0C">
        <w:rPr>
          <w:rFonts w:ascii="Arial" w:eastAsia="Calibri" w:hAnsi="Arial" w:cs="Arial"/>
          <w:sz w:val="24"/>
          <w:szCs w:val="24"/>
        </w:rPr>
        <w:t xml:space="preserve">Pursuant to Safety Code Section 18930 and California Administrative Code 1-417 (a)(4), </w:t>
      </w:r>
      <w:r w:rsidR="008F5A0C">
        <w:rPr>
          <w:rFonts w:ascii="Arial" w:eastAsia="Calibri" w:hAnsi="Arial" w:cs="Arial"/>
          <w:sz w:val="24"/>
          <w:szCs w:val="24"/>
        </w:rPr>
        <w:t>OSHPD</w:t>
      </w:r>
      <w:r w:rsidRPr="008F5A0C">
        <w:rPr>
          <w:rFonts w:ascii="Arial" w:eastAsia="Calibri" w:hAnsi="Arial" w:cs="Arial"/>
          <w:sz w:val="24"/>
          <w:szCs w:val="24"/>
        </w:rPr>
        <w:t xml:space="preserve"> proposes to further amend the following chapter:</w:t>
      </w:r>
    </w:p>
    <w:p w14:paraId="2A160463" w14:textId="3EA5EE23" w:rsidR="00346684" w:rsidRPr="008F5A0C" w:rsidRDefault="00346684" w:rsidP="009E1BCB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iCs/>
          <w:sz w:val="24"/>
          <w:szCs w:val="24"/>
        </w:rPr>
      </w:pPr>
      <w:r w:rsidRPr="008F5A0C">
        <w:rPr>
          <w:rFonts w:ascii="Arial" w:hAnsi="Arial"/>
          <w:iCs/>
          <w:sz w:val="24"/>
          <w:szCs w:val="24"/>
        </w:rPr>
        <w:t xml:space="preserve">Chapter </w:t>
      </w:r>
      <w:r w:rsidR="00F772F1" w:rsidRPr="008F5A0C">
        <w:rPr>
          <w:rFonts w:ascii="Arial" w:hAnsi="Arial"/>
          <w:iCs/>
          <w:sz w:val="24"/>
          <w:szCs w:val="24"/>
        </w:rPr>
        <w:t>3, GENERAL REGULATIONS</w:t>
      </w:r>
    </w:p>
    <w:p w14:paraId="57187707" w14:textId="7FFF6301" w:rsidR="00346684" w:rsidRPr="008F5A0C" w:rsidRDefault="00346684" w:rsidP="00352A6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/>
          <w:iCs/>
          <w:sz w:val="24"/>
          <w:szCs w:val="24"/>
        </w:rPr>
      </w:pPr>
      <w:r w:rsidRPr="008F5A0C">
        <w:rPr>
          <w:rFonts w:ascii="Arial" w:hAnsi="Arial"/>
          <w:iCs/>
          <w:sz w:val="24"/>
          <w:szCs w:val="24"/>
        </w:rPr>
        <w:t xml:space="preserve">Section </w:t>
      </w:r>
      <w:r w:rsidR="00F772F1" w:rsidRPr="008F5A0C">
        <w:rPr>
          <w:rFonts w:ascii="Arial" w:hAnsi="Arial"/>
          <w:i/>
          <w:sz w:val="24"/>
          <w:szCs w:val="24"/>
        </w:rPr>
        <w:t>324</w:t>
      </w:r>
      <w:r w:rsidRPr="008F5A0C">
        <w:rPr>
          <w:rFonts w:ascii="Arial" w:hAnsi="Arial"/>
          <w:i/>
          <w:sz w:val="24"/>
          <w:szCs w:val="24"/>
        </w:rPr>
        <w:t xml:space="preserve"> </w:t>
      </w:r>
      <w:r w:rsidR="00F772F1" w:rsidRPr="008F5A0C">
        <w:rPr>
          <w:rFonts w:ascii="Arial" w:hAnsi="Arial"/>
          <w:i/>
          <w:sz w:val="24"/>
          <w:szCs w:val="24"/>
        </w:rPr>
        <w:t>Diesel-Powered Emergency Generators [OSHPD 1, 1R, 2, 3, 4 &amp; 5]</w:t>
      </w:r>
    </w:p>
    <w:p w14:paraId="39AA464B" w14:textId="3255E665" w:rsidR="00346684" w:rsidRPr="008F5A0C" w:rsidRDefault="00346684" w:rsidP="009E1BCB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  <w:iCs/>
          <w:sz w:val="24"/>
          <w:szCs w:val="24"/>
        </w:rPr>
      </w:pPr>
      <w:r w:rsidRPr="008F5A0C">
        <w:rPr>
          <w:rFonts w:ascii="Arial" w:hAnsi="Arial"/>
          <w:b/>
          <w:bCs/>
          <w:iCs/>
          <w:sz w:val="24"/>
          <w:szCs w:val="24"/>
        </w:rPr>
        <w:t>Item Number</w:t>
      </w:r>
    </w:p>
    <w:p w14:paraId="3A9405F1" w14:textId="5DFCEAC5" w:rsidR="00346684" w:rsidRPr="00352A6A" w:rsidRDefault="00F772F1" w:rsidP="00352A6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/>
          <w:b/>
          <w:bCs/>
          <w:iCs/>
          <w:sz w:val="24"/>
          <w:szCs w:val="24"/>
        </w:rPr>
      </w:pPr>
      <w:r w:rsidRPr="008F5A0C">
        <w:rPr>
          <w:rFonts w:ascii="Arial" w:hAnsi="Arial"/>
          <w:b/>
          <w:bCs/>
          <w:iCs/>
          <w:sz w:val="24"/>
          <w:szCs w:val="24"/>
        </w:rPr>
        <w:t>OSHPD</w:t>
      </w:r>
      <w:r w:rsidR="00346684" w:rsidRPr="008F5A0C">
        <w:rPr>
          <w:rFonts w:ascii="Arial" w:hAnsi="Arial"/>
          <w:b/>
          <w:bCs/>
          <w:iCs/>
          <w:sz w:val="24"/>
          <w:szCs w:val="24"/>
        </w:rPr>
        <w:t xml:space="preserve"> 05/22-</w:t>
      </w:r>
      <w:r w:rsidRPr="008F5A0C">
        <w:rPr>
          <w:rFonts w:ascii="Arial" w:hAnsi="Arial"/>
          <w:b/>
          <w:bCs/>
          <w:iCs/>
          <w:sz w:val="24"/>
          <w:szCs w:val="24"/>
        </w:rPr>
        <w:t>1-3</w:t>
      </w:r>
    </w:p>
    <w:p w14:paraId="5B2B4736" w14:textId="1F59BFFE" w:rsidR="00346684" w:rsidRPr="008F5A0C" w:rsidRDefault="00F772F1" w:rsidP="00352A6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/>
          <w:iCs/>
          <w:sz w:val="24"/>
          <w:szCs w:val="24"/>
        </w:rPr>
      </w:pPr>
      <w:r w:rsidRPr="008F5A0C">
        <w:rPr>
          <w:rFonts w:ascii="Arial" w:hAnsi="Arial" w:cs="Arial"/>
          <w:b/>
          <w:i/>
          <w:iCs/>
          <w:snapToGrid w:val="0"/>
          <w:sz w:val="24"/>
          <w:szCs w:val="24"/>
          <w:u w:val="single"/>
        </w:rPr>
        <w:t>324 Diesel-Powered Emergency Generators [OSHPD 1, 1R, 2, 3, 4 &amp; 5]</w:t>
      </w:r>
    </w:p>
    <w:p w14:paraId="112A4C0E" w14:textId="23F0322F" w:rsidR="00346684" w:rsidRPr="008F5A0C" w:rsidRDefault="00F772F1" w:rsidP="009E1BCB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  <w:sz w:val="24"/>
          <w:szCs w:val="24"/>
        </w:rPr>
      </w:pPr>
      <w:r w:rsidRPr="008F5A0C">
        <w:rPr>
          <w:rFonts w:ascii="Arial" w:hAnsi="Arial"/>
          <w:iCs/>
          <w:sz w:val="24"/>
          <w:szCs w:val="24"/>
        </w:rPr>
        <w:t>OSHPD</w:t>
      </w:r>
      <w:r w:rsidR="00346684" w:rsidRPr="008F5A0C">
        <w:rPr>
          <w:rFonts w:ascii="Arial" w:hAnsi="Arial" w:cs="Arial"/>
          <w:iCs/>
          <w:sz w:val="24"/>
          <w:szCs w:val="24"/>
        </w:rPr>
        <w:t xml:space="preserve"> </w:t>
      </w:r>
      <w:r w:rsidR="00346684" w:rsidRPr="008F5A0C">
        <w:rPr>
          <w:rFonts w:ascii="Arial" w:hAnsi="Arial" w:cs="Arial"/>
          <w:sz w:val="24"/>
          <w:szCs w:val="24"/>
        </w:rPr>
        <w:t>proposes to adopt new section that was Approved as Amended by the Commission at the August 1, 2023</w:t>
      </w:r>
      <w:r w:rsidR="008F5A0C">
        <w:rPr>
          <w:rFonts w:ascii="Arial" w:hAnsi="Arial" w:cs="Arial"/>
          <w:sz w:val="24"/>
          <w:szCs w:val="24"/>
        </w:rPr>
        <w:t>,</w:t>
      </w:r>
      <w:r w:rsidR="00346684" w:rsidRPr="008F5A0C">
        <w:rPr>
          <w:rFonts w:ascii="Arial" w:hAnsi="Arial" w:cs="Arial"/>
          <w:sz w:val="24"/>
          <w:szCs w:val="24"/>
        </w:rPr>
        <w:t xml:space="preserve"> Commission Meeting. The Commission determined that </w:t>
      </w:r>
      <w:r w:rsidR="008F5A0C">
        <w:rPr>
          <w:rFonts w:ascii="Arial" w:hAnsi="Arial" w:cs="Arial"/>
          <w:sz w:val="24"/>
          <w:szCs w:val="24"/>
        </w:rPr>
        <w:t>changing the words “</w:t>
      </w:r>
      <w:r w:rsidRPr="008F5A0C">
        <w:rPr>
          <w:rFonts w:ascii="Arial" w:hAnsi="Arial" w:cs="Arial"/>
          <w:sz w:val="24"/>
          <w:szCs w:val="24"/>
        </w:rPr>
        <w:t>local AHJ</w:t>
      </w:r>
      <w:r w:rsidR="008F5A0C">
        <w:rPr>
          <w:rFonts w:ascii="Arial" w:hAnsi="Arial" w:cs="Arial"/>
          <w:sz w:val="24"/>
          <w:szCs w:val="24"/>
        </w:rPr>
        <w:t>” to “</w:t>
      </w:r>
      <w:r w:rsidR="008F5A0C" w:rsidRPr="008F5A0C">
        <w:rPr>
          <w:rFonts w:ascii="Arial" w:hAnsi="Arial" w:cs="Arial"/>
          <w:sz w:val="24"/>
          <w:szCs w:val="24"/>
        </w:rPr>
        <w:t>Authority Having Jurisdiction</w:t>
      </w:r>
      <w:r w:rsidR="008F5A0C">
        <w:rPr>
          <w:rFonts w:ascii="Arial" w:hAnsi="Arial" w:cs="Arial"/>
          <w:sz w:val="24"/>
          <w:szCs w:val="24"/>
        </w:rPr>
        <w:t>”</w:t>
      </w:r>
      <w:r w:rsidR="008F5A0C" w:rsidRPr="008F5A0C">
        <w:rPr>
          <w:rFonts w:ascii="Arial" w:hAnsi="Arial" w:cs="Arial"/>
          <w:sz w:val="24"/>
          <w:szCs w:val="24"/>
        </w:rPr>
        <w:t xml:space="preserve"> </w:t>
      </w:r>
      <w:r w:rsidRPr="008F5A0C">
        <w:rPr>
          <w:rFonts w:ascii="Arial" w:hAnsi="Arial" w:cs="Arial"/>
          <w:sz w:val="24"/>
          <w:szCs w:val="24"/>
        </w:rPr>
        <w:t>was necessary</w:t>
      </w:r>
      <w:r w:rsidR="008F5A0C">
        <w:rPr>
          <w:rFonts w:ascii="Arial" w:hAnsi="Arial" w:cs="Arial"/>
          <w:sz w:val="24"/>
          <w:szCs w:val="24"/>
        </w:rPr>
        <w:t xml:space="preserve"> as </w:t>
      </w:r>
      <w:r w:rsidR="008A6E56">
        <w:rPr>
          <w:rFonts w:ascii="Arial" w:hAnsi="Arial" w:cs="Arial"/>
          <w:sz w:val="24"/>
          <w:szCs w:val="24"/>
        </w:rPr>
        <w:t xml:space="preserve">the </w:t>
      </w:r>
      <w:r w:rsidR="008F5A0C" w:rsidRPr="008F5A0C">
        <w:rPr>
          <w:rFonts w:ascii="Arial" w:hAnsi="Arial" w:cs="Arial"/>
          <w:sz w:val="24"/>
          <w:szCs w:val="24"/>
        </w:rPr>
        <w:t>“local AHJ”</w:t>
      </w:r>
      <w:r w:rsidR="008F5A0C">
        <w:rPr>
          <w:rFonts w:ascii="Arial" w:hAnsi="Arial" w:cs="Arial"/>
          <w:sz w:val="24"/>
          <w:szCs w:val="24"/>
        </w:rPr>
        <w:t xml:space="preserve"> is not a defined term while </w:t>
      </w:r>
      <w:r w:rsidRPr="008F5A0C">
        <w:rPr>
          <w:rFonts w:ascii="Arial" w:hAnsi="Arial" w:cs="Arial"/>
          <w:sz w:val="24"/>
          <w:szCs w:val="24"/>
        </w:rPr>
        <w:t xml:space="preserve">the </w:t>
      </w:r>
      <w:r w:rsidR="008A6E56">
        <w:rPr>
          <w:rFonts w:ascii="Arial" w:hAnsi="Arial" w:cs="Arial"/>
          <w:sz w:val="24"/>
          <w:szCs w:val="24"/>
        </w:rPr>
        <w:t>“</w:t>
      </w:r>
      <w:r w:rsidRPr="008F5A0C">
        <w:rPr>
          <w:rFonts w:ascii="Arial" w:hAnsi="Arial" w:cs="Arial"/>
          <w:sz w:val="24"/>
          <w:szCs w:val="24"/>
        </w:rPr>
        <w:t>Authority Having Jurisdiction</w:t>
      </w:r>
      <w:r w:rsidR="008A6E56">
        <w:rPr>
          <w:rFonts w:ascii="Arial" w:hAnsi="Arial" w:cs="Arial"/>
          <w:sz w:val="24"/>
          <w:szCs w:val="24"/>
        </w:rPr>
        <w:t>”</w:t>
      </w:r>
      <w:r w:rsidRPr="008F5A0C">
        <w:rPr>
          <w:rFonts w:ascii="Arial" w:hAnsi="Arial" w:cs="Arial"/>
          <w:sz w:val="24"/>
          <w:szCs w:val="24"/>
        </w:rPr>
        <w:t xml:space="preserve"> </w:t>
      </w:r>
      <w:r w:rsidR="008F5A0C">
        <w:rPr>
          <w:rFonts w:ascii="Arial" w:hAnsi="Arial" w:cs="Arial"/>
          <w:sz w:val="24"/>
          <w:szCs w:val="24"/>
        </w:rPr>
        <w:t>is</w:t>
      </w:r>
      <w:r w:rsidRPr="008F5A0C">
        <w:rPr>
          <w:rFonts w:ascii="Arial" w:hAnsi="Arial" w:cs="Arial"/>
          <w:sz w:val="24"/>
          <w:szCs w:val="24"/>
        </w:rPr>
        <w:t>.</w:t>
      </w:r>
      <w:r w:rsidR="008F5A0C">
        <w:rPr>
          <w:rFonts w:ascii="Arial" w:hAnsi="Arial" w:cs="Arial"/>
          <w:sz w:val="24"/>
          <w:szCs w:val="24"/>
        </w:rPr>
        <w:t xml:space="preserve"> OSHPD</w:t>
      </w:r>
      <w:r w:rsidR="008F5A0C" w:rsidRPr="008F5A0C">
        <w:rPr>
          <w:rFonts w:ascii="Arial" w:hAnsi="Arial" w:cs="Arial"/>
          <w:sz w:val="24"/>
          <w:szCs w:val="24"/>
        </w:rPr>
        <w:t xml:space="preserve"> agrees with the Commission. There is no fiscal impact for modifying this section</w:t>
      </w:r>
      <w:r w:rsidR="008A6E56">
        <w:rPr>
          <w:rFonts w:ascii="Arial" w:hAnsi="Arial" w:cs="Arial"/>
          <w:sz w:val="24"/>
          <w:szCs w:val="24"/>
        </w:rPr>
        <w:t xml:space="preserve"> and</w:t>
      </w:r>
      <w:r w:rsidR="008F5A0C" w:rsidRPr="008F5A0C">
        <w:rPr>
          <w:rFonts w:ascii="Arial" w:hAnsi="Arial" w:cs="Arial"/>
          <w:sz w:val="24"/>
          <w:szCs w:val="24"/>
        </w:rPr>
        <w:t xml:space="preserve"> no change in regulatory effect.</w:t>
      </w:r>
    </w:p>
    <w:p w14:paraId="3DD9A3E1" w14:textId="77777777" w:rsidR="00F772F1" w:rsidRPr="005F054C" w:rsidRDefault="00F772F1" w:rsidP="00F772F1">
      <w:pPr>
        <w:spacing w:before="240"/>
        <w:rPr>
          <w:rFonts w:ascii="Arial" w:eastAsia="Calibri" w:hAnsi="Arial"/>
          <w:b/>
          <w:bCs/>
          <w:i/>
          <w:iCs/>
          <w:sz w:val="24"/>
          <w:szCs w:val="24"/>
          <w:u w:val="single"/>
        </w:rPr>
      </w:pPr>
      <w:r w:rsidRPr="005F054C">
        <w:rPr>
          <w:rFonts w:ascii="Arial" w:eastAsia="Calibri" w:hAnsi="Arial"/>
          <w:b/>
          <w:bCs/>
          <w:i/>
          <w:iCs/>
          <w:sz w:val="24"/>
          <w:szCs w:val="24"/>
          <w:u w:val="single"/>
        </w:rPr>
        <w:t>324.0 Diesel-Powered Emergency Generators. [OSHPD 1, 1R, 2, 3, 4 &amp; 5]</w:t>
      </w:r>
    </w:p>
    <w:p w14:paraId="6170CCD9" w14:textId="466798CB" w:rsidR="00F772F1" w:rsidRPr="005F054C" w:rsidRDefault="00F772F1" w:rsidP="00F772F1">
      <w:pPr>
        <w:spacing w:after="240"/>
        <w:rPr>
          <w:rFonts w:ascii="Arial" w:eastAsia="Calibri" w:hAnsi="Arial"/>
          <w:i/>
          <w:iCs/>
          <w:sz w:val="24"/>
          <w:szCs w:val="24"/>
        </w:rPr>
      </w:pPr>
      <w:r w:rsidRPr="005F054C">
        <w:rPr>
          <w:rFonts w:ascii="Arial" w:eastAsia="Calibri" w:hAnsi="Arial"/>
          <w:i/>
          <w:iCs/>
          <w:snapToGrid w:val="0"/>
          <w:sz w:val="24"/>
          <w:szCs w:val="24"/>
          <w:u w:val="single"/>
        </w:rPr>
        <w:t xml:space="preserve">The minimum horizontal separation distance between diesel-powered emergency electrical generator exhaust outlets and operable doors, windows and intake openings shall be 30 feet. The minimum horizontal distance from the generator exhaust to a property line shall be 15 feet (4.57 m) or per the requirements of the </w:t>
      </w:r>
      <w:r w:rsidRPr="005F054C">
        <w:rPr>
          <w:rFonts w:ascii="Arial" w:eastAsia="Calibri" w:hAnsi="Arial"/>
          <w:i/>
          <w:iCs/>
          <w:strike/>
          <w:snapToGrid w:val="0"/>
          <w:color w:val="943634"/>
          <w:sz w:val="24"/>
          <w:szCs w:val="24"/>
        </w:rPr>
        <w:t>local AHJ</w:t>
      </w:r>
      <w:r w:rsidR="008F5A0C" w:rsidRPr="008A6E56">
        <w:rPr>
          <w:rFonts w:ascii="Arial" w:eastAsia="Calibri" w:hAnsi="Arial"/>
          <w:i/>
          <w:iCs/>
          <w:snapToGrid w:val="0"/>
          <w:color w:val="943634"/>
          <w:sz w:val="24"/>
          <w:szCs w:val="24"/>
        </w:rPr>
        <w:t xml:space="preserve"> </w:t>
      </w:r>
      <w:bookmarkStart w:id="0" w:name="_Hlk141945093"/>
      <w:r w:rsidR="008F5A0C" w:rsidRP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[The section </w:t>
      </w:r>
      <w:r w:rsid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language </w:t>
      </w:r>
      <w:r w:rsidR="008F5A0C" w:rsidRP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revised during </w:t>
      </w:r>
      <w:r w:rsidR="00F146FD">
        <w:rPr>
          <w:rFonts w:ascii="Arial" w:eastAsia="Calibri" w:hAnsi="Arial"/>
          <w:snapToGrid w:val="0"/>
          <w:color w:val="943634"/>
          <w:sz w:val="24"/>
          <w:szCs w:val="24"/>
        </w:rPr>
        <w:t>August 1</w:t>
      </w:r>
      <w:r w:rsidR="008F5A0C" w:rsidRP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, 2023, meeting by the Commission and agreed to by the Agency. See </w:t>
      </w:r>
      <w:r w:rsidR="008A6E56">
        <w:rPr>
          <w:rFonts w:ascii="Arial" w:eastAsia="Calibri" w:hAnsi="Arial"/>
          <w:snapToGrid w:val="0"/>
          <w:color w:val="943634"/>
          <w:sz w:val="24"/>
          <w:szCs w:val="24"/>
        </w:rPr>
        <w:t>the</w:t>
      </w:r>
      <w:r w:rsidR="008F5A0C" w:rsidRP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 </w:t>
      </w:r>
      <w:r w:rsidR="008A6E56">
        <w:rPr>
          <w:rFonts w:ascii="Arial" w:eastAsia="Calibri" w:hAnsi="Arial"/>
          <w:snapToGrid w:val="0"/>
          <w:color w:val="943634"/>
          <w:sz w:val="24"/>
          <w:szCs w:val="24"/>
        </w:rPr>
        <w:t>j</w:t>
      </w:r>
      <w:r w:rsidR="008F5A0C" w:rsidRPr="005F054C">
        <w:rPr>
          <w:rFonts w:ascii="Arial" w:eastAsia="Calibri" w:hAnsi="Arial"/>
          <w:snapToGrid w:val="0"/>
          <w:color w:val="943634"/>
          <w:sz w:val="24"/>
          <w:szCs w:val="24"/>
        </w:rPr>
        <w:t xml:space="preserve">ustification </w:t>
      </w:r>
      <w:r w:rsidR="008A6E56">
        <w:rPr>
          <w:rFonts w:ascii="Arial" w:eastAsia="Calibri" w:hAnsi="Arial"/>
          <w:snapToGrid w:val="0"/>
          <w:color w:val="943634"/>
          <w:sz w:val="24"/>
          <w:szCs w:val="24"/>
        </w:rPr>
        <w:t>above</w:t>
      </w:r>
      <w:r w:rsidR="008F5A0C" w:rsidRPr="008A6E56">
        <w:rPr>
          <w:rFonts w:ascii="Arial" w:eastAsia="Calibri" w:hAnsi="Arial"/>
          <w:snapToGrid w:val="0"/>
          <w:color w:val="943634"/>
          <w:sz w:val="24"/>
          <w:szCs w:val="24"/>
        </w:rPr>
        <w:t>.]</w:t>
      </w:r>
      <w:bookmarkEnd w:id="0"/>
      <w:r w:rsidRPr="008A6E56">
        <w:rPr>
          <w:rFonts w:ascii="Arial" w:eastAsia="Calibri" w:hAnsi="Arial"/>
          <w:snapToGrid w:val="0"/>
          <w:color w:val="943634"/>
          <w:sz w:val="24"/>
          <w:szCs w:val="24"/>
        </w:rPr>
        <w:t xml:space="preserve"> </w:t>
      </w:r>
      <w:r w:rsidRPr="005F054C">
        <w:rPr>
          <w:rFonts w:ascii="Arial" w:eastAsia="Calibri" w:hAnsi="Arial"/>
          <w:i/>
          <w:iCs/>
          <w:snapToGrid w:val="0"/>
          <w:color w:val="943634"/>
          <w:sz w:val="24"/>
          <w:szCs w:val="24"/>
          <w:u w:val="single"/>
        </w:rPr>
        <w:t>Authority Having Jurisdiction</w:t>
      </w:r>
      <w:r w:rsidRPr="005F054C">
        <w:rPr>
          <w:rFonts w:ascii="Arial" w:eastAsia="Calibri" w:hAnsi="Arial"/>
          <w:i/>
          <w:iCs/>
          <w:snapToGrid w:val="0"/>
          <w:sz w:val="24"/>
          <w:szCs w:val="24"/>
          <w:u w:val="single"/>
        </w:rPr>
        <w:t>, whichever is greater</w:t>
      </w:r>
      <w:r w:rsidRPr="005F054C">
        <w:rPr>
          <w:rFonts w:ascii="Arial" w:eastAsia="Calibri" w:hAnsi="Arial"/>
          <w:i/>
          <w:iCs/>
          <w:snapToGrid w:val="0"/>
          <w:sz w:val="24"/>
          <w:szCs w:val="24"/>
        </w:rPr>
        <w:t>.</w:t>
      </w:r>
    </w:p>
    <w:p w14:paraId="3F6F8011" w14:textId="77777777" w:rsidR="00F772F1" w:rsidRPr="005F054C" w:rsidRDefault="00F772F1" w:rsidP="00F772F1">
      <w:pPr>
        <w:spacing w:after="120"/>
        <w:rPr>
          <w:rFonts w:ascii="Arial" w:hAnsi="Arial"/>
          <w:b/>
          <w:bCs/>
          <w:snapToGrid w:val="0"/>
          <w:sz w:val="24"/>
          <w:szCs w:val="24"/>
        </w:rPr>
      </w:pPr>
      <w:r w:rsidRPr="005F054C">
        <w:rPr>
          <w:rFonts w:ascii="Arial" w:hAnsi="Arial"/>
          <w:b/>
          <w:bCs/>
          <w:snapToGrid w:val="0"/>
          <w:sz w:val="24"/>
          <w:szCs w:val="24"/>
        </w:rPr>
        <w:t>Notation:</w:t>
      </w:r>
    </w:p>
    <w:p w14:paraId="3390E0D9" w14:textId="77777777" w:rsidR="00F772F1" w:rsidRPr="005F054C" w:rsidRDefault="00F772F1" w:rsidP="00F772F1">
      <w:pPr>
        <w:spacing w:after="120"/>
        <w:rPr>
          <w:rFonts w:ascii="Arial" w:hAnsi="Arial" w:cs="Arial"/>
          <w:snapToGrid w:val="0"/>
          <w:sz w:val="24"/>
          <w:szCs w:val="24"/>
        </w:rPr>
      </w:pPr>
      <w:r w:rsidRPr="005F054C">
        <w:rPr>
          <w:rFonts w:ascii="Arial" w:hAnsi="Arial" w:cs="Arial"/>
          <w:snapToGrid w:val="0"/>
          <w:sz w:val="24"/>
          <w:szCs w:val="24"/>
        </w:rPr>
        <w:t>Authority: Health and Safety Code, Sections 1275, 129675-130070</w:t>
      </w:r>
    </w:p>
    <w:p w14:paraId="7B528E04" w14:textId="593BB120" w:rsidR="00A7065F" w:rsidRPr="00DE1A78" w:rsidRDefault="00F772F1" w:rsidP="00776D8A">
      <w:pPr>
        <w:tabs>
          <w:tab w:val="left" w:pos="540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5F054C">
        <w:rPr>
          <w:rFonts w:ascii="Arial" w:hAnsi="Arial" w:cs="Arial"/>
          <w:snapToGrid w:val="0"/>
          <w:sz w:val="24"/>
          <w:szCs w:val="24"/>
        </w:rPr>
        <w:t>Reference(s): Health and Safety Code, Section 129850</w:t>
      </w:r>
    </w:p>
    <w:sectPr w:rsidR="00A7065F" w:rsidRPr="00DE1A78">
      <w:footnotePr>
        <w:numRestart w:val="eachSect"/>
      </w:footnotePr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01B3" w14:textId="77777777" w:rsidR="00C265C1" w:rsidRDefault="00C265C1" w:rsidP="004A657F">
      <w:r>
        <w:separator/>
      </w:r>
    </w:p>
  </w:endnote>
  <w:endnote w:type="continuationSeparator" w:id="0">
    <w:p w14:paraId="22E52231" w14:textId="77777777" w:rsidR="00C265C1" w:rsidRDefault="00C265C1" w:rsidP="004A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68F0" w14:textId="77777777" w:rsidR="00C265C1" w:rsidRDefault="00C265C1" w:rsidP="004A657F">
      <w:r>
        <w:separator/>
      </w:r>
    </w:p>
  </w:footnote>
  <w:footnote w:type="continuationSeparator" w:id="0">
    <w:p w14:paraId="54D59138" w14:textId="77777777" w:rsidR="00C265C1" w:rsidRDefault="00C265C1" w:rsidP="004A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D5F"/>
    <w:multiLevelType w:val="hybridMultilevel"/>
    <w:tmpl w:val="5B26569E"/>
    <w:lvl w:ilvl="0" w:tplc="56323610">
      <w:start w:val="1"/>
      <w:numFmt w:val="decimal"/>
      <w:lvlText w:val="%1."/>
      <w:lvlJc w:val="left"/>
      <w:pPr>
        <w:ind w:left="144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C1DAA"/>
    <w:multiLevelType w:val="hybridMultilevel"/>
    <w:tmpl w:val="01D00620"/>
    <w:lvl w:ilvl="0" w:tplc="62B051F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9F52FBA"/>
    <w:multiLevelType w:val="singleLevel"/>
    <w:tmpl w:val="608EB3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08707753">
    <w:abstractNumId w:val="2"/>
  </w:num>
  <w:num w:numId="2" w16cid:durableId="181937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80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0F"/>
    <w:rsid w:val="000249A1"/>
    <w:rsid w:val="00107FBC"/>
    <w:rsid w:val="001178C3"/>
    <w:rsid w:val="00126836"/>
    <w:rsid w:val="002332C9"/>
    <w:rsid w:val="00256EBC"/>
    <w:rsid w:val="00265C90"/>
    <w:rsid w:val="00293DB1"/>
    <w:rsid w:val="002A0FEE"/>
    <w:rsid w:val="002F080B"/>
    <w:rsid w:val="00311E00"/>
    <w:rsid w:val="00346684"/>
    <w:rsid w:val="00352A6A"/>
    <w:rsid w:val="003756E7"/>
    <w:rsid w:val="00395028"/>
    <w:rsid w:val="003B38EF"/>
    <w:rsid w:val="00407087"/>
    <w:rsid w:val="00414C9C"/>
    <w:rsid w:val="00415DCC"/>
    <w:rsid w:val="00446073"/>
    <w:rsid w:val="0045561D"/>
    <w:rsid w:val="004A4582"/>
    <w:rsid w:val="004A657F"/>
    <w:rsid w:val="00530746"/>
    <w:rsid w:val="005C08C3"/>
    <w:rsid w:val="005C19AB"/>
    <w:rsid w:val="005E6662"/>
    <w:rsid w:val="005F054C"/>
    <w:rsid w:val="0060684D"/>
    <w:rsid w:val="00672C0F"/>
    <w:rsid w:val="006C197D"/>
    <w:rsid w:val="006D4D46"/>
    <w:rsid w:val="007051CB"/>
    <w:rsid w:val="0076290C"/>
    <w:rsid w:val="00770528"/>
    <w:rsid w:val="00776D8A"/>
    <w:rsid w:val="007E5B28"/>
    <w:rsid w:val="00813A76"/>
    <w:rsid w:val="0085556F"/>
    <w:rsid w:val="00885D39"/>
    <w:rsid w:val="008A6E56"/>
    <w:rsid w:val="008F5A0C"/>
    <w:rsid w:val="00906C85"/>
    <w:rsid w:val="00985B2C"/>
    <w:rsid w:val="009E1BCB"/>
    <w:rsid w:val="00A7065F"/>
    <w:rsid w:val="00B75FF3"/>
    <w:rsid w:val="00B8074B"/>
    <w:rsid w:val="00BF6EB2"/>
    <w:rsid w:val="00C26321"/>
    <w:rsid w:val="00C265C1"/>
    <w:rsid w:val="00D65E2D"/>
    <w:rsid w:val="00DE1A78"/>
    <w:rsid w:val="00DF0E3A"/>
    <w:rsid w:val="00E420F4"/>
    <w:rsid w:val="00ED3104"/>
    <w:rsid w:val="00EE726F"/>
    <w:rsid w:val="00F146FD"/>
    <w:rsid w:val="00F22D53"/>
    <w:rsid w:val="00F5385E"/>
    <w:rsid w:val="00F6380A"/>
    <w:rsid w:val="00F772F1"/>
    <w:rsid w:val="00FE3D4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B54C1"/>
  <w15:chartTrackingRefBased/>
  <w15:docId w15:val="{96C229FB-2ED7-4813-84C6-98E609A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widowControl/>
      <w:ind w:right="-1252"/>
      <w:outlineLvl w:val="0"/>
    </w:pPr>
    <w:rPr>
      <w:rFonts w:ascii="Times" w:hAnsi="Times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right" w:pos="9900"/>
      </w:tabs>
      <w:outlineLvl w:val="1"/>
    </w:pPr>
    <w:rPr>
      <w:rFonts w:ascii="Times" w:hAnsi="Times"/>
      <w:b/>
      <w:sz w:val="36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widowControl w:val="0"/>
      <w:ind w:left="1488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42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720"/>
      <w:jc w:val="both"/>
    </w:pPr>
    <w:rPr>
      <w:rFonts w:ascii="Times" w:hAnsi="Times"/>
      <w:sz w:val="24"/>
    </w:rPr>
  </w:style>
  <w:style w:type="paragraph" w:styleId="BodyTextIndent">
    <w:name w:val="Body Text Indent"/>
    <w:basedOn w:val="Normal"/>
    <w:pPr>
      <w:spacing w:line="216" w:lineRule="auto"/>
      <w:ind w:left="1440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left" w:pos="720"/>
        <w:tab w:val="left" w:pos="900"/>
        <w:tab w:val="left" w:pos="2040"/>
        <w:tab w:val="left" w:pos="26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sz w:val="22"/>
    </w:rPr>
  </w:style>
  <w:style w:type="character" w:customStyle="1" w:styleId="HeaderChar">
    <w:name w:val="Header Char"/>
    <w:link w:val="Header"/>
    <w:rsid w:val="00415DCC"/>
    <w:rPr>
      <w:rFonts w:ascii="Courier" w:hAnsi="Courier"/>
    </w:rPr>
  </w:style>
  <w:style w:type="paragraph" w:customStyle="1" w:styleId="STAMP">
    <w:name w:val="STAMP"/>
    <w:basedOn w:val="Normal"/>
    <w:link w:val="STAMPChar"/>
    <w:qFormat/>
    <w:rsid w:val="00346684"/>
    <w:pPr>
      <w:spacing w:after="240"/>
      <w:jc w:val="center"/>
    </w:pPr>
    <w:rPr>
      <w:rFonts w:ascii="Century Gothic" w:hAnsi="Century Gothic"/>
      <w:snapToGrid w:val="0"/>
      <w:sz w:val="24"/>
    </w:rPr>
  </w:style>
  <w:style w:type="character" w:customStyle="1" w:styleId="STAMPChar">
    <w:name w:val="STAMP Char"/>
    <w:basedOn w:val="DefaultParagraphFont"/>
    <w:link w:val="STAMP"/>
    <w:rsid w:val="00346684"/>
    <w:rPr>
      <w:rFonts w:ascii="Century Gothic" w:hAnsi="Century Gothic"/>
      <w:snapToGrid w:val="0"/>
      <w:sz w:val="24"/>
    </w:rPr>
  </w:style>
  <w:style w:type="paragraph" w:styleId="Revision">
    <w:name w:val="Revision"/>
    <w:hidden/>
    <w:uiPriority w:val="99"/>
    <w:semiHidden/>
    <w:rsid w:val="008F5A0C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Department of General Services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Mills, Laura@DGS</dc:creator>
  <cp:keywords/>
  <cp:lastModifiedBy>Maynard, Beth@DGS</cp:lastModifiedBy>
  <cp:revision>9</cp:revision>
  <cp:lastPrinted>2017-12-20T21:15:00Z</cp:lastPrinted>
  <dcterms:created xsi:type="dcterms:W3CDTF">2023-08-02T23:13:00Z</dcterms:created>
  <dcterms:modified xsi:type="dcterms:W3CDTF">2023-08-03T20:13:00Z</dcterms:modified>
</cp:coreProperties>
</file>