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22962" w14:textId="47E10E02" w:rsidR="00767766" w:rsidRPr="003C3293" w:rsidRDefault="00715AB4" w:rsidP="00EC4AF2">
      <w:pPr>
        <w:pStyle w:val="Heading1"/>
        <w:spacing w:after="240"/>
        <w:jc w:val="center"/>
        <w:rPr>
          <w:rFonts w:cs="Arial"/>
          <w:szCs w:val="24"/>
        </w:rPr>
      </w:pPr>
      <w:r w:rsidRPr="003C3293">
        <w:rPr>
          <w:rFonts w:cs="Arial"/>
        </w:rPr>
        <w:t>FINAL</w:t>
      </w:r>
      <w:r w:rsidR="00767766" w:rsidRPr="003C3293">
        <w:rPr>
          <w:rFonts w:cs="Arial"/>
        </w:rPr>
        <w:t xml:space="preserve"> EXPRESS TERMS</w:t>
      </w:r>
      <w:r w:rsidR="00767766" w:rsidRPr="003C3293">
        <w:rPr>
          <w:rFonts w:cs="Arial"/>
        </w:rPr>
        <w:br/>
        <w:t>FOR PROPOSED BUILDING STANDARDS</w:t>
      </w:r>
      <w:r w:rsidR="00767766" w:rsidRPr="003C3293">
        <w:rPr>
          <w:rFonts w:cs="Arial"/>
        </w:rPr>
        <w:br/>
        <w:t xml:space="preserve">OF THE </w:t>
      </w:r>
      <w:r w:rsidR="008150C4">
        <w:rPr>
          <w:rFonts w:cs="Arial"/>
        </w:rPr>
        <w:t>DIVISION OF THE STATE ARCHITECT</w:t>
      </w:r>
      <w:r w:rsidR="00767766" w:rsidRPr="003C3293">
        <w:rPr>
          <w:rFonts w:cs="Arial"/>
        </w:rPr>
        <w:br/>
        <w:t xml:space="preserve">REGARDING THE </w:t>
      </w:r>
      <w:r w:rsidR="008150C4">
        <w:rPr>
          <w:rFonts w:cs="Arial"/>
        </w:rPr>
        <w:t xml:space="preserve">2022 </w:t>
      </w:r>
      <w:r w:rsidR="006E5CB6">
        <w:rPr>
          <w:rFonts w:cs="Arial"/>
        </w:rPr>
        <w:t xml:space="preserve">CALIFORNIA PLUMBING </w:t>
      </w:r>
      <w:r w:rsidR="008150C4">
        <w:rPr>
          <w:rFonts w:cs="Arial"/>
        </w:rPr>
        <w:t>CODE</w:t>
      </w:r>
      <w:r w:rsidR="00767766" w:rsidRPr="003C3293">
        <w:rPr>
          <w:rFonts w:cs="Arial"/>
        </w:rPr>
        <w:t>,</w:t>
      </w:r>
      <w:r w:rsidR="007732DD">
        <w:rPr>
          <w:rFonts w:cs="Arial"/>
        </w:rPr>
        <w:br/>
      </w:r>
      <w:r w:rsidR="00767766" w:rsidRPr="003C3293">
        <w:rPr>
          <w:rFonts w:cs="Arial"/>
        </w:rPr>
        <w:t xml:space="preserve">CALIFORNIA CODE OF REGULATIONS, TITLE 24, PART </w:t>
      </w:r>
      <w:r w:rsidR="008150C4">
        <w:rPr>
          <w:rFonts w:cs="Arial"/>
        </w:rPr>
        <w:t>5</w:t>
      </w:r>
      <w:r w:rsidR="007732DD">
        <w:rPr>
          <w:rFonts w:cs="Arial"/>
        </w:rPr>
        <w:br/>
      </w:r>
      <w:r w:rsidR="00767766" w:rsidRPr="003C3293">
        <w:rPr>
          <w:rFonts w:cs="Arial"/>
          <w:szCs w:val="24"/>
        </w:rPr>
        <w:t>(</w:t>
      </w:r>
      <w:r w:rsidR="008150C4">
        <w:rPr>
          <w:rFonts w:cs="Arial"/>
          <w:szCs w:val="24"/>
        </w:rPr>
        <w:t>DSA-SS 05</w:t>
      </w:r>
      <w:r w:rsidR="00805192">
        <w:rPr>
          <w:rFonts w:cs="Arial"/>
          <w:szCs w:val="24"/>
        </w:rPr>
        <w:t>/</w:t>
      </w:r>
      <w:r w:rsidR="008150C4">
        <w:rPr>
          <w:rFonts w:cs="Arial"/>
          <w:szCs w:val="24"/>
        </w:rPr>
        <w:t>22</w:t>
      </w:r>
      <w:r w:rsidR="00767766" w:rsidRPr="003C3293">
        <w:rPr>
          <w:rFonts w:cs="Arial"/>
          <w:szCs w:val="24"/>
        </w:rPr>
        <w:t>)</w:t>
      </w:r>
    </w:p>
    <w:p w14:paraId="099A5664" w14:textId="77777777" w:rsidR="00767766" w:rsidRPr="003C3293" w:rsidRDefault="00767766" w:rsidP="00EC4AF2">
      <w:r w:rsidRPr="003C3293">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38A2E9B2" w14:textId="77777777" w:rsidR="003C093F" w:rsidRPr="003C3293" w:rsidRDefault="003C093F" w:rsidP="00EC4AF2">
      <w:pPr>
        <w:pBdr>
          <w:top w:val="single" w:sz="4" w:space="1" w:color="auto"/>
        </w:pBdr>
        <w:rPr>
          <w:rFonts w:cs="Arial"/>
        </w:rPr>
      </w:pPr>
      <w:r w:rsidRPr="003C3293">
        <w:rPr>
          <w:rFonts w:cs="Arial"/>
          <w:szCs w:val="24"/>
        </w:rPr>
        <w:t>If using assistive technology, please adjust your settings to recognize underline, strikeout, italics and ellipsis.</w:t>
      </w:r>
    </w:p>
    <w:p w14:paraId="5CEC1AB8" w14:textId="77777777" w:rsidR="003C093F" w:rsidRPr="003C3293" w:rsidRDefault="003C093F" w:rsidP="00EC4AF2">
      <w:pPr>
        <w:pStyle w:val="Heading2"/>
        <w:spacing w:before="0" w:after="0"/>
        <w:rPr>
          <w:rFonts w:cs="Arial"/>
        </w:rPr>
      </w:pPr>
      <w:r w:rsidRPr="003C3293">
        <w:rPr>
          <w:rFonts w:cs="Arial"/>
        </w:rPr>
        <w:t xml:space="preserve">LEGEND </w:t>
      </w:r>
      <w:r w:rsidR="002D32D5" w:rsidRPr="003C3293">
        <w:rPr>
          <w:rFonts w:cs="Arial"/>
        </w:rPr>
        <w:t>for</w:t>
      </w:r>
      <w:r w:rsidRPr="003C3293">
        <w:rPr>
          <w:rFonts w:cs="Arial"/>
        </w:rPr>
        <w:t xml:space="preserve"> EXPRESS TERMS (Based on model codes - Parts 2, 2.5, 3, 4, 5, 9, 10)</w:t>
      </w:r>
    </w:p>
    <w:p w14:paraId="230E2A24" w14:textId="77777777" w:rsidR="009B2A67" w:rsidRPr="003C3293" w:rsidRDefault="009B2A67" w:rsidP="00EC4AF2">
      <w:pPr>
        <w:pStyle w:val="ListParagraph"/>
        <w:numPr>
          <w:ilvl w:val="0"/>
          <w:numId w:val="9"/>
        </w:numPr>
        <w:rPr>
          <w:rFonts w:cs="Arial"/>
        </w:rPr>
      </w:pPr>
      <w:r w:rsidRPr="003C3293">
        <w:rPr>
          <w:rFonts w:cs="Arial"/>
        </w:rPr>
        <w:t>Model Code language appears upright</w:t>
      </w:r>
    </w:p>
    <w:p w14:paraId="7173711B" w14:textId="77777777" w:rsidR="009B2A67" w:rsidRPr="003C3293" w:rsidRDefault="009B2A67" w:rsidP="00EC4AF2">
      <w:pPr>
        <w:pStyle w:val="ListParagraph"/>
        <w:numPr>
          <w:ilvl w:val="0"/>
          <w:numId w:val="9"/>
        </w:numPr>
        <w:rPr>
          <w:rFonts w:cs="Arial"/>
        </w:rPr>
      </w:pPr>
      <w:r w:rsidRPr="003C3293">
        <w:rPr>
          <w:rFonts w:cs="Arial"/>
        </w:rPr>
        <w:t xml:space="preserve">Existing California amendments appear in </w:t>
      </w:r>
      <w:r w:rsidRPr="003C3293">
        <w:rPr>
          <w:rFonts w:cs="Arial"/>
          <w:i/>
        </w:rPr>
        <w:t>italic</w:t>
      </w:r>
    </w:p>
    <w:p w14:paraId="74C70454" w14:textId="77777777" w:rsidR="009B2A67" w:rsidRPr="003C3293" w:rsidRDefault="009B2A67" w:rsidP="00EC4AF2">
      <w:pPr>
        <w:pStyle w:val="ListParagraph"/>
        <w:numPr>
          <w:ilvl w:val="0"/>
          <w:numId w:val="9"/>
        </w:numPr>
        <w:rPr>
          <w:rFonts w:cs="Arial"/>
          <w:i/>
          <w:u w:val="single"/>
        </w:rPr>
      </w:pPr>
      <w:r w:rsidRPr="003C3293">
        <w:rPr>
          <w:rFonts w:cs="Arial"/>
        </w:rPr>
        <w:t xml:space="preserve">Amended model code or new California amendments appear </w:t>
      </w:r>
      <w:r w:rsidRPr="003C3293">
        <w:rPr>
          <w:rFonts w:cs="Arial"/>
          <w:i/>
          <w:u w:val="single"/>
        </w:rPr>
        <w:t>underlined &amp; italic</w:t>
      </w:r>
    </w:p>
    <w:p w14:paraId="11FDFD89" w14:textId="77777777" w:rsidR="009B2A67" w:rsidRPr="003C3293" w:rsidRDefault="009B2A67" w:rsidP="00EC4AF2">
      <w:pPr>
        <w:pStyle w:val="ListParagraph"/>
        <w:numPr>
          <w:ilvl w:val="0"/>
          <w:numId w:val="9"/>
        </w:numPr>
        <w:rPr>
          <w:rFonts w:cs="Arial"/>
        </w:rPr>
      </w:pPr>
      <w:r w:rsidRPr="003C3293">
        <w:rPr>
          <w:rFonts w:cs="Arial"/>
        </w:rPr>
        <w:t xml:space="preserve">Repealed model code language appears </w:t>
      </w:r>
      <w:r w:rsidRPr="003C3293">
        <w:rPr>
          <w:rFonts w:cs="Arial"/>
          <w:strike/>
        </w:rPr>
        <w:t>upright and in strikeout</w:t>
      </w:r>
    </w:p>
    <w:p w14:paraId="57F41D5A" w14:textId="77777777" w:rsidR="009B2A67" w:rsidRPr="003C3293" w:rsidRDefault="009B2A67" w:rsidP="00EC4AF2">
      <w:pPr>
        <w:pStyle w:val="ListParagraph"/>
        <w:numPr>
          <w:ilvl w:val="0"/>
          <w:numId w:val="9"/>
        </w:numPr>
        <w:rPr>
          <w:rFonts w:cs="Arial"/>
        </w:rPr>
      </w:pPr>
      <w:r w:rsidRPr="003C3293">
        <w:rPr>
          <w:rFonts w:cs="Arial"/>
        </w:rPr>
        <w:t xml:space="preserve">Repealed California amendments appear in </w:t>
      </w:r>
      <w:r w:rsidRPr="003C3293">
        <w:rPr>
          <w:rFonts w:cs="Arial"/>
          <w:i/>
          <w:strike/>
        </w:rPr>
        <w:t>italic and strikeout</w:t>
      </w:r>
    </w:p>
    <w:p w14:paraId="4B16E275" w14:textId="2FB3C5BF" w:rsidR="009B2A67" w:rsidRPr="003C3293" w:rsidRDefault="009B2A67" w:rsidP="00EC4AF2">
      <w:pPr>
        <w:pStyle w:val="ListParagraph"/>
        <w:numPr>
          <w:ilvl w:val="0"/>
          <w:numId w:val="9"/>
        </w:numPr>
        <w:spacing w:after="0"/>
        <w:rPr>
          <w:rFonts w:cs="Arial"/>
        </w:rPr>
      </w:pPr>
      <w:r w:rsidRPr="003C3293">
        <w:rPr>
          <w:rFonts w:cs="Arial"/>
        </w:rPr>
        <w:t>Ellips</w:t>
      </w:r>
      <w:r w:rsidR="00541A06">
        <w:rPr>
          <w:rFonts w:cs="Arial"/>
        </w:rPr>
        <w:t>e</w:t>
      </w:r>
      <w:r w:rsidRPr="003C3293">
        <w:rPr>
          <w:rFonts w:cs="Arial"/>
        </w:rPr>
        <w:t xml:space="preserve">s </w:t>
      </w:r>
      <w:r w:rsidRPr="003C3293">
        <w:rPr>
          <w:rFonts w:cs="Arial"/>
          <w:szCs w:val="24"/>
        </w:rPr>
        <w:t>(</w:t>
      </w:r>
      <w:r w:rsidRPr="003C3293">
        <w:rPr>
          <w:rFonts w:cs="Arial"/>
          <w:sz w:val="2"/>
          <w:szCs w:val="2"/>
        </w:rPr>
        <w:t xml:space="preserve"> </w:t>
      </w:r>
      <w:r w:rsidRPr="003C3293">
        <w:rPr>
          <w:rFonts w:eastAsia="Times New Roman" w:cs="Arial"/>
          <w:szCs w:val="24"/>
          <w:lang w:eastAsia="ko-KR"/>
        </w:rPr>
        <w:t>...)</w:t>
      </w:r>
      <w:r w:rsidRPr="003C3293">
        <w:rPr>
          <w:rFonts w:eastAsia="Times New Roman" w:cs="Arial"/>
          <w:lang w:eastAsia="ko-KR"/>
        </w:rPr>
        <w:t xml:space="preserve"> indicate existing text remains unchanged</w:t>
      </w:r>
    </w:p>
    <w:p w14:paraId="3E01EDF1" w14:textId="77777777" w:rsidR="00831179" w:rsidRPr="003C3293" w:rsidRDefault="00831179" w:rsidP="00EC4AF2">
      <w:pPr>
        <w:pStyle w:val="BodyText3"/>
        <w:pBdr>
          <w:bottom w:val="single" w:sz="4" w:space="1" w:color="auto"/>
        </w:pBdr>
        <w:jc w:val="left"/>
        <w:rPr>
          <w:rFonts w:cs="Arial"/>
          <w:szCs w:val="24"/>
        </w:rPr>
      </w:pPr>
    </w:p>
    <w:p w14:paraId="65FF811E" w14:textId="77777777" w:rsidR="00767766" w:rsidRPr="003C3293" w:rsidRDefault="00B60CE5" w:rsidP="00EC4AF2">
      <w:pPr>
        <w:pStyle w:val="Heading2"/>
        <w:spacing w:before="0"/>
        <w:rPr>
          <w:bCs/>
        </w:rPr>
      </w:pPr>
      <w:r w:rsidRPr="003C3293">
        <w:t>FINAL</w:t>
      </w:r>
      <w:r w:rsidR="00767766" w:rsidRPr="003C3293">
        <w:t xml:space="preserve"> EXPRESS TERMS</w:t>
      </w:r>
    </w:p>
    <w:p w14:paraId="3C245FAE" w14:textId="5CBB50F8" w:rsidR="00831179" w:rsidRPr="003C3293" w:rsidRDefault="005400B2" w:rsidP="00EC4AF2">
      <w:pPr>
        <w:pStyle w:val="Heading3"/>
        <w:spacing w:before="0"/>
        <w:rPr>
          <w:noProof/>
        </w:rPr>
      </w:pPr>
      <w:r w:rsidRPr="003C3293">
        <w:t>ITEM</w:t>
      </w:r>
      <w:r w:rsidR="00831179" w:rsidRPr="003C3293">
        <w:t xml:space="preserve"> </w:t>
      </w:r>
      <w:r w:rsidR="008150C4">
        <w:rPr>
          <w:noProof/>
        </w:rPr>
        <w:t>1</w:t>
      </w:r>
      <w:r w:rsidR="00010BCA" w:rsidRPr="003C3293">
        <w:rPr>
          <w:snapToGrid/>
        </w:rPr>
        <w:br/>
      </w:r>
      <w:r w:rsidR="00831179" w:rsidRPr="003C3293">
        <w:t>Chapter</w:t>
      </w:r>
      <w:r w:rsidR="008150C4" w:rsidRPr="00AD67B3">
        <w:t xml:space="preserve"> </w:t>
      </w:r>
      <w:r w:rsidR="008150C4">
        <w:rPr>
          <w:noProof/>
        </w:rPr>
        <w:t xml:space="preserve">2 DEFINITIONS, </w:t>
      </w:r>
      <w:r w:rsidR="008150C4" w:rsidRPr="006F74EE">
        <w:rPr>
          <w:noProof/>
        </w:rPr>
        <w:t xml:space="preserve">Section </w:t>
      </w:r>
      <w:r w:rsidR="008150C4">
        <w:rPr>
          <w:noProof/>
        </w:rPr>
        <w:t>218.0</w:t>
      </w:r>
      <w:r w:rsidR="008150C4" w:rsidRPr="006F74EE">
        <w:rPr>
          <w:noProof/>
        </w:rPr>
        <w:t>.</w:t>
      </w:r>
    </w:p>
    <w:p w14:paraId="6C463EDE" w14:textId="391BB99E" w:rsidR="008150C4" w:rsidRDefault="008150C4" w:rsidP="002300F5">
      <w:pPr>
        <w:spacing w:after="0"/>
        <w:rPr>
          <w:rFonts w:ascii="Calibri" w:hAnsi="Calibri"/>
          <w:i/>
          <w:iCs/>
          <w:sz w:val="22"/>
          <w:u w:val="single"/>
        </w:rPr>
      </w:pPr>
      <w:r>
        <w:rPr>
          <w:b/>
          <w:bCs/>
          <w:i/>
          <w:iCs/>
          <w:u w:val="single"/>
        </w:rPr>
        <w:t>Privacy Compartment: [DSA-SS]</w:t>
      </w:r>
      <w:r>
        <w:rPr>
          <w:b/>
          <w:bCs/>
          <w:i/>
          <w:iCs/>
        </w:rPr>
        <w:t xml:space="preserve"> </w:t>
      </w:r>
      <w:r>
        <w:rPr>
          <w:i/>
          <w:iCs/>
          <w:u w:val="single"/>
        </w:rPr>
        <w:t>A compartment enclosing a water closet or urinal</w:t>
      </w:r>
      <w:r w:rsidRPr="008150C4">
        <w:rPr>
          <w:i/>
          <w:iCs/>
          <w:u w:val="single"/>
        </w:rPr>
        <w:t xml:space="preserve"> provided with floor-to-ceiling pre-manufactured panels, continuous brackets at abutting panels, and a floor-to-ceiling door with continuous hinges and full height astragals. Privacy compartments may also be constructed with full-height walls and door with head jamb casing.</w:t>
      </w:r>
    </w:p>
    <w:p w14:paraId="2B485704" w14:textId="77777777" w:rsidR="008150C4" w:rsidRPr="00AD67B3" w:rsidRDefault="008150C4" w:rsidP="008150C4">
      <w:pPr>
        <w:spacing w:before="120"/>
        <w:rPr>
          <w:rFonts w:cs="Arial"/>
        </w:rPr>
      </w:pPr>
      <w:r w:rsidRPr="00AD67B3">
        <w:rPr>
          <w:rFonts w:cs="Arial"/>
          <w:b/>
        </w:rPr>
        <w:t>Notation:</w:t>
      </w:r>
      <w:r>
        <w:rPr>
          <w:rFonts w:cs="Arial"/>
          <w:b/>
        </w:rPr>
        <w:t xml:space="preserve"> DSA-SS</w:t>
      </w:r>
    </w:p>
    <w:p w14:paraId="113EEF93" w14:textId="77777777" w:rsidR="008150C4" w:rsidRPr="00AD67B3" w:rsidRDefault="008150C4" w:rsidP="00204605">
      <w:pPr>
        <w:spacing w:after="0"/>
        <w:rPr>
          <w:rFonts w:cs="Arial"/>
        </w:rPr>
      </w:pPr>
      <w:r w:rsidRPr="00AD67B3">
        <w:rPr>
          <w:rFonts w:cs="Arial"/>
        </w:rPr>
        <w:t xml:space="preserve">Authority: </w:t>
      </w:r>
      <w:r>
        <w:rPr>
          <w:rFonts w:cs="Arial"/>
        </w:rPr>
        <w:t xml:space="preserve">Education Code Sections 17310 and 81142, and </w:t>
      </w:r>
      <w:r>
        <w:rPr>
          <w:rFonts w:cs="Arial"/>
          <w:noProof/>
        </w:rPr>
        <w:t>Health and Safety Code Section 16022.</w:t>
      </w:r>
    </w:p>
    <w:p w14:paraId="367999F1" w14:textId="77777777" w:rsidR="008150C4" w:rsidRDefault="008150C4" w:rsidP="008150C4">
      <w:pPr>
        <w:spacing w:before="120"/>
        <w:rPr>
          <w:rFonts w:cs="Arial"/>
          <w:noProof/>
        </w:rPr>
      </w:pPr>
      <w:r w:rsidRPr="00AD67B3">
        <w:rPr>
          <w:rFonts w:cs="Arial"/>
        </w:rPr>
        <w:t xml:space="preserve">Reference(s): </w:t>
      </w:r>
      <w:bookmarkStart w:id="0" w:name="_Hlk127279071"/>
      <w:r>
        <w:rPr>
          <w:rFonts w:cs="Arial"/>
        </w:rPr>
        <w:t xml:space="preserve">Education Code Sections 17280 through 17317, 81052 and 81130 through 81147, and </w:t>
      </w:r>
      <w:r>
        <w:rPr>
          <w:rFonts w:cs="Arial"/>
          <w:noProof/>
        </w:rPr>
        <w:t>Health and Safety Code Sections 16000 through 16023.</w:t>
      </w:r>
      <w:bookmarkEnd w:id="0"/>
    </w:p>
    <w:p w14:paraId="39006B9A" w14:textId="77777777" w:rsidR="008150C4" w:rsidRPr="00AD6518" w:rsidRDefault="008150C4" w:rsidP="00204605">
      <w:pPr>
        <w:pStyle w:val="Heading3"/>
      </w:pPr>
      <w:r w:rsidRPr="00794FF1">
        <w:t>ITEM 2</w:t>
      </w:r>
      <w:r w:rsidRPr="003C3293">
        <w:rPr>
          <w:snapToGrid/>
        </w:rPr>
        <w:br/>
      </w:r>
      <w:r w:rsidRPr="00AD6518">
        <w:t xml:space="preserve">Chapter </w:t>
      </w:r>
      <w:r w:rsidRPr="00AD6518">
        <w:rPr>
          <w:noProof/>
        </w:rPr>
        <w:t xml:space="preserve">4 PLUMBING FIXTURES AND FIXTURE FITTINGS, </w:t>
      </w:r>
      <w:r w:rsidRPr="00AD6518">
        <w:t xml:space="preserve">Sections </w:t>
      </w:r>
      <w:r w:rsidRPr="00AD6518">
        <w:rPr>
          <w:noProof/>
        </w:rPr>
        <w:t xml:space="preserve">422.1 Fixture Count, </w:t>
      </w:r>
      <w:r w:rsidRPr="00AD6518">
        <w:rPr>
          <w:i/>
          <w:iCs/>
          <w:noProof/>
        </w:rPr>
        <w:t xml:space="preserve">422.1.1 Fixture Calculations, 422.1.2 </w:t>
      </w:r>
      <w:r w:rsidRPr="00AD6518">
        <w:rPr>
          <w:noProof/>
        </w:rPr>
        <w:t xml:space="preserve">Family or Assisted-Use Toilet and Bathing Facilities, and </w:t>
      </w:r>
      <w:bookmarkStart w:id="1" w:name="_Hlk115875451"/>
      <w:r w:rsidRPr="00AD6518">
        <w:rPr>
          <w:noProof/>
        </w:rPr>
        <w:t>422.2 Separate Facilities</w:t>
      </w:r>
      <w:bookmarkEnd w:id="1"/>
      <w:r>
        <w:rPr>
          <w:noProof/>
        </w:rPr>
        <w:t>.</w:t>
      </w:r>
    </w:p>
    <w:p w14:paraId="1A850B16" w14:textId="77777777" w:rsidR="00794FF1" w:rsidRPr="002319D7" w:rsidRDefault="00794FF1" w:rsidP="00794FF1">
      <w:pPr>
        <w:widowControl/>
        <w:autoSpaceDE w:val="0"/>
        <w:autoSpaceDN w:val="0"/>
        <w:adjustRightInd w:val="0"/>
        <w:spacing w:after="0"/>
        <w:rPr>
          <w:rFonts w:cs="Arial"/>
          <w:snapToGrid/>
          <w:szCs w:val="24"/>
        </w:rPr>
      </w:pPr>
      <w:r w:rsidRPr="002319D7">
        <w:rPr>
          <w:rFonts w:cs="Arial"/>
          <w:b/>
          <w:bCs/>
          <w:snapToGrid/>
          <w:szCs w:val="24"/>
        </w:rPr>
        <w:t xml:space="preserve">422.1 Fixture Count. </w:t>
      </w:r>
      <w:r w:rsidRPr="002319D7">
        <w:rPr>
          <w:rFonts w:cs="Arial"/>
          <w:snapToGrid/>
          <w:szCs w:val="24"/>
        </w:rPr>
        <w:t xml:space="preserve">Plumbing fixtures shall be provided for the type of building occupancy and in the minimum number shown in Table 422.1 </w:t>
      </w:r>
      <w:r w:rsidRPr="002319D7">
        <w:rPr>
          <w:rFonts w:cs="Arial"/>
          <w:b/>
          <w:bCs/>
          <w:i/>
          <w:iCs/>
          <w:snapToGrid/>
          <w:szCs w:val="24"/>
        </w:rPr>
        <w:t xml:space="preserve">[OSHPD 1, 2, 3, 4 &amp; 5] </w:t>
      </w:r>
      <w:r w:rsidRPr="002319D7">
        <w:rPr>
          <w:rFonts w:cs="Arial"/>
          <w:i/>
          <w:iCs/>
          <w:snapToGrid/>
          <w:szCs w:val="24"/>
        </w:rPr>
        <w:t>and Table 4-2 and Table 4-3</w:t>
      </w:r>
      <w:r w:rsidRPr="002319D7">
        <w:rPr>
          <w:rFonts w:cs="Arial"/>
          <w:snapToGrid/>
          <w:szCs w:val="24"/>
        </w:rPr>
        <w:t xml:space="preserve">. The total occupant load and occupancy classification shall </w:t>
      </w:r>
      <w:r w:rsidRPr="002319D7">
        <w:rPr>
          <w:rFonts w:cs="Arial"/>
          <w:snapToGrid/>
          <w:szCs w:val="24"/>
        </w:rPr>
        <w:lastRenderedPageBreak/>
        <w:t xml:space="preserve">be determined in accordance with the </w:t>
      </w:r>
      <w:r w:rsidRPr="002319D7">
        <w:rPr>
          <w:rFonts w:cs="Arial"/>
          <w:i/>
          <w:iCs/>
          <w:snapToGrid/>
          <w:szCs w:val="24"/>
        </w:rPr>
        <w:t>California Building Code</w:t>
      </w:r>
      <w:r w:rsidRPr="002319D7">
        <w:rPr>
          <w:rFonts w:cs="Arial"/>
          <w:snapToGrid/>
          <w:szCs w:val="24"/>
        </w:rPr>
        <w:t>. Occupancy classification not shown in Table 422.1 shall be considered separately by the Authority Having Jurisdiction.</w:t>
      </w:r>
    </w:p>
    <w:p w14:paraId="7D071BC3" w14:textId="77777777" w:rsidR="00794FF1" w:rsidRPr="002319D7" w:rsidRDefault="00794FF1" w:rsidP="00794FF1">
      <w:pPr>
        <w:widowControl/>
        <w:autoSpaceDE w:val="0"/>
        <w:autoSpaceDN w:val="0"/>
        <w:adjustRightInd w:val="0"/>
        <w:spacing w:after="0"/>
        <w:rPr>
          <w:rFonts w:cs="Arial"/>
          <w:b/>
          <w:bCs/>
          <w:i/>
          <w:iCs/>
          <w:snapToGrid/>
          <w:szCs w:val="24"/>
        </w:rPr>
      </w:pPr>
    </w:p>
    <w:p w14:paraId="14C100B4" w14:textId="77777777" w:rsidR="00794FF1" w:rsidRPr="002319D7" w:rsidRDefault="00794FF1" w:rsidP="00794FF1">
      <w:pPr>
        <w:widowControl/>
        <w:autoSpaceDE w:val="0"/>
        <w:autoSpaceDN w:val="0"/>
        <w:adjustRightInd w:val="0"/>
        <w:spacing w:after="0"/>
        <w:rPr>
          <w:rFonts w:cs="Arial"/>
          <w:i/>
          <w:iCs/>
          <w:snapToGrid/>
          <w:szCs w:val="24"/>
        </w:rPr>
      </w:pPr>
      <w:r w:rsidRPr="002319D7">
        <w:rPr>
          <w:rFonts w:cs="Arial"/>
          <w:b/>
          <w:bCs/>
          <w:i/>
          <w:iCs/>
          <w:snapToGrid/>
          <w:szCs w:val="24"/>
        </w:rPr>
        <w:t xml:space="preserve">Exception: [BSC, DSA-SS] </w:t>
      </w:r>
      <w:r w:rsidRPr="002319D7">
        <w:rPr>
          <w:rFonts w:cs="Arial"/>
          <w:i/>
          <w:iCs/>
          <w:snapToGrid/>
          <w:szCs w:val="24"/>
        </w:rPr>
        <w:t>Using occupancy</w:t>
      </w:r>
      <w:r>
        <w:rPr>
          <w:rFonts w:cs="Arial"/>
          <w:i/>
          <w:iCs/>
          <w:snapToGrid/>
          <w:szCs w:val="24"/>
        </w:rPr>
        <w:t xml:space="preserve"> </w:t>
      </w:r>
      <w:r w:rsidRPr="002319D7">
        <w:rPr>
          <w:rFonts w:cs="Arial"/>
          <w:i/>
          <w:iCs/>
          <w:snapToGrid/>
          <w:szCs w:val="24"/>
        </w:rPr>
        <w:t>classification, described as function of space, determine</w:t>
      </w:r>
      <w:r>
        <w:rPr>
          <w:rFonts w:cs="Arial"/>
          <w:i/>
          <w:iCs/>
          <w:snapToGrid/>
          <w:szCs w:val="24"/>
        </w:rPr>
        <w:t xml:space="preserve"> </w:t>
      </w:r>
      <w:r w:rsidRPr="002319D7">
        <w:rPr>
          <w:rFonts w:cs="Arial"/>
          <w:i/>
          <w:iCs/>
          <w:snapToGrid/>
          <w:szCs w:val="24"/>
        </w:rPr>
        <w:t>occupant load factor from Table 4-1 Occupant Load Factor, of this chapter.</w:t>
      </w:r>
    </w:p>
    <w:p w14:paraId="4B44AC6B" w14:textId="77777777" w:rsidR="00794FF1" w:rsidRDefault="00794FF1" w:rsidP="00794FF1">
      <w:pPr>
        <w:widowControl/>
        <w:autoSpaceDE w:val="0"/>
        <w:autoSpaceDN w:val="0"/>
        <w:adjustRightInd w:val="0"/>
        <w:spacing w:after="0"/>
        <w:rPr>
          <w:rFonts w:ascii="TimesNewRomanPS-ItalicMT" w:hAnsi="TimesNewRomanPS-ItalicMT" w:cs="TimesNewRomanPS-ItalicMT"/>
          <w:i/>
          <w:iCs/>
          <w:snapToGrid/>
          <w:sz w:val="20"/>
        </w:rPr>
      </w:pPr>
    </w:p>
    <w:p w14:paraId="24975319" w14:textId="77777777" w:rsidR="00794FF1" w:rsidRDefault="00794FF1" w:rsidP="00794FF1">
      <w:pPr>
        <w:ind w:left="720"/>
        <w:rPr>
          <w:i/>
          <w:iCs/>
          <w:noProof/>
          <w:u w:val="single"/>
        </w:rPr>
      </w:pPr>
      <w:r w:rsidRPr="00F87DB6">
        <w:rPr>
          <w:b/>
          <w:bCs/>
          <w:i/>
          <w:iCs/>
          <w:noProof/>
          <w:u w:val="single"/>
        </w:rPr>
        <w:t>422.1.1 Fixture Calculations.</w:t>
      </w:r>
      <w:r w:rsidRPr="00F87DB6">
        <w:rPr>
          <w:b/>
          <w:bCs/>
          <w:noProof/>
          <w:u w:val="single"/>
        </w:rPr>
        <w:t xml:space="preserve"> </w:t>
      </w:r>
      <w:r w:rsidRPr="00F87DB6">
        <w:rPr>
          <w:noProof/>
        </w:rPr>
        <w:t>The minimum number of fixtures shall be calculated at 50 percent male and 50 percent female based on the total occupant load. Where information submitted indicates a difference in the distribution of the sexes such information shall be used to determine the number of fixtures for each sex. Once the occupancy load and occupancy are determined, Table 422.1 shall be applied to determine the minimum number of plumbing fixtures required. Where applying the fixture ratios in Table 422.1 results in fractional numbers, such numbers shall be rounded to the next whole number. For multiple occupancies, fractional numbers shall be first summed and then rounded to the next whole number.</w:t>
      </w:r>
      <w:r>
        <w:rPr>
          <w:noProof/>
        </w:rPr>
        <w:t xml:space="preserve"> </w:t>
      </w:r>
      <w:r w:rsidRPr="00B40A65">
        <w:rPr>
          <w:b/>
          <w:bCs/>
          <w:i/>
          <w:iCs/>
          <w:noProof/>
          <w:u w:val="single"/>
        </w:rPr>
        <w:t>[DSA-SS]</w:t>
      </w:r>
      <w:r>
        <w:rPr>
          <w:b/>
          <w:bCs/>
          <w:noProof/>
        </w:rPr>
        <w:t xml:space="preserve"> </w:t>
      </w:r>
      <w:r w:rsidRPr="00F87DB6">
        <w:rPr>
          <w:i/>
          <w:iCs/>
          <w:noProof/>
          <w:u w:val="single"/>
        </w:rPr>
        <w:t xml:space="preserve">For </w:t>
      </w:r>
      <w:r>
        <w:rPr>
          <w:i/>
          <w:iCs/>
          <w:noProof/>
          <w:u w:val="single"/>
        </w:rPr>
        <w:t>toilet facilities</w:t>
      </w:r>
      <w:r w:rsidRPr="00F87DB6">
        <w:rPr>
          <w:i/>
          <w:iCs/>
          <w:noProof/>
          <w:u w:val="single"/>
        </w:rPr>
        <w:t xml:space="preserve"> designed for use by all genders, the minimum number of fixtures shall be the aggregate calculated at 50 percent female and 50 percent male in accordance with Table 422.1. </w:t>
      </w:r>
      <w:r w:rsidRPr="008642DE">
        <w:rPr>
          <w:i/>
          <w:iCs/>
          <w:noProof/>
          <w:u w:val="single"/>
        </w:rPr>
        <w:t xml:space="preserve">Where multi-user all-gender facilities are provided </w:t>
      </w:r>
      <w:r>
        <w:rPr>
          <w:i/>
          <w:iCs/>
          <w:noProof/>
          <w:u w:val="single"/>
        </w:rPr>
        <w:t xml:space="preserve">in lieu of or </w:t>
      </w:r>
      <w:r w:rsidRPr="008642DE">
        <w:rPr>
          <w:i/>
          <w:iCs/>
          <w:noProof/>
          <w:u w:val="single"/>
        </w:rPr>
        <w:t>in addition to separate men’s and women’s facilities, the total number of fixtures collectively shall be used to determine the number of fixtures provided in an occupancy</w:t>
      </w:r>
      <w:r w:rsidRPr="00F87DB6">
        <w:rPr>
          <w:i/>
          <w:iCs/>
          <w:noProof/>
          <w:u w:val="single"/>
        </w:rPr>
        <w:t>.</w:t>
      </w:r>
      <w:r w:rsidRPr="00DB5EF4">
        <w:rPr>
          <w:i/>
          <w:iCs/>
          <w:noProof/>
          <w:u w:val="single"/>
        </w:rPr>
        <w:t xml:space="preserve"> </w:t>
      </w:r>
      <w:r w:rsidRPr="00216D1D">
        <w:rPr>
          <w:i/>
          <w:iCs/>
          <w:noProof/>
          <w:u w:val="single"/>
        </w:rPr>
        <w:t>The substitution of a water closet for each urinal shall be permitted provided the total number of fixtures installed complies with Table 422.1.</w:t>
      </w:r>
    </w:p>
    <w:p w14:paraId="5C5BB1D5" w14:textId="77777777" w:rsidR="00794FF1" w:rsidRDefault="00794FF1" w:rsidP="00794FF1">
      <w:pPr>
        <w:ind w:left="720"/>
        <w:rPr>
          <w:noProof/>
        </w:rPr>
      </w:pPr>
      <w:r w:rsidRPr="004348D3">
        <w:rPr>
          <w:b/>
          <w:bCs/>
          <w:strike/>
          <w:noProof/>
        </w:rPr>
        <w:t>422.1.</w:t>
      </w:r>
      <w:r>
        <w:rPr>
          <w:b/>
          <w:bCs/>
          <w:strike/>
          <w:noProof/>
        </w:rPr>
        <w:t>1</w:t>
      </w:r>
      <w:r w:rsidRPr="004348D3">
        <w:rPr>
          <w:b/>
          <w:bCs/>
          <w:noProof/>
        </w:rPr>
        <w:t xml:space="preserve"> </w:t>
      </w:r>
      <w:r w:rsidRPr="004348D3">
        <w:rPr>
          <w:b/>
          <w:bCs/>
          <w:i/>
          <w:iCs/>
          <w:noProof/>
          <w:u w:val="single"/>
        </w:rPr>
        <w:t>422.</w:t>
      </w:r>
      <w:r>
        <w:rPr>
          <w:b/>
          <w:bCs/>
          <w:i/>
          <w:iCs/>
          <w:noProof/>
          <w:u w:val="single"/>
        </w:rPr>
        <w:t>1</w:t>
      </w:r>
      <w:r w:rsidRPr="004348D3">
        <w:rPr>
          <w:b/>
          <w:bCs/>
          <w:i/>
          <w:iCs/>
          <w:noProof/>
          <w:u w:val="single"/>
        </w:rPr>
        <w:t>.2</w:t>
      </w:r>
      <w:r w:rsidRPr="004348D3">
        <w:rPr>
          <w:b/>
          <w:bCs/>
          <w:noProof/>
        </w:rPr>
        <w:t xml:space="preserve"> </w:t>
      </w:r>
      <w:bookmarkStart w:id="2" w:name="_Hlk115273240"/>
      <w:r w:rsidRPr="00C0297E">
        <w:rPr>
          <w:b/>
          <w:bCs/>
          <w:noProof/>
        </w:rPr>
        <w:t>Family or Assisted-Use Toilet and</w:t>
      </w:r>
      <w:r>
        <w:rPr>
          <w:b/>
          <w:bCs/>
          <w:noProof/>
        </w:rPr>
        <w:t xml:space="preserve"> </w:t>
      </w:r>
      <w:r w:rsidRPr="00C0297E">
        <w:rPr>
          <w:b/>
          <w:bCs/>
          <w:noProof/>
        </w:rPr>
        <w:t>Bathing Facilities</w:t>
      </w:r>
      <w:bookmarkEnd w:id="2"/>
      <w:r w:rsidRPr="00C0297E">
        <w:rPr>
          <w:b/>
          <w:bCs/>
          <w:noProof/>
        </w:rPr>
        <w:t xml:space="preserve">. </w:t>
      </w:r>
      <w:r w:rsidRPr="00C0297E">
        <w:rPr>
          <w:noProof/>
        </w:rPr>
        <w:t>Where family or assisted-use toilet</w:t>
      </w:r>
      <w:r>
        <w:rPr>
          <w:noProof/>
        </w:rPr>
        <w:t xml:space="preserve"> </w:t>
      </w:r>
      <w:r w:rsidRPr="00C0297E">
        <w:rPr>
          <w:noProof/>
        </w:rPr>
        <w:t>and bathing rooms are required, in applicable building</w:t>
      </w:r>
      <w:r>
        <w:rPr>
          <w:noProof/>
        </w:rPr>
        <w:t xml:space="preserve"> </w:t>
      </w:r>
      <w:r w:rsidRPr="00C0297E">
        <w:rPr>
          <w:noProof/>
        </w:rPr>
        <w:t>regulations, the facilities shall be installed in accordance</w:t>
      </w:r>
      <w:r>
        <w:rPr>
          <w:noProof/>
        </w:rPr>
        <w:t xml:space="preserve"> </w:t>
      </w:r>
      <w:r w:rsidRPr="00C0297E">
        <w:rPr>
          <w:noProof/>
        </w:rPr>
        <w:t>with those regulations.</w:t>
      </w:r>
    </w:p>
    <w:p w14:paraId="44C22AB8" w14:textId="77777777" w:rsidR="00794FF1" w:rsidRDefault="00794FF1" w:rsidP="00794FF1">
      <w:pPr>
        <w:ind w:left="720"/>
        <w:rPr>
          <w:noProof/>
        </w:rPr>
      </w:pPr>
      <w:r>
        <w:rPr>
          <w:noProof/>
        </w:rPr>
        <w:t>(renumber remaining sections)</w:t>
      </w:r>
    </w:p>
    <w:p w14:paraId="05383CF6" w14:textId="77777777" w:rsidR="00A10564" w:rsidRDefault="00A10564" w:rsidP="00A10564">
      <w:pPr>
        <w:rPr>
          <w:rFonts w:cs="Arial"/>
          <w:snapToGrid/>
          <w:szCs w:val="24"/>
        </w:rPr>
      </w:pPr>
      <w:r>
        <w:rPr>
          <w:b/>
          <w:bCs/>
        </w:rPr>
        <w:t>422.2 Separate Facilities.</w:t>
      </w:r>
      <w:r>
        <w:t xml:space="preserve"> Separate toilet facilities shall be provided for each sex.</w:t>
      </w:r>
    </w:p>
    <w:p w14:paraId="59876981" w14:textId="77777777" w:rsidR="00A10564" w:rsidRDefault="00A10564" w:rsidP="00A10564">
      <w:pPr>
        <w:rPr>
          <w:rFonts w:ascii="Calibri" w:hAnsi="Calibri" w:cs="Calibri"/>
          <w:b/>
          <w:bCs/>
          <w:sz w:val="22"/>
          <w:szCs w:val="22"/>
        </w:rPr>
      </w:pPr>
      <w:r>
        <w:rPr>
          <w:b/>
          <w:bCs/>
        </w:rPr>
        <w:t xml:space="preserve">Exceptions </w:t>
      </w:r>
      <w:r>
        <w:rPr>
          <w:b/>
          <w:bCs/>
          <w:i/>
          <w:iCs/>
        </w:rPr>
        <w:t>[Not adopted for OSHPD 1, 2, 3, 4, &amp; 5]:</w:t>
      </w:r>
    </w:p>
    <w:p w14:paraId="3AE76649" w14:textId="59A4CCEA" w:rsidR="00A10564" w:rsidRDefault="00A10564" w:rsidP="00A10564">
      <w:r>
        <w:t>(1)</w:t>
      </w:r>
      <w:r w:rsidR="00C54329">
        <w:tab/>
      </w:r>
      <w:r>
        <w:t>Residential installations.</w:t>
      </w:r>
    </w:p>
    <w:p w14:paraId="5A4BD1FD" w14:textId="635824D5" w:rsidR="00A10564" w:rsidRDefault="00A10564" w:rsidP="00A10564">
      <w:pPr>
        <w:ind w:left="720" w:hanging="720"/>
      </w:pPr>
      <w:r>
        <w:t>(2)</w:t>
      </w:r>
      <w:r w:rsidR="00C54329">
        <w:tab/>
      </w:r>
      <w:r>
        <w:t>In occupancies with a total occupant load of 10 or less, including customers and employees, one toilet facility, designed for use by no more than one person at a time, shall be permitted for use by both sexes.</w:t>
      </w:r>
    </w:p>
    <w:p w14:paraId="29C3BE17" w14:textId="00A707D5" w:rsidR="00A10564" w:rsidRDefault="00A10564" w:rsidP="00A10564">
      <w:pPr>
        <w:ind w:left="720" w:hanging="720"/>
      </w:pPr>
      <w:r>
        <w:t>(3)</w:t>
      </w:r>
      <w:r w:rsidR="00C54329">
        <w:tab/>
      </w:r>
      <w:r>
        <w:t>In business and mercantile occupancies with a total occupant load of 50 or less including customers and employees, one toilet facility, designed for use by no more than one person at a time, shall be permitted for use by both sexes.</w:t>
      </w:r>
    </w:p>
    <w:p w14:paraId="55603067" w14:textId="21E90EC1" w:rsidR="00A10564" w:rsidRDefault="00A10564" w:rsidP="00A10564">
      <w:pPr>
        <w:ind w:left="720" w:hanging="720"/>
        <w:rPr>
          <w:i/>
          <w:iCs/>
        </w:rPr>
      </w:pPr>
      <w:r>
        <w:rPr>
          <w:i/>
          <w:iCs/>
          <w:u w:val="single"/>
        </w:rPr>
        <w:t>(4)</w:t>
      </w:r>
      <w:r>
        <w:rPr>
          <w:i/>
          <w:iCs/>
          <w:u w:val="single"/>
        </w:rPr>
        <w:tab/>
      </w:r>
      <w:r>
        <w:rPr>
          <w:b/>
          <w:bCs/>
          <w:i/>
          <w:iCs/>
          <w:u w:val="single"/>
        </w:rPr>
        <w:t>[DSA-SS]</w:t>
      </w:r>
      <w:r>
        <w:rPr>
          <w:i/>
          <w:iCs/>
          <w:u w:val="single"/>
        </w:rPr>
        <w:t xml:space="preserve"> Separate facilities shall not be required where rooms have fixtures designed for use by all genders and the water closets are installed in privacy compartments. Urinals, when installed, shall be located in a privacy compartment or separate private area</w:t>
      </w:r>
      <w:r w:rsidRPr="0035525E">
        <w:rPr>
          <w:i/>
          <w:iCs/>
          <w:u w:val="single"/>
        </w:rPr>
        <w:t xml:space="preserve">. </w:t>
      </w:r>
      <w:r w:rsidRPr="00A10564">
        <w:rPr>
          <w:i/>
          <w:iCs/>
          <w:u w:val="single"/>
        </w:rPr>
        <w:t xml:space="preserve">Each </w:t>
      </w:r>
      <w:r w:rsidRPr="007C2E2B">
        <w:rPr>
          <w:i/>
          <w:iCs/>
          <w:u w:val="single"/>
        </w:rPr>
        <w:t xml:space="preserve">compartment </w:t>
      </w:r>
      <w:r w:rsidRPr="00A53E1E">
        <w:rPr>
          <w:i/>
          <w:iCs/>
          <w:u w:val="single"/>
        </w:rPr>
        <w:t xml:space="preserve">door </w:t>
      </w:r>
      <w:r>
        <w:rPr>
          <w:i/>
          <w:iCs/>
          <w:u w:val="single"/>
        </w:rPr>
        <w:t xml:space="preserve">shall be lockable from the inside of the compartment, with a door locking device that is readily distinguishable as locked from the outside of the compartment. </w:t>
      </w:r>
      <w:r w:rsidRPr="00A10564">
        <w:rPr>
          <w:i/>
          <w:iCs/>
          <w:u w:val="single"/>
        </w:rPr>
        <w:t xml:space="preserve">Privacy compartments and doors which are not full height or floor to ceiling may be </w:t>
      </w:r>
      <w:r w:rsidRPr="00A10564">
        <w:rPr>
          <w:i/>
          <w:iCs/>
          <w:u w:val="single"/>
        </w:rPr>
        <w:lastRenderedPageBreak/>
        <w:t>permitted by the enforcing agency.</w:t>
      </w:r>
      <w:r w:rsidRPr="00A53E1E">
        <w:rPr>
          <w:i/>
          <w:iCs/>
          <w:u w:val="single"/>
        </w:rPr>
        <w:t xml:space="preserve"> </w:t>
      </w:r>
    </w:p>
    <w:p w14:paraId="05B40AC3" w14:textId="63D93034" w:rsidR="008150C4" w:rsidRPr="00AD67B3" w:rsidRDefault="008150C4" w:rsidP="008150C4">
      <w:pPr>
        <w:spacing w:before="120"/>
        <w:rPr>
          <w:rFonts w:cs="Arial"/>
        </w:rPr>
      </w:pPr>
      <w:r w:rsidRPr="00AD67B3">
        <w:rPr>
          <w:rFonts w:cs="Arial"/>
          <w:b/>
        </w:rPr>
        <w:t>Notation:</w:t>
      </w:r>
      <w:r>
        <w:rPr>
          <w:rFonts w:cs="Arial"/>
          <w:b/>
        </w:rPr>
        <w:t xml:space="preserve"> DSA-SS</w:t>
      </w:r>
    </w:p>
    <w:p w14:paraId="670D9009" w14:textId="77777777" w:rsidR="008150C4" w:rsidRPr="00AD67B3" w:rsidRDefault="008150C4" w:rsidP="005B2FB9">
      <w:pPr>
        <w:spacing w:after="0"/>
        <w:rPr>
          <w:rFonts w:cs="Arial"/>
        </w:rPr>
      </w:pPr>
      <w:r w:rsidRPr="00AD67B3">
        <w:rPr>
          <w:rFonts w:cs="Arial"/>
        </w:rPr>
        <w:t xml:space="preserve">Authority: </w:t>
      </w:r>
      <w:r>
        <w:rPr>
          <w:rFonts w:cs="Arial"/>
        </w:rPr>
        <w:t xml:space="preserve">Education Code Sections 17310 and 81142, and </w:t>
      </w:r>
      <w:r>
        <w:rPr>
          <w:rFonts w:cs="Arial"/>
          <w:noProof/>
        </w:rPr>
        <w:t>Health and Safety Code Section 16022.</w:t>
      </w:r>
    </w:p>
    <w:p w14:paraId="0E5BA820" w14:textId="77777777" w:rsidR="008150C4" w:rsidRDefault="008150C4" w:rsidP="008150C4">
      <w:pPr>
        <w:spacing w:before="120"/>
        <w:rPr>
          <w:rFonts w:cs="Arial"/>
          <w:noProof/>
        </w:rPr>
      </w:pPr>
      <w:r w:rsidRPr="00AD67B3">
        <w:rPr>
          <w:rFonts w:cs="Arial"/>
        </w:rPr>
        <w:t xml:space="preserve">Reference(s): </w:t>
      </w:r>
      <w:r>
        <w:rPr>
          <w:rFonts w:cs="Arial"/>
        </w:rPr>
        <w:t xml:space="preserve">Education Code Sections 17280 through 17317, 81052 and 81130 through 81147, and </w:t>
      </w:r>
      <w:r>
        <w:rPr>
          <w:rFonts w:cs="Arial"/>
          <w:noProof/>
        </w:rPr>
        <w:t>Health and Safety Code Sections 16000 through 16023.</w:t>
      </w:r>
    </w:p>
    <w:p w14:paraId="56C23FED" w14:textId="273B5C15" w:rsidR="00767766" w:rsidRPr="003C3293" w:rsidRDefault="00767766" w:rsidP="008150C4">
      <w:pPr>
        <w:rPr>
          <w:rFonts w:cs="Arial"/>
        </w:rPr>
      </w:pPr>
    </w:p>
    <w:sectPr w:rsidR="00767766" w:rsidRPr="003C3293" w:rsidSect="00410236">
      <w:headerReference w:type="default" r:id="rId11"/>
      <w:footerReference w:type="default" r:id="rId12"/>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21E64" w14:textId="77777777" w:rsidR="00A50DBD" w:rsidRDefault="00A50DBD">
      <w:r>
        <w:separator/>
      </w:r>
    </w:p>
  </w:endnote>
  <w:endnote w:type="continuationSeparator" w:id="0">
    <w:p w14:paraId="16325639" w14:textId="77777777" w:rsidR="00A50DBD" w:rsidRDefault="00A50DBD">
      <w:r>
        <w:continuationSeparator/>
      </w:r>
    </w:p>
  </w:endnote>
  <w:endnote w:type="continuationNotice" w:id="1">
    <w:p w14:paraId="5BDD3368" w14:textId="77777777" w:rsidR="00A50DBD" w:rsidRDefault="00A50D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7E85" w14:textId="77777777" w:rsidR="00A32EE2" w:rsidRDefault="00A32EE2" w:rsidP="00EC4AF2">
    <w:pPr>
      <w:pStyle w:val="Footer"/>
      <w:pBdr>
        <w:top w:val="single" w:sz="4" w:space="1" w:color="auto"/>
      </w:pBdr>
      <w:tabs>
        <w:tab w:val="clear" w:pos="4320"/>
        <w:tab w:val="clear" w:pos="8640"/>
        <w:tab w:val="right" w:pos="9180"/>
      </w:tabs>
      <w:spacing w:after="0"/>
      <w:rPr>
        <w:sz w:val="16"/>
      </w:rPr>
    </w:pPr>
    <w:bookmarkStart w:id="3" w:name="_Hlk98511147"/>
  </w:p>
  <w:bookmarkEnd w:id="3"/>
  <w:p w14:paraId="10608C36" w14:textId="3E6A6D68" w:rsidR="008548D8" w:rsidRDefault="00A32EE2" w:rsidP="00EC4AF2">
    <w:pPr>
      <w:pStyle w:val="Footer"/>
      <w:tabs>
        <w:tab w:val="clear" w:pos="4320"/>
        <w:tab w:val="clear" w:pos="8640"/>
        <w:tab w:val="right" w:pos="9180"/>
      </w:tabs>
      <w:spacing w:after="0"/>
      <w:rPr>
        <w:sz w:val="16"/>
      </w:rPr>
    </w:pPr>
    <w:r>
      <w:rPr>
        <w:sz w:val="16"/>
      </w:rPr>
      <w:t xml:space="preserve">BSC TP-105 (Rev. </w:t>
    </w:r>
    <w:r w:rsidR="000F7F69">
      <w:rPr>
        <w:sz w:val="16"/>
      </w:rPr>
      <w:t>03</w:t>
    </w:r>
    <w:r>
      <w:rPr>
        <w:sz w:val="16"/>
      </w:rPr>
      <w:t>/</w:t>
    </w:r>
    <w:r w:rsidR="000F7F69">
      <w:rPr>
        <w:sz w:val="16"/>
      </w:rPr>
      <w:t>22</w:t>
    </w:r>
    <w:r w:rsidR="008548D8" w:rsidRPr="004C48A0">
      <w:rPr>
        <w:sz w:val="16"/>
      </w:rPr>
      <w:t>)</w:t>
    </w:r>
    <w:r w:rsidR="008548D8">
      <w:rPr>
        <w:sz w:val="16"/>
      </w:rPr>
      <w:t xml:space="preserve"> Final Express Terms</w:t>
    </w:r>
    <w:r w:rsidR="00087318">
      <w:rPr>
        <w:sz w:val="16"/>
      </w:rPr>
      <w:tab/>
    </w:r>
    <w:r w:rsidR="00A10564">
      <w:rPr>
        <w:sz w:val="16"/>
      </w:rPr>
      <w:t xml:space="preserve">July </w:t>
    </w:r>
    <w:r w:rsidR="00055858">
      <w:rPr>
        <w:sz w:val="16"/>
      </w:rPr>
      <w:t>11</w:t>
    </w:r>
    <w:r w:rsidR="00087318">
      <w:rPr>
        <w:sz w:val="16"/>
      </w:rPr>
      <w:t xml:space="preserve">, </w:t>
    </w:r>
    <w:r w:rsidR="00A10564">
      <w:rPr>
        <w:sz w:val="16"/>
      </w:rPr>
      <w:t>2023</w:t>
    </w:r>
  </w:p>
  <w:p w14:paraId="62EFA990" w14:textId="35899F08" w:rsidR="008548D8" w:rsidRDefault="008548D8" w:rsidP="00EC4AF2">
    <w:pPr>
      <w:pStyle w:val="Footer"/>
      <w:tabs>
        <w:tab w:val="clear" w:pos="4320"/>
        <w:tab w:val="clear" w:pos="8640"/>
        <w:tab w:val="center" w:pos="5040"/>
        <w:tab w:val="right" w:pos="9180"/>
      </w:tabs>
      <w:spacing w:after="0"/>
      <w:rPr>
        <w:sz w:val="16"/>
        <w:szCs w:val="16"/>
      </w:rPr>
    </w:pPr>
    <w:r>
      <w:rPr>
        <w:sz w:val="16"/>
        <w:szCs w:val="16"/>
      </w:rPr>
      <w:t xml:space="preserve">Rulemaking </w:t>
    </w:r>
    <w:r w:rsidR="00896D65">
      <w:rPr>
        <w:sz w:val="16"/>
        <w:szCs w:val="16"/>
      </w:rPr>
      <w:t>File</w:t>
    </w:r>
    <w:r w:rsidR="00087318">
      <w:rPr>
        <w:sz w:val="16"/>
        <w:szCs w:val="16"/>
      </w:rPr>
      <w:t xml:space="preserve"> </w:t>
    </w:r>
    <w:r w:rsidR="002E0A9F">
      <w:rPr>
        <w:sz w:val="16"/>
        <w:szCs w:val="16"/>
      </w:rPr>
      <w:t>DSA-SS 05</w:t>
    </w:r>
    <w:r w:rsidR="00805192">
      <w:rPr>
        <w:sz w:val="16"/>
        <w:szCs w:val="16"/>
      </w:rPr>
      <w:t>/</w:t>
    </w:r>
    <w:r w:rsidR="002E0A9F">
      <w:rPr>
        <w:sz w:val="16"/>
        <w:szCs w:val="16"/>
      </w:rPr>
      <w:t>22</w:t>
    </w:r>
    <w:r>
      <w:rPr>
        <w:sz w:val="16"/>
        <w:szCs w:val="16"/>
      </w:rPr>
      <w:t xml:space="preserve"> - Part</w:t>
    </w:r>
    <w:r w:rsidR="00087318">
      <w:rPr>
        <w:sz w:val="16"/>
        <w:szCs w:val="16"/>
      </w:rPr>
      <w:t xml:space="preserve"> </w:t>
    </w:r>
    <w:r w:rsidR="002E0A9F">
      <w:rPr>
        <w:sz w:val="16"/>
        <w:szCs w:val="16"/>
      </w:rPr>
      <w:t>5</w:t>
    </w:r>
    <w:r>
      <w:rPr>
        <w:sz w:val="16"/>
        <w:szCs w:val="16"/>
      </w:rPr>
      <w:t xml:space="preserve"> </w:t>
    </w:r>
    <w:r w:rsidR="002E0A9F">
      <w:rPr>
        <w:sz w:val="16"/>
        <w:szCs w:val="16"/>
      </w:rPr>
      <w:t>–</w:t>
    </w:r>
    <w:r w:rsidR="00087318">
      <w:rPr>
        <w:sz w:val="16"/>
        <w:szCs w:val="16"/>
      </w:rPr>
      <w:t xml:space="preserve"> </w:t>
    </w:r>
    <w:r w:rsidR="002E0A9F">
      <w:rPr>
        <w:sz w:val="16"/>
        <w:szCs w:val="16"/>
      </w:rPr>
      <w:t xml:space="preserve">2022 </w:t>
    </w:r>
    <w:r w:rsidR="00087318">
      <w:rPr>
        <w:sz w:val="16"/>
        <w:szCs w:val="16"/>
      </w:rPr>
      <w:t xml:space="preserve">Intervening </w:t>
    </w:r>
    <w:r>
      <w:rPr>
        <w:sz w:val="16"/>
        <w:szCs w:val="16"/>
      </w:rPr>
      <w:t>Code Cycle</w:t>
    </w:r>
    <w:r w:rsidR="00087318">
      <w:rPr>
        <w:sz w:val="16"/>
        <w:szCs w:val="16"/>
      </w:rPr>
      <w:tab/>
    </w:r>
    <w:r w:rsidR="002E0A9F" w:rsidRPr="002E0A9F">
      <w:rPr>
        <w:sz w:val="16"/>
        <w:szCs w:val="16"/>
      </w:rPr>
      <w:t>DSASS Final ET_05-22.docx</w:t>
    </w:r>
  </w:p>
  <w:p w14:paraId="1F48F120" w14:textId="5897957C" w:rsidR="008548D8" w:rsidRDefault="002E0A9F" w:rsidP="00087318">
    <w:pPr>
      <w:pStyle w:val="Footer"/>
      <w:tabs>
        <w:tab w:val="clear" w:pos="4320"/>
        <w:tab w:val="clear" w:pos="8640"/>
        <w:tab w:val="center" w:pos="5040"/>
        <w:tab w:val="right" w:pos="9180"/>
      </w:tabs>
      <w:spacing w:after="0"/>
      <w:rPr>
        <w:sz w:val="16"/>
      </w:rPr>
    </w:pPr>
    <w:r>
      <w:rPr>
        <w:sz w:val="16"/>
        <w:szCs w:val="16"/>
      </w:rPr>
      <w:t>Division of the State Architect</w:t>
    </w:r>
    <w:r w:rsidR="00896D65">
      <w:rPr>
        <w:sz w:val="16"/>
      </w:rPr>
      <w:tab/>
    </w:r>
    <w:r w:rsidR="00896D65">
      <w:rPr>
        <w:rStyle w:val="PageNumber"/>
        <w:rFonts w:cs="Arial"/>
        <w:sz w:val="16"/>
      </w:rPr>
      <w:t xml:space="preserve">Page </w:t>
    </w:r>
    <w:r w:rsidR="00896D65" w:rsidRPr="00B1767F">
      <w:rPr>
        <w:rStyle w:val="PageNumber"/>
        <w:rFonts w:cs="Arial"/>
        <w:sz w:val="16"/>
      </w:rPr>
      <w:fldChar w:fldCharType="begin"/>
    </w:r>
    <w:r w:rsidR="00896D65" w:rsidRPr="00B1767F">
      <w:rPr>
        <w:rStyle w:val="PageNumber"/>
        <w:rFonts w:cs="Arial"/>
        <w:sz w:val="16"/>
      </w:rPr>
      <w:instrText xml:space="preserve"> PAGE </w:instrText>
    </w:r>
    <w:r w:rsidR="00896D65" w:rsidRPr="00B1767F">
      <w:rPr>
        <w:rStyle w:val="PageNumber"/>
        <w:rFonts w:cs="Arial"/>
        <w:sz w:val="16"/>
      </w:rPr>
      <w:fldChar w:fldCharType="separate"/>
    </w:r>
    <w:r w:rsidR="00896D65">
      <w:rPr>
        <w:rStyle w:val="PageNumber"/>
        <w:rFonts w:cs="Arial"/>
        <w:sz w:val="16"/>
      </w:rPr>
      <w:t>1</w:t>
    </w:r>
    <w:r w:rsidR="00896D65" w:rsidRPr="00B1767F">
      <w:rPr>
        <w:rStyle w:val="PageNumber"/>
        <w:rFonts w:cs="Arial"/>
        <w:sz w:val="16"/>
      </w:rPr>
      <w:fldChar w:fldCharType="end"/>
    </w:r>
    <w:r w:rsidR="00896D65" w:rsidRPr="00B1767F">
      <w:rPr>
        <w:rStyle w:val="PageNumber"/>
        <w:rFonts w:cs="Arial"/>
        <w:sz w:val="16"/>
      </w:rPr>
      <w:t xml:space="preserve"> of </w:t>
    </w:r>
    <w:r w:rsidR="00896D65" w:rsidRPr="00B1767F">
      <w:rPr>
        <w:rStyle w:val="PageNumber"/>
        <w:rFonts w:cs="Arial"/>
        <w:sz w:val="16"/>
      </w:rPr>
      <w:fldChar w:fldCharType="begin"/>
    </w:r>
    <w:r w:rsidR="00896D65" w:rsidRPr="00B1767F">
      <w:rPr>
        <w:rStyle w:val="PageNumber"/>
        <w:rFonts w:cs="Arial"/>
        <w:sz w:val="16"/>
      </w:rPr>
      <w:instrText xml:space="preserve"> NUMPAGES </w:instrText>
    </w:r>
    <w:r w:rsidR="00896D65" w:rsidRPr="00B1767F">
      <w:rPr>
        <w:rStyle w:val="PageNumber"/>
        <w:rFonts w:cs="Arial"/>
        <w:sz w:val="16"/>
      </w:rPr>
      <w:fldChar w:fldCharType="separate"/>
    </w:r>
    <w:r w:rsidR="00896D65">
      <w:rPr>
        <w:rStyle w:val="PageNumber"/>
        <w:rFonts w:cs="Arial"/>
        <w:sz w:val="16"/>
      </w:rPr>
      <w:t>1</w:t>
    </w:r>
    <w:r w:rsidR="00896D65" w:rsidRPr="00B1767F">
      <w:rPr>
        <w:rStyle w:val="PageNumber"/>
        <w:rFonts w:cs="Arial"/>
        <w:sz w:val="16"/>
      </w:rPr>
      <w:fldChar w:fldCharType="end"/>
    </w:r>
  </w:p>
  <w:p w14:paraId="4C571D1C" w14:textId="77777777" w:rsidR="00DE7E4E" w:rsidRDefault="00DE7E4E" w:rsidP="00EC4AF2">
    <w:pPr>
      <w:pStyle w:val="Footer"/>
      <w:tabs>
        <w:tab w:val="clear" w:pos="4320"/>
        <w:tab w:val="clear" w:pos="8640"/>
        <w:tab w:val="center" w:pos="4788"/>
        <w:tab w:val="right" w:pos="6588"/>
      </w:tabs>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C47F6" w14:textId="77777777" w:rsidR="00A50DBD" w:rsidRDefault="00A50DBD">
      <w:r>
        <w:separator/>
      </w:r>
    </w:p>
  </w:footnote>
  <w:footnote w:type="continuationSeparator" w:id="0">
    <w:p w14:paraId="1147BFB8" w14:textId="77777777" w:rsidR="00A50DBD" w:rsidRDefault="00A50DBD">
      <w:r>
        <w:continuationSeparator/>
      </w:r>
    </w:p>
  </w:footnote>
  <w:footnote w:type="continuationNotice" w:id="1">
    <w:p w14:paraId="7CCCE816" w14:textId="77777777" w:rsidR="00A50DBD" w:rsidRDefault="00A50D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5173" w14:textId="77777777" w:rsidR="00ED27E1" w:rsidRDefault="00ED27E1" w:rsidP="00EC4AF2">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46BB9B91" w14:textId="77777777" w:rsidR="00ED27E1" w:rsidRDefault="00ED27E1" w:rsidP="00EC4AF2">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64C5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AB6B7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F88D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5AB6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DE72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B66D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3CA55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D2A2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BEE7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D6C5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E22A2"/>
    <w:multiLevelType w:val="hybridMultilevel"/>
    <w:tmpl w:val="0E564C3A"/>
    <w:lvl w:ilvl="0" w:tplc="C2967BA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411B17"/>
    <w:multiLevelType w:val="hybridMultilevel"/>
    <w:tmpl w:val="FA3A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70B766E"/>
    <w:multiLevelType w:val="hybridMultilevel"/>
    <w:tmpl w:val="63649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7282180">
    <w:abstractNumId w:val="12"/>
  </w:num>
  <w:num w:numId="2" w16cid:durableId="18285023">
    <w:abstractNumId w:val="16"/>
  </w:num>
  <w:num w:numId="3" w16cid:durableId="339508973">
    <w:abstractNumId w:val="19"/>
  </w:num>
  <w:num w:numId="4" w16cid:durableId="98527260">
    <w:abstractNumId w:val="11"/>
  </w:num>
  <w:num w:numId="5" w16cid:durableId="1145045897">
    <w:abstractNumId w:val="15"/>
  </w:num>
  <w:num w:numId="6" w16cid:durableId="1440030079">
    <w:abstractNumId w:val="10"/>
  </w:num>
  <w:num w:numId="7" w16cid:durableId="553465318">
    <w:abstractNumId w:val="17"/>
  </w:num>
  <w:num w:numId="8" w16cid:durableId="765273187">
    <w:abstractNumId w:val="13"/>
  </w:num>
  <w:num w:numId="9" w16cid:durableId="1855730719">
    <w:abstractNumId w:val="14"/>
  </w:num>
  <w:num w:numId="10" w16cid:durableId="227302584">
    <w:abstractNumId w:val="18"/>
  </w:num>
  <w:num w:numId="11" w16cid:durableId="1683313608">
    <w:abstractNumId w:val="9"/>
  </w:num>
  <w:num w:numId="12" w16cid:durableId="574782378">
    <w:abstractNumId w:val="7"/>
  </w:num>
  <w:num w:numId="13" w16cid:durableId="890649235">
    <w:abstractNumId w:val="6"/>
  </w:num>
  <w:num w:numId="14" w16cid:durableId="1798601254">
    <w:abstractNumId w:val="5"/>
  </w:num>
  <w:num w:numId="15" w16cid:durableId="1897739883">
    <w:abstractNumId w:val="4"/>
  </w:num>
  <w:num w:numId="16" w16cid:durableId="1065951958">
    <w:abstractNumId w:val="8"/>
  </w:num>
  <w:num w:numId="17" w16cid:durableId="1958902374">
    <w:abstractNumId w:val="3"/>
  </w:num>
  <w:num w:numId="18" w16cid:durableId="2122989264">
    <w:abstractNumId w:val="2"/>
  </w:num>
  <w:num w:numId="19" w16cid:durableId="1873953914">
    <w:abstractNumId w:val="1"/>
  </w:num>
  <w:num w:numId="20" w16cid:durableId="1473905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0BCA"/>
    <w:rsid w:val="0001735C"/>
    <w:rsid w:val="000257AD"/>
    <w:rsid w:val="00025E13"/>
    <w:rsid w:val="00055858"/>
    <w:rsid w:val="00087318"/>
    <w:rsid w:val="000E24B4"/>
    <w:rsid w:val="000F7F69"/>
    <w:rsid w:val="00123F82"/>
    <w:rsid w:val="00137060"/>
    <w:rsid w:val="0013783C"/>
    <w:rsid w:val="00175449"/>
    <w:rsid w:val="00195E7F"/>
    <w:rsid w:val="001A3D9E"/>
    <w:rsid w:val="001E635B"/>
    <w:rsid w:val="00204605"/>
    <w:rsid w:val="002300F5"/>
    <w:rsid w:val="00234A84"/>
    <w:rsid w:val="0027655E"/>
    <w:rsid w:val="0028462B"/>
    <w:rsid w:val="002D32D5"/>
    <w:rsid w:val="002D3F86"/>
    <w:rsid w:val="002E0A9F"/>
    <w:rsid w:val="0030639B"/>
    <w:rsid w:val="003279EE"/>
    <w:rsid w:val="00342C3A"/>
    <w:rsid w:val="003942B6"/>
    <w:rsid w:val="003C093F"/>
    <w:rsid w:val="003C3293"/>
    <w:rsid w:val="003C5AF3"/>
    <w:rsid w:val="003D78B0"/>
    <w:rsid w:val="003E3E28"/>
    <w:rsid w:val="003F43E6"/>
    <w:rsid w:val="00410236"/>
    <w:rsid w:val="00441D6A"/>
    <w:rsid w:val="00472476"/>
    <w:rsid w:val="004B2AB9"/>
    <w:rsid w:val="004B7704"/>
    <w:rsid w:val="004C48A0"/>
    <w:rsid w:val="005400B2"/>
    <w:rsid w:val="00541A06"/>
    <w:rsid w:val="005560C8"/>
    <w:rsid w:val="00557668"/>
    <w:rsid w:val="00563190"/>
    <w:rsid w:val="00576C16"/>
    <w:rsid w:val="005B2FB9"/>
    <w:rsid w:val="005E162F"/>
    <w:rsid w:val="005F1F14"/>
    <w:rsid w:val="005F2F24"/>
    <w:rsid w:val="005F65A6"/>
    <w:rsid w:val="0061175B"/>
    <w:rsid w:val="006169B9"/>
    <w:rsid w:val="0063634B"/>
    <w:rsid w:val="006B747C"/>
    <w:rsid w:val="006E5CB6"/>
    <w:rsid w:val="00715AB4"/>
    <w:rsid w:val="00767766"/>
    <w:rsid w:val="007732DD"/>
    <w:rsid w:val="00782490"/>
    <w:rsid w:val="00794FF1"/>
    <w:rsid w:val="007A1FE8"/>
    <w:rsid w:val="007F7FEB"/>
    <w:rsid w:val="00805192"/>
    <w:rsid w:val="0081299A"/>
    <w:rsid w:val="008150C4"/>
    <w:rsid w:val="00826CAB"/>
    <w:rsid w:val="00831179"/>
    <w:rsid w:val="00832048"/>
    <w:rsid w:val="008548D8"/>
    <w:rsid w:val="008605C0"/>
    <w:rsid w:val="0088110A"/>
    <w:rsid w:val="00896D65"/>
    <w:rsid w:val="008A2AC5"/>
    <w:rsid w:val="008D0DFD"/>
    <w:rsid w:val="008E36A8"/>
    <w:rsid w:val="009A693A"/>
    <w:rsid w:val="009B2A67"/>
    <w:rsid w:val="009B4F6B"/>
    <w:rsid w:val="009D5C61"/>
    <w:rsid w:val="009E0E79"/>
    <w:rsid w:val="009E6B12"/>
    <w:rsid w:val="009F59E5"/>
    <w:rsid w:val="00A10564"/>
    <w:rsid w:val="00A138AA"/>
    <w:rsid w:val="00A32EE2"/>
    <w:rsid w:val="00A44592"/>
    <w:rsid w:val="00A50DBD"/>
    <w:rsid w:val="00A60CA1"/>
    <w:rsid w:val="00AC1F10"/>
    <w:rsid w:val="00AD14C8"/>
    <w:rsid w:val="00AE1439"/>
    <w:rsid w:val="00AF4E96"/>
    <w:rsid w:val="00B60CE5"/>
    <w:rsid w:val="00BC0E03"/>
    <w:rsid w:val="00BD2589"/>
    <w:rsid w:val="00C02538"/>
    <w:rsid w:val="00C36475"/>
    <w:rsid w:val="00C44C36"/>
    <w:rsid w:val="00C54329"/>
    <w:rsid w:val="00C67B72"/>
    <w:rsid w:val="00CE055D"/>
    <w:rsid w:val="00CE2257"/>
    <w:rsid w:val="00CF3372"/>
    <w:rsid w:val="00D04045"/>
    <w:rsid w:val="00D66905"/>
    <w:rsid w:val="00D91AE2"/>
    <w:rsid w:val="00DE7E4E"/>
    <w:rsid w:val="00DF0081"/>
    <w:rsid w:val="00E1002E"/>
    <w:rsid w:val="00E3778E"/>
    <w:rsid w:val="00E3790F"/>
    <w:rsid w:val="00E426C1"/>
    <w:rsid w:val="00E53D35"/>
    <w:rsid w:val="00EC4AF2"/>
    <w:rsid w:val="00EC53CB"/>
    <w:rsid w:val="00ED27E1"/>
    <w:rsid w:val="00EF26E2"/>
    <w:rsid w:val="00F152F2"/>
    <w:rsid w:val="00F17139"/>
    <w:rsid w:val="00F57965"/>
    <w:rsid w:val="00F768B4"/>
    <w:rsid w:val="00F97C83"/>
    <w:rsid w:val="00FA202B"/>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29EAF"/>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AF2"/>
    <w:pPr>
      <w:widowControl w:val="0"/>
      <w:spacing w:after="120"/>
    </w:pPr>
    <w:rPr>
      <w:rFonts w:ascii="Arial" w:hAnsi="Arial"/>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b/>
    </w:rPr>
  </w:style>
  <w:style w:type="paragraph" w:styleId="Heading2">
    <w:name w:val="heading 2"/>
    <w:basedOn w:val="Normal"/>
    <w:next w:val="Normal"/>
    <w:qFormat/>
    <w:rsid w:val="007732DD"/>
    <w:pPr>
      <w:keepNext/>
      <w:widowControl/>
      <w:spacing w:before="120"/>
      <w:jc w:val="both"/>
      <w:outlineLvl w:val="1"/>
    </w:pPr>
    <w:rPr>
      <w:b/>
    </w:rPr>
  </w:style>
  <w:style w:type="paragraph" w:styleId="Heading3">
    <w:name w:val="heading 3"/>
    <w:basedOn w:val="Normal"/>
    <w:next w:val="Normal"/>
    <w:link w:val="Heading3Char"/>
    <w:unhideWhenUsed/>
    <w:qFormat/>
    <w:rsid w:val="007732DD"/>
    <w:pPr>
      <w:keepNext/>
      <w:keepLines/>
      <w:spacing w:before="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rsid w:val="00A32EE2"/>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9B2A67"/>
    <w:pPr>
      <w:ind w:left="720"/>
      <w:contextualSpacing/>
    </w:pPr>
    <w:rPr>
      <w:rFonts w:eastAsia="Batang"/>
    </w:rPr>
  </w:style>
  <w:style w:type="character" w:customStyle="1" w:styleId="Heading3Char">
    <w:name w:val="Heading 3 Char"/>
    <w:basedOn w:val="DefaultParagraphFont"/>
    <w:link w:val="Heading3"/>
    <w:rsid w:val="007732DD"/>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7732DD"/>
    <w:rPr>
      <w:rFonts w:ascii="Arial" w:hAnsi="Arial"/>
      <w:b/>
      <w:snapToGrid w:val="0"/>
      <w:u w:val="single"/>
    </w:rPr>
  </w:style>
  <w:style w:type="paragraph" w:styleId="Revision">
    <w:name w:val="Revision"/>
    <w:hidden/>
    <w:uiPriority w:val="99"/>
    <w:semiHidden/>
    <w:rsid w:val="00C54329"/>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05978">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1A5FEB-C340-4125-83BD-F89023858683}">
  <ds:schemaRefs>
    <ds:schemaRef ds:uri="http://schemas.openxmlformats.org/officeDocument/2006/bibliography"/>
  </ds:schemaRefs>
</ds:datastoreItem>
</file>

<file path=customXml/itemProps2.xml><?xml version="1.0" encoding="utf-8"?>
<ds:datastoreItem xmlns:ds="http://schemas.openxmlformats.org/officeDocument/2006/customXml" ds:itemID="{D271CF11-6A69-471B-9E92-6AC17884B193}">
  <ds:schemaRefs>
    <ds:schemaRef ds:uri="http://purl.org/dc/dcmitype/"/>
    <ds:schemaRef ds:uri="http://schemas.microsoft.com/office/2006/metadata/properties"/>
    <ds:schemaRef ds:uri="http://purl.org/dc/elements/1.1/"/>
    <ds:schemaRef ds:uri="http://schemas.microsoft.com/office/2006/documentManagement/types"/>
    <ds:schemaRef ds:uri="http://purl.org/dc/terms/"/>
    <ds:schemaRef ds:uri="de349a6f-9dd4-4167-a0ec-0f85ef0207c9"/>
    <ds:schemaRef ds:uri="http://schemas.microsoft.com/office/infopath/2007/PartnerControls"/>
    <ds:schemaRef ds:uri="http://schemas.openxmlformats.org/package/2006/metadata/core-properties"/>
    <ds:schemaRef ds:uri="82071710-83e2-4871-b606-0004f14e9c40"/>
    <ds:schemaRef ds:uri="http://www.w3.org/XML/1998/namespace"/>
  </ds:schemaRefs>
</ds:datastoreItem>
</file>

<file path=customXml/itemProps3.xml><?xml version="1.0" encoding="utf-8"?>
<ds:datastoreItem xmlns:ds="http://schemas.openxmlformats.org/officeDocument/2006/customXml" ds:itemID="{39F389D6-8E40-4573-A823-5738DB2F5A9D}">
  <ds:schemaRefs>
    <ds:schemaRef ds:uri="http://schemas.microsoft.com/sharepoint/v3/contenttype/forms"/>
  </ds:schemaRefs>
</ds:datastoreItem>
</file>

<file path=customXml/itemProps4.xml><?xml version="1.0" encoding="utf-8"?>
<ds:datastoreItem xmlns:ds="http://schemas.openxmlformats.org/officeDocument/2006/customXml" ds:itemID="{2BF126DB-2CB4-4A10-888E-BF9EC74D6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865</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DSA-05-22-FET-PT5</vt:lpstr>
    </vt:vector>
  </TitlesOfParts>
  <Company>CBSC</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DSA-05-22-FET-PT5</dc:title>
  <dc:creator>CBSC</dc:creator>
  <cp:lastModifiedBy>Hagler, Carol@DGS</cp:lastModifiedBy>
  <cp:revision>16</cp:revision>
  <cp:lastPrinted>2020-05-06T18:47:00Z</cp:lastPrinted>
  <dcterms:created xsi:type="dcterms:W3CDTF">2023-07-09T18:54:00Z</dcterms:created>
  <dcterms:modified xsi:type="dcterms:W3CDTF">2023-07-12T23:19:00Z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