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3CD5DFB9" w:rsidR="00E67FA5" w:rsidRPr="00561403" w:rsidRDefault="00E67FA5" w:rsidP="00E67FA5">
      <w:pPr>
        <w:pStyle w:val="Heading1"/>
      </w:pPr>
      <w:r w:rsidRPr="00561403">
        <w:t>COMMISSION ACTION MATRIX</w:t>
      </w:r>
      <w:r w:rsidR="00A42C9D">
        <w:t xml:space="preserve"> – GREEN </w:t>
      </w:r>
      <w:r w:rsidRPr="00561403">
        <w:br/>
      </w:r>
      <w:r w:rsidR="00F81E8D">
        <w:t>PLUMBING, ELECTRICAL</w:t>
      </w:r>
      <w:r w:rsidR="00781C04">
        <w:t xml:space="preserve">, Mechanical </w:t>
      </w:r>
      <w:r w:rsidR="00F81E8D">
        <w:t>AND ENERGY</w:t>
      </w:r>
      <w:r w:rsidRPr="00561403">
        <w:t xml:space="preserve"> (</w:t>
      </w:r>
      <w:r w:rsidR="00F81E8D">
        <w:t>PEME</w:t>
      </w:r>
      <w:r w:rsidRPr="00561403">
        <w:t>) CODE ADVISORY COMMITTEE</w:t>
      </w:r>
    </w:p>
    <w:p w14:paraId="28EDE231" w14:textId="0149C98B" w:rsidR="00E67FA5" w:rsidRDefault="00F81E8D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 xml:space="preserve">california building standards commission, 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3936A09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30509F90" w:rsidR="00E15B76" w:rsidRPr="003A6CCA" w:rsidRDefault="008F2B9E" w:rsidP="00F81E8D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1FA44DE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525497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5B69B1B0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B5BCC">
        <w:rPr>
          <w:noProof/>
        </w:rPr>
        <w:t>2 definitions</w:t>
      </w:r>
      <w:r w:rsidRPr="00AD67B3">
        <w:rPr>
          <w:noProof/>
        </w:rPr>
        <w:t xml:space="preserve">, </w:t>
      </w:r>
      <w:r w:rsidRPr="00AD67B3">
        <w:t>Section</w:t>
      </w:r>
      <w:r w:rsidR="008B5BCC">
        <w:t>s</w:t>
      </w:r>
      <w:r w:rsidRPr="00AD67B3">
        <w:t xml:space="preserve"> </w:t>
      </w:r>
      <w:r w:rsidR="008B5BCC">
        <w:rPr>
          <w:noProof/>
        </w:rPr>
        <w:t xml:space="preserve">209.0 and 218.0 </w:t>
      </w:r>
    </w:p>
    <w:p w14:paraId="193FE7A9" w14:textId="6EB258FD" w:rsidR="00FB3CA6" w:rsidRDefault="008B5BCC" w:rsidP="00602858">
      <w:r>
        <w:t xml:space="preserve">Amend definition of </w:t>
      </w:r>
      <w:r w:rsidRPr="008B5BCC">
        <w:rPr>
          <w:i/>
          <w:iCs/>
        </w:rPr>
        <w:t>Gray Water System</w:t>
      </w:r>
      <w:r>
        <w:t xml:space="preserve">, adopt </w:t>
      </w:r>
      <w:r w:rsidRPr="00B10C4B">
        <w:rPr>
          <w:i/>
          <w:iCs/>
          <w:u w:val="single"/>
        </w:rPr>
        <w:t>Privacy Compartment</w:t>
      </w:r>
      <w:r w:rsidR="00FB3CA6" w:rsidRPr="000B7BEC">
        <w:t xml:space="preserve"> </w:t>
      </w:r>
      <w:r>
        <w:t>definition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B3CA6" w:rsidRPr="001E3316" w14:paraId="7BC6D3D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C3776F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5BCC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E050C0" w14:textId="5021A958" w:rsidR="00FB3CA6" w:rsidRDefault="008B5BCC" w:rsidP="008B5B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</w:t>
            </w:r>
            <w:r w:rsidR="00DF405D">
              <w:t xml:space="preserve"> </w:t>
            </w:r>
            <w:r>
              <w:t>02/22-1-1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86D941" w14:textId="0DADFD61" w:rsidR="00FB3CA6" w:rsidRPr="007D4E54" w:rsidRDefault="008B5BCC" w:rsidP="00DB4C62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70D6DDC" w:rsidR="00FB3CA6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1066BFAF" w:rsidR="00FB3CA6" w:rsidRPr="008C190C" w:rsidRDefault="00F371C4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D7BA91" w14:textId="780745E5" w:rsidR="00FB3CA6" w:rsidRDefault="008B5BCC" w:rsidP="00DB4C62">
            <w:pPr>
              <w:spacing w:after="0"/>
            </w:pPr>
            <w:r>
              <w:t xml:space="preserve">BSC proposes to amend the definition of </w:t>
            </w:r>
            <w:r w:rsidRPr="008B5BCC">
              <w:rPr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B4C62" w:rsidRPr="001E3316" w14:paraId="67DAC011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2605D2D" w14:textId="2FB34422" w:rsidR="00DB4C62" w:rsidRDefault="008B5BCC" w:rsidP="008B5B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</w:t>
            </w:r>
            <w:r w:rsidR="00DF405D">
              <w:t xml:space="preserve"> </w:t>
            </w:r>
            <w:r>
              <w:t>02-22-1-2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5E33C3F" w14:textId="796928E2" w:rsidR="00DB4C62" w:rsidRPr="00CA1AF4" w:rsidRDefault="008B5BCC" w:rsidP="00DB4C6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A1AF4">
              <w:rPr>
                <w:b/>
                <w:bCs/>
                <w:i/>
                <w:iCs/>
                <w:u w:val="single"/>
              </w:rPr>
              <w:t>Privacy Compartment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D6FF887" w:rsidR="00DB4C62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66A380FA" w:rsidR="00DB4C62" w:rsidRPr="008C190C" w:rsidRDefault="001E7501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0673FC" w14:textId="77777777" w:rsidR="00781C04" w:rsidRDefault="008B5BCC" w:rsidP="00DB4C62">
            <w:pPr>
              <w:spacing w:after="0"/>
              <w:rPr>
                <w:i/>
                <w:iCs/>
                <w:u w:val="single"/>
              </w:rPr>
            </w:pPr>
            <w:r>
              <w:t xml:space="preserve">BSC proposes adoption of new definition </w:t>
            </w:r>
            <w:r w:rsidRPr="00B10C4B">
              <w:rPr>
                <w:i/>
                <w:iCs/>
                <w:u w:val="single"/>
              </w:rPr>
              <w:t>Privacy Compartment</w:t>
            </w:r>
          </w:p>
          <w:p w14:paraId="42EA1583" w14:textId="67E3E73A" w:rsidR="00C81ED7" w:rsidRDefault="008C190C" w:rsidP="00DB4C62">
            <w:pPr>
              <w:spacing w:after="0"/>
            </w:pPr>
            <w:r>
              <w:rPr>
                <w:b/>
                <w:bCs/>
              </w:rPr>
              <w:t>Code Advisory Committee (</w:t>
            </w:r>
            <w:r w:rsidR="00C81ED7" w:rsidRPr="00C81ED7">
              <w:rPr>
                <w:b/>
                <w:bCs/>
              </w:rPr>
              <w:t>CAC</w:t>
            </w:r>
            <w:r>
              <w:rPr>
                <w:b/>
                <w:bCs/>
              </w:rPr>
              <w:t>)</w:t>
            </w:r>
            <w:r w:rsidR="00C81ED7" w:rsidRPr="00C81ED7">
              <w:rPr>
                <w:b/>
                <w:bCs/>
              </w:rPr>
              <w:t xml:space="preserve">: </w:t>
            </w:r>
            <w:r w:rsidR="00C81ED7" w:rsidRPr="00C81ED7">
              <w:t>9 Pt</w:t>
            </w:r>
            <w:r w:rsidR="00C81ED7" w:rsidRPr="00C81ED7">
              <w:rPr>
                <w:b/>
                <w:bCs/>
              </w:rPr>
              <w:t xml:space="preserve"> </w:t>
            </w:r>
            <w:r w:rsidR="00C81ED7" w:rsidRPr="00C81ED7">
              <w:t xml:space="preserve">Criteria 3, 4, 6. Recommendation for BSC to coordinate with DSA to </w:t>
            </w:r>
            <w:r w:rsidR="00545783">
              <w:t>clarify</w:t>
            </w:r>
            <w:r w:rsidR="00C81ED7" w:rsidRPr="00C81ED7">
              <w:t xml:space="preserve"> in the meaning of “no gaps” for complete visual privacy</w:t>
            </w:r>
            <w:r w:rsidR="00545783">
              <w:t>. Also,</w:t>
            </w:r>
            <w:r>
              <w:t xml:space="preserve"> CAC commented that </w:t>
            </w:r>
            <w:r w:rsidR="00545783">
              <w:t xml:space="preserve">technical requirements should not be contained within a definition. </w:t>
            </w:r>
          </w:p>
          <w:p w14:paraId="63C33267" w14:textId="72FC09DC" w:rsidR="001E7501" w:rsidRPr="00A970D9" w:rsidRDefault="00782373" w:rsidP="00DB4C62">
            <w:pPr>
              <w:spacing w:after="0"/>
            </w:pPr>
            <w:r>
              <w:rPr>
                <w:b/>
                <w:bCs/>
              </w:rPr>
              <w:t xml:space="preserve">After CAC: </w:t>
            </w:r>
            <w:r w:rsidR="00A970D9">
              <w:t xml:space="preserve">BSC &amp; DSA have revised </w:t>
            </w:r>
            <w:r w:rsidR="00EB29B5">
              <w:t xml:space="preserve">the </w:t>
            </w:r>
            <w:r w:rsidR="00A970D9">
              <w:t>definition</w:t>
            </w:r>
            <w:r w:rsidR="000B3B46">
              <w:t>, removed</w:t>
            </w:r>
            <w:r w:rsidR="00A970D9">
              <w:t xml:space="preserve"> </w:t>
            </w:r>
            <w:r w:rsidR="00545783">
              <w:t xml:space="preserve">the technical requirements </w:t>
            </w:r>
            <w:r w:rsidR="000B3B46">
              <w:t xml:space="preserve">and </w:t>
            </w:r>
            <w:r w:rsidR="008C190C">
              <w:t xml:space="preserve">relocated </w:t>
            </w:r>
            <w:r w:rsidR="00545783">
              <w:t xml:space="preserve">them </w:t>
            </w:r>
            <w:r w:rsidR="008C190C">
              <w:t xml:space="preserve">to </w:t>
            </w:r>
            <w:r w:rsidR="00545783">
              <w:t>Section 422.2 Exception 4</w:t>
            </w:r>
            <w:r w:rsidR="000B3B46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</w:tbl>
    <w:p w14:paraId="29D83C50" w14:textId="77777777" w:rsidR="00C81ED7" w:rsidRDefault="00C81ED7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1E3F3D6" w14:textId="5FFE2C49" w:rsidR="00DF405D" w:rsidRPr="00AD67B3" w:rsidRDefault="00DF405D" w:rsidP="00DF405D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4 plumbing fixtures and fixture fittings</w:t>
      </w:r>
      <w:r w:rsidRPr="00AD67B3">
        <w:rPr>
          <w:noProof/>
        </w:rPr>
        <w:t xml:space="preserve">, </w:t>
      </w:r>
      <w:r w:rsidRPr="00AD67B3">
        <w:t>Section</w:t>
      </w:r>
      <w:r>
        <w:t>s</w:t>
      </w:r>
      <w:r w:rsidRPr="00AD67B3">
        <w:t xml:space="preserve"> </w:t>
      </w:r>
      <w:r>
        <w:rPr>
          <w:noProof/>
        </w:rPr>
        <w:t>422.1.1</w:t>
      </w:r>
      <w:r w:rsidR="00C82CE2">
        <w:rPr>
          <w:noProof/>
        </w:rPr>
        <w:t xml:space="preserve"> and </w:t>
      </w:r>
      <w:r>
        <w:rPr>
          <w:noProof/>
        </w:rPr>
        <w:t>422.1.2</w:t>
      </w:r>
      <w:r w:rsidR="00C82CE2">
        <w:rPr>
          <w:noProof/>
        </w:rPr>
        <w:t>.</w:t>
      </w:r>
    </w:p>
    <w:p w14:paraId="110E35BB" w14:textId="19B8AF4F" w:rsidR="00DF405D" w:rsidRDefault="00C40A12" w:rsidP="00DF405D">
      <w:r>
        <w:t xml:space="preserve">Amend section 422.1, creating new subsection </w:t>
      </w:r>
      <w:r w:rsidRPr="00C40A12">
        <w:rPr>
          <w:i/>
          <w:iCs/>
          <w:u w:val="single"/>
        </w:rPr>
        <w:t>422.1.1</w:t>
      </w:r>
      <w:r>
        <w:t>, renumber remaining sections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DF405D" w:rsidRPr="001E3316" w14:paraId="4185689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9300A5E" w14:textId="63D61AA5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30AA444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CC906" w14:textId="77777777" w:rsidR="00DF405D" w:rsidRPr="00DF33F2" w:rsidRDefault="00DF405D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C8E2FD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BB8EED6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0AF430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AA979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F405D" w:rsidRPr="001E3316" w14:paraId="151B84D3" w14:textId="77777777" w:rsidTr="006E36CF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360B7886" w14:textId="11DE315B" w:rsidR="00DF405D" w:rsidRDefault="00DF405D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11B8192" w14:textId="1731D646" w:rsidR="00DF405D" w:rsidRPr="007D4E54" w:rsidRDefault="00DF405D" w:rsidP="00D510E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D4E54">
              <w:rPr>
                <w:b/>
                <w:bCs/>
                <w:i/>
                <w:iCs/>
                <w:u w:val="single"/>
              </w:rPr>
              <w:t>422.1.1</w:t>
            </w:r>
            <w:r w:rsidR="00CA1AF4" w:rsidRPr="007D4E54">
              <w:rPr>
                <w:b/>
                <w:bCs/>
                <w:i/>
                <w:iCs/>
                <w:u w:val="single"/>
              </w:rPr>
              <w:t xml:space="preserve">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6B686" w14:textId="4958E4AE" w:rsidR="00DF405D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0F83" w14:textId="4C03DDF5" w:rsidR="00DF405D" w:rsidRPr="008C190C" w:rsidRDefault="00063D03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4EC116D1" w14:textId="675E2EC8" w:rsidR="00DF405D" w:rsidRPr="006E593B" w:rsidRDefault="00071DE2" w:rsidP="00D510E3">
            <w:pPr>
              <w:spacing w:after="0"/>
            </w:pPr>
            <w:r w:rsidRPr="00C27CEF">
              <w:rPr>
                <w:b/>
                <w:bCs/>
              </w:rPr>
              <w:t>45-Day Public Comment</w:t>
            </w:r>
            <w:r>
              <w:t>: Salena Chow – Recommendation: Approve</w:t>
            </w:r>
          </w:p>
        </w:tc>
        <w:tc>
          <w:tcPr>
            <w:tcW w:w="3960" w:type="dxa"/>
            <w:shd w:val="clear" w:color="auto" w:fill="FFFFFF" w:themeFill="background1"/>
          </w:tcPr>
          <w:p w14:paraId="60951E13" w14:textId="2836E738" w:rsidR="00DF405D" w:rsidRDefault="00DF405D" w:rsidP="00D510E3">
            <w:pPr>
              <w:spacing w:after="0"/>
            </w:pPr>
            <w:r>
              <w:t xml:space="preserve">BSC proposes to amend Section 422.1, creating new subsection </w:t>
            </w:r>
            <w:r w:rsidRPr="00C40A12">
              <w:rPr>
                <w:i/>
                <w:iCs/>
                <w:u w:val="single"/>
              </w:rPr>
              <w:t>422.1.1</w:t>
            </w:r>
            <w:r w:rsidRPr="00C40A12">
              <w:rPr>
                <w:u w:val="single"/>
              </w:rPr>
              <w:t xml:space="preserve"> </w:t>
            </w:r>
            <w:r w:rsidRPr="00C40A12">
              <w:rPr>
                <w:i/>
                <w:iCs/>
                <w:u w:val="single"/>
              </w:rPr>
              <w:t>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AA0D" w14:textId="2649E2E4" w:rsidR="00C4370D" w:rsidRPr="00C4370D" w:rsidRDefault="00C4370D" w:rsidP="00C4370D"/>
        </w:tc>
      </w:tr>
      <w:tr w:rsidR="00DF405D" w:rsidRPr="001E3316" w14:paraId="5EB91FED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1DF7870" w14:textId="6AFAA345" w:rsidR="00DF405D" w:rsidRDefault="00DF405D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02/22-2-2</w:t>
            </w:r>
          </w:p>
        </w:tc>
        <w:tc>
          <w:tcPr>
            <w:tcW w:w="1872" w:type="dxa"/>
            <w:shd w:val="clear" w:color="auto" w:fill="FFFFFF" w:themeFill="background1"/>
          </w:tcPr>
          <w:p w14:paraId="551C520E" w14:textId="57E803FB" w:rsidR="00DF405D" w:rsidRPr="007D4E54" w:rsidRDefault="00C40A12" w:rsidP="00D510E3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strike/>
              </w:rPr>
              <w:t>422.1.1</w:t>
            </w:r>
            <w:r w:rsidRPr="007D4E54">
              <w:rPr>
                <w:b/>
                <w:bCs/>
              </w:rPr>
              <w:t xml:space="preserve"> </w:t>
            </w:r>
            <w:r w:rsidR="00DF405D" w:rsidRPr="007D4E54">
              <w:rPr>
                <w:b/>
                <w:bCs/>
                <w:i/>
                <w:iCs/>
                <w:u w:val="single"/>
              </w:rPr>
              <w:t>422.1.2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4B61B" w14:textId="586BA6C4" w:rsidR="00DF405D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0D8B" w14:textId="411335E2" w:rsidR="00DF405D" w:rsidRPr="008C190C" w:rsidRDefault="00063D03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A5337E8" w14:textId="77777777" w:rsidR="00DF405D" w:rsidRPr="006E593B" w:rsidRDefault="00DF405D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9491C7" w14:textId="0B2957B9" w:rsidR="00DF405D" w:rsidRDefault="00F75E26" w:rsidP="00D510E3">
            <w:pPr>
              <w:spacing w:after="0"/>
            </w:pPr>
            <w:r>
              <w:t xml:space="preserve">BSC proposes to renumber Section 422.1.1 to </w:t>
            </w:r>
            <w:r w:rsidRPr="00C40A12">
              <w:rPr>
                <w:i/>
                <w:iCs/>
                <w:u w:val="single"/>
              </w:rPr>
              <w:t>422.1.2</w:t>
            </w:r>
            <w:r w:rsidR="0056752D">
              <w:t xml:space="preserve"> (and remaining sections)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589C" w14:textId="3E3DA5E9" w:rsidR="00C4370D" w:rsidRPr="00C4370D" w:rsidRDefault="00C4370D" w:rsidP="00C4370D"/>
        </w:tc>
      </w:tr>
    </w:tbl>
    <w:p w14:paraId="15AF1A9A" w14:textId="77777777" w:rsidR="008F2B9E" w:rsidRPr="008F2B9E" w:rsidRDefault="008F2B9E" w:rsidP="008F2B9E"/>
    <w:p w14:paraId="6CD47E71" w14:textId="2052297B" w:rsidR="0046498F" w:rsidRPr="00AD67B3" w:rsidRDefault="0046498F" w:rsidP="0046498F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604.2</w:t>
      </w:r>
    </w:p>
    <w:p w14:paraId="2F039FD3" w14:textId="06DFAB90" w:rsidR="0046498F" w:rsidRDefault="0046498F" w:rsidP="0046498F">
      <w:r>
        <w:t xml:space="preserve">Add new </w:t>
      </w:r>
      <w:r w:rsidRPr="00C40A12">
        <w:rPr>
          <w:i/>
          <w:iCs/>
          <w:u w:val="single"/>
        </w:rPr>
        <w:t>Note</w:t>
      </w:r>
      <w:r>
        <w:t xml:space="preserve"> referencing Health and Safety Code Sections 116875 and 116876</w:t>
      </w:r>
      <w:r w:rsidR="00F833FC">
        <w:t>,</w:t>
      </w:r>
      <w:r>
        <w:t xml:space="preserve"> </w:t>
      </w:r>
      <w:r w:rsidR="00F833FC">
        <w:t>related</w:t>
      </w:r>
      <w:r>
        <w:t xml:space="preserve"> to lead content</w:t>
      </w:r>
      <w:r w:rsidR="008E4BCE">
        <w:t>.</w:t>
      </w:r>
      <w: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46498F" w:rsidRPr="001E3316" w14:paraId="0477D6D0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9173559" w14:textId="67EF444E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A666D0D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25DC5" w14:textId="77777777" w:rsidR="0046498F" w:rsidRPr="00DF33F2" w:rsidRDefault="0046498F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4246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476964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712267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418AD6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6498F" w:rsidRPr="001E3316" w14:paraId="6D766BA4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4789D58" w14:textId="08F80985" w:rsidR="0046498F" w:rsidRDefault="0046498F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</w:t>
            </w:r>
            <w:r w:rsidR="00F833FC">
              <w:t>3</w:t>
            </w:r>
            <w:r>
              <w:t>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38F0C8" w14:textId="27A43F4E" w:rsidR="0046498F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604.2</w:t>
            </w:r>
            <w:r w:rsidR="00CA1AF4" w:rsidRPr="007D4E54">
              <w:rPr>
                <w:b/>
                <w:bCs/>
              </w:rPr>
              <w:t xml:space="preserve"> Lead Content.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9FF99" w14:textId="292C1BCE" w:rsidR="0046498F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F8CD0" w14:textId="5D349E4F" w:rsidR="0046498F" w:rsidRPr="008C190C" w:rsidRDefault="00B801FE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2D9E7B3" w14:textId="77777777" w:rsidR="0046498F" w:rsidRPr="006E593B" w:rsidRDefault="0046498F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9A733B" w14:textId="3973C930" w:rsidR="0046498F" w:rsidRDefault="0046498F" w:rsidP="00081CCC">
            <w:pPr>
              <w:spacing w:after="0"/>
            </w:pPr>
            <w:r>
              <w:t xml:space="preserve">BSC proposes </w:t>
            </w:r>
            <w:r w:rsidR="00F833FC">
              <w:t>a pointer to HSC 116875 &amp; 116876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43508F" w14:textId="77777777" w:rsidR="0046498F" w:rsidRPr="001E3316" w:rsidRDefault="0046498F" w:rsidP="00081CCC">
            <w:pPr>
              <w:spacing w:after="0"/>
            </w:pPr>
          </w:p>
        </w:tc>
      </w:tr>
    </w:tbl>
    <w:p w14:paraId="27B4C782" w14:textId="5575C394" w:rsidR="00342005" w:rsidRDefault="00342005" w:rsidP="00E67FA5"/>
    <w:p w14:paraId="31493280" w14:textId="70A82B63" w:rsidR="00F833FC" w:rsidRPr="00AD67B3" w:rsidRDefault="00F833FC" w:rsidP="00F833FC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605.9.1</w:t>
      </w:r>
    </w:p>
    <w:p w14:paraId="60231C02" w14:textId="4DC569DC" w:rsidR="00F833FC" w:rsidRDefault="00F833FC" w:rsidP="00F833FC">
      <w:r>
        <w:t>Delete year of edition of NSF 14 reference standard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70EA597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DF66BD1" w14:textId="18865C9A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1930A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10D2DF" w14:textId="77777777" w:rsidR="00F833FC" w:rsidRPr="00DF33F2" w:rsidRDefault="00F833FC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6B4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01918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D37D495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E3465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78B1373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7F362DB" w14:textId="4114ED56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F242C98" w14:textId="0F60BD67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605.9.1</w:t>
            </w:r>
            <w:r w:rsidR="00CA1AF4" w:rsidRPr="007D4E54">
              <w:rPr>
                <w:b/>
                <w:bCs/>
              </w:rPr>
              <w:t xml:space="preserve"> Fittings.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FB688" w14:textId="40810E0E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A6E3A" w14:textId="5B9445B3" w:rsidR="00F833FC" w:rsidRPr="008C190C" w:rsidRDefault="00B57B8E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0F83735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0ECF3BA" w14:textId="437538E6" w:rsidR="00F833FC" w:rsidRDefault="00C40A12" w:rsidP="00081CCC">
            <w:pPr>
              <w:spacing w:after="0"/>
            </w:pPr>
            <w:r>
              <w:t>D</w:t>
            </w:r>
            <w:r w:rsidR="00F833FC">
              <w:t xml:space="preserve">elete </w:t>
            </w:r>
            <w:r w:rsidRPr="00C40A12">
              <w:rPr>
                <w:i/>
                <w:iCs/>
                <w:strike/>
              </w:rPr>
              <w:t>2009</w:t>
            </w:r>
            <w:r>
              <w:t xml:space="preserve"> from</w:t>
            </w:r>
            <w:r w:rsidR="00F833FC">
              <w:t xml:space="preserve"> NSF 14 referenced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4EEA9B" w14:textId="77777777" w:rsidR="00F833FC" w:rsidRPr="001E3316" w:rsidRDefault="00F833FC" w:rsidP="00081CCC">
            <w:pPr>
              <w:spacing w:after="0"/>
            </w:pPr>
          </w:p>
        </w:tc>
      </w:tr>
    </w:tbl>
    <w:p w14:paraId="4C5013C0" w14:textId="77777777" w:rsidR="006B0486" w:rsidRDefault="006B0486" w:rsidP="0039656C"/>
    <w:p w14:paraId="4B1CADE1" w14:textId="4218CBD2" w:rsidR="00F833FC" w:rsidRPr="00AD67B3" w:rsidRDefault="00F833FC" w:rsidP="00F833FC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15 alternate water sources for nonpotable applications</w:t>
      </w:r>
      <w:r w:rsidRPr="00AD67B3">
        <w:rPr>
          <w:noProof/>
        </w:rPr>
        <w:t xml:space="preserve">, </w:t>
      </w:r>
      <w:r w:rsidRPr="00AD67B3">
        <w:t>Section</w:t>
      </w:r>
      <w:r>
        <w:t>s 1501.9.1 and 1501.9.2</w:t>
      </w:r>
    </w:p>
    <w:p w14:paraId="264771B3" w14:textId="3AF10696" w:rsidR="00F833FC" w:rsidRDefault="00F833FC" w:rsidP="008E4BCE">
      <w:r>
        <w:t>Delete references to reclaimed (recycled) water from signage requirements for graywater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D6FC9AA" w14:textId="77777777" w:rsidTr="007D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DE19527" w14:textId="2598D7DB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223CAB0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23B3C0" w14:textId="77777777" w:rsidR="00F833FC" w:rsidRPr="00DF33F2" w:rsidRDefault="00F833FC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B3C9A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24C040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426943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CD137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9566133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4986303" w14:textId="05F0D2D1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51B4546" w14:textId="6F30D019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1</w:t>
            </w:r>
            <w:r w:rsidR="007D4E54">
              <w:rPr>
                <w:b/>
                <w:bCs/>
                <w:i/>
                <w:iCs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 xml:space="preserve">Commercial, </w:t>
            </w:r>
            <w:r w:rsidR="007D4E54">
              <w:rPr>
                <w:rFonts w:cs="Arial"/>
                <w:b/>
                <w:bCs/>
                <w:szCs w:val="24"/>
              </w:rPr>
              <w:t>…</w:t>
            </w:r>
            <w:r w:rsidR="007D4E54" w:rsidRPr="0078555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>Restroom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D90CE" w14:textId="1E26628B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90AC5" w14:textId="31D9DF99" w:rsidR="00F833FC" w:rsidRPr="008C190C" w:rsidRDefault="002A6E16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4D4F22E6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FFAAACB" w14:textId="627708B9" w:rsidR="00F833FC" w:rsidRDefault="00F833FC" w:rsidP="00081CCC">
            <w:pPr>
              <w:spacing w:after="0"/>
            </w:pPr>
            <w:r>
              <w:t>BSC proposes to delete reference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71465" w14:textId="77777777" w:rsidR="00F833FC" w:rsidRPr="001E3316" w:rsidRDefault="00F833FC" w:rsidP="00081CCC">
            <w:pPr>
              <w:spacing w:after="0"/>
            </w:pPr>
          </w:p>
        </w:tc>
      </w:tr>
      <w:tr w:rsidR="00F833FC" w:rsidRPr="001E3316" w14:paraId="64D2CD10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30245B4" w14:textId="4476C56D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02/22-5-2</w:t>
            </w:r>
          </w:p>
        </w:tc>
        <w:tc>
          <w:tcPr>
            <w:tcW w:w="1872" w:type="dxa"/>
            <w:shd w:val="clear" w:color="auto" w:fill="FFFFFF" w:themeFill="background1"/>
          </w:tcPr>
          <w:p w14:paraId="0938AFC9" w14:textId="4FC2E9DD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2</w:t>
            </w:r>
            <w:r w:rsidR="007D4E54">
              <w:rPr>
                <w:b/>
                <w:bCs/>
                <w:i/>
                <w:iCs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>Equipment 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C57A2" w14:textId="7C7DB54C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AD9B9" w14:textId="6FB0753E" w:rsidR="00F833FC" w:rsidRPr="008C190C" w:rsidRDefault="002A6E16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55FF971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5494E4" w14:textId="7BCB34FC" w:rsidR="00F833FC" w:rsidRDefault="00F833FC" w:rsidP="00081CCC">
            <w:pPr>
              <w:spacing w:after="0"/>
            </w:pPr>
            <w:r>
              <w:t>BSC proposes to delete references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BD81" w14:textId="77777777" w:rsidR="00F833FC" w:rsidRPr="001E3316" w:rsidRDefault="00F833FC" w:rsidP="00081CCC">
            <w:pPr>
              <w:spacing w:after="0"/>
            </w:pPr>
          </w:p>
        </w:tc>
      </w:tr>
    </w:tbl>
    <w:p w14:paraId="43C19FBB" w14:textId="44F1CBA7" w:rsidR="00400D50" w:rsidRDefault="00400D50" w:rsidP="002A6E16">
      <w:pPr>
        <w:spacing w:after="160" w:line="259" w:lineRule="auto"/>
      </w:pPr>
    </w:p>
    <w:p w14:paraId="0B1E99D1" w14:textId="77777777" w:rsidR="00400D50" w:rsidRDefault="00400D50">
      <w:pPr>
        <w:spacing w:after="160" w:line="259" w:lineRule="auto"/>
      </w:pPr>
      <w:r>
        <w:br w:type="page"/>
      </w:r>
    </w:p>
    <w:p w14:paraId="76C02900" w14:textId="77777777" w:rsidR="002A6E16" w:rsidRDefault="002A6E16" w:rsidP="002A6E16">
      <w:pPr>
        <w:spacing w:after="160" w:line="259" w:lineRule="auto"/>
      </w:pPr>
    </w:p>
    <w:p w14:paraId="0F929B95" w14:textId="0E67EB7C" w:rsidR="00C40A12" w:rsidRPr="00AD67B3" w:rsidRDefault="00C40A12" w:rsidP="002A6E16">
      <w:pPr>
        <w:pStyle w:val="Heading3"/>
      </w:pPr>
      <w:r w:rsidRPr="00AD67B3">
        <w:t xml:space="preserve">Chapter </w:t>
      </w:r>
      <w:r>
        <w:t>17 referenced standards</w:t>
      </w:r>
      <w:r w:rsidRPr="00AD67B3">
        <w:t xml:space="preserve">, </w:t>
      </w:r>
      <w:r>
        <w:t xml:space="preserve">Table 1701.1 </w:t>
      </w:r>
    </w:p>
    <w:p w14:paraId="066758DB" w14:textId="4B967BD0" w:rsidR="00C40A12" w:rsidRDefault="00C40A12" w:rsidP="008E4BCE">
      <w:r>
        <w:t>Add reference to Section 605.9.1 in listing for NSF 14-2018 referenced standard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C40A12" w:rsidRPr="001E3316" w14:paraId="61E0F1D6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5C8861A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8CD644B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D6AB6" w14:textId="77777777" w:rsidR="00C40A12" w:rsidRPr="00DF33F2" w:rsidRDefault="00C40A12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39D4F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2F6CDB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13DF204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A60D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0A12" w:rsidRPr="001E3316" w14:paraId="476244D8" w14:textId="77777777" w:rsidTr="006E36CF">
        <w:trPr>
          <w:trHeight w:val="415"/>
        </w:trPr>
        <w:tc>
          <w:tcPr>
            <w:tcW w:w="1440" w:type="dxa"/>
            <w:shd w:val="clear" w:color="auto" w:fill="FFFFFF" w:themeFill="background1"/>
          </w:tcPr>
          <w:p w14:paraId="0DAA9CA0" w14:textId="77777777" w:rsidR="00C40A12" w:rsidRDefault="00C40A12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5475F98" w14:textId="742409B7" w:rsidR="00C40A12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Table 1701.1</w:t>
            </w:r>
            <w:r w:rsidR="00A124DE">
              <w:rPr>
                <w:b/>
                <w:bCs/>
              </w:rPr>
              <w:t xml:space="preserve"> </w:t>
            </w:r>
            <w:r w:rsidR="00A124DE" w:rsidRPr="00A124DE">
              <w:rPr>
                <w:b/>
                <w:bCs/>
              </w:rPr>
              <w:t>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B3045" w14:textId="02900CB6" w:rsidR="00C40A12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E7B00A" w14:textId="2220C00F" w:rsidR="00C40A12" w:rsidRPr="008C190C" w:rsidRDefault="00660125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8595BE8" w14:textId="77777777" w:rsidR="00C40A12" w:rsidRPr="006E593B" w:rsidRDefault="00C40A12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72798D2" w14:textId="77777777" w:rsidR="00C40A12" w:rsidRPr="00B10C4B" w:rsidRDefault="00C40A12" w:rsidP="00081CCC">
            <w:pPr>
              <w:spacing w:after="0"/>
            </w:pPr>
            <w:r>
              <w:t xml:space="preserve">BSC proposes to add a reference to Section </w:t>
            </w:r>
            <w:r w:rsidRPr="00B10C4B">
              <w:rPr>
                <w:i/>
                <w:iCs/>
              </w:rPr>
              <w:t>605.9.1</w:t>
            </w:r>
            <w:r>
              <w:rPr>
                <w:i/>
                <w:iCs/>
              </w:rPr>
              <w:t xml:space="preserve"> </w:t>
            </w:r>
            <w:r>
              <w:t xml:space="preserve">in the listing for NSF 14-2018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52FC" w14:textId="77777777" w:rsidR="00C40A12" w:rsidRPr="001E3316" w:rsidRDefault="00C40A12" w:rsidP="00081CCC">
            <w:pPr>
              <w:spacing w:after="0"/>
            </w:pPr>
          </w:p>
        </w:tc>
      </w:tr>
    </w:tbl>
    <w:p w14:paraId="0B7F4040" w14:textId="77777777" w:rsidR="00F833FC" w:rsidRPr="00E67FA5" w:rsidRDefault="00F833FC" w:rsidP="00494E5F"/>
    <w:sectPr w:rsidR="00F833FC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C350" w14:textId="77777777" w:rsidR="00280A04" w:rsidRDefault="00280A04" w:rsidP="00EA4D4E">
      <w:pPr>
        <w:spacing w:after="0"/>
      </w:pPr>
      <w:r>
        <w:separator/>
      </w:r>
    </w:p>
  </w:endnote>
  <w:endnote w:type="continuationSeparator" w:id="0">
    <w:p w14:paraId="754487DE" w14:textId="77777777" w:rsidR="00280A04" w:rsidRDefault="00280A0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55FB68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104188">
      <w:rPr>
        <w:rFonts w:cs="Arial"/>
      </w:rPr>
      <w:t>July</w:t>
    </w:r>
    <w:r w:rsidR="003A6B48">
      <w:rPr>
        <w:rFonts w:cs="Arial"/>
      </w:rPr>
      <w:t xml:space="preserve"> </w:t>
    </w:r>
    <w:r w:rsidR="00104188">
      <w:rPr>
        <w:rFonts w:cs="Arial"/>
      </w:rPr>
      <w:t>6</w:t>
    </w:r>
    <w:r w:rsidR="003A6B48">
      <w:rPr>
        <w:rFonts w:cs="Arial"/>
      </w:rPr>
      <w:t>, 2023</w:t>
    </w:r>
  </w:p>
  <w:p w14:paraId="1802EBAA" w14:textId="12489D3A" w:rsidR="00EA4D4E" w:rsidRPr="00207E89" w:rsidRDefault="00B10C4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02/22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>2022 Intervening Code Adoption Cycle</w:t>
    </w:r>
    <w:r w:rsidR="00EA4D4E" w:rsidRPr="00207E89">
      <w:rPr>
        <w:rFonts w:cs="Arial"/>
      </w:rPr>
      <w:tab/>
    </w:r>
    <w:r w:rsidR="00C4370D">
      <w:rPr>
        <w:rFonts w:cs="Arial"/>
      </w:rPr>
      <w:t>CAM</w:t>
    </w:r>
    <w:r w:rsidR="00810F3D">
      <w:rPr>
        <w:rFonts w:cs="Arial"/>
      </w:rPr>
      <w:t xml:space="preserve"> – </w:t>
    </w:r>
    <w:r w:rsidR="00EF4852">
      <w:rPr>
        <w:rFonts w:cs="Arial"/>
      </w:rPr>
      <w:t>GREEN</w:t>
    </w:r>
    <w:r w:rsidR="00810F3D">
      <w:rPr>
        <w:rFonts w:cs="Arial"/>
      </w:rPr>
      <w:t xml:space="preserve"> </w:t>
    </w:r>
  </w:p>
  <w:p w14:paraId="43178E55" w14:textId="1FA49415" w:rsidR="00EA4D4E" w:rsidRPr="00207E89" w:rsidRDefault="00B10C4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F3A3" w14:textId="77777777" w:rsidR="00280A04" w:rsidRDefault="00280A04" w:rsidP="00EA4D4E">
      <w:pPr>
        <w:spacing w:after="0"/>
      </w:pPr>
      <w:r>
        <w:separator/>
      </w:r>
    </w:p>
  </w:footnote>
  <w:footnote w:type="continuationSeparator" w:id="0">
    <w:p w14:paraId="67C26F60" w14:textId="77777777" w:rsidR="00280A04" w:rsidRDefault="00280A0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27C7"/>
    <w:rsid w:val="000334EC"/>
    <w:rsid w:val="00036738"/>
    <w:rsid w:val="00063C1B"/>
    <w:rsid w:val="00063D03"/>
    <w:rsid w:val="00071DE2"/>
    <w:rsid w:val="00091240"/>
    <w:rsid w:val="000B3B46"/>
    <w:rsid w:val="000C7BBE"/>
    <w:rsid w:val="00104188"/>
    <w:rsid w:val="0016159A"/>
    <w:rsid w:val="001B4A21"/>
    <w:rsid w:val="001D5FE5"/>
    <w:rsid w:val="001E7501"/>
    <w:rsid w:val="00207E89"/>
    <w:rsid w:val="00234734"/>
    <w:rsid w:val="00280A04"/>
    <w:rsid w:val="002A6E16"/>
    <w:rsid w:val="002D0FCE"/>
    <w:rsid w:val="00333E2A"/>
    <w:rsid w:val="00342005"/>
    <w:rsid w:val="0039656C"/>
    <w:rsid w:val="003A6B48"/>
    <w:rsid w:val="003E19BB"/>
    <w:rsid w:val="00400D50"/>
    <w:rsid w:val="004442BC"/>
    <w:rsid w:val="004460DC"/>
    <w:rsid w:val="0046498F"/>
    <w:rsid w:val="0049184E"/>
    <w:rsid w:val="00494E5F"/>
    <w:rsid w:val="004B7B49"/>
    <w:rsid w:val="004C663B"/>
    <w:rsid w:val="005107D5"/>
    <w:rsid w:val="00525497"/>
    <w:rsid w:val="00545783"/>
    <w:rsid w:val="0056752D"/>
    <w:rsid w:val="00595B4C"/>
    <w:rsid w:val="005E180F"/>
    <w:rsid w:val="005E44F6"/>
    <w:rsid w:val="00602858"/>
    <w:rsid w:val="0065416A"/>
    <w:rsid w:val="00660125"/>
    <w:rsid w:val="006B0486"/>
    <w:rsid w:val="006C5969"/>
    <w:rsid w:val="006E36CF"/>
    <w:rsid w:val="00714133"/>
    <w:rsid w:val="00715553"/>
    <w:rsid w:val="00781C04"/>
    <w:rsid w:val="00782373"/>
    <w:rsid w:val="007D4E54"/>
    <w:rsid w:val="00810F3D"/>
    <w:rsid w:val="00843EE8"/>
    <w:rsid w:val="00867C04"/>
    <w:rsid w:val="008732B2"/>
    <w:rsid w:val="00876DB7"/>
    <w:rsid w:val="008B5BCC"/>
    <w:rsid w:val="008C190C"/>
    <w:rsid w:val="008D64E3"/>
    <w:rsid w:val="008E4BCE"/>
    <w:rsid w:val="008F2B9E"/>
    <w:rsid w:val="00923A7A"/>
    <w:rsid w:val="009566DD"/>
    <w:rsid w:val="009861D4"/>
    <w:rsid w:val="009D3118"/>
    <w:rsid w:val="00A124DE"/>
    <w:rsid w:val="00A31878"/>
    <w:rsid w:val="00A42C9D"/>
    <w:rsid w:val="00A970D9"/>
    <w:rsid w:val="00AE07E7"/>
    <w:rsid w:val="00AF03E0"/>
    <w:rsid w:val="00B024FD"/>
    <w:rsid w:val="00B10C4B"/>
    <w:rsid w:val="00B51928"/>
    <w:rsid w:val="00B57B8E"/>
    <w:rsid w:val="00B801FE"/>
    <w:rsid w:val="00B95BC2"/>
    <w:rsid w:val="00BD6C6A"/>
    <w:rsid w:val="00C27CEF"/>
    <w:rsid w:val="00C40A12"/>
    <w:rsid w:val="00C4370D"/>
    <w:rsid w:val="00C81ED7"/>
    <w:rsid w:val="00C82CE2"/>
    <w:rsid w:val="00CA1AF4"/>
    <w:rsid w:val="00CB2AED"/>
    <w:rsid w:val="00D47753"/>
    <w:rsid w:val="00D668FB"/>
    <w:rsid w:val="00D86E67"/>
    <w:rsid w:val="00DB4C62"/>
    <w:rsid w:val="00DF33F2"/>
    <w:rsid w:val="00DF405D"/>
    <w:rsid w:val="00E15B76"/>
    <w:rsid w:val="00E42E3A"/>
    <w:rsid w:val="00E67FA5"/>
    <w:rsid w:val="00EA4D4E"/>
    <w:rsid w:val="00EB29B5"/>
    <w:rsid w:val="00EF4852"/>
    <w:rsid w:val="00F371C4"/>
    <w:rsid w:val="00F75E26"/>
    <w:rsid w:val="00F81E8D"/>
    <w:rsid w:val="00F833FC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5D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CA1AF4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90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90C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02-22 CAM Part 5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BSC-02-22-CAM-Pt5-GREEN</dc:title>
  <dc:subject/>
  <dc:creator>Brauzman, Irina@DGS</dc:creator>
  <cp:keywords/>
  <dc:description/>
  <cp:lastModifiedBy>Day, Kevin@DGS</cp:lastModifiedBy>
  <cp:revision>18</cp:revision>
  <dcterms:created xsi:type="dcterms:W3CDTF">2023-07-06T21:21:00Z</dcterms:created>
  <dcterms:modified xsi:type="dcterms:W3CDTF">2023-07-11T22:28:00Z</dcterms:modified>
</cp:coreProperties>
</file>