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255F" w14:textId="2CB1B7DC" w:rsidR="008A6CD2" w:rsidRPr="00AD67B3" w:rsidRDefault="002317C5" w:rsidP="008A6CD2">
      <w:pPr>
        <w:pStyle w:val="Heading1"/>
        <w:spacing w:line="240" w:lineRule="auto"/>
        <w:jc w:val="center"/>
        <w:rPr>
          <w:rFonts w:cs="Arial"/>
        </w:rPr>
      </w:pPr>
      <w:r>
        <w:t>ADDENDUM</w:t>
      </w:r>
      <w:r w:rsidRPr="00AD67B3">
        <w:rPr>
          <w:rFonts w:cs="Arial"/>
        </w:rPr>
        <w:t xml:space="preserve"> </w:t>
      </w:r>
      <w:r>
        <w:rPr>
          <w:rFonts w:cs="Arial"/>
        </w:rPr>
        <w:t xml:space="preserve">TO </w:t>
      </w:r>
      <w:r w:rsidR="006C1676">
        <w:rPr>
          <w:rFonts w:cs="Arial"/>
        </w:rPr>
        <w:t>INITIAL</w:t>
      </w:r>
      <w:r w:rsidR="00E3790F" w:rsidRPr="00AD67B3">
        <w:rPr>
          <w:rFonts w:cs="Arial"/>
        </w:rPr>
        <w:t xml:space="preserve"> </w:t>
      </w:r>
      <w:r w:rsidR="000257AD" w:rsidRPr="00AD67B3">
        <w:rPr>
          <w:rFonts w:cs="Arial"/>
        </w:rPr>
        <w:t>EXPRESS TERMS</w:t>
      </w:r>
      <w:r w:rsidR="004F291C">
        <w:rPr>
          <w:rFonts w:cs="Arial"/>
        </w:rPr>
        <w:t xml:space="preserve"> </w:t>
      </w:r>
      <w:r w:rsidR="004F291C" w:rsidRPr="004F291C">
        <w:rPr>
          <w:rFonts w:cs="Arial"/>
        </w:rPr>
        <w:t>AND RATIONALE</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3B1493">
        <w:rPr>
          <w:rFonts w:cs="Arial"/>
        </w:rPr>
        <w:t xml:space="preserve">OFFICE OF THE </w:t>
      </w:r>
      <w:r w:rsidR="00562BB3">
        <w:rPr>
          <w:rStyle w:val="TitleChar"/>
          <w:rFonts w:cs="Arial"/>
          <w:b/>
        </w:rPr>
        <w:t>S</w:t>
      </w:r>
      <w:r w:rsidR="00D5409C">
        <w:rPr>
          <w:rStyle w:val="TitleChar"/>
          <w:rFonts w:cs="Arial"/>
          <w:b/>
        </w:rPr>
        <w:t xml:space="preserve">TATE </w:t>
      </w:r>
      <w:r w:rsidR="00562BB3">
        <w:rPr>
          <w:rStyle w:val="TitleChar"/>
          <w:rFonts w:cs="Arial"/>
          <w:b/>
        </w:rPr>
        <w:t>F</w:t>
      </w:r>
      <w:r w:rsidR="00D5409C">
        <w:rPr>
          <w:rStyle w:val="TitleChar"/>
          <w:rFonts w:cs="Arial"/>
          <w:b/>
        </w:rPr>
        <w:t xml:space="preserve">IRE </w:t>
      </w:r>
      <w:r w:rsidR="00562BB3">
        <w:rPr>
          <w:rStyle w:val="TitleChar"/>
          <w:rFonts w:cs="Arial"/>
          <w:b/>
        </w:rPr>
        <w:t>M</w:t>
      </w:r>
      <w:r w:rsidR="00D5409C">
        <w:rPr>
          <w:rStyle w:val="TitleChar"/>
          <w:rFonts w:cs="Arial"/>
          <w:b/>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Pr>
          <w:rStyle w:val="TitleChar"/>
          <w:rFonts w:cs="Arial"/>
          <w:b/>
        </w:rPr>
        <w:t xml:space="preserve">2022 CALIFORNIA </w:t>
      </w:r>
      <w:r w:rsidR="006C1676">
        <w:rPr>
          <w:rStyle w:val="TitleChar"/>
          <w:rFonts w:cs="Arial"/>
          <w:b/>
        </w:rPr>
        <w:t>RESIDENTIAL</w:t>
      </w:r>
      <w:r w:rsidR="00D5409C">
        <w:rPr>
          <w:rStyle w:val="TitleChar"/>
          <w:rFonts w:cs="Arial"/>
          <w:b/>
        </w:rPr>
        <w:t xml:space="preserve"> CODE</w:t>
      </w:r>
      <w:r w:rsidR="002A55E0" w:rsidRPr="00AD67B3">
        <w:rPr>
          <w:rFonts w:cs="Arial"/>
        </w:rPr>
        <w:t>,</w:t>
      </w:r>
    </w:p>
    <w:p w14:paraId="3BA59331" w14:textId="0B03568F"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PART </w:t>
      </w:r>
      <w:r w:rsidR="005D2465">
        <w:rPr>
          <w:rFonts w:cs="Arial"/>
        </w:rPr>
        <w:t>2.5</w:t>
      </w:r>
    </w:p>
    <w:p w14:paraId="5A0C8502" w14:textId="3CC234B7"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F11A5D">
        <w:rPr>
          <w:rFonts w:cs="Arial"/>
          <w:szCs w:val="24"/>
        </w:rPr>
        <w:t>03</w:t>
      </w:r>
      <w:r w:rsidR="00846A63">
        <w:rPr>
          <w:rFonts w:cs="Arial"/>
          <w:szCs w:val="24"/>
        </w:rPr>
        <w:t>/</w:t>
      </w:r>
      <w:r w:rsidR="00F11A5D">
        <w:rPr>
          <w:rFonts w:cs="Arial"/>
          <w:szCs w:val="24"/>
        </w:rPr>
        <w:t>22</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5A6F0BC8" w:rsidR="002F066A" w:rsidRPr="00AD67B3" w:rsidRDefault="002F066A" w:rsidP="00C57320">
      <w:pPr>
        <w:pStyle w:val="ListParagraph"/>
        <w:numPr>
          <w:ilvl w:val="0"/>
          <w:numId w:val="5"/>
        </w:numPr>
        <w:rPr>
          <w:rFonts w:ascii="Arial" w:hAnsi="Arial" w:cs="Arial"/>
        </w:rPr>
      </w:pPr>
      <w:r w:rsidRPr="00AD67B3">
        <w:rPr>
          <w:rFonts w:ascii="Arial" w:hAnsi="Arial" w:cs="Arial"/>
        </w:rPr>
        <w:t>Ellips</w:t>
      </w:r>
      <w:r w:rsidR="001B1143">
        <w:rPr>
          <w:rFonts w:ascii="Arial" w:hAnsi="Arial" w:cs="Arial"/>
        </w:rPr>
        <w:t>e</w:t>
      </w:r>
      <w:r w:rsidRPr="00AD67B3">
        <w:rPr>
          <w:rFonts w:ascii="Arial" w:hAnsi="Arial" w:cs="Arial"/>
        </w:rPr>
        <w:t xml:space="preserve">s </w:t>
      </w:r>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78063B6B" w14:textId="3EE16F89" w:rsidR="00AF5F18" w:rsidRPr="004F291C" w:rsidRDefault="0027688C" w:rsidP="00306A4D">
      <w:pPr>
        <w:pStyle w:val="Heading2"/>
        <w:spacing w:after="240"/>
      </w:pPr>
      <w:r>
        <w:t xml:space="preserve">ADDENDUM to </w:t>
      </w:r>
      <w:r w:rsidR="006C1676">
        <w:t>INITIAL</w:t>
      </w:r>
      <w:r w:rsidR="006D74C1" w:rsidRPr="0027688C">
        <w:t xml:space="preserve"> </w:t>
      </w:r>
      <w:r w:rsidR="000257AD" w:rsidRPr="0027688C">
        <w:t>EXPRESS TERMS</w:t>
      </w:r>
      <w:r w:rsidR="004F291C">
        <w:t xml:space="preserve"> and</w:t>
      </w:r>
      <w:r w:rsidR="004F291C" w:rsidRPr="004F291C">
        <w:t xml:space="preserve"> RATIONALE</w:t>
      </w:r>
    </w:p>
    <w:p w14:paraId="5636D053" w14:textId="5CC0F276" w:rsidR="00AF5F18" w:rsidRPr="00AF5F18" w:rsidRDefault="00AF5F18" w:rsidP="00107079">
      <w:pPr>
        <w:pStyle w:val="Heading3"/>
        <w:rPr>
          <w:noProof/>
        </w:rPr>
      </w:pPr>
      <w:r w:rsidRPr="00AF5F18">
        <w:t xml:space="preserve">ITEM </w:t>
      </w:r>
      <w:r w:rsidR="00B94E4E">
        <w:t>9</w:t>
      </w:r>
      <w:r w:rsidRPr="00AF5F18">
        <w:br/>
        <w:t xml:space="preserve">Chapter </w:t>
      </w:r>
      <w:r w:rsidR="00FE0C6E">
        <w:t>3</w:t>
      </w:r>
      <w:r w:rsidRPr="00AF5F18">
        <w:t xml:space="preserve"> </w:t>
      </w:r>
      <w:r w:rsidR="002C09DC">
        <w:t>BUILDING PLANNING</w:t>
      </w:r>
      <w:r w:rsidRPr="00AF5F18">
        <w:t xml:space="preserve">, </w:t>
      </w:r>
      <w:r w:rsidR="009A410D">
        <w:t>R328.5</w:t>
      </w:r>
      <w:r w:rsidRPr="00AF5F18">
        <w:t xml:space="preserve">, Table </w:t>
      </w:r>
      <w:r w:rsidR="009A410D">
        <w:t>R328.5</w:t>
      </w:r>
    </w:p>
    <w:p w14:paraId="42024630" w14:textId="564FE9D9" w:rsidR="004B0E1C" w:rsidRPr="004F291C" w:rsidRDefault="004B0E1C" w:rsidP="004F291C">
      <w:pPr>
        <w:spacing w:before="120" w:after="240"/>
        <w:rPr>
          <w:rFonts w:cs="Arial"/>
          <w:szCs w:val="24"/>
        </w:rPr>
      </w:pPr>
      <w:r w:rsidRPr="009B585A">
        <w:rPr>
          <w:rFonts w:cs="Arial"/>
          <w:szCs w:val="24"/>
        </w:rPr>
        <w:t>[The SFM proposal provides the clear intent of the maximum threshold of kWh of ESS for each location on a property.]</w:t>
      </w:r>
    </w:p>
    <w:p w14:paraId="6C4B85CA" w14:textId="4486053F" w:rsidR="004B0E1C" w:rsidRPr="00FA1652" w:rsidRDefault="00996876" w:rsidP="004B0E1C">
      <w:pPr>
        <w:spacing w:before="120"/>
        <w:rPr>
          <w:rFonts w:ascii="Arial" w:hAnsi="Arial" w:cs="Arial"/>
          <w:bCs/>
          <w:i/>
          <w:iCs/>
          <w:szCs w:val="24"/>
          <w:u w:val="single"/>
        </w:rPr>
      </w:pPr>
      <w:r w:rsidRPr="00FA1652">
        <w:rPr>
          <w:rFonts w:ascii="Arial" w:hAnsi="Arial" w:cs="Arial"/>
          <w:b/>
          <w:bCs/>
          <w:szCs w:val="24"/>
        </w:rPr>
        <w:t>R328.5</w:t>
      </w:r>
      <w:r w:rsidR="004B0E1C" w:rsidRPr="00FA1652">
        <w:rPr>
          <w:rFonts w:ascii="Arial" w:hAnsi="Arial" w:cs="Arial"/>
          <w:b/>
          <w:bCs/>
          <w:szCs w:val="24"/>
        </w:rPr>
        <w:t xml:space="preserve"> Energy ratings. </w:t>
      </w:r>
      <w:r w:rsidR="004B0E1C" w:rsidRPr="00FA1652">
        <w:rPr>
          <w:rFonts w:ascii="Arial" w:hAnsi="Arial" w:cs="Arial"/>
          <w:bCs/>
          <w:szCs w:val="24"/>
        </w:rPr>
        <w:t xml:space="preserve">Individual ESS units shall have a maximum rating of 20 kWh. The </w:t>
      </w:r>
      <w:r w:rsidR="004B0E1C" w:rsidRPr="00FA1652">
        <w:rPr>
          <w:rFonts w:ascii="Arial" w:hAnsi="Arial" w:cs="Arial"/>
          <w:bCs/>
          <w:strike/>
          <w:szCs w:val="24"/>
        </w:rPr>
        <w:t>aggregate rating</w:t>
      </w:r>
      <w:r w:rsidR="004B0E1C" w:rsidRPr="00FA1652">
        <w:rPr>
          <w:rFonts w:ascii="Arial" w:hAnsi="Arial" w:cs="Arial"/>
          <w:bCs/>
          <w:szCs w:val="24"/>
        </w:rPr>
        <w:t xml:space="preserve"> </w:t>
      </w:r>
      <w:r w:rsidR="004B0E1C" w:rsidRPr="00FA1652">
        <w:rPr>
          <w:rFonts w:ascii="Arial" w:hAnsi="Arial" w:cs="Arial"/>
          <w:bCs/>
          <w:i/>
          <w:iCs/>
          <w:szCs w:val="24"/>
          <w:u w:val="single"/>
        </w:rPr>
        <w:t>ratings</w:t>
      </w:r>
      <w:r w:rsidR="004B0E1C" w:rsidRPr="000661C8">
        <w:rPr>
          <w:rFonts w:ascii="Arial" w:hAnsi="Arial" w:cs="Arial"/>
          <w:bCs/>
          <w:szCs w:val="24"/>
        </w:rPr>
        <w:t xml:space="preserve"> of the ESS </w:t>
      </w:r>
      <w:r w:rsidR="004B0E1C" w:rsidRPr="00FA1652">
        <w:rPr>
          <w:rFonts w:ascii="Arial" w:hAnsi="Arial" w:cs="Arial"/>
          <w:bCs/>
          <w:i/>
          <w:iCs/>
          <w:szCs w:val="24"/>
          <w:u w:val="single"/>
        </w:rPr>
        <w:t>in each location</w:t>
      </w:r>
      <w:r w:rsidR="004B0E1C" w:rsidRPr="00FA1652">
        <w:rPr>
          <w:rFonts w:ascii="Arial" w:hAnsi="Arial" w:cs="Arial"/>
          <w:bCs/>
          <w:szCs w:val="24"/>
          <w:u w:val="single"/>
        </w:rPr>
        <w:t xml:space="preserve"> </w:t>
      </w:r>
      <w:r w:rsidR="004B0E1C" w:rsidRPr="00FA1652">
        <w:rPr>
          <w:rFonts w:ascii="Arial" w:hAnsi="Arial" w:cs="Arial"/>
          <w:bCs/>
          <w:szCs w:val="24"/>
        </w:rPr>
        <w:t xml:space="preserve">shall not exceed </w:t>
      </w:r>
      <w:r w:rsidR="004B0E1C" w:rsidRPr="00FA1652">
        <w:rPr>
          <w:rFonts w:ascii="Arial" w:hAnsi="Arial" w:cs="Arial"/>
          <w:bCs/>
          <w:i/>
          <w:iCs/>
          <w:szCs w:val="24"/>
          <w:u w:val="single"/>
        </w:rPr>
        <w:t xml:space="preserve">the ratings in Table </w:t>
      </w:r>
      <w:r w:rsidR="00FA1652" w:rsidRPr="00FA1652">
        <w:rPr>
          <w:rFonts w:ascii="Arial" w:hAnsi="Arial" w:cs="Arial"/>
          <w:bCs/>
          <w:i/>
          <w:iCs/>
          <w:szCs w:val="24"/>
          <w:u w:val="single"/>
        </w:rPr>
        <w:t>R328.5</w:t>
      </w:r>
      <w:r w:rsidR="004B0E1C" w:rsidRPr="00FA1652">
        <w:rPr>
          <w:rFonts w:ascii="Arial" w:hAnsi="Arial" w:cs="Arial"/>
          <w:bCs/>
          <w:i/>
          <w:iCs/>
          <w:szCs w:val="24"/>
          <w:u w:val="single"/>
        </w:rPr>
        <w:t>.</w:t>
      </w:r>
      <w:r w:rsidR="004B0E1C" w:rsidRPr="00FA1652">
        <w:rPr>
          <w:rFonts w:ascii="Arial" w:hAnsi="Arial" w:cs="Arial"/>
          <w:bCs/>
          <w:szCs w:val="24"/>
        </w:rPr>
        <w:t xml:space="preserve"> </w:t>
      </w:r>
      <w:r w:rsidR="004B0E1C" w:rsidRPr="00FA1652">
        <w:rPr>
          <w:rFonts w:ascii="Arial" w:hAnsi="Arial" w:cs="Arial"/>
          <w:bCs/>
          <w:strike/>
          <w:szCs w:val="24"/>
        </w:rPr>
        <w:t xml:space="preserve">: </w:t>
      </w:r>
      <w:r w:rsidR="004B0E1C" w:rsidRPr="00FA1652">
        <w:rPr>
          <w:rFonts w:ascii="Arial" w:hAnsi="Arial" w:cs="Arial"/>
          <w:bCs/>
          <w:i/>
          <w:iCs/>
          <w:szCs w:val="24"/>
          <w:u w:val="single"/>
        </w:rPr>
        <w:t>The total aggregate ratings of ESS on the property shall not exceed 600kWh.</w:t>
      </w:r>
    </w:p>
    <w:p w14:paraId="285874DF" w14:textId="77777777" w:rsidR="004B0E1C" w:rsidRPr="00FA1652" w:rsidRDefault="004B0E1C" w:rsidP="004B0E1C">
      <w:pPr>
        <w:spacing w:before="120"/>
        <w:ind w:firstLine="432"/>
        <w:rPr>
          <w:rFonts w:ascii="Arial" w:hAnsi="Arial" w:cs="Arial"/>
          <w:bCs/>
          <w:strike/>
          <w:szCs w:val="24"/>
        </w:rPr>
      </w:pPr>
      <w:r w:rsidRPr="00FA1652">
        <w:rPr>
          <w:rFonts w:ascii="Arial" w:hAnsi="Arial" w:cs="Arial"/>
          <w:bCs/>
          <w:strike/>
          <w:szCs w:val="24"/>
        </w:rPr>
        <w:t>1. 40 kWh within utility closets and storage or utility spaces.</w:t>
      </w:r>
    </w:p>
    <w:p w14:paraId="6488446F" w14:textId="77777777" w:rsidR="004B0E1C" w:rsidRPr="00FA1652" w:rsidRDefault="004B0E1C" w:rsidP="004B0E1C">
      <w:pPr>
        <w:spacing w:before="120"/>
        <w:ind w:firstLine="432"/>
        <w:rPr>
          <w:rFonts w:ascii="Arial" w:hAnsi="Arial" w:cs="Arial"/>
          <w:bCs/>
          <w:strike/>
          <w:szCs w:val="24"/>
        </w:rPr>
      </w:pPr>
      <w:r w:rsidRPr="00FA1652">
        <w:rPr>
          <w:rFonts w:ascii="Arial" w:hAnsi="Arial" w:cs="Arial"/>
          <w:bCs/>
          <w:strike/>
          <w:szCs w:val="24"/>
        </w:rPr>
        <w:t>2. 80 kWh in attached or detached garages and detached accessory structures.</w:t>
      </w:r>
    </w:p>
    <w:p w14:paraId="5AB643B8" w14:textId="77777777" w:rsidR="004B0E1C" w:rsidRPr="00FA1652" w:rsidRDefault="004B0E1C" w:rsidP="004B0E1C">
      <w:pPr>
        <w:spacing w:before="120"/>
        <w:ind w:firstLine="432"/>
        <w:rPr>
          <w:rFonts w:ascii="Arial" w:hAnsi="Arial" w:cs="Arial"/>
          <w:bCs/>
          <w:strike/>
          <w:szCs w:val="24"/>
        </w:rPr>
      </w:pPr>
      <w:r w:rsidRPr="00FA1652">
        <w:rPr>
          <w:rFonts w:ascii="Arial" w:hAnsi="Arial" w:cs="Arial"/>
          <w:bCs/>
          <w:strike/>
          <w:szCs w:val="24"/>
        </w:rPr>
        <w:t>3. 80 kWh on exterior walls.</w:t>
      </w:r>
    </w:p>
    <w:p w14:paraId="1D50CB2E" w14:textId="77777777" w:rsidR="004B0E1C" w:rsidRPr="00FA1652" w:rsidRDefault="004B0E1C" w:rsidP="004B0E1C">
      <w:pPr>
        <w:spacing w:before="120"/>
        <w:ind w:firstLine="432"/>
        <w:rPr>
          <w:rFonts w:ascii="Arial" w:hAnsi="Arial" w:cs="Arial"/>
          <w:bCs/>
          <w:strike/>
          <w:szCs w:val="24"/>
        </w:rPr>
      </w:pPr>
      <w:r w:rsidRPr="00FA1652">
        <w:rPr>
          <w:rFonts w:ascii="Arial" w:hAnsi="Arial" w:cs="Arial"/>
          <w:bCs/>
          <w:strike/>
          <w:szCs w:val="24"/>
        </w:rPr>
        <w:t>4. 80 kWh outdoors on the ground.</w:t>
      </w:r>
    </w:p>
    <w:p w14:paraId="3F8F5550" w14:textId="2370E8EB" w:rsidR="004B0E1C" w:rsidRPr="00FA1652" w:rsidRDefault="004B0E1C" w:rsidP="004B0E1C">
      <w:pPr>
        <w:spacing w:before="120"/>
        <w:rPr>
          <w:rFonts w:ascii="Arial" w:hAnsi="Arial" w:cs="Arial"/>
          <w:bCs/>
          <w:i/>
          <w:iCs/>
          <w:szCs w:val="24"/>
        </w:rPr>
      </w:pPr>
      <w:r w:rsidRPr="000661C8">
        <w:rPr>
          <w:rFonts w:ascii="Arial" w:hAnsi="Arial" w:cs="Arial"/>
          <w:bCs/>
          <w:szCs w:val="24"/>
        </w:rPr>
        <w:t>ESS installations exceeding the permitted individual or aggregate ratings shall be installed in accordance with Section</w:t>
      </w:r>
      <w:r w:rsidRPr="00FA1652">
        <w:rPr>
          <w:rFonts w:ascii="Arial" w:hAnsi="Arial" w:cs="Arial"/>
          <w:bCs/>
          <w:i/>
          <w:iCs/>
          <w:szCs w:val="24"/>
        </w:rPr>
        <w:t xml:space="preserve"> </w:t>
      </w:r>
      <w:r w:rsidR="00FA1652" w:rsidRPr="00FA1652">
        <w:rPr>
          <w:rFonts w:ascii="Arial" w:hAnsi="Arial" w:cs="Arial"/>
          <w:strike/>
          <w:snapToGrid/>
          <w:szCs w:val="24"/>
        </w:rPr>
        <w:t>1207</w:t>
      </w:r>
      <w:r w:rsidRPr="00FA1652">
        <w:rPr>
          <w:rFonts w:ascii="Arial" w:hAnsi="Arial" w:cs="Arial"/>
          <w:bCs/>
          <w:i/>
          <w:iCs/>
          <w:szCs w:val="24"/>
          <w:u w:val="single"/>
        </w:rPr>
        <w:t>1207.1 through 1207.9</w:t>
      </w:r>
      <w:r w:rsidRPr="00FA1652">
        <w:rPr>
          <w:rFonts w:ascii="Arial" w:hAnsi="Arial" w:cs="Arial"/>
          <w:bCs/>
          <w:i/>
          <w:iCs/>
          <w:szCs w:val="24"/>
        </w:rPr>
        <w:t xml:space="preserve"> </w:t>
      </w:r>
      <w:r w:rsidRPr="00FA1652">
        <w:rPr>
          <w:rFonts w:ascii="Arial" w:hAnsi="Arial" w:cs="Arial"/>
          <w:bCs/>
          <w:szCs w:val="24"/>
        </w:rPr>
        <w:t>of the</w:t>
      </w:r>
      <w:r w:rsidRPr="00FA1652">
        <w:rPr>
          <w:rFonts w:ascii="Arial" w:hAnsi="Arial" w:cs="Arial"/>
          <w:bCs/>
          <w:i/>
          <w:iCs/>
          <w:szCs w:val="24"/>
        </w:rPr>
        <w:t xml:space="preserve"> California Fire Code.</w:t>
      </w:r>
    </w:p>
    <w:p w14:paraId="78C8C157" w14:textId="370A5E76" w:rsidR="009F79F1" w:rsidRDefault="009F79F1">
      <w:pPr>
        <w:widowControl/>
        <w:rPr>
          <w:rFonts w:cs="Arial"/>
          <w:bCs/>
          <w:i/>
          <w:iCs/>
          <w:szCs w:val="24"/>
        </w:rPr>
      </w:pPr>
      <w:r>
        <w:rPr>
          <w:rFonts w:cs="Arial"/>
          <w:bCs/>
          <w:i/>
          <w:iCs/>
          <w:szCs w:val="24"/>
        </w:rPr>
        <w:br w:type="page"/>
      </w:r>
    </w:p>
    <w:p w14:paraId="5A339A78" w14:textId="4B65FEC3" w:rsidR="004B0E1C" w:rsidRPr="004F291C" w:rsidRDefault="004B0E1C" w:rsidP="004F291C">
      <w:pPr>
        <w:spacing w:after="240"/>
        <w:jc w:val="center"/>
        <w:rPr>
          <w:rFonts w:ascii="Arial" w:hAnsi="Arial" w:cs="Arial"/>
          <w:b/>
          <w:bCs/>
          <w:i/>
          <w:iCs/>
          <w:u w:val="single"/>
        </w:rPr>
      </w:pPr>
      <w:r w:rsidRPr="009147A0">
        <w:rPr>
          <w:rFonts w:ascii="Arial" w:hAnsi="Arial" w:cs="Arial"/>
          <w:b/>
          <w:bCs/>
          <w:i/>
          <w:iCs/>
          <w:u w:val="single"/>
        </w:rPr>
        <w:lastRenderedPageBreak/>
        <w:t xml:space="preserve">TABLE </w:t>
      </w:r>
      <w:r w:rsidR="00FA1652" w:rsidRPr="009147A0">
        <w:rPr>
          <w:rFonts w:ascii="Arial" w:hAnsi="Arial" w:cs="Arial"/>
          <w:b/>
          <w:bCs/>
          <w:i/>
          <w:iCs/>
          <w:u w:val="single"/>
        </w:rPr>
        <w:t>R32</w:t>
      </w:r>
      <w:r w:rsidR="00531A9D" w:rsidRPr="009147A0">
        <w:rPr>
          <w:rFonts w:ascii="Arial" w:hAnsi="Arial" w:cs="Arial"/>
          <w:b/>
          <w:bCs/>
          <w:i/>
          <w:iCs/>
          <w:u w:val="single"/>
        </w:rPr>
        <w:t>8.5</w:t>
      </w:r>
      <w:r w:rsidRPr="009147A0">
        <w:rPr>
          <w:rFonts w:ascii="Arial" w:hAnsi="Arial" w:cs="Arial"/>
          <w:b/>
          <w:bCs/>
          <w:i/>
          <w:iCs/>
          <w:u w:val="single"/>
        </w:rPr>
        <w:t xml:space="preserve"> MAXIMUM AGGREGATE RATINGS OF ESS</w:t>
      </w:r>
    </w:p>
    <w:tbl>
      <w:tblPr>
        <w:tblStyle w:val="TableGrid"/>
        <w:tblW w:w="0" w:type="auto"/>
        <w:tblCellMar>
          <w:top w:w="43" w:type="dxa"/>
          <w:bottom w:w="43" w:type="dxa"/>
        </w:tblCellMar>
        <w:tblLook w:val="0620" w:firstRow="1" w:lastRow="0" w:firstColumn="0" w:lastColumn="0" w:noHBand="1" w:noVBand="1"/>
      </w:tblPr>
      <w:tblGrid>
        <w:gridCol w:w="3116"/>
        <w:gridCol w:w="3117"/>
        <w:gridCol w:w="3117"/>
      </w:tblGrid>
      <w:tr w:rsidR="004B0E1C" w14:paraId="175EA8AB" w14:textId="77777777" w:rsidTr="004F291C">
        <w:tc>
          <w:tcPr>
            <w:tcW w:w="3116" w:type="dxa"/>
          </w:tcPr>
          <w:p w14:paraId="08B9C4AA" w14:textId="77777777" w:rsidR="004B0E1C" w:rsidRDefault="004B0E1C" w:rsidP="004F291C">
            <w:pPr>
              <w:jc w:val="center"/>
              <w:rPr>
                <w:rFonts w:cs="Arial"/>
                <w:b/>
                <w:bCs/>
                <w:i/>
                <w:iCs/>
                <w:szCs w:val="24"/>
                <w:u w:val="single"/>
              </w:rPr>
            </w:pPr>
            <w:r w:rsidRPr="004A2375">
              <w:rPr>
                <w:rFonts w:cs="Arial"/>
                <w:b/>
                <w:bCs/>
                <w:i/>
                <w:iCs/>
                <w:szCs w:val="24"/>
                <w:u w:val="single"/>
              </w:rPr>
              <w:t>LOCATION</w:t>
            </w:r>
          </w:p>
        </w:tc>
        <w:tc>
          <w:tcPr>
            <w:tcW w:w="3117" w:type="dxa"/>
          </w:tcPr>
          <w:p w14:paraId="5E92C812" w14:textId="7335FFEF" w:rsidR="004B0E1C" w:rsidRDefault="004B0E1C" w:rsidP="004F291C">
            <w:pPr>
              <w:jc w:val="center"/>
              <w:rPr>
                <w:rFonts w:cs="Arial"/>
                <w:b/>
                <w:bCs/>
                <w:i/>
                <w:iCs/>
                <w:szCs w:val="24"/>
                <w:u w:val="single"/>
              </w:rPr>
            </w:pPr>
            <w:r w:rsidRPr="004A2375">
              <w:rPr>
                <w:rFonts w:cs="Arial"/>
                <w:b/>
                <w:bCs/>
                <w:i/>
                <w:iCs/>
                <w:szCs w:val="24"/>
                <w:u w:val="single"/>
              </w:rPr>
              <w:t>MAXIMUM AGGREGATE</w:t>
            </w:r>
            <w:r w:rsidR="004F291C">
              <w:rPr>
                <w:rFonts w:cs="Arial"/>
                <w:b/>
                <w:bCs/>
                <w:i/>
                <w:iCs/>
                <w:szCs w:val="24"/>
                <w:u w:val="single"/>
              </w:rPr>
              <w:br/>
            </w:r>
            <w:r w:rsidRPr="004A2375">
              <w:rPr>
                <w:rFonts w:cs="Arial"/>
                <w:b/>
                <w:bCs/>
                <w:i/>
                <w:iCs/>
                <w:szCs w:val="24"/>
                <w:u w:val="single"/>
              </w:rPr>
              <w:t>RATINGS (kWh)</w:t>
            </w:r>
          </w:p>
        </w:tc>
        <w:tc>
          <w:tcPr>
            <w:tcW w:w="3117" w:type="dxa"/>
          </w:tcPr>
          <w:p w14:paraId="40124144" w14:textId="77777777" w:rsidR="004B0E1C" w:rsidRDefault="004B0E1C" w:rsidP="004F291C">
            <w:pPr>
              <w:jc w:val="center"/>
              <w:rPr>
                <w:rFonts w:cs="Arial"/>
                <w:b/>
                <w:bCs/>
                <w:i/>
                <w:iCs/>
                <w:szCs w:val="24"/>
                <w:u w:val="single"/>
              </w:rPr>
            </w:pPr>
            <w:r w:rsidRPr="004A2375">
              <w:rPr>
                <w:rFonts w:cs="Arial"/>
                <w:b/>
                <w:bCs/>
                <w:i/>
                <w:iCs/>
                <w:szCs w:val="24"/>
                <w:u w:val="single"/>
              </w:rPr>
              <w:t>INSTALLATION REQUIREMENTS</w:t>
            </w:r>
          </w:p>
        </w:tc>
      </w:tr>
      <w:tr w:rsidR="004B0E1C" w14:paraId="6C7F1048" w14:textId="77777777" w:rsidTr="004F291C">
        <w:tc>
          <w:tcPr>
            <w:tcW w:w="3116" w:type="dxa"/>
          </w:tcPr>
          <w:p w14:paraId="3EACEC5F" w14:textId="4BE00017" w:rsidR="004B0E1C" w:rsidRPr="004F291C" w:rsidRDefault="004B0E1C" w:rsidP="004F291C">
            <w:pPr>
              <w:rPr>
                <w:rFonts w:cs="Arial"/>
                <w:i/>
                <w:iCs/>
                <w:szCs w:val="24"/>
                <w:u w:val="single"/>
              </w:rPr>
            </w:pPr>
            <w:r w:rsidRPr="004F291C">
              <w:rPr>
                <w:rFonts w:cs="Arial"/>
                <w:i/>
                <w:iCs/>
                <w:szCs w:val="24"/>
                <w:u w:val="single"/>
              </w:rPr>
              <w:t>Within utility closets, basements, and storage or</w:t>
            </w:r>
            <w:r w:rsidR="004F291C" w:rsidRPr="004F291C">
              <w:rPr>
                <w:rFonts w:cs="Arial"/>
                <w:i/>
                <w:iCs/>
                <w:szCs w:val="24"/>
                <w:u w:val="single"/>
              </w:rPr>
              <w:t xml:space="preserve"> </w:t>
            </w:r>
            <w:r w:rsidRPr="004F291C">
              <w:rPr>
                <w:rFonts w:cs="Arial"/>
                <w:i/>
                <w:iCs/>
                <w:szCs w:val="24"/>
                <w:u w:val="single"/>
              </w:rPr>
              <w:t>utility spaces located within dwellings</w:t>
            </w:r>
          </w:p>
        </w:tc>
        <w:tc>
          <w:tcPr>
            <w:tcW w:w="3117" w:type="dxa"/>
          </w:tcPr>
          <w:p w14:paraId="0AF4CC5C" w14:textId="77777777" w:rsidR="004B0E1C" w:rsidRPr="004F291C" w:rsidRDefault="004B0E1C" w:rsidP="004F291C">
            <w:pPr>
              <w:jc w:val="center"/>
              <w:rPr>
                <w:rFonts w:cs="Arial"/>
                <w:i/>
                <w:iCs/>
                <w:szCs w:val="24"/>
                <w:u w:val="single"/>
              </w:rPr>
            </w:pPr>
            <w:r w:rsidRPr="004F291C">
              <w:rPr>
                <w:rFonts w:cs="Arial"/>
                <w:i/>
                <w:iCs/>
                <w:szCs w:val="24"/>
                <w:u w:val="single"/>
              </w:rPr>
              <w:t>40</w:t>
            </w:r>
          </w:p>
        </w:tc>
        <w:tc>
          <w:tcPr>
            <w:tcW w:w="3117" w:type="dxa"/>
          </w:tcPr>
          <w:p w14:paraId="6C50A2B6" w14:textId="77777777" w:rsidR="004B0E1C" w:rsidRPr="004F291C" w:rsidRDefault="004B0E1C" w:rsidP="004F291C">
            <w:pPr>
              <w:jc w:val="center"/>
              <w:rPr>
                <w:rFonts w:cs="Arial"/>
                <w:i/>
                <w:iCs/>
                <w:szCs w:val="24"/>
                <w:u w:val="single"/>
              </w:rPr>
            </w:pPr>
          </w:p>
        </w:tc>
      </w:tr>
      <w:tr w:rsidR="004B0E1C" w14:paraId="247D60C6" w14:textId="77777777" w:rsidTr="004F291C">
        <w:tc>
          <w:tcPr>
            <w:tcW w:w="3116" w:type="dxa"/>
          </w:tcPr>
          <w:p w14:paraId="61A09736" w14:textId="77777777" w:rsidR="004B0E1C" w:rsidRPr="004F291C" w:rsidRDefault="004B0E1C" w:rsidP="004F291C">
            <w:pPr>
              <w:rPr>
                <w:rFonts w:cs="Arial"/>
                <w:i/>
                <w:iCs/>
                <w:szCs w:val="24"/>
                <w:u w:val="single"/>
              </w:rPr>
            </w:pPr>
            <w:r w:rsidRPr="004F291C">
              <w:rPr>
                <w:rFonts w:cs="Arial"/>
                <w:i/>
                <w:iCs/>
                <w:szCs w:val="24"/>
                <w:u w:val="single"/>
              </w:rPr>
              <w:t>In attached garages</w:t>
            </w:r>
          </w:p>
        </w:tc>
        <w:tc>
          <w:tcPr>
            <w:tcW w:w="3117" w:type="dxa"/>
          </w:tcPr>
          <w:p w14:paraId="68D5D299" w14:textId="77777777" w:rsidR="004B0E1C" w:rsidRPr="004F291C" w:rsidRDefault="004B0E1C" w:rsidP="004F291C">
            <w:pPr>
              <w:jc w:val="center"/>
              <w:rPr>
                <w:rFonts w:cs="Arial"/>
                <w:i/>
                <w:iCs/>
                <w:szCs w:val="24"/>
                <w:u w:val="single"/>
              </w:rPr>
            </w:pPr>
            <w:r w:rsidRPr="004F291C">
              <w:rPr>
                <w:rFonts w:cs="Arial"/>
                <w:i/>
                <w:iCs/>
                <w:szCs w:val="24"/>
                <w:u w:val="single"/>
              </w:rPr>
              <w:t>80</w:t>
            </w:r>
          </w:p>
        </w:tc>
        <w:tc>
          <w:tcPr>
            <w:tcW w:w="3117" w:type="dxa"/>
          </w:tcPr>
          <w:p w14:paraId="6DFD2B92" w14:textId="77777777" w:rsidR="004B0E1C" w:rsidRPr="004F291C" w:rsidRDefault="004B0E1C" w:rsidP="004F291C">
            <w:pPr>
              <w:jc w:val="center"/>
              <w:rPr>
                <w:rFonts w:cs="Arial"/>
                <w:i/>
                <w:iCs/>
                <w:szCs w:val="24"/>
                <w:u w:val="single"/>
              </w:rPr>
            </w:pPr>
          </w:p>
        </w:tc>
      </w:tr>
      <w:tr w:rsidR="004B0E1C" w14:paraId="53451CD9" w14:textId="77777777" w:rsidTr="004F291C">
        <w:tc>
          <w:tcPr>
            <w:tcW w:w="3116" w:type="dxa"/>
          </w:tcPr>
          <w:p w14:paraId="1CCB2959" w14:textId="4D0878C5" w:rsidR="004B0E1C" w:rsidRPr="004F291C" w:rsidRDefault="004B0E1C" w:rsidP="004F291C">
            <w:pPr>
              <w:rPr>
                <w:rFonts w:cs="Arial"/>
                <w:i/>
                <w:iCs/>
                <w:szCs w:val="24"/>
                <w:u w:val="single"/>
              </w:rPr>
            </w:pPr>
            <w:r w:rsidRPr="004F291C">
              <w:rPr>
                <w:rFonts w:cs="Arial"/>
                <w:i/>
                <w:iCs/>
                <w:szCs w:val="24"/>
                <w:u w:val="single"/>
              </w:rPr>
              <w:t>On or within 3 feet of exterior walls of dwellings</w:t>
            </w:r>
            <w:r w:rsidR="004F291C" w:rsidRPr="004F291C">
              <w:rPr>
                <w:rFonts w:cs="Arial"/>
                <w:i/>
                <w:iCs/>
                <w:szCs w:val="24"/>
                <w:u w:val="single"/>
              </w:rPr>
              <w:t xml:space="preserve"> </w:t>
            </w:r>
            <w:r w:rsidRPr="004F291C">
              <w:rPr>
                <w:rFonts w:cs="Arial"/>
                <w:i/>
                <w:iCs/>
                <w:szCs w:val="24"/>
                <w:u w:val="single"/>
              </w:rPr>
              <w:t>and attached garages</w:t>
            </w:r>
          </w:p>
        </w:tc>
        <w:tc>
          <w:tcPr>
            <w:tcW w:w="3117" w:type="dxa"/>
          </w:tcPr>
          <w:p w14:paraId="38FE01B1" w14:textId="77777777" w:rsidR="004B0E1C" w:rsidRPr="004F291C" w:rsidRDefault="004B0E1C" w:rsidP="004F291C">
            <w:pPr>
              <w:jc w:val="center"/>
              <w:rPr>
                <w:rFonts w:cs="Arial"/>
                <w:i/>
                <w:iCs/>
                <w:szCs w:val="24"/>
                <w:u w:val="single"/>
              </w:rPr>
            </w:pPr>
            <w:r w:rsidRPr="004F291C">
              <w:rPr>
                <w:rFonts w:cs="Arial"/>
                <w:i/>
                <w:iCs/>
                <w:szCs w:val="24"/>
                <w:u w:val="single"/>
              </w:rPr>
              <w:t>100</w:t>
            </w:r>
          </w:p>
        </w:tc>
        <w:tc>
          <w:tcPr>
            <w:tcW w:w="3117" w:type="dxa"/>
          </w:tcPr>
          <w:p w14:paraId="0393AC49" w14:textId="77777777" w:rsidR="004B0E1C" w:rsidRPr="004F291C" w:rsidRDefault="004B0E1C" w:rsidP="004F291C">
            <w:pPr>
              <w:jc w:val="center"/>
              <w:rPr>
                <w:rFonts w:cs="Arial"/>
                <w:i/>
                <w:iCs/>
                <w:szCs w:val="24"/>
                <w:u w:val="single"/>
              </w:rPr>
            </w:pPr>
          </w:p>
        </w:tc>
      </w:tr>
      <w:tr w:rsidR="004B0E1C" w14:paraId="1D1849F6" w14:textId="77777777" w:rsidTr="004F291C">
        <w:tc>
          <w:tcPr>
            <w:tcW w:w="3116" w:type="dxa"/>
          </w:tcPr>
          <w:p w14:paraId="026D8FAF" w14:textId="0652340C" w:rsidR="004B0E1C" w:rsidRPr="004F291C" w:rsidRDefault="004B0E1C" w:rsidP="004F291C">
            <w:pPr>
              <w:rPr>
                <w:rFonts w:cs="Arial"/>
                <w:i/>
                <w:iCs/>
                <w:szCs w:val="24"/>
                <w:u w:val="single"/>
              </w:rPr>
            </w:pPr>
            <w:r w:rsidRPr="004F291C">
              <w:rPr>
                <w:rFonts w:cs="Arial"/>
                <w:i/>
                <w:iCs/>
                <w:szCs w:val="24"/>
                <w:u w:val="single"/>
              </w:rPr>
              <w:t>On or within 3 feet of exterior walls of dwellings</w:t>
            </w:r>
            <w:r w:rsidR="004F291C" w:rsidRPr="004F291C">
              <w:rPr>
                <w:rFonts w:cs="Arial"/>
                <w:i/>
                <w:iCs/>
                <w:szCs w:val="24"/>
                <w:u w:val="single"/>
              </w:rPr>
              <w:t xml:space="preserve"> </w:t>
            </w:r>
            <w:r w:rsidRPr="004F291C">
              <w:rPr>
                <w:rFonts w:cs="Arial"/>
                <w:i/>
                <w:iCs/>
                <w:szCs w:val="24"/>
                <w:u w:val="single"/>
              </w:rPr>
              <w:t>and attached garages</w:t>
            </w:r>
          </w:p>
        </w:tc>
        <w:tc>
          <w:tcPr>
            <w:tcW w:w="3117" w:type="dxa"/>
          </w:tcPr>
          <w:p w14:paraId="402DEB11" w14:textId="77777777" w:rsidR="004B0E1C" w:rsidRPr="004F291C" w:rsidRDefault="004B0E1C" w:rsidP="004F291C">
            <w:pPr>
              <w:jc w:val="center"/>
              <w:rPr>
                <w:rFonts w:cs="Arial"/>
                <w:i/>
                <w:iCs/>
                <w:szCs w:val="24"/>
                <w:u w:val="single"/>
              </w:rPr>
            </w:pPr>
            <w:r w:rsidRPr="004F291C">
              <w:rPr>
                <w:rFonts w:cs="Arial"/>
                <w:i/>
                <w:iCs/>
                <w:szCs w:val="24"/>
                <w:u w:val="single"/>
              </w:rPr>
              <w:t>200</w:t>
            </w:r>
          </w:p>
        </w:tc>
        <w:tc>
          <w:tcPr>
            <w:tcW w:w="3117" w:type="dxa"/>
          </w:tcPr>
          <w:p w14:paraId="5564F503" w14:textId="1EE58D2B" w:rsidR="004B0E1C" w:rsidRPr="004F291C" w:rsidRDefault="004B0E1C" w:rsidP="004F291C">
            <w:pPr>
              <w:rPr>
                <w:rFonts w:cs="Arial"/>
                <w:i/>
                <w:iCs/>
                <w:szCs w:val="24"/>
                <w:u w:val="single"/>
              </w:rPr>
            </w:pPr>
            <w:r w:rsidRPr="004F291C">
              <w:rPr>
                <w:rFonts w:cs="Arial"/>
                <w:i/>
                <w:iCs/>
                <w:szCs w:val="24"/>
                <w:u w:val="single"/>
              </w:rPr>
              <w:t>Exterior walls and eaves are constructed with</w:t>
            </w:r>
            <w:r w:rsidR="004F291C">
              <w:rPr>
                <w:rFonts w:cs="Arial"/>
                <w:i/>
                <w:iCs/>
                <w:szCs w:val="24"/>
                <w:u w:val="single"/>
              </w:rPr>
              <w:t xml:space="preserve"> </w:t>
            </w:r>
            <w:r w:rsidRPr="004F291C">
              <w:rPr>
                <w:rFonts w:cs="Arial"/>
                <w:i/>
                <w:iCs/>
                <w:szCs w:val="24"/>
                <w:u w:val="single"/>
              </w:rPr>
              <w:t xml:space="preserve">noncombustible surfaces </w:t>
            </w:r>
            <w:r w:rsidRPr="004F291C">
              <w:rPr>
                <w:rFonts w:cs="Arial"/>
                <w:i/>
                <w:iCs/>
                <w:szCs w:val="24"/>
                <w:u w:val="single"/>
                <w:vertAlign w:val="superscript"/>
              </w:rPr>
              <w:t>a</w:t>
            </w:r>
          </w:p>
        </w:tc>
      </w:tr>
      <w:tr w:rsidR="004B0E1C" w14:paraId="0EAF084D" w14:textId="77777777" w:rsidTr="004F291C">
        <w:tc>
          <w:tcPr>
            <w:tcW w:w="3116" w:type="dxa"/>
          </w:tcPr>
          <w:p w14:paraId="1570868A" w14:textId="06E9B50F" w:rsidR="004B0E1C" w:rsidRPr="004F291C" w:rsidRDefault="004B0E1C" w:rsidP="004F291C">
            <w:pPr>
              <w:rPr>
                <w:rFonts w:cs="Arial"/>
                <w:i/>
                <w:iCs/>
                <w:szCs w:val="24"/>
                <w:u w:val="single"/>
              </w:rPr>
            </w:pPr>
            <w:r w:rsidRPr="004F291C">
              <w:rPr>
                <w:rFonts w:cs="Arial"/>
                <w:i/>
                <w:iCs/>
                <w:szCs w:val="24"/>
                <w:u w:val="single"/>
              </w:rPr>
              <w:t>In detached garages and detached accessory</w:t>
            </w:r>
            <w:r w:rsidR="004F291C" w:rsidRPr="004F291C">
              <w:rPr>
                <w:rFonts w:cs="Arial"/>
                <w:i/>
                <w:iCs/>
                <w:szCs w:val="24"/>
                <w:u w:val="single"/>
              </w:rPr>
              <w:t xml:space="preserve"> </w:t>
            </w:r>
            <w:r w:rsidRPr="004F291C">
              <w:rPr>
                <w:rFonts w:cs="Arial"/>
                <w:i/>
                <w:iCs/>
                <w:szCs w:val="24"/>
                <w:u w:val="single"/>
              </w:rPr>
              <w:t>structures</w:t>
            </w:r>
          </w:p>
        </w:tc>
        <w:tc>
          <w:tcPr>
            <w:tcW w:w="3117" w:type="dxa"/>
          </w:tcPr>
          <w:p w14:paraId="18E61681" w14:textId="77777777" w:rsidR="004B0E1C" w:rsidRPr="004F291C" w:rsidRDefault="004B0E1C" w:rsidP="004F291C">
            <w:pPr>
              <w:jc w:val="center"/>
              <w:rPr>
                <w:rFonts w:cs="Arial"/>
                <w:i/>
                <w:iCs/>
                <w:szCs w:val="24"/>
                <w:u w:val="single"/>
              </w:rPr>
            </w:pPr>
            <w:r w:rsidRPr="004F291C">
              <w:rPr>
                <w:rFonts w:cs="Arial"/>
                <w:i/>
                <w:iCs/>
                <w:szCs w:val="24"/>
                <w:u w:val="single"/>
              </w:rPr>
              <w:t>200</w:t>
            </w:r>
          </w:p>
        </w:tc>
        <w:tc>
          <w:tcPr>
            <w:tcW w:w="3117" w:type="dxa"/>
          </w:tcPr>
          <w:p w14:paraId="4DFA1972" w14:textId="77777777" w:rsidR="004B0E1C" w:rsidRPr="004F291C" w:rsidRDefault="004B0E1C" w:rsidP="004F291C">
            <w:pPr>
              <w:jc w:val="center"/>
              <w:rPr>
                <w:rFonts w:cs="Arial"/>
                <w:i/>
                <w:iCs/>
                <w:szCs w:val="24"/>
                <w:u w:val="single"/>
              </w:rPr>
            </w:pPr>
          </w:p>
        </w:tc>
      </w:tr>
      <w:tr w:rsidR="004B0E1C" w14:paraId="49D11B23" w14:textId="77777777" w:rsidTr="004F291C">
        <w:tc>
          <w:tcPr>
            <w:tcW w:w="3116" w:type="dxa"/>
          </w:tcPr>
          <w:p w14:paraId="47BC3701" w14:textId="2B56D503" w:rsidR="004B0E1C" w:rsidRPr="004F291C" w:rsidRDefault="004B0E1C" w:rsidP="004F291C">
            <w:pPr>
              <w:rPr>
                <w:rFonts w:cs="Arial"/>
                <w:i/>
                <w:iCs/>
                <w:szCs w:val="24"/>
                <w:u w:val="single"/>
              </w:rPr>
            </w:pPr>
            <w:r w:rsidRPr="004F291C">
              <w:rPr>
                <w:rFonts w:cs="Arial"/>
                <w:i/>
                <w:iCs/>
                <w:szCs w:val="24"/>
                <w:u w:val="single"/>
              </w:rPr>
              <w:t>In detached garages and detached accessory</w:t>
            </w:r>
            <w:r w:rsidR="004F291C" w:rsidRPr="004F291C">
              <w:rPr>
                <w:rFonts w:cs="Arial"/>
                <w:i/>
                <w:iCs/>
                <w:szCs w:val="24"/>
                <w:u w:val="single"/>
              </w:rPr>
              <w:t xml:space="preserve"> </w:t>
            </w:r>
            <w:r w:rsidRPr="004F291C">
              <w:rPr>
                <w:rFonts w:cs="Arial"/>
                <w:i/>
                <w:iCs/>
                <w:szCs w:val="24"/>
                <w:u w:val="single"/>
              </w:rPr>
              <w:t>structures</w:t>
            </w:r>
          </w:p>
        </w:tc>
        <w:tc>
          <w:tcPr>
            <w:tcW w:w="3117" w:type="dxa"/>
          </w:tcPr>
          <w:p w14:paraId="1A9703E6" w14:textId="77777777" w:rsidR="004B0E1C" w:rsidRPr="004F291C" w:rsidRDefault="004B0E1C" w:rsidP="004F291C">
            <w:pPr>
              <w:jc w:val="center"/>
              <w:rPr>
                <w:rFonts w:cs="Arial"/>
                <w:i/>
                <w:iCs/>
                <w:szCs w:val="24"/>
                <w:u w:val="single"/>
              </w:rPr>
            </w:pPr>
            <w:r w:rsidRPr="004F291C">
              <w:rPr>
                <w:rFonts w:cs="Arial"/>
                <w:i/>
                <w:iCs/>
                <w:szCs w:val="24"/>
                <w:u w:val="single"/>
              </w:rPr>
              <w:t>600</w:t>
            </w:r>
          </w:p>
        </w:tc>
        <w:tc>
          <w:tcPr>
            <w:tcW w:w="3117" w:type="dxa"/>
          </w:tcPr>
          <w:p w14:paraId="15892806" w14:textId="74075472" w:rsidR="004B0E1C" w:rsidRPr="004F291C" w:rsidRDefault="004B0E1C" w:rsidP="004F291C">
            <w:pPr>
              <w:rPr>
                <w:rFonts w:cs="Arial"/>
                <w:i/>
                <w:iCs/>
                <w:szCs w:val="24"/>
                <w:u w:val="single"/>
              </w:rPr>
            </w:pPr>
            <w:r w:rsidRPr="004F291C">
              <w:rPr>
                <w:rFonts w:cs="Arial"/>
                <w:i/>
                <w:iCs/>
                <w:szCs w:val="24"/>
                <w:u w:val="single"/>
              </w:rPr>
              <w:t>Detached garage or detached accessory structure is a minimum</w:t>
            </w:r>
            <w:r w:rsidR="004F291C">
              <w:rPr>
                <w:rFonts w:cs="Arial"/>
                <w:i/>
                <w:iCs/>
                <w:szCs w:val="24"/>
                <w:u w:val="single"/>
              </w:rPr>
              <w:br/>
            </w:r>
            <w:r w:rsidRPr="004F291C">
              <w:rPr>
                <w:rFonts w:cs="Arial"/>
                <w:i/>
                <w:iCs/>
                <w:szCs w:val="24"/>
                <w:u w:val="single"/>
              </w:rPr>
              <w:t>10 feet away from property lines and dwellings.</w:t>
            </w:r>
          </w:p>
        </w:tc>
      </w:tr>
      <w:tr w:rsidR="004B0E1C" w14:paraId="10F7EF7F" w14:textId="77777777" w:rsidTr="004F291C">
        <w:tc>
          <w:tcPr>
            <w:tcW w:w="3116" w:type="dxa"/>
          </w:tcPr>
          <w:p w14:paraId="760AE6F4" w14:textId="77777777" w:rsidR="004B0E1C" w:rsidRPr="004F291C" w:rsidRDefault="004B0E1C" w:rsidP="004F291C">
            <w:pPr>
              <w:rPr>
                <w:rFonts w:cs="Arial"/>
                <w:i/>
                <w:iCs/>
                <w:szCs w:val="24"/>
                <w:u w:val="single"/>
              </w:rPr>
            </w:pPr>
            <w:r w:rsidRPr="004F291C">
              <w:rPr>
                <w:rFonts w:cs="Arial"/>
                <w:i/>
                <w:iCs/>
                <w:szCs w:val="24"/>
                <w:u w:val="single"/>
              </w:rPr>
              <w:t>Outdoors on the ground</w:t>
            </w:r>
          </w:p>
        </w:tc>
        <w:tc>
          <w:tcPr>
            <w:tcW w:w="3117" w:type="dxa"/>
          </w:tcPr>
          <w:p w14:paraId="1B4B054C" w14:textId="77777777" w:rsidR="004B0E1C" w:rsidRPr="004F291C" w:rsidRDefault="004B0E1C" w:rsidP="004F291C">
            <w:pPr>
              <w:jc w:val="center"/>
              <w:rPr>
                <w:rFonts w:cs="Arial"/>
                <w:i/>
                <w:iCs/>
                <w:szCs w:val="24"/>
                <w:u w:val="single"/>
              </w:rPr>
            </w:pPr>
            <w:r w:rsidRPr="004F291C">
              <w:rPr>
                <w:rFonts w:cs="Arial"/>
                <w:i/>
                <w:iCs/>
                <w:szCs w:val="24"/>
                <w:u w:val="single"/>
              </w:rPr>
              <w:t>200</w:t>
            </w:r>
          </w:p>
        </w:tc>
        <w:tc>
          <w:tcPr>
            <w:tcW w:w="3117" w:type="dxa"/>
          </w:tcPr>
          <w:p w14:paraId="2816E264" w14:textId="77777777" w:rsidR="004B0E1C" w:rsidRPr="004F291C" w:rsidRDefault="004B0E1C" w:rsidP="004F291C">
            <w:pPr>
              <w:rPr>
                <w:rFonts w:cs="Arial"/>
                <w:i/>
                <w:iCs/>
                <w:szCs w:val="24"/>
                <w:u w:val="single"/>
              </w:rPr>
            </w:pPr>
            <w:r w:rsidRPr="004F291C">
              <w:rPr>
                <w:rFonts w:cs="Arial"/>
                <w:i/>
                <w:iCs/>
                <w:szCs w:val="24"/>
                <w:u w:val="single"/>
              </w:rPr>
              <w:t>ESS is a minimum 3 feet away from property lines and dwellings.</w:t>
            </w:r>
          </w:p>
        </w:tc>
      </w:tr>
      <w:tr w:rsidR="004B0E1C" w14:paraId="23991C7C" w14:textId="77777777" w:rsidTr="004F291C">
        <w:tc>
          <w:tcPr>
            <w:tcW w:w="3116" w:type="dxa"/>
          </w:tcPr>
          <w:p w14:paraId="12AB9476" w14:textId="77777777" w:rsidR="004B0E1C" w:rsidRPr="004F291C" w:rsidRDefault="004B0E1C" w:rsidP="004F291C">
            <w:pPr>
              <w:rPr>
                <w:rFonts w:cs="Arial"/>
                <w:i/>
                <w:iCs/>
                <w:szCs w:val="24"/>
                <w:u w:val="single"/>
              </w:rPr>
            </w:pPr>
            <w:r w:rsidRPr="004F291C">
              <w:rPr>
                <w:rFonts w:cs="Arial"/>
                <w:i/>
                <w:iCs/>
                <w:szCs w:val="24"/>
                <w:u w:val="single"/>
              </w:rPr>
              <w:t>Outdoors on the ground</w:t>
            </w:r>
          </w:p>
        </w:tc>
        <w:tc>
          <w:tcPr>
            <w:tcW w:w="3117" w:type="dxa"/>
          </w:tcPr>
          <w:p w14:paraId="5B6B249E" w14:textId="77777777" w:rsidR="004B0E1C" w:rsidRPr="004F291C" w:rsidRDefault="004B0E1C" w:rsidP="004F291C">
            <w:pPr>
              <w:jc w:val="center"/>
              <w:rPr>
                <w:rFonts w:cs="Arial"/>
                <w:i/>
                <w:iCs/>
                <w:szCs w:val="24"/>
                <w:u w:val="single"/>
              </w:rPr>
            </w:pPr>
            <w:r w:rsidRPr="004F291C">
              <w:rPr>
                <w:rFonts w:cs="Arial"/>
                <w:i/>
                <w:iCs/>
                <w:szCs w:val="24"/>
                <w:u w:val="single"/>
              </w:rPr>
              <w:t>600</w:t>
            </w:r>
          </w:p>
        </w:tc>
        <w:tc>
          <w:tcPr>
            <w:tcW w:w="3117" w:type="dxa"/>
          </w:tcPr>
          <w:p w14:paraId="3868B29E" w14:textId="77777777" w:rsidR="004B0E1C" w:rsidRPr="004F291C" w:rsidRDefault="004B0E1C" w:rsidP="004F291C">
            <w:pPr>
              <w:rPr>
                <w:rFonts w:cs="Arial"/>
                <w:i/>
                <w:iCs/>
                <w:szCs w:val="24"/>
                <w:u w:val="single"/>
              </w:rPr>
            </w:pPr>
            <w:r w:rsidRPr="004F291C">
              <w:rPr>
                <w:rFonts w:cs="Arial"/>
                <w:i/>
                <w:iCs/>
                <w:szCs w:val="24"/>
                <w:u w:val="single"/>
              </w:rPr>
              <w:t>ESS is a minimum 10 feet away from property lines and dwellings.</w:t>
            </w:r>
          </w:p>
        </w:tc>
      </w:tr>
    </w:tbl>
    <w:p w14:paraId="7DC8AB0D" w14:textId="77777777" w:rsidR="004B0E1C" w:rsidRPr="008A6BFD" w:rsidRDefault="004B0E1C" w:rsidP="004B0E1C">
      <w:pPr>
        <w:spacing w:before="120"/>
        <w:rPr>
          <w:rFonts w:cs="Arial"/>
          <w:bCs/>
          <w:i/>
          <w:iCs/>
          <w:szCs w:val="24"/>
          <w:u w:val="single"/>
        </w:rPr>
      </w:pPr>
      <w:r w:rsidRPr="008A6BFD">
        <w:rPr>
          <w:rFonts w:cs="Arial"/>
          <w:bCs/>
          <w:i/>
          <w:iCs/>
          <w:szCs w:val="24"/>
          <w:u w:val="single"/>
        </w:rPr>
        <w:t>For SI: 1 foot = 304.8 mm</w:t>
      </w:r>
    </w:p>
    <w:p w14:paraId="165711A1" w14:textId="77777777" w:rsidR="004B0E1C" w:rsidRPr="008A6BFD" w:rsidRDefault="004B0E1C" w:rsidP="004B0E1C">
      <w:pPr>
        <w:spacing w:before="120"/>
        <w:rPr>
          <w:rFonts w:cs="Arial"/>
          <w:bCs/>
          <w:i/>
          <w:iCs/>
          <w:szCs w:val="24"/>
          <w:u w:val="single"/>
        </w:rPr>
      </w:pPr>
      <w:r w:rsidRPr="008A6BFD">
        <w:rPr>
          <w:rFonts w:cs="Arial"/>
          <w:bCs/>
          <w:i/>
          <w:iCs/>
          <w:szCs w:val="24"/>
          <w:u w:val="single"/>
        </w:rPr>
        <w:t xml:space="preserve">a. Noncombustible wall surface shall extend in accordance with </w:t>
      </w:r>
      <w:r w:rsidRPr="001705AC">
        <w:rPr>
          <w:rFonts w:cs="Arial"/>
          <w:bCs/>
          <w:i/>
          <w:iCs/>
          <w:szCs w:val="24"/>
          <w:u w:val="single"/>
        </w:rPr>
        <w:t>all</w:t>
      </w:r>
      <w:r w:rsidRPr="008A6BFD">
        <w:rPr>
          <w:rFonts w:cs="Arial"/>
          <w:bCs/>
          <w:i/>
          <w:iCs/>
          <w:szCs w:val="24"/>
          <w:u w:val="single"/>
        </w:rPr>
        <w:t xml:space="preserve"> the following:</w:t>
      </w:r>
    </w:p>
    <w:p w14:paraId="254C035D" w14:textId="77777777" w:rsidR="004B0E1C" w:rsidRPr="008A6BFD" w:rsidRDefault="004B0E1C" w:rsidP="004B0E1C">
      <w:pPr>
        <w:spacing w:before="120"/>
        <w:ind w:firstLine="432"/>
        <w:rPr>
          <w:rFonts w:cs="Arial"/>
          <w:bCs/>
          <w:i/>
          <w:iCs/>
          <w:szCs w:val="24"/>
          <w:u w:val="single"/>
        </w:rPr>
      </w:pPr>
      <w:r w:rsidRPr="008A6BFD">
        <w:rPr>
          <w:rFonts w:cs="Arial"/>
          <w:bCs/>
          <w:i/>
          <w:iCs/>
          <w:szCs w:val="24"/>
          <w:u w:val="single"/>
        </w:rPr>
        <w:t>1. A minimum of 5 feet horizontally from the edge of the ESS.</w:t>
      </w:r>
    </w:p>
    <w:p w14:paraId="7029D143" w14:textId="77777777" w:rsidR="004B0E1C" w:rsidRPr="008A6BFD" w:rsidRDefault="004B0E1C" w:rsidP="004B0E1C">
      <w:pPr>
        <w:spacing w:before="120"/>
        <w:ind w:firstLine="432"/>
        <w:rPr>
          <w:rFonts w:cs="Arial"/>
          <w:bCs/>
          <w:i/>
          <w:iCs/>
          <w:szCs w:val="24"/>
          <w:u w:val="single"/>
        </w:rPr>
      </w:pPr>
      <w:r w:rsidRPr="008A6BFD">
        <w:rPr>
          <w:rFonts w:cs="Arial"/>
          <w:bCs/>
          <w:i/>
          <w:iCs/>
          <w:szCs w:val="24"/>
          <w:u w:val="single"/>
        </w:rPr>
        <w:t>2. A minimum of 1 foot vertically below the bottom edge of the ESS.</w:t>
      </w:r>
    </w:p>
    <w:p w14:paraId="0F4DE650" w14:textId="77777777" w:rsidR="004B0E1C" w:rsidRPr="008A6BFD" w:rsidRDefault="004B0E1C" w:rsidP="004B0E1C">
      <w:pPr>
        <w:spacing w:before="120"/>
        <w:ind w:left="432"/>
        <w:rPr>
          <w:rFonts w:cs="Arial"/>
          <w:bCs/>
          <w:i/>
          <w:iCs/>
          <w:szCs w:val="24"/>
          <w:u w:val="single"/>
        </w:rPr>
      </w:pPr>
      <w:r w:rsidRPr="008A6BFD">
        <w:rPr>
          <w:rFonts w:cs="Arial"/>
          <w:bCs/>
          <w:i/>
          <w:iCs/>
          <w:szCs w:val="24"/>
          <w:u w:val="single"/>
        </w:rPr>
        <w:t xml:space="preserve">3. A minimum of 8 feet vertically above the ESS, or to a </w:t>
      </w:r>
      <w:r w:rsidRPr="001705AC">
        <w:rPr>
          <w:rFonts w:cs="Arial"/>
          <w:bCs/>
          <w:i/>
          <w:iCs/>
          <w:szCs w:val="24"/>
          <w:u w:val="single"/>
        </w:rPr>
        <w:t>non-combustible</w:t>
      </w:r>
      <w:r w:rsidRPr="008A6BFD">
        <w:rPr>
          <w:rFonts w:cs="Arial"/>
          <w:bCs/>
          <w:i/>
          <w:iCs/>
          <w:szCs w:val="24"/>
          <w:u w:val="single"/>
        </w:rPr>
        <w:t xml:space="preserve"> eave, whichever is less.</w:t>
      </w:r>
    </w:p>
    <w:p w14:paraId="7587A30B" w14:textId="38DC083B" w:rsidR="009F79F1" w:rsidRDefault="004B0E1C" w:rsidP="009F79F1">
      <w:pPr>
        <w:spacing w:before="120"/>
        <w:rPr>
          <w:rFonts w:cs="Arial"/>
          <w:bCs/>
          <w:i/>
          <w:iCs/>
          <w:szCs w:val="24"/>
          <w:u w:val="single"/>
        </w:rPr>
      </w:pPr>
      <w:r w:rsidRPr="008A6BFD">
        <w:rPr>
          <w:rFonts w:cs="Arial"/>
          <w:bCs/>
          <w:i/>
          <w:iCs/>
          <w:szCs w:val="24"/>
          <w:u w:val="single"/>
        </w:rPr>
        <w:t xml:space="preserve">The code official is authorized to approve reductions based on large-scale fire testing complying with Section 1207.1.5 of the </w:t>
      </w:r>
      <w:r w:rsidR="00531A9D">
        <w:rPr>
          <w:rFonts w:cs="Arial"/>
          <w:bCs/>
          <w:i/>
          <w:iCs/>
          <w:szCs w:val="24"/>
          <w:u w:val="single"/>
        </w:rPr>
        <w:t>California</w:t>
      </w:r>
      <w:r w:rsidRPr="008A6BFD">
        <w:rPr>
          <w:rFonts w:cs="Arial"/>
          <w:bCs/>
          <w:i/>
          <w:iCs/>
          <w:szCs w:val="24"/>
          <w:u w:val="single"/>
        </w:rPr>
        <w:t xml:space="preserve"> Fire</w:t>
      </w:r>
      <w:r w:rsidRPr="001705AC">
        <w:rPr>
          <w:rFonts w:cs="Arial"/>
          <w:bCs/>
          <w:i/>
          <w:iCs/>
          <w:szCs w:val="24"/>
          <w:u w:val="single"/>
        </w:rPr>
        <w:t xml:space="preserve"> Code.</w:t>
      </w:r>
    </w:p>
    <w:p w14:paraId="3350ABD0" w14:textId="4EE15399" w:rsidR="00D37D06" w:rsidRPr="009F79F1" w:rsidRDefault="009F79F1" w:rsidP="004F291C">
      <w:pPr>
        <w:widowControl/>
        <w:rPr>
          <w:rFonts w:cs="Arial"/>
          <w:bCs/>
          <w:i/>
          <w:iCs/>
          <w:szCs w:val="24"/>
          <w:u w:val="single"/>
        </w:rPr>
      </w:pPr>
      <w:r>
        <w:rPr>
          <w:rFonts w:cs="Arial"/>
          <w:bCs/>
          <w:i/>
          <w:iCs/>
          <w:szCs w:val="24"/>
          <w:u w:val="single"/>
        </w:rPr>
        <w:br w:type="page"/>
      </w:r>
    </w:p>
    <w:p w14:paraId="00025781" w14:textId="1E649A84" w:rsidR="00D37D06" w:rsidRDefault="004F291C" w:rsidP="004F291C">
      <w:pPr>
        <w:pStyle w:val="Heading4"/>
      </w:pPr>
      <w:r w:rsidRPr="004F291C">
        <w:lastRenderedPageBreak/>
        <w:t>STATEMENT OF SPECIFIC PURPOSE, PROBLEM, RATIONALE and BENEFITS</w:t>
      </w:r>
    </w:p>
    <w:p w14:paraId="3FD3F303" w14:textId="44C6645C" w:rsidR="00CC024A" w:rsidRPr="00CC024A" w:rsidRDefault="00CC024A" w:rsidP="00CC024A">
      <w:pPr>
        <w:widowControl/>
        <w:spacing w:before="120" w:after="120"/>
        <w:rPr>
          <w:rFonts w:ascii="Arial" w:hAnsi="Arial" w:cs="Arial"/>
          <w:szCs w:val="24"/>
        </w:rPr>
      </w:pPr>
      <w:r w:rsidRPr="00CC024A">
        <w:rPr>
          <w:rFonts w:ascii="Arial" w:hAnsi="Arial" w:cs="Arial"/>
          <w:szCs w:val="24"/>
        </w:rPr>
        <w:t xml:space="preserve">The proposed changes to the first three sentences of </w:t>
      </w:r>
      <w:r w:rsidR="008D7F0A">
        <w:rPr>
          <w:rFonts w:ascii="Arial" w:hAnsi="Arial" w:cs="Arial"/>
          <w:szCs w:val="24"/>
        </w:rPr>
        <w:t>R328.5</w:t>
      </w:r>
      <w:r w:rsidRPr="00CC024A">
        <w:rPr>
          <w:rFonts w:ascii="Arial" w:hAnsi="Arial" w:cs="Arial"/>
          <w:szCs w:val="24"/>
        </w:rPr>
        <w:t xml:space="preserve"> clarify the original intent for this section, which was to provide a maximum threshold for each location. It was not the intent to limit installations to one location on the property, or to limit to only 80 kWh for all ESS installed on the property.</w:t>
      </w:r>
    </w:p>
    <w:p w14:paraId="4C322DBD" w14:textId="66B48F3E" w:rsidR="00CC024A" w:rsidRPr="00CC024A" w:rsidRDefault="00CC024A" w:rsidP="004F291C">
      <w:pPr>
        <w:widowControl/>
        <w:spacing w:before="120" w:after="240"/>
        <w:rPr>
          <w:rFonts w:ascii="Arial" w:hAnsi="Arial" w:cs="Arial"/>
          <w:szCs w:val="24"/>
        </w:rPr>
      </w:pPr>
      <w:r w:rsidRPr="00CC024A">
        <w:rPr>
          <w:rFonts w:ascii="Arial" w:hAnsi="Arial" w:cs="Arial"/>
          <w:szCs w:val="24"/>
        </w:rPr>
        <w:t>Providing the various maximum thresholds in tabular form provides an easier method for the code user to determine the limits for each location.</w:t>
      </w:r>
    </w:p>
    <w:p w14:paraId="3D0AD9BF" w14:textId="4B3A02BA" w:rsidR="00CC024A" w:rsidRPr="004F291C" w:rsidRDefault="00CC024A" w:rsidP="004F291C">
      <w:pPr>
        <w:widowControl/>
        <w:spacing w:before="120" w:after="240"/>
        <w:rPr>
          <w:rFonts w:ascii="Arial" w:hAnsi="Arial" w:cs="Arial"/>
          <w:szCs w:val="24"/>
        </w:rPr>
      </w:pPr>
      <w:r w:rsidRPr="004F291C">
        <w:rPr>
          <w:rFonts w:ascii="Arial" w:hAnsi="Arial" w:cs="Arial"/>
          <w:b/>
          <w:bCs/>
          <w:szCs w:val="24"/>
        </w:rPr>
        <w:t>Within utility closets, basements and storage or utility spaces:</w:t>
      </w:r>
      <w:r w:rsidR="004F291C" w:rsidRPr="004F291C">
        <w:rPr>
          <w:rFonts w:ascii="Arial" w:hAnsi="Arial" w:cs="Arial"/>
          <w:szCs w:val="24"/>
        </w:rPr>
        <w:br/>
      </w:r>
      <w:r w:rsidRPr="00CC024A">
        <w:rPr>
          <w:rFonts w:ascii="Arial" w:hAnsi="Arial" w:cs="Arial"/>
          <w:szCs w:val="24"/>
        </w:rPr>
        <w:t>The 40-kWh limit is unchanged from the 2022 C</w:t>
      </w:r>
      <w:r w:rsidR="008D7F0A">
        <w:rPr>
          <w:rFonts w:ascii="Arial" w:hAnsi="Arial" w:cs="Arial"/>
          <w:szCs w:val="24"/>
        </w:rPr>
        <w:t>R</w:t>
      </w:r>
      <w:r w:rsidRPr="00CC024A">
        <w:rPr>
          <w:rFonts w:ascii="Arial" w:hAnsi="Arial" w:cs="Arial"/>
          <w:szCs w:val="24"/>
        </w:rPr>
        <w:t>C. That language clarifies that the 40-kWh limit does not apply to spaces or closets located within garages or accessory structures. It only applies to within the dwelling.</w:t>
      </w:r>
    </w:p>
    <w:p w14:paraId="76014DD2" w14:textId="37AF1D3B" w:rsidR="00CC024A" w:rsidRPr="004F291C" w:rsidRDefault="00CC024A" w:rsidP="00CC024A">
      <w:pPr>
        <w:widowControl/>
        <w:spacing w:before="120" w:after="120"/>
        <w:rPr>
          <w:rFonts w:ascii="Arial" w:hAnsi="Arial" w:cs="Arial"/>
          <w:b/>
          <w:bCs/>
          <w:szCs w:val="24"/>
        </w:rPr>
      </w:pPr>
      <w:r w:rsidRPr="00CC024A">
        <w:rPr>
          <w:rFonts w:ascii="Arial" w:hAnsi="Arial" w:cs="Arial"/>
          <w:b/>
          <w:bCs/>
          <w:szCs w:val="24"/>
        </w:rPr>
        <w:t>In attached garages:</w:t>
      </w:r>
      <w:r w:rsidR="004F291C">
        <w:rPr>
          <w:rFonts w:ascii="Arial" w:hAnsi="Arial" w:cs="Arial"/>
          <w:b/>
          <w:bCs/>
          <w:szCs w:val="24"/>
        </w:rPr>
        <w:br/>
      </w:r>
      <w:r w:rsidRPr="00CC024A">
        <w:rPr>
          <w:rFonts w:ascii="Arial" w:hAnsi="Arial" w:cs="Arial"/>
          <w:szCs w:val="24"/>
        </w:rPr>
        <w:t>As the ESS industry has gained more experience with the needs of their customers and the grid, and the building safety community has gained more experience with ESS, it is becoming clear that the arbitrary capacity restrictions in the residential code are a hinderance to the deployment of clean energy technologies and are unneeded for safety. Hundreds of thousands of residential batteries have been installed and constructed to standards leading to greater levels of safety. Taken together these facts support a reasonable increase in kWh capacity to align with other anticipated hazards and fuel loads that may be present in a residential garage.</w:t>
      </w:r>
    </w:p>
    <w:p w14:paraId="2B135E3D" w14:textId="77777777" w:rsidR="00CC024A" w:rsidRPr="00CC024A" w:rsidRDefault="00CC024A" w:rsidP="00CC024A">
      <w:pPr>
        <w:widowControl/>
        <w:spacing w:before="120" w:after="120"/>
        <w:rPr>
          <w:rFonts w:ascii="Arial" w:hAnsi="Arial" w:cs="Arial"/>
          <w:szCs w:val="24"/>
        </w:rPr>
      </w:pPr>
      <w:r w:rsidRPr="00CC024A">
        <w:rPr>
          <w:rFonts w:ascii="Arial" w:hAnsi="Arial" w:cs="Arial"/>
          <w:szCs w:val="24"/>
        </w:rPr>
        <w:t>A modest increase in the allowable aggregate ESS capacity from 80-kWh to 100-kWh does not pose a significant elevated fire risk in the garage.</w:t>
      </w:r>
    </w:p>
    <w:p w14:paraId="211301D6" w14:textId="77777777" w:rsidR="00CC024A" w:rsidRPr="00CC024A" w:rsidRDefault="00CC024A" w:rsidP="00CC024A">
      <w:pPr>
        <w:widowControl/>
        <w:spacing w:before="120" w:after="120"/>
        <w:rPr>
          <w:rFonts w:ascii="Arial" w:hAnsi="Arial" w:cs="Arial"/>
          <w:szCs w:val="24"/>
        </w:rPr>
      </w:pPr>
      <w:r w:rsidRPr="00CC024A">
        <w:rPr>
          <w:rFonts w:ascii="Arial" w:hAnsi="Arial" w:cs="Arial"/>
          <w:szCs w:val="24"/>
        </w:rPr>
        <w:t>Manufacturers design ESS to well-established safety standards, have proven track records of operating without igniting in homes, and are built in ways to resist adding fuel to fires from other sources. In the rare event of an ESS fire, a fire from 100-kWh of energy storage does not pose a significantly greater threat to occupant safety and is not significantly more difficult to extinguish than a fire from 80 kWh of energy storage.</w:t>
      </w:r>
    </w:p>
    <w:p w14:paraId="713A20A4" w14:textId="77777777" w:rsidR="00CC024A" w:rsidRPr="00CC024A" w:rsidRDefault="00CC024A" w:rsidP="00CC024A">
      <w:pPr>
        <w:widowControl/>
        <w:spacing w:before="120" w:after="120"/>
        <w:rPr>
          <w:rFonts w:ascii="Arial" w:hAnsi="Arial" w:cs="Arial"/>
          <w:szCs w:val="24"/>
        </w:rPr>
      </w:pPr>
      <w:r w:rsidRPr="00CC024A">
        <w:rPr>
          <w:rFonts w:ascii="Arial" w:hAnsi="Arial" w:cs="Arial"/>
          <w:szCs w:val="24"/>
        </w:rPr>
        <w:t xml:space="preserve">The fuel energy density and heat release rate potential presented by a 100-kWh energy storage system are comparable to that of vehicles parked in garages. 100-kWh is a typical capacity of currently available electric vehicles (EVs), which use lithium-ion chemistries as do many stationary ESS. EVs also present significant additional fuel load through materials like upholstered seating and plastic trim. Internal combustion engine (ICE) vehicles have fuel, engine lubricants, and other components with the potential for very significant heat release rates. While the fuel load in a vehicle fueled by a gaseous fuel such as </w:t>
      </w:r>
      <w:proofErr w:type="spellStart"/>
      <w:r w:rsidRPr="00CC024A">
        <w:rPr>
          <w:rFonts w:ascii="Arial" w:hAnsi="Arial" w:cs="Arial"/>
          <w:szCs w:val="24"/>
        </w:rPr>
        <w:t>CNG</w:t>
      </w:r>
      <w:proofErr w:type="spellEnd"/>
      <w:r w:rsidRPr="00CC024A">
        <w:rPr>
          <w:rFonts w:ascii="Arial" w:hAnsi="Arial" w:cs="Arial"/>
          <w:szCs w:val="24"/>
        </w:rPr>
        <w:t xml:space="preserve"> or hydrogen can be less than that of a 100-kWh ESS in total energy output, the dynamics of a designed quick release of a gaseous fuel due to fire exposure in an attached garage can pose a significant concentrated fire exposure, or potentially a deflagration hazard risk to occupants and emergency responders.</w:t>
      </w:r>
    </w:p>
    <w:p w14:paraId="5E0332BB" w14:textId="77777777" w:rsidR="00CC024A" w:rsidRPr="00CC024A" w:rsidRDefault="00CC024A" w:rsidP="00CC024A">
      <w:pPr>
        <w:widowControl/>
        <w:spacing w:before="120" w:after="120"/>
        <w:rPr>
          <w:rFonts w:ascii="Arial" w:hAnsi="Arial" w:cs="Arial"/>
          <w:szCs w:val="24"/>
        </w:rPr>
      </w:pPr>
      <w:r w:rsidRPr="00CC024A">
        <w:rPr>
          <w:rFonts w:ascii="Arial" w:hAnsi="Arial" w:cs="Arial"/>
          <w:szCs w:val="24"/>
        </w:rPr>
        <w:t>This proposal allows homes to add an aggregate of 100-kWh of energy storage to an attached garage, while keeping the content fuel loads at safe levels. While actual fuel loads in garages can vary widely, this can be demonstrated using typical and conservative figures:</w:t>
      </w:r>
    </w:p>
    <w:p w14:paraId="05F3F24F" w14:textId="5E5F163F" w:rsidR="00CC024A" w:rsidRPr="00CC024A" w:rsidRDefault="00CC024A" w:rsidP="004F291C">
      <w:pPr>
        <w:widowControl/>
        <w:spacing w:before="120" w:after="240"/>
        <w:rPr>
          <w:rFonts w:ascii="Arial" w:hAnsi="Arial" w:cs="Arial"/>
          <w:szCs w:val="24"/>
        </w:rPr>
      </w:pPr>
      <w:r w:rsidRPr="00CC024A">
        <w:rPr>
          <w:rFonts w:ascii="Arial" w:hAnsi="Arial" w:cs="Arial"/>
          <w:szCs w:val="24"/>
        </w:rPr>
        <w:t xml:space="preserve">A reasonable fuel load for a garage is approximately 22,300 MJ. This assumes the garage is 20’ x 20’ and that a reasonable fuel load density is 600 MJ/m. Parking two </w:t>
      </w:r>
      <w:r w:rsidRPr="00CC024A">
        <w:rPr>
          <w:rFonts w:ascii="Arial" w:hAnsi="Arial" w:cs="Arial"/>
          <w:szCs w:val="24"/>
        </w:rPr>
        <w:lastRenderedPageBreak/>
        <w:t>gasoline powered cars in the garage makes up approximately 10,600 MJ of fuel load. Other garage items can make up approximately 3,300 MJ of fuel load. The remaining fuel load available to an ESS (22,300 MJ minus 10,600 MJ minus 3,300 MJ) is 8,400 MJ. 8,400 MJ is equivalent to an ESS with an aggregate capacity of 100 kWh, assuming the ESS has a fuel load of 84 MJ/kWh.</w:t>
      </w:r>
    </w:p>
    <w:p w14:paraId="6E479603" w14:textId="22CB1985" w:rsidR="00CC024A" w:rsidRPr="004F291C" w:rsidRDefault="00CC024A" w:rsidP="00CC024A">
      <w:pPr>
        <w:widowControl/>
        <w:spacing w:before="120" w:after="120"/>
        <w:rPr>
          <w:rFonts w:ascii="Arial" w:hAnsi="Arial" w:cs="Arial"/>
          <w:b/>
          <w:bCs/>
          <w:szCs w:val="24"/>
        </w:rPr>
      </w:pPr>
      <w:r w:rsidRPr="00CC024A">
        <w:rPr>
          <w:rFonts w:ascii="Arial" w:hAnsi="Arial" w:cs="Arial"/>
          <w:b/>
          <w:bCs/>
          <w:szCs w:val="24"/>
        </w:rPr>
        <w:t>On or within 3 feet (914 mm) of exterior walls of dwellings and attached garages:</w:t>
      </w:r>
      <w:r w:rsidR="004F291C">
        <w:rPr>
          <w:rFonts w:ascii="Arial" w:hAnsi="Arial" w:cs="Arial"/>
          <w:b/>
          <w:bCs/>
          <w:szCs w:val="24"/>
        </w:rPr>
        <w:br/>
      </w:r>
      <w:r w:rsidRPr="00CC024A">
        <w:rPr>
          <w:rFonts w:ascii="Arial" w:hAnsi="Arial" w:cs="Arial"/>
          <w:szCs w:val="24"/>
        </w:rPr>
        <w:t>ESS on the exterior side of exterior walls pose less of a safety risk than ESS inside attached garages. If an ESS with an aggregate rating of 100-kWh in an attached garage is considered reasonable, then an ESS with an aggregate rating of 100-kWh on the exterior side of exterior walls should also be reasonable.</w:t>
      </w:r>
    </w:p>
    <w:p w14:paraId="48671756" w14:textId="00E568A6" w:rsidR="00CC024A" w:rsidRPr="00CC024A" w:rsidRDefault="00CC024A" w:rsidP="004F291C">
      <w:pPr>
        <w:widowControl/>
        <w:spacing w:before="120" w:after="240"/>
        <w:rPr>
          <w:rFonts w:ascii="Arial" w:hAnsi="Arial" w:cs="Arial"/>
          <w:szCs w:val="24"/>
        </w:rPr>
      </w:pPr>
      <w:r w:rsidRPr="00CC024A">
        <w:rPr>
          <w:rFonts w:ascii="Arial" w:hAnsi="Arial" w:cs="Arial"/>
          <w:szCs w:val="24"/>
        </w:rPr>
        <w:t>If an ESS with an aggregate rating of more than 100 kWh catches on fire, the non-combustible surface would protect occupant safety. Batteries that undergo burn tests on non-combustible surfaces, including masonry and cementitious board, perform well. Some tests have been done as part of 9540A.</w:t>
      </w:r>
    </w:p>
    <w:p w14:paraId="65213B41" w14:textId="5DAC93A3" w:rsidR="00CC024A" w:rsidRPr="004F291C" w:rsidRDefault="00CC024A" w:rsidP="00CC024A">
      <w:pPr>
        <w:widowControl/>
        <w:spacing w:before="120" w:after="120"/>
        <w:rPr>
          <w:rFonts w:ascii="Arial" w:hAnsi="Arial" w:cs="Arial"/>
          <w:b/>
          <w:bCs/>
          <w:szCs w:val="24"/>
        </w:rPr>
      </w:pPr>
      <w:r w:rsidRPr="00CC024A">
        <w:rPr>
          <w:rFonts w:ascii="Arial" w:hAnsi="Arial" w:cs="Arial"/>
          <w:b/>
          <w:bCs/>
          <w:szCs w:val="24"/>
        </w:rPr>
        <w:t>In detached garages and detached accessory structures:</w:t>
      </w:r>
      <w:r w:rsidR="004F291C">
        <w:rPr>
          <w:rFonts w:ascii="Arial" w:hAnsi="Arial" w:cs="Arial"/>
          <w:b/>
          <w:bCs/>
          <w:szCs w:val="24"/>
        </w:rPr>
        <w:br/>
      </w:r>
      <w:r w:rsidRPr="00CC024A">
        <w:rPr>
          <w:rFonts w:ascii="Arial" w:hAnsi="Arial" w:cs="Arial"/>
          <w:szCs w:val="24"/>
        </w:rPr>
        <w:t>This scenario poses minimal risk to occupant safety, considering the distance from the dwelling and testing required of ESS. ESS in detached structures pose less of a safety risk than ESS on the exterior side of the dwelling. If an ESS with an aggregate rating of 200-kWh on the exterior side of the dwelling is considered reasonable, then an ESS with an aggregate rating of 200 kWh should be reasonable for ESS in detached structures.</w:t>
      </w:r>
    </w:p>
    <w:p w14:paraId="4354AB70" w14:textId="7BEC6225" w:rsidR="00CC024A" w:rsidRPr="00CC024A" w:rsidRDefault="00CC024A" w:rsidP="004F291C">
      <w:pPr>
        <w:widowControl/>
        <w:spacing w:before="120" w:after="240"/>
        <w:rPr>
          <w:rFonts w:ascii="Arial" w:hAnsi="Arial" w:cs="Arial"/>
          <w:szCs w:val="24"/>
        </w:rPr>
      </w:pPr>
      <w:r w:rsidRPr="00CC024A">
        <w:rPr>
          <w:rFonts w:ascii="Arial" w:hAnsi="Arial" w:cs="Arial"/>
          <w:szCs w:val="24"/>
        </w:rPr>
        <w:t xml:space="preserve">600-kWh matches Table </w:t>
      </w:r>
      <w:r w:rsidR="00720E8F">
        <w:rPr>
          <w:rFonts w:ascii="Arial" w:hAnsi="Arial" w:cs="Arial"/>
          <w:szCs w:val="24"/>
        </w:rPr>
        <w:t>1207.5</w:t>
      </w:r>
      <w:r w:rsidRPr="00CC024A">
        <w:rPr>
          <w:rFonts w:ascii="Arial" w:hAnsi="Arial" w:cs="Arial"/>
          <w:szCs w:val="24"/>
        </w:rPr>
        <w:t xml:space="preserve"> of the </w:t>
      </w:r>
      <w:r w:rsidR="008D7F0A">
        <w:rPr>
          <w:rFonts w:ascii="Arial" w:hAnsi="Arial" w:cs="Arial"/>
          <w:szCs w:val="24"/>
        </w:rPr>
        <w:t>C</w:t>
      </w:r>
      <w:r w:rsidRPr="00CC024A">
        <w:rPr>
          <w:rFonts w:ascii="Arial" w:hAnsi="Arial" w:cs="Arial"/>
          <w:szCs w:val="24"/>
        </w:rPr>
        <w:t>FC. ESS in structures separated from the dwelling by 10 feet do not pose demonstrable risk to occupants.</w:t>
      </w:r>
    </w:p>
    <w:p w14:paraId="51FD2EF2" w14:textId="096B73B3" w:rsidR="00CC024A" w:rsidRPr="004F291C" w:rsidRDefault="00CC024A" w:rsidP="00CC024A">
      <w:pPr>
        <w:widowControl/>
        <w:spacing w:before="120" w:after="120"/>
        <w:rPr>
          <w:rFonts w:ascii="Arial" w:hAnsi="Arial" w:cs="Arial"/>
          <w:b/>
          <w:bCs/>
          <w:szCs w:val="24"/>
        </w:rPr>
      </w:pPr>
      <w:r w:rsidRPr="00CC024A">
        <w:rPr>
          <w:rFonts w:ascii="Arial" w:hAnsi="Arial" w:cs="Arial"/>
          <w:b/>
          <w:bCs/>
          <w:szCs w:val="24"/>
        </w:rPr>
        <w:t>Outdoors on the ground:</w:t>
      </w:r>
      <w:r w:rsidR="004F291C">
        <w:rPr>
          <w:rFonts w:ascii="Arial" w:hAnsi="Arial" w:cs="Arial"/>
          <w:b/>
          <w:bCs/>
          <w:szCs w:val="24"/>
        </w:rPr>
        <w:br/>
      </w:r>
      <w:r w:rsidRPr="00CC024A">
        <w:rPr>
          <w:rFonts w:ascii="Arial" w:hAnsi="Arial" w:cs="Arial"/>
          <w:szCs w:val="24"/>
        </w:rPr>
        <w:t>This scenario poses minimal risk to occupant safety, considering the distance from the dwelling and the testing required of ESS. Ground mount ESS pose less of a safety risk than ESS on the exterior side of the dwelling. If an ESS with an aggregate rating of 200-kWh on the exterior side of the dwelling is considered reasonable, then an ESS with an aggregate rating of 200 kWh should be reasonable for ESS mounted on the ground.</w:t>
      </w:r>
    </w:p>
    <w:p w14:paraId="054EC460" w14:textId="367E2E56" w:rsidR="00CC024A" w:rsidRPr="00CC024A" w:rsidRDefault="00CC024A" w:rsidP="004F291C">
      <w:pPr>
        <w:widowControl/>
        <w:spacing w:before="120" w:after="240"/>
        <w:rPr>
          <w:rFonts w:ascii="Arial" w:hAnsi="Arial" w:cs="Arial"/>
          <w:szCs w:val="24"/>
        </w:rPr>
      </w:pPr>
      <w:r w:rsidRPr="00CC024A">
        <w:rPr>
          <w:rFonts w:ascii="Arial" w:hAnsi="Arial" w:cs="Arial"/>
          <w:szCs w:val="24"/>
        </w:rPr>
        <w:t xml:space="preserve">Additionally, 200 kWh is equivalent to two typical EVs that can be parked anywhere on the property. 600 kWh matches Table 1207.5 of the </w:t>
      </w:r>
      <w:r w:rsidR="00720E8F">
        <w:rPr>
          <w:rFonts w:ascii="Arial" w:hAnsi="Arial" w:cs="Arial"/>
          <w:szCs w:val="24"/>
        </w:rPr>
        <w:t>C</w:t>
      </w:r>
      <w:r w:rsidRPr="00CC024A">
        <w:rPr>
          <w:rFonts w:ascii="Arial" w:hAnsi="Arial" w:cs="Arial"/>
          <w:szCs w:val="24"/>
        </w:rPr>
        <w:t>FC. ESS separated from the dwelling by 10 feet do not pose demonstrable risk to occupants.</w:t>
      </w:r>
    </w:p>
    <w:p w14:paraId="39D03C7D" w14:textId="77777777" w:rsidR="00CC024A" w:rsidRPr="00CC024A" w:rsidRDefault="00CC024A" w:rsidP="00CC024A">
      <w:pPr>
        <w:widowControl/>
        <w:spacing w:before="120" w:after="120"/>
        <w:rPr>
          <w:rFonts w:ascii="Arial" w:hAnsi="Arial" w:cs="Arial"/>
          <w:b/>
          <w:bCs/>
          <w:szCs w:val="24"/>
        </w:rPr>
      </w:pPr>
      <w:r w:rsidRPr="00CC024A">
        <w:rPr>
          <w:rFonts w:ascii="Arial" w:hAnsi="Arial" w:cs="Arial"/>
          <w:b/>
          <w:bCs/>
          <w:szCs w:val="24"/>
        </w:rPr>
        <w:t>Endnotes:</w:t>
      </w:r>
    </w:p>
    <w:p w14:paraId="74568E75" w14:textId="59676F24" w:rsidR="00CC024A" w:rsidRPr="007E0C6E" w:rsidRDefault="00CC024A" w:rsidP="007E0C6E">
      <w:pPr>
        <w:pStyle w:val="ListParagraph"/>
        <w:widowControl/>
        <w:numPr>
          <w:ilvl w:val="0"/>
          <w:numId w:val="19"/>
        </w:numPr>
        <w:spacing w:before="120" w:after="240"/>
        <w:ind w:left="360"/>
        <w:contextualSpacing w:val="0"/>
        <w:rPr>
          <w:rFonts w:ascii="Arial" w:hAnsi="Arial" w:cs="Arial"/>
          <w:szCs w:val="24"/>
        </w:rPr>
      </w:pPr>
      <w:r w:rsidRPr="007E0C6E">
        <w:rPr>
          <w:rFonts w:ascii="Arial" w:hAnsi="Arial" w:cs="Arial"/>
          <w:szCs w:val="24"/>
        </w:rPr>
        <w:t xml:space="preserve">Tesla Model X has a capacity of 100 kWh. Tesla Model S has a capacity of 70-85 kWh. Chevy Bolt has a capacity of 66 kWh. The electric Ford F150 has a capacity of 110-130 kWh or 150-180 kWh with extended range. </w:t>
      </w:r>
      <w:r w:rsidR="007E0C6E">
        <w:rPr>
          <w:rFonts w:ascii="Arial" w:hAnsi="Arial" w:cs="Arial"/>
          <w:szCs w:val="24"/>
        </w:rPr>
        <w:br/>
      </w:r>
      <w:r w:rsidRPr="007E0C6E">
        <w:rPr>
          <w:rFonts w:ascii="Arial" w:hAnsi="Arial" w:cs="Arial"/>
          <w:b/>
          <w:bCs/>
          <w:szCs w:val="24"/>
        </w:rPr>
        <w:t>Sources:</w:t>
      </w:r>
      <w:r w:rsidRPr="007E0C6E">
        <w:rPr>
          <w:rFonts w:ascii="Arial" w:hAnsi="Arial" w:cs="Arial"/>
          <w:szCs w:val="24"/>
        </w:rPr>
        <w:t xml:space="preserve"> </w:t>
      </w:r>
      <w:r w:rsidR="007E0C6E">
        <w:rPr>
          <w:rFonts w:ascii="Arial" w:hAnsi="Arial" w:cs="Arial"/>
          <w:szCs w:val="24"/>
        </w:rPr>
        <w:br/>
      </w:r>
      <w:hyperlink r:id="rId11" w:history="1">
        <w:r w:rsidRPr="00306A4D">
          <w:rPr>
            <w:rStyle w:val="Hyperlink"/>
            <w:rFonts w:ascii="Arial" w:hAnsi="Arial" w:cs="Arial"/>
            <w:szCs w:val="24"/>
          </w:rPr>
          <w:t>https://www.forbes.com/wheels/cars/tesla/model-x/</w:t>
        </w:r>
      </w:hyperlink>
      <w:r w:rsidRPr="007E0C6E">
        <w:rPr>
          <w:rFonts w:ascii="Arial" w:hAnsi="Arial" w:cs="Arial"/>
          <w:szCs w:val="24"/>
        </w:rPr>
        <w:t>,</w:t>
      </w:r>
      <w:r w:rsidR="007E0C6E">
        <w:rPr>
          <w:rFonts w:ascii="Arial" w:hAnsi="Arial" w:cs="Arial"/>
          <w:szCs w:val="24"/>
        </w:rPr>
        <w:br/>
      </w:r>
      <w:hyperlink r:id="rId12" w:history="1">
        <w:r w:rsidRPr="00306A4D">
          <w:rPr>
            <w:rStyle w:val="Hyperlink"/>
            <w:rFonts w:ascii="Arial" w:hAnsi="Arial" w:cs="Arial"/>
            <w:szCs w:val="24"/>
          </w:rPr>
          <w:t>https://www.tesla.com/sites/default/files/tesla-model-s.pdf</w:t>
        </w:r>
      </w:hyperlink>
      <w:r w:rsidRPr="007E0C6E">
        <w:rPr>
          <w:rFonts w:ascii="Arial" w:hAnsi="Arial" w:cs="Arial"/>
          <w:szCs w:val="24"/>
        </w:rPr>
        <w:t>,</w:t>
      </w:r>
      <w:r w:rsidR="007E0C6E">
        <w:rPr>
          <w:rFonts w:ascii="Arial" w:hAnsi="Arial" w:cs="Arial"/>
          <w:szCs w:val="24"/>
        </w:rPr>
        <w:br/>
      </w:r>
      <w:hyperlink r:id="rId13" w:history="1">
        <w:r w:rsidRPr="00306A4D">
          <w:rPr>
            <w:rStyle w:val="Hyperlink"/>
            <w:rFonts w:ascii="Arial" w:hAnsi="Arial" w:cs="Arial"/>
            <w:szCs w:val="24"/>
          </w:rPr>
          <w:t>https://media.chevrolet.com/media/us/en/chevrolet/vehicles/bolt-ev/2021.tab1.html</w:t>
        </w:r>
      </w:hyperlink>
      <w:r w:rsidRPr="007E0C6E">
        <w:rPr>
          <w:rFonts w:ascii="Arial" w:hAnsi="Arial" w:cs="Arial"/>
          <w:szCs w:val="24"/>
        </w:rPr>
        <w:t>,</w:t>
      </w:r>
      <w:r w:rsidR="007E0C6E">
        <w:rPr>
          <w:rFonts w:ascii="Arial" w:hAnsi="Arial" w:cs="Arial"/>
          <w:szCs w:val="24"/>
        </w:rPr>
        <w:br/>
      </w:r>
      <w:hyperlink r:id="rId14" w:history="1">
        <w:r w:rsidR="007E0C6E" w:rsidRPr="007C6842">
          <w:rPr>
            <w:rStyle w:val="Hyperlink"/>
            <w:rFonts w:ascii="Arial" w:hAnsi="Arial" w:cs="Arial"/>
            <w:szCs w:val="24"/>
          </w:rPr>
          <w:t>https://www.forbes.com/wheels/news/2022-ford-f-150-lightning-ev-pickup-debuts-300-mile-range-priced-at-40k</w:t>
        </w:r>
      </w:hyperlink>
      <w:r w:rsidRPr="007E0C6E">
        <w:rPr>
          <w:rFonts w:ascii="Arial" w:hAnsi="Arial" w:cs="Arial"/>
          <w:szCs w:val="24"/>
        </w:rPr>
        <w:t>.</w:t>
      </w:r>
    </w:p>
    <w:p w14:paraId="2A822E8B" w14:textId="6075F87F" w:rsidR="00CC024A" w:rsidRPr="007E0C6E" w:rsidRDefault="00CC024A" w:rsidP="007E0C6E">
      <w:pPr>
        <w:pStyle w:val="ListParagraph"/>
        <w:widowControl/>
        <w:numPr>
          <w:ilvl w:val="0"/>
          <w:numId w:val="19"/>
        </w:numPr>
        <w:spacing w:before="120" w:after="240"/>
        <w:ind w:left="360"/>
        <w:contextualSpacing w:val="0"/>
        <w:rPr>
          <w:rFonts w:ascii="Arial" w:hAnsi="Arial" w:cs="Arial"/>
          <w:szCs w:val="24"/>
        </w:rPr>
      </w:pPr>
      <w:r w:rsidRPr="007E0C6E">
        <w:rPr>
          <w:rFonts w:ascii="Arial" w:hAnsi="Arial" w:cs="Arial"/>
          <w:szCs w:val="24"/>
        </w:rPr>
        <w:lastRenderedPageBreak/>
        <w:t xml:space="preserve">Builders’ websites show the typical two-garage is around 20' x 20'. For example, </w:t>
      </w:r>
      <w:proofErr w:type="spellStart"/>
      <w:r w:rsidRPr="007E0C6E">
        <w:rPr>
          <w:rFonts w:ascii="Arial" w:hAnsi="Arial" w:cs="Arial"/>
          <w:szCs w:val="24"/>
        </w:rPr>
        <w:t>HWS</w:t>
      </w:r>
      <w:proofErr w:type="spellEnd"/>
      <w:r w:rsidRPr="007E0C6E">
        <w:rPr>
          <w:rFonts w:ascii="Arial" w:hAnsi="Arial" w:cs="Arial"/>
          <w:szCs w:val="24"/>
        </w:rPr>
        <w:t xml:space="preserve"> Garages' website states that "The average 2-car garage</w:t>
      </w:r>
      <w:r w:rsidR="007E0C6E">
        <w:rPr>
          <w:rFonts w:ascii="Arial" w:hAnsi="Arial" w:cs="Arial"/>
          <w:szCs w:val="24"/>
        </w:rPr>
        <w:t xml:space="preserve"> </w:t>
      </w:r>
      <w:r w:rsidRPr="007E0C6E">
        <w:rPr>
          <w:rFonts w:ascii="Arial" w:hAnsi="Arial" w:cs="Arial"/>
          <w:szCs w:val="24"/>
        </w:rPr>
        <w:t xml:space="preserve">size is anywhere from 18’ x 20’ to 22′ x 22’.” While some garages are one-car and some are three-car, a poll conducted by Garage Living shows that 61 percent of garages are two-car. Sources: </w:t>
      </w:r>
      <w:hyperlink r:id="rId15" w:history="1">
        <w:r w:rsidRPr="00306A4D">
          <w:rPr>
            <w:rStyle w:val="Hyperlink"/>
            <w:rFonts w:ascii="Arial" w:hAnsi="Arial" w:cs="Arial"/>
            <w:szCs w:val="24"/>
          </w:rPr>
          <w:t>www.hwsgarage.com/average-garage-sizes/</w:t>
        </w:r>
      </w:hyperlink>
      <w:r w:rsidRPr="007E0C6E">
        <w:rPr>
          <w:rFonts w:ascii="Arial" w:hAnsi="Arial" w:cs="Arial"/>
          <w:szCs w:val="24"/>
        </w:rPr>
        <w:t xml:space="preserve"> and </w:t>
      </w:r>
      <w:hyperlink r:id="rId16" w:history="1">
        <w:r w:rsidRPr="007E0C6E">
          <w:rPr>
            <w:rFonts w:ascii="Arial" w:hAnsi="Arial" w:cs="Arial"/>
            <w:color w:val="0000FF"/>
            <w:szCs w:val="24"/>
            <w:u w:val="single"/>
          </w:rPr>
          <w:t>www.garageliving.com/blog/home-garage-stats</w:t>
        </w:r>
      </w:hyperlink>
      <w:r w:rsidRPr="007E0C6E">
        <w:rPr>
          <w:rFonts w:ascii="Arial" w:hAnsi="Arial" w:cs="Arial"/>
          <w:szCs w:val="24"/>
        </w:rPr>
        <w:t>.</w:t>
      </w:r>
    </w:p>
    <w:p w14:paraId="4136ECDE" w14:textId="17EA8B4C" w:rsidR="00CC024A" w:rsidRPr="007E0C6E" w:rsidRDefault="00CC024A" w:rsidP="007E0C6E">
      <w:pPr>
        <w:pStyle w:val="ListParagraph"/>
        <w:widowControl/>
        <w:numPr>
          <w:ilvl w:val="0"/>
          <w:numId w:val="19"/>
        </w:numPr>
        <w:spacing w:before="120" w:after="240"/>
        <w:ind w:left="360"/>
        <w:contextualSpacing w:val="0"/>
        <w:rPr>
          <w:rFonts w:ascii="Arial" w:hAnsi="Arial" w:cs="Arial"/>
          <w:szCs w:val="24"/>
        </w:rPr>
      </w:pPr>
      <w:r w:rsidRPr="007E0C6E">
        <w:rPr>
          <w:rFonts w:ascii="Arial" w:hAnsi="Arial" w:cs="Arial"/>
          <w:szCs w:val="24"/>
        </w:rPr>
        <w:t>The average fuel load of a living room is 600 MJ/m. 600 MJ/m^2 is also the business standard in NFPA 557. Sources: Alex Bwalya et al., "A Pilot Survey of Fire Loads in Canadian Homes," National Research Council Canada, March 9, 2004; National Fire Protection Association, "NFPA 557: Standard for Determination of Fire Loads for Use in Structural Fire Protection Design," 2020 Edition, Section 6.1.3.</w:t>
      </w:r>
    </w:p>
    <w:p w14:paraId="26D548EA" w14:textId="4CCB2979" w:rsidR="00CC024A" w:rsidRPr="007E0C6E" w:rsidRDefault="00CC024A" w:rsidP="007E0C6E">
      <w:pPr>
        <w:pStyle w:val="ListParagraph"/>
        <w:widowControl/>
        <w:numPr>
          <w:ilvl w:val="0"/>
          <w:numId w:val="19"/>
        </w:numPr>
        <w:spacing w:before="120" w:after="240"/>
        <w:ind w:left="360"/>
        <w:contextualSpacing w:val="0"/>
        <w:rPr>
          <w:rFonts w:ascii="Arial" w:hAnsi="Arial" w:cs="Arial"/>
          <w:szCs w:val="24"/>
        </w:rPr>
      </w:pPr>
      <w:r w:rsidRPr="007E0C6E">
        <w:rPr>
          <w:rFonts w:ascii="Arial" w:hAnsi="Arial" w:cs="Arial"/>
          <w:szCs w:val="24"/>
        </w:rPr>
        <w:t xml:space="preserve">10,577 MJ (rounded to 10,600 MJ) assumes a small car (2,909 MJ) and large car (7,648 MJ). Sources: </w:t>
      </w:r>
      <w:proofErr w:type="spellStart"/>
      <w:r w:rsidRPr="007E0C6E">
        <w:rPr>
          <w:rFonts w:ascii="Arial" w:hAnsi="Arial" w:cs="Arial"/>
          <w:szCs w:val="24"/>
        </w:rPr>
        <w:t>Mohd</w:t>
      </w:r>
      <w:proofErr w:type="spellEnd"/>
      <w:r w:rsidRPr="007E0C6E">
        <w:rPr>
          <w:rFonts w:ascii="Arial" w:hAnsi="Arial" w:cs="Arial"/>
          <w:szCs w:val="24"/>
        </w:rPr>
        <w:t xml:space="preserve"> </w:t>
      </w:r>
      <w:proofErr w:type="spellStart"/>
      <w:r w:rsidRPr="007E0C6E">
        <w:rPr>
          <w:rFonts w:ascii="Arial" w:hAnsi="Arial" w:cs="Arial"/>
          <w:szCs w:val="24"/>
        </w:rPr>
        <w:t>Tohir</w:t>
      </w:r>
      <w:proofErr w:type="spellEnd"/>
      <w:r w:rsidRPr="007E0C6E">
        <w:rPr>
          <w:rFonts w:ascii="Arial" w:hAnsi="Arial" w:cs="Arial"/>
          <w:szCs w:val="24"/>
        </w:rPr>
        <w:t xml:space="preserve"> and Michael Spearpoint, "Distribution analysis of the fire severity characteristics of single passenger road vehicles using heat release rate data," Fire Science Reviews, 2013. Also see M.J. Spearpoint, et. al., "Fire load energy densities for risk-based design of car parking buildings," Case Studies in Fire Safety, 29 April 2015.</w:t>
      </w:r>
    </w:p>
    <w:p w14:paraId="3F15185F" w14:textId="0F663326" w:rsidR="00CC024A" w:rsidRPr="007E0C6E" w:rsidRDefault="00CC024A" w:rsidP="007E0C6E">
      <w:pPr>
        <w:pStyle w:val="ListParagraph"/>
        <w:widowControl/>
        <w:numPr>
          <w:ilvl w:val="0"/>
          <w:numId w:val="19"/>
        </w:numPr>
        <w:spacing w:before="120" w:after="240"/>
        <w:ind w:left="360"/>
        <w:contextualSpacing w:val="0"/>
        <w:rPr>
          <w:rFonts w:ascii="Arial" w:hAnsi="Arial" w:cs="Arial"/>
          <w:szCs w:val="24"/>
        </w:rPr>
      </w:pPr>
      <w:r w:rsidRPr="007E0C6E">
        <w:rPr>
          <w:rFonts w:ascii="Arial" w:hAnsi="Arial" w:cs="Arial"/>
          <w:szCs w:val="24"/>
        </w:rPr>
        <w:t>3,341 MJ (rounded to 3,300 MJ) is equivalent to half the fuel load items in a typical basement living room. Source: Bwalya, A.C., et. al., "Survey Results of Combustible Contents and Floor Areas in Multi-Family Dwellings," National Research Council Canada, 24 October 2008.</w:t>
      </w:r>
    </w:p>
    <w:p w14:paraId="7DC1CA3D" w14:textId="01F28442" w:rsidR="00CC024A" w:rsidRPr="007E0C6E" w:rsidRDefault="00CC024A" w:rsidP="007E0C6E">
      <w:pPr>
        <w:pStyle w:val="ListParagraph"/>
        <w:widowControl/>
        <w:numPr>
          <w:ilvl w:val="0"/>
          <w:numId w:val="19"/>
        </w:numPr>
        <w:spacing w:before="120" w:after="240"/>
        <w:ind w:left="360"/>
        <w:contextualSpacing w:val="0"/>
        <w:rPr>
          <w:rFonts w:ascii="Arial" w:hAnsi="Arial" w:cs="Arial"/>
          <w:szCs w:val="24"/>
        </w:rPr>
      </w:pPr>
      <w:r w:rsidRPr="007E0C6E">
        <w:rPr>
          <w:rFonts w:ascii="Arial" w:hAnsi="Arial" w:cs="Arial"/>
          <w:szCs w:val="24"/>
        </w:rPr>
        <w:t xml:space="preserve">84 MJ/kWh is derived from the estimated fuel load of the gases released by an ESS in thermal runaway (44 MJ/kWh) and the estimated fuel load of the burnable contents inside the ESS (40 MJ/kWh). 44 MJ/kWh was derived from reviewing several studies referenced below. 40 MJ/kWh was derived from multiplying 2 kg/kWh (a conservative figure for burnable contents inside the ESS – the weight of internal contents for some ESS is 1.0- 1.5 kg/kWh) by 20 MJ/kg (the typical fuel load of a computer). Sources for fuel load of gases: Frederik Larsson, "Toxic fluoride gas emissions from lithium-ion battery fires," Scientific Reports, 30 August 2017; David </w:t>
      </w:r>
      <w:proofErr w:type="spellStart"/>
      <w:r w:rsidRPr="007E0C6E">
        <w:rPr>
          <w:rFonts w:ascii="Arial" w:hAnsi="Arial" w:cs="Arial"/>
          <w:szCs w:val="24"/>
        </w:rPr>
        <w:t>Sturk</w:t>
      </w:r>
      <w:proofErr w:type="spellEnd"/>
      <w:r w:rsidRPr="007E0C6E">
        <w:rPr>
          <w:rFonts w:ascii="Arial" w:hAnsi="Arial" w:cs="Arial"/>
          <w:szCs w:val="24"/>
        </w:rPr>
        <w:t xml:space="preserve"> et. al., “Fire Tests on E-vehicle Battery Cells and Packs,” Traffic Injury Prevention, 25 February 2015. Sources for kg/kWh weight of internal burnable contents: Tesla, </w:t>
      </w:r>
      <w:proofErr w:type="spellStart"/>
      <w:r w:rsidRPr="007E0C6E">
        <w:rPr>
          <w:rFonts w:ascii="Arial" w:hAnsi="Arial" w:cs="Arial"/>
          <w:szCs w:val="24"/>
        </w:rPr>
        <w:t>SimpliPhi</w:t>
      </w:r>
      <w:proofErr w:type="spellEnd"/>
      <w:r w:rsidRPr="007E0C6E">
        <w:rPr>
          <w:rFonts w:ascii="Arial" w:hAnsi="Arial" w:cs="Arial"/>
          <w:szCs w:val="24"/>
        </w:rPr>
        <w:t xml:space="preserve">, and </w:t>
      </w:r>
      <w:proofErr w:type="spellStart"/>
      <w:r w:rsidRPr="007E0C6E">
        <w:rPr>
          <w:rFonts w:ascii="Arial" w:hAnsi="Arial" w:cs="Arial"/>
          <w:szCs w:val="24"/>
        </w:rPr>
        <w:t>Solaredge</w:t>
      </w:r>
      <w:proofErr w:type="spellEnd"/>
      <w:r w:rsidRPr="007E0C6E">
        <w:rPr>
          <w:rFonts w:ascii="Arial" w:hAnsi="Arial" w:cs="Arial"/>
          <w:szCs w:val="24"/>
        </w:rPr>
        <w:t>. Source for fuel load of a computer: Alex Bwalya et al., "A Pilot Survey of Fire Loads in Canadian Homes," National Research Council Canada, March 9, 2004.</w:t>
      </w:r>
    </w:p>
    <w:p w14:paraId="4270DC64" w14:textId="3D62B527" w:rsidR="00CC024A" w:rsidRPr="00CC024A" w:rsidRDefault="00CC024A" w:rsidP="007E0C6E">
      <w:pPr>
        <w:widowControl/>
        <w:spacing w:before="120" w:after="240"/>
        <w:rPr>
          <w:rFonts w:ascii="Arial" w:hAnsi="Arial" w:cs="Arial"/>
          <w:szCs w:val="24"/>
        </w:rPr>
      </w:pPr>
      <w:r w:rsidRPr="00CC024A">
        <w:rPr>
          <w:rFonts w:ascii="Arial" w:hAnsi="Arial" w:cs="Arial"/>
          <w:b/>
          <w:bCs/>
          <w:szCs w:val="24"/>
        </w:rPr>
        <w:t xml:space="preserve">Cost Impact: </w:t>
      </w:r>
      <w:r w:rsidRPr="00CC024A">
        <w:rPr>
          <w:rFonts w:ascii="Arial" w:hAnsi="Arial" w:cs="Arial"/>
          <w:szCs w:val="24"/>
        </w:rPr>
        <w:t>The code change proposal will not increase or decrease the cost of construction. It clarifies how the maximum thresholds are applied. Allows for more ESS while maintaining a level of safety.</w:t>
      </w:r>
    </w:p>
    <w:p w14:paraId="7EC3CC94" w14:textId="77777777" w:rsidR="00CC024A" w:rsidRPr="00CC024A" w:rsidRDefault="00CC024A" w:rsidP="00CC024A">
      <w:pPr>
        <w:keepNext/>
        <w:keepLines/>
        <w:spacing w:before="120" w:after="120"/>
        <w:ind w:left="360"/>
        <w:outlineLvl w:val="3"/>
        <w:rPr>
          <w:rFonts w:ascii="Arial" w:eastAsiaTheme="majorEastAsia" w:hAnsi="Arial" w:cstheme="majorBidi"/>
          <w:b/>
          <w:iCs/>
        </w:rPr>
      </w:pPr>
      <w:r w:rsidRPr="00CC024A">
        <w:rPr>
          <w:rFonts w:ascii="Arial" w:eastAsiaTheme="majorEastAsia" w:hAnsi="Arial" w:cstheme="majorBidi"/>
          <w:b/>
          <w:iCs/>
        </w:rPr>
        <w:t>CAC Recommendation:</w:t>
      </w:r>
    </w:p>
    <w:p w14:paraId="388C4B51" w14:textId="77777777" w:rsidR="00CC024A" w:rsidRPr="00CC024A" w:rsidRDefault="00CC024A" w:rsidP="00CC024A">
      <w:pPr>
        <w:widowControl/>
        <w:spacing w:before="120" w:after="120"/>
        <w:ind w:left="360"/>
        <w:rPr>
          <w:rFonts w:ascii="Arial" w:hAnsi="Arial" w:cs="Arial"/>
          <w:szCs w:val="24"/>
        </w:rPr>
      </w:pPr>
      <w:r w:rsidRPr="00CC024A">
        <w:rPr>
          <w:rFonts w:ascii="Arial" w:hAnsi="Arial" w:cs="Arial"/>
          <w:szCs w:val="24"/>
          <w:highlight w:val="lightGray"/>
        </w:rPr>
        <w:fldChar w:fldCharType="begin">
          <w:ffData>
            <w:name w:val=""/>
            <w:enabled/>
            <w:calcOnExit w:val="0"/>
            <w:textInput>
              <w:default w:val="[Enter CAC recommendation(s), if any]"/>
            </w:textInput>
          </w:ffData>
        </w:fldChar>
      </w:r>
      <w:r w:rsidRPr="00CC024A">
        <w:rPr>
          <w:rFonts w:ascii="Arial" w:hAnsi="Arial" w:cs="Arial"/>
          <w:szCs w:val="24"/>
          <w:highlight w:val="lightGray"/>
        </w:rPr>
        <w:instrText xml:space="preserve"> FORMTEXT </w:instrText>
      </w:r>
      <w:r w:rsidRPr="00CC024A">
        <w:rPr>
          <w:rFonts w:ascii="Arial" w:hAnsi="Arial" w:cs="Arial"/>
          <w:szCs w:val="24"/>
          <w:highlight w:val="lightGray"/>
        </w:rPr>
      </w:r>
      <w:r w:rsidRPr="00CC024A">
        <w:rPr>
          <w:rFonts w:ascii="Arial" w:hAnsi="Arial" w:cs="Arial"/>
          <w:szCs w:val="24"/>
          <w:highlight w:val="lightGray"/>
        </w:rPr>
        <w:fldChar w:fldCharType="separate"/>
      </w:r>
      <w:r w:rsidRPr="00CC024A">
        <w:rPr>
          <w:rFonts w:ascii="Arial" w:hAnsi="Arial" w:cs="Arial"/>
          <w:noProof/>
          <w:szCs w:val="24"/>
          <w:highlight w:val="lightGray"/>
        </w:rPr>
        <w:t>[Enter CAC recommendation(s), if any]</w:t>
      </w:r>
      <w:r w:rsidRPr="00CC024A">
        <w:rPr>
          <w:rFonts w:ascii="Arial" w:hAnsi="Arial" w:cs="Arial"/>
          <w:szCs w:val="24"/>
          <w:highlight w:val="lightGray"/>
        </w:rPr>
        <w:fldChar w:fldCharType="end"/>
      </w:r>
    </w:p>
    <w:p w14:paraId="79323E82" w14:textId="77777777" w:rsidR="00CC024A" w:rsidRPr="00CC024A" w:rsidRDefault="00CC024A" w:rsidP="00CC024A">
      <w:pPr>
        <w:keepNext/>
        <w:keepLines/>
        <w:spacing w:before="120" w:after="120"/>
        <w:ind w:left="360"/>
        <w:outlineLvl w:val="3"/>
        <w:rPr>
          <w:rFonts w:ascii="Arial" w:eastAsiaTheme="majorEastAsia" w:hAnsi="Arial" w:cstheme="majorBidi"/>
          <w:b/>
          <w:iCs/>
        </w:rPr>
      </w:pPr>
      <w:r w:rsidRPr="00CC024A">
        <w:rPr>
          <w:rFonts w:ascii="Arial" w:eastAsiaTheme="majorEastAsia" w:hAnsi="Arial" w:cstheme="majorBidi"/>
          <w:b/>
          <w:iCs/>
        </w:rPr>
        <w:t>Agency Response:</w:t>
      </w:r>
    </w:p>
    <w:p w14:paraId="71E4E0D8" w14:textId="5D1AB324" w:rsidR="00686311" w:rsidRPr="007E0C6E" w:rsidRDefault="00CC024A" w:rsidP="007E0C6E">
      <w:pPr>
        <w:widowControl/>
        <w:spacing w:before="120" w:after="120"/>
        <w:ind w:left="360"/>
        <w:rPr>
          <w:rFonts w:ascii="Arial" w:hAnsi="Arial" w:cs="Arial"/>
          <w:szCs w:val="24"/>
        </w:rPr>
      </w:pPr>
      <w:r w:rsidRPr="00CC024A">
        <w:rPr>
          <w:rFonts w:ascii="Arial" w:hAnsi="Arial" w:cs="Arial"/>
          <w:szCs w:val="24"/>
          <w:highlight w:val="lightGray"/>
        </w:rPr>
        <w:fldChar w:fldCharType="begin">
          <w:ffData>
            <w:name w:val=""/>
            <w:enabled/>
            <w:calcOnExit w:val="0"/>
            <w:textInput>
              <w:default w:val="[Enter the agency's response to CAC recommendation(s)]"/>
            </w:textInput>
          </w:ffData>
        </w:fldChar>
      </w:r>
      <w:r w:rsidRPr="00CC024A">
        <w:rPr>
          <w:rFonts w:ascii="Arial" w:hAnsi="Arial" w:cs="Arial"/>
          <w:szCs w:val="24"/>
          <w:highlight w:val="lightGray"/>
        </w:rPr>
        <w:instrText xml:space="preserve"> FORMTEXT </w:instrText>
      </w:r>
      <w:r w:rsidRPr="00CC024A">
        <w:rPr>
          <w:rFonts w:ascii="Arial" w:hAnsi="Arial" w:cs="Arial"/>
          <w:szCs w:val="24"/>
          <w:highlight w:val="lightGray"/>
        </w:rPr>
      </w:r>
      <w:r w:rsidRPr="00CC024A">
        <w:rPr>
          <w:rFonts w:ascii="Arial" w:hAnsi="Arial" w:cs="Arial"/>
          <w:szCs w:val="24"/>
          <w:highlight w:val="lightGray"/>
        </w:rPr>
        <w:fldChar w:fldCharType="separate"/>
      </w:r>
      <w:r w:rsidRPr="00CC024A">
        <w:rPr>
          <w:rFonts w:ascii="Arial" w:hAnsi="Arial" w:cs="Arial"/>
          <w:noProof/>
          <w:szCs w:val="24"/>
          <w:highlight w:val="lightGray"/>
        </w:rPr>
        <w:t>[Enter the agency's response to CAC recommendation(s)]</w:t>
      </w:r>
      <w:r w:rsidRPr="00CC024A">
        <w:rPr>
          <w:rFonts w:ascii="Arial" w:hAnsi="Arial" w:cs="Arial"/>
          <w:szCs w:val="24"/>
          <w:highlight w:val="lightGray"/>
        </w:rPr>
        <w:fldChar w:fldCharType="end"/>
      </w:r>
    </w:p>
    <w:sectPr w:rsidR="00686311" w:rsidRPr="007E0C6E" w:rsidSect="00957E07">
      <w:headerReference w:type="default" r:id="rId17"/>
      <w:footerReference w:type="default" r:id="rId18"/>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8755" w14:textId="77777777" w:rsidR="000E5AF6" w:rsidRDefault="000E5AF6">
      <w:r>
        <w:separator/>
      </w:r>
    </w:p>
  </w:endnote>
  <w:endnote w:type="continuationSeparator" w:id="0">
    <w:p w14:paraId="7D9BEFFF" w14:textId="77777777" w:rsidR="000E5AF6" w:rsidRDefault="000E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34989722" w:rsidR="0067477E" w:rsidRPr="00795E8F" w:rsidRDefault="002317C5" w:rsidP="0067477E">
    <w:pPr>
      <w:pStyle w:val="Footer"/>
      <w:tabs>
        <w:tab w:val="clear" w:pos="4320"/>
        <w:tab w:val="clear" w:pos="8640"/>
        <w:tab w:val="right" w:pos="9180"/>
      </w:tabs>
      <w:ind w:left="108"/>
      <w:rPr>
        <w:sz w:val="16"/>
      </w:rPr>
    </w:pPr>
    <w:r w:rsidRPr="002317C5">
      <w:rPr>
        <w:rFonts w:ascii="Arial" w:hAnsi="Arial" w:cs="Arial"/>
        <w:sz w:val="16"/>
      </w:rPr>
      <w:t xml:space="preserve">ADDENDUM </w:t>
    </w:r>
    <w:r>
      <w:rPr>
        <w:rFonts w:ascii="Arial" w:hAnsi="Arial" w:cs="Arial"/>
        <w:sz w:val="16"/>
      </w:rPr>
      <w:t xml:space="preserve">to </w:t>
    </w:r>
    <w:r w:rsidR="00FF1B26">
      <w:rPr>
        <w:rFonts w:ascii="Arial" w:hAnsi="Arial" w:cs="Arial"/>
        <w:sz w:val="16"/>
      </w:rPr>
      <w:t>Initial</w:t>
    </w:r>
    <w:r w:rsidR="0067477E" w:rsidRPr="00795E8F">
      <w:rPr>
        <w:rFonts w:ascii="Arial" w:hAnsi="Arial" w:cs="Arial"/>
        <w:sz w:val="16"/>
      </w:rPr>
      <w:t xml:space="preserve"> Express Terms</w:t>
    </w:r>
    <w:r w:rsidR="0067477E" w:rsidRPr="00795E8F">
      <w:rPr>
        <w:sz w:val="16"/>
      </w:rPr>
      <w:tab/>
    </w:r>
    <w:r w:rsidR="0011746B">
      <w:rPr>
        <w:sz w:val="16"/>
      </w:rPr>
      <w:t>February 13, 2023</w:t>
    </w:r>
  </w:p>
  <w:p w14:paraId="7AC8E631" w14:textId="34DA78FA" w:rsidR="0062398C" w:rsidRPr="0027688C" w:rsidRDefault="001874A9" w:rsidP="001874A9">
    <w:pPr>
      <w:pStyle w:val="Footer"/>
      <w:tabs>
        <w:tab w:val="clear" w:pos="4320"/>
        <w:tab w:val="clear" w:pos="8640"/>
        <w:tab w:val="center" w:pos="5040"/>
        <w:tab w:val="left" w:pos="6840"/>
        <w:tab w:val="right" w:pos="9180"/>
      </w:tabs>
      <w:ind w:left="108"/>
      <w:rPr>
        <w:rFonts w:ascii="Arial" w:hAnsi="Arial" w:cs="Arial"/>
        <w:sz w:val="16"/>
        <w:shd w:val="clear" w:color="auto" w:fill="D9D9D9" w:themeFill="background1" w:themeFillShade="D9"/>
      </w:rPr>
    </w:pPr>
    <w:r>
      <w:rPr>
        <w:rFonts w:ascii="Arial" w:hAnsi="Arial" w:cs="Arial"/>
        <w:sz w:val="16"/>
      </w:rPr>
      <w:t xml:space="preserve">SFM </w:t>
    </w:r>
    <w:r w:rsidR="00FF1B26">
      <w:rPr>
        <w:rFonts w:ascii="Arial" w:hAnsi="Arial" w:cs="Arial"/>
        <w:sz w:val="16"/>
      </w:rPr>
      <w:t>03/22</w:t>
    </w:r>
    <w:r w:rsidR="0067477E" w:rsidRPr="001874A9">
      <w:rPr>
        <w:rFonts w:ascii="Arial" w:hAnsi="Arial" w:cs="Arial"/>
        <w:sz w:val="16"/>
      </w:rPr>
      <w:t xml:space="preserve"> </w:t>
    </w:r>
    <w:r>
      <w:rPr>
        <w:rFonts w:ascii="Arial" w:hAnsi="Arial" w:cs="Arial"/>
        <w:sz w:val="16"/>
      </w:rPr>
      <w:t>–</w:t>
    </w:r>
    <w:r w:rsidR="0067477E" w:rsidRPr="001874A9">
      <w:rPr>
        <w:rFonts w:ascii="Arial" w:hAnsi="Arial" w:cs="Arial"/>
        <w:sz w:val="16"/>
      </w:rPr>
      <w:t xml:space="preserve"> Part</w:t>
    </w:r>
    <w:r w:rsidR="00FF1B26">
      <w:rPr>
        <w:rFonts w:ascii="Arial" w:hAnsi="Arial" w:cs="Arial"/>
        <w:sz w:val="16"/>
      </w:rPr>
      <w:t xml:space="preserve"> 2.5 2022</w:t>
    </w:r>
    <w:r w:rsidR="007766B4">
      <w:rPr>
        <w:rFonts w:ascii="Arial" w:hAnsi="Arial" w:cs="Arial"/>
        <w:sz w:val="16"/>
      </w:rPr>
      <w:t xml:space="preserve"> Intervening</w:t>
    </w:r>
    <w:r>
      <w:rPr>
        <w:rFonts w:ascii="Arial" w:hAnsi="Arial" w:cs="Arial"/>
        <w:sz w:val="16"/>
      </w:rPr>
      <w:t xml:space="preserve"> C</w:t>
    </w:r>
    <w:r w:rsidR="0067477E" w:rsidRPr="001874A9">
      <w:rPr>
        <w:rFonts w:ascii="Arial" w:hAnsi="Arial" w:cs="Arial"/>
        <w:sz w:val="16"/>
      </w:rPr>
      <w:t>ode Cycle</w:t>
    </w:r>
    <w:r w:rsidR="0067477E" w:rsidRPr="001874A9">
      <w:rPr>
        <w:sz w:val="16"/>
      </w:rPr>
      <w:tab/>
    </w:r>
    <w:r>
      <w:rPr>
        <w:sz w:val="16"/>
      </w:rPr>
      <w:t xml:space="preserve">                                                              </w:t>
    </w:r>
    <w:r w:rsidR="004B2072">
      <w:rPr>
        <w:sz w:val="16"/>
      </w:rPr>
      <w:tab/>
    </w:r>
    <w:r w:rsidR="0011746B">
      <w:rPr>
        <w:rFonts w:ascii="Arial" w:hAnsi="Arial" w:cs="Arial"/>
        <w:sz w:val="16"/>
      </w:rPr>
      <w:t>I</w:t>
    </w:r>
    <w:r w:rsidR="004B2072">
      <w:rPr>
        <w:rFonts w:ascii="Arial" w:hAnsi="Arial" w:cs="Arial"/>
        <w:sz w:val="16"/>
      </w:rPr>
      <w:t xml:space="preserve">ET </w:t>
    </w:r>
    <w:r w:rsidRPr="002317C5">
      <w:rPr>
        <w:rFonts w:ascii="Arial" w:hAnsi="Arial" w:cs="Arial"/>
        <w:sz w:val="16"/>
      </w:rPr>
      <w:t>ADDENDUM</w:t>
    </w:r>
  </w:p>
  <w:p w14:paraId="4F83FBD6" w14:textId="30BF28B4" w:rsidR="0067477E" w:rsidRDefault="001874A9" w:rsidP="0067477E">
    <w:pPr>
      <w:pStyle w:val="Footer"/>
      <w:tabs>
        <w:tab w:val="clear" w:pos="4320"/>
        <w:tab w:val="clear" w:pos="8640"/>
        <w:tab w:val="center" w:pos="4806"/>
        <w:tab w:val="right" w:pos="9180"/>
      </w:tabs>
      <w:ind w:left="108"/>
      <w:rPr>
        <w:sz w:val="16"/>
      </w:rPr>
    </w:pPr>
    <w:r>
      <w:rPr>
        <w:rFonts w:ascii="Arial" w:hAnsi="Arial" w:cs="Arial"/>
        <w:sz w:val="16"/>
      </w:rPr>
      <w:t>State Fire Marshal</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814E" w14:textId="77777777" w:rsidR="000E5AF6" w:rsidRDefault="000E5AF6">
      <w:r>
        <w:separator/>
      </w:r>
    </w:p>
  </w:footnote>
  <w:footnote w:type="continuationSeparator" w:id="0">
    <w:p w14:paraId="2AC1E53D" w14:textId="77777777" w:rsidR="000E5AF6" w:rsidRDefault="000E5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5259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3C59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D095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3E51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84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D225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8088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1453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0C44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968A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75656B"/>
    <w:multiLevelType w:val="hybridMultilevel"/>
    <w:tmpl w:val="80060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C265E"/>
    <w:multiLevelType w:val="hybridMultilevel"/>
    <w:tmpl w:val="C0145BBE"/>
    <w:lvl w:ilvl="0" w:tplc="0409000F">
      <w:start w:val="1"/>
      <w:numFmt w:val="decimal"/>
      <w:lvlText w:val="%1."/>
      <w:lvlJc w:val="left"/>
      <w:pPr>
        <w:ind w:left="720" w:hanging="360"/>
      </w:pPr>
    </w:lvl>
    <w:lvl w:ilvl="1" w:tplc="1F767C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303C0C"/>
    <w:multiLevelType w:val="hybridMultilevel"/>
    <w:tmpl w:val="3AB802A8"/>
    <w:lvl w:ilvl="0" w:tplc="4F3C240E">
      <w:start w:val="1"/>
      <w:numFmt w:val="decimal"/>
      <w:lvlText w:val="%1."/>
      <w:lvlJc w:val="left"/>
      <w:pPr>
        <w:ind w:left="720" w:hanging="360"/>
      </w:pPr>
      <w:rPr>
        <w:rFonts w:hint="default"/>
      </w:rPr>
    </w:lvl>
    <w:lvl w:ilvl="1" w:tplc="A1C6AB50">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B25B84"/>
    <w:multiLevelType w:val="hybridMultilevel"/>
    <w:tmpl w:val="26A0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3325571">
    <w:abstractNumId w:val="11"/>
  </w:num>
  <w:num w:numId="2" w16cid:durableId="182673446">
    <w:abstractNumId w:val="15"/>
  </w:num>
  <w:num w:numId="3" w16cid:durableId="525869858">
    <w:abstractNumId w:val="16"/>
  </w:num>
  <w:num w:numId="4" w16cid:durableId="326785393">
    <w:abstractNumId w:val="18"/>
  </w:num>
  <w:num w:numId="5" w16cid:durableId="1661499833">
    <w:abstractNumId w:val="12"/>
  </w:num>
  <w:num w:numId="6" w16cid:durableId="646514535">
    <w:abstractNumId w:val="17"/>
  </w:num>
  <w:num w:numId="7" w16cid:durableId="509610966">
    <w:abstractNumId w:val="14"/>
  </w:num>
  <w:num w:numId="8" w16cid:durableId="544801912">
    <w:abstractNumId w:val="13"/>
  </w:num>
  <w:num w:numId="9" w16cid:durableId="329136439">
    <w:abstractNumId w:val="9"/>
  </w:num>
  <w:num w:numId="10" w16cid:durableId="1276209766">
    <w:abstractNumId w:val="7"/>
  </w:num>
  <w:num w:numId="11" w16cid:durableId="851719064">
    <w:abstractNumId w:val="6"/>
  </w:num>
  <w:num w:numId="12" w16cid:durableId="1393432537">
    <w:abstractNumId w:val="5"/>
  </w:num>
  <w:num w:numId="13" w16cid:durableId="1444838879">
    <w:abstractNumId w:val="4"/>
  </w:num>
  <w:num w:numId="14" w16cid:durableId="150145859">
    <w:abstractNumId w:val="8"/>
  </w:num>
  <w:num w:numId="15" w16cid:durableId="702905832">
    <w:abstractNumId w:val="3"/>
  </w:num>
  <w:num w:numId="16" w16cid:durableId="444232216">
    <w:abstractNumId w:val="2"/>
  </w:num>
  <w:num w:numId="17" w16cid:durableId="278338342">
    <w:abstractNumId w:val="1"/>
  </w:num>
  <w:num w:numId="18" w16cid:durableId="369767345">
    <w:abstractNumId w:val="0"/>
  </w:num>
  <w:num w:numId="19" w16cid:durableId="1043480045">
    <w:abstractNumId w:val="19"/>
  </w:num>
  <w:num w:numId="20" w16cid:durableId="430667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0FC2"/>
    <w:rsid w:val="00050DCC"/>
    <w:rsid w:val="000647C7"/>
    <w:rsid w:val="000661C8"/>
    <w:rsid w:val="000846ED"/>
    <w:rsid w:val="000A2D7E"/>
    <w:rsid w:val="000C172A"/>
    <w:rsid w:val="000E24B4"/>
    <w:rsid w:val="000E5AF6"/>
    <w:rsid w:val="000F245D"/>
    <w:rsid w:val="000F25B5"/>
    <w:rsid w:val="00107079"/>
    <w:rsid w:val="0011746B"/>
    <w:rsid w:val="00123F82"/>
    <w:rsid w:val="00136F0F"/>
    <w:rsid w:val="00137624"/>
    <w:rsid w:val="00140550"/>
    <w:rsid w:val="00161141"/>
    <w:rsid w:val="0016695D"/>
    <w:rsid w:val="001701D4"/>
    <w:rsid w:val="00175449"/>
    <w:rsid w:val="00177D2A"/>
    <w:rsid w:val="001874A9"/>
    <w:rsid w:val="001A01F8"/>
    <w:rsid w:val="001A2431"/>
    <w:rsid w:val="001A2A06"/>
    <w:rsid w:val="001B1143"/>
    <w:rsid w:val="001B4980"/>
    <w:rsid w:val="001D65BC"/>
    <w:rsid w:val="001E635B"/>
    <w:rsid w:val="001E690C"/>
    <w:rsid w:val="001F3417"/>
    <w:rsid w:val="00203931"/>
    <w:rsid w:val="00223464"/>
    <w:rsid w:val="002317C5"/>
    <w:rsid w:val="00234A84"/>
    <w:rsid w:val="00241A4C"/>
    <w:rsid w:val="002604E2"/>
    <w:rsid w:val="00264CAB"/>
    <w:rsid w:val="0027362E"/>
    <w:rsid w:val="0027688C"/>
    <w:rsid w:val="002878A0"/>
    <w:rsid w:val="00290558"/>
    <w:rsid w:val="002A2507"/>
    <w:rsid w:val="002A4D52"/>
    <w:rsid w:val="002A55E0"/>
    <w:rsid w:val="002C03CE"/>
    <w:rsid w:val="002C09DC"/>
    <w:rsid w:val="002C62F7"/>
    <w:rsid w:val="002E03D9"/>
    <w:rsid w:val="002F066A"/>
    <w:rsid w:val="002F2F70"/>
    <w:rsid w:val="002F34EB"/>
    <w:rsid w:val="002F69F8"/>
    <w:rsid w:val="00303F97"/>
    <w:rsid w:val="0030639B"/>
    <w:rsid w:val="00306A4D"/>
    <w:rsid w:val="00311BF6"/>
    <w:rsid w:val="00337969"/>
    <w:rsid w:val="00345B57"/>
    <w:rsid w:val="0039251C"/>
    <w:rsid w:val="00394567"/>
    <w:rsid w:val="003A5EC5"/>
    <w:rsid w:val="003B1493"/>
    <w:rsid w:val="003E47B3"/>
    <w:rsid w:val="003E4A2F"/>
    <w:rsid w:val="003F7FD6"/>
    <w:rsid w:val="00403646"/>
    <w:rsid w:val="004202E5"/>
    <w:rsid w:val="004221C9"/>
    <w:rsid w:val="00422C4F"/>
    <w:rsid w:val="004259A3"/>
    <w:rsid w:val="00450F58"/>
    <w:rsid w:val="00457CDC"/>
    <w:rsid w:val="004624C8"/>
    <w:rsid w:val="00474652"/>
    <w:rsid w:val="004A129E"/>
    <w:rsid w:val="004A283B"/>
    <w:rsid w:val="004A7B6F"/>
    <w:rsid w:val="004B0E1C"/>
    <w:rsid w:val="004B2072"/>
    <w:rsid w:val="004B2AB9"/>
    <w:rsid w:val="004C0306"/>
    <w:rsid w:val="004D35C6"/>
    <w:rsid w:val="004E5F7E"/>
    <w:rsid w:val="004F291C"/>
    <w:rsid w:val="004F7D3A"/>
    <w:rsid w:val="005070BE"/>
    <w:rsid w:val="00507BB7"/>
    <w:rsid w:val="00513451"/>
    <w:rsid w:val="005172C4"/>
    <w:rsid w:val="00531A9D"/>
    <w:rsid w:val="00562BB3"/>
    <w:rsid w:val="00566465"/>
    <w:rsid w:val="00580042"/>
    <w:rsid w:val="005A17F2"/>
    <w:rsid w:val="005B19BF"/>
    <w:rsid w:val="005B299C"/>
    <w:rsid w:val="005C5705"/>
    <w:rsid w:val="005D2465"/>
    <w:rsid w:val="005E162F"/>
    <w:rsid w:val="005E6371"/>
    <w:rsid w:val="005F1F14"/>
    <w:rsid w:val="00602139"/>
    <w:rsid w:val="00607C91"/>
    <w:rsid w:val="0062398C"/>
    <w:rsid w:val="00627019"/>
    <w:rsid w:val="00632E8A"/>
    <w:rsid w:val="00663293"/>
    <w:rsid w:val="00664E18"/>
    <w:rsid w:val="006722B7"/>
    <w:rsid w:val="0067477E"/>
    <w:rsid w:val="00686311"/>
    <w:rsid w:val="00692D7E"/>
    <w:rsid w:val="00696E26"/>
    <w:rsid w:val="006A2DAE"/>
    <w:rsid w:val="006C1676"/>
    <w:rsid w:val="006D5BFB"/>
    <w:rsid w:val="006D74C1"/>
    <w:rsid w:val="006F097F"/>
    <w:rsid w:val="00700726"/>
    <w:rsid w:val="0070359F"/>
    <w:rsid w:val="00704C9C"/>
    <w:rsid w:val="007105E9"/>
    <w:rsid w:val="00713507"/>
    <w:rsid w:val="00720E8F"/>
    <w:rsid w:val="00723710"/>
    <w:rsid w:val="00723F31"/>
    <w:rsid w:val="007247ED"/>
    <w:rsid w:val="007318E3"/>
    <w:rsid w:val="00732DF2"/>
    <w:rsid w:val="00753D9A"/>
    <w:rsid w:val="007729B3"/>
    <w:rsid w:val="007766B4"/>
    <w:rsid w:val="007872FD"/>
    <w:rsid w:val="00790268"/>
    <w:rsid w:val="00795E8F"/>
    <w:rsid w:val="007C0129"/>
    <w:rsid w:val="007D356D"/>
    <w:rsid w:val="007E0C6E"/>
    <w:rsid w:val="007E2021"/>
    <w:rsid w:val="007F0250"/>
    <w:rsid w:val="00810A22"/>
    <w:rsid w:val="00817776"/>
    <w:rsid w:val="008234F9"/>
    <w:rsid w:val="00823527"/>
    <w:rsid w:val="00846A63"/>
    <w:rsid w:val="00862638"/>
    <w:rsid w:val="00866236"/>
    <w:rsid w:val="00870778"/>
    <w:rsid w:val="00883D1D"/>
    <w:rsid w:val="00887F13"/>
    <w:rsid w:val="008A2AC5"/>
    <w:rsid w:val="008A6CD2"/>
    <w:rsid w:val="008B0F29"/>
    <w:rsid w:val="008B4B9E"/>
    <w:rsid w:val="008D4342"/>
    <w:rsid w:val="008D4AD2"/>
    <w:rsid w:val="008D5AAC"/>
    <w:rsid w:val="008D7F0A"/>
    <w:rsid w:val="008E0E16"/>
    <w:rsid w:val="008E36A8"/>
    <w:rsid w:val="008E3FF9"/>
    <w:rsid w:val="009147A0"/>
    <w:rsid w:val="00920F38"/>
    <w:rsid w:val="00920F3B"/>
    <w:rsid w:val="00921D6C"/>
    <w:rsid w:val="009252C5"/>
    <w:rsid w:val="00945696"/>
    <w:rsid w:val="00957E07"/>
    <w:rsid w:val="00963B5E"/>
    <w:rsid w:val="00983F90"/>
    <w:rsid w:val="00991147"/>
    <w:rsid w:val="00992CB9"/>
    <w:rsid w:val="009943F5"/>
    <w:rsid w:val="00996876"/>
    <w:rsid w:val="0099699F"/>
    <w:rsid w:val="009A09B4"/>
    <w:rsid w:val="009A410D"/>
    <w:rsid w:val="009A693A"/>
    <w:rsid w:val="009B6566"/>
    <w:rsid w:val="009E11AC"/>
    <w:rsid w:val="009E6B12"/>
    <w:rsid w:val="009E7724"/>
    <w:rsid w:val="009F2D71"/>
    <w:rsid w:val="009F79F1"/>
    <w:rsid w:val="00A10600"/>
    <w:rsid w:val="00A127D7"/>
    <w:rsid w:val="00A16398"/>
    <w:rsid w:val="00A21DD3"/>
    <w:rsid w:val="00A36761"/>
    <w:rsid w:val="00A50E7F"/>
    <w:rsid w:val="00A60CA1"/>
    <w:rsid w:val="00A77A88"/>
    <w:rsid w:val="00A97432"/>
    <w:rsid w:val="00AA1609"/>
    <w:rsid w:val="00AA21C3"/>
    <w:rsid w:val="00AC1F10"/>
    <w:rsid w:val="00AC28AD"/>
    <w:rsid w:val="00AC6024"/>
    <w:rsid w:val="00AD0174"/>
    <w:rsid w:val="00AD0274"/>
    <w:rsid w:val="00AD1F43"/>
    <w:rsid w:val="00AD67B3"/>
    <w:rsid w:val="00AF4E96"/>
    <w:rsid w:val="00AF5F18"/>
    <w:rsid w:val="00AF76CF"/>
    <w:rsid w:val="00B21B81"/>
    <w:rsid w:val="00B35333"/>
    <w:rsid w:val="00B70204"/>
    <w:rsid w:val="00B711A7"/>
    <w:rsid w:val="00B94E4E"/>
    <w:rsid w:val="00BA52A0"/>
    <w:rsid w:val="00BC0A2A"/>
    <w:rsid w:val="00BC7FAB"/>
    <w:rsid w:val="00BD6A83"/>
    <w:rsid w:val="00C001E2"/>
    <w:rsid w:val="00C14134"/>
    <w:rsid w:val="00C17D58"/>
    <w:rsid w:val="00C41BD6"/>
    <w:rsid w:val="00C57320"/>
    <w:rsid w:val="00C64A99"/>
    <w:rsid w:val="00C665B9"/>
    <w:rsid w:val="00C67B72"/>
    <w:rsid w:val="00CA03AA"/>
    <w:rsid w:val="00CB3CFB"/>
    <w:rsid w:val="00CC024A"/>
    <w:rsid w:val="00CC2CDF"/>
    <w:rsid w:val="00CF3372"/>
    <w:rsid w:val="00D042F1"/>
    <w:rsid w:val="00D17F8A"/>
    <w:rsid w:val="00D37D06"/>
    <w:rsid w:val="00D406E8"/>
    <w:rsid w:val="00D460CD"/>
    <w:rsid w:val="00D5409C"/>
    <w:rsid w:val="00D65066"/>
    <w:rsid w:val="00D72A17"/>
    <w:rsid w:val="00D91AE2"/>
    <w:rsid w:val="00D9323D"/>
    <w:rsid w:val="00D95E2F"/>
    <w:rsid w:val="00D97EC7"/>
    <w:rsid w:val="00DB4F0C"/>
    <w:rsid w:val="00DC67B2"/>
    <w:rsid w:val="00DE620D"/>
    <w:rsid w:val="00DF180E"/>
    <w:rsid w:val="00DF7D7E"/>
    <w:rsid w:val="00E025B5"/>
    <w:rsid w:val="00E3790F"/>
    <w:rsid w:val="00E37C10"/>
    <w:rsid w:val="00E434EC"/>
    <w:rsid w:val="00E470F4"/>
    <w:rsid w:val="00E53D35"/>
    <w:rsid w:val="00E63331"/>
    <w:rsid w:val="00E65CE6"/>
    <w:rsid w:val="00EA2F33"/>
    <w:rsid w:val="00EB2BA3"/>
    <w:rsid w:val="00ED0ADA"/>
    <w:rsid w:val="00EF26E2"/>
    <w:rsid w:val="00F01468"/>
    <w:rsid w:val="00F06528"/>
    <w:rsid w:val="00F11A5D"/>
    <w:rsid w:val="00F152F2"/>
    <w:rsid w:val="00F15A93"/>
    <w:rsid w:val="00F163D3"/>
    <w:rsid w:val="00F17139"/>
    <w:rsid w:val="00F42108"/>
    <w:rsid w:val="00F51571"/>
    <w:rsid w:val="00F768B4"/>
    <w:rsid w:val="00F843C4"/>
    <w:rsid w:val="00F92672"/>
    <w:rsid w:val="00F9279C"/>
    <w:rsid w:val="00F94286"/>
    <w:rsid w:val="00FA1652"/>
    <w:rsid w:val="00FB1D64"/>
    <w:rsid w:val="00FB5EAF"/>
    <w:rsid w:val="00FB7064"/>
    <w:rsid w:val="00FD2D88"/>
    <w:rsid w:val="00FD45EA"/>
    <w:rsid w:val="00FE0C6E"/>
    <w:rsid w:val="00FF11EA"/>
    <w:rsid w:val="00FF1B26"/>
    <w:rsid w:val="00FF27C8"/>
    <w:rsid w:val="00FF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079"/>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107079"/>
    <w:pPr>
      <w:keepNext/>
      <w:keepLines/>
      <w:spacing w:before="40"/>
      <w:outlineLvl w:val="2"/>
    </w:pPr>
    <w:rPr>
      <w:rFonts w:ascii="Arial" w:eastAsiaTheme="majorEastAsia" w:hAnsi="Arial" w:cstheme="majorBidi"/>
      <w:b/>
      <w:szCs w:val="24"/>
    </w:rPr>
  </w:style>
  <w:style w:type="paragraph" w:styleId="Heading4">
    <w:name w:val="heading 4"/>
    <w:basedOn w:val="Normal"/>
    <w:next w:val="Normal"/>
    <w:link w:val="Heading4Char"/>
    <w:unhideWhenUsed/>
    <w:qFormat/>
    <w:rsid w:val="004F291C"/>
    <w:pPr>
      <w:keepNext/>
      <w:keepLines/>
      <w:spacing w:before="4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character" w:customStyle="1" w:styleId="Heading1Char">
    <w:name w:val="Heading 1 Char"/>
    <w:basedOn w:val="DefaultParagraphFont"/>
    <w:link w:val="Heading1"/>
    <w:rsid w:val="00E470F4"/>
    <w:rPr>
      <w:rFonts w:ascii="Arial" w:hAnsi="Arial"/>
      <w:b/>
      <w:snapToGrid w:val="0"/>
      <w:sz w:val="24"/>
    </w:rPr>
  </w:style>
  <w:style w:type="character" w:customStyle="1" w:styleId="Heading3Char">
    <w:name w:val="Heading 3 Char"/>
    <w:basedOn w:val="DefaultParagraphFont"/>
    <w:link w:val="Heading3"/>
    <w:rsid w:val="00107079"/>
    <w:rPr>
      <w:rFonts w:ascii="Arial" w:eastAsiaTheme="majorEastAsia" w:hAnsi="Arial" w:cstheme="majorBidi"/>
      <w:b/>
      <w:snapToGrid w:val="0"/>
      <w:sz w:val="24"/>
      <w:szCs w:val="24"/>
    </w:rPr>
  </w:style>
  <w:style w:type="character" w:customStyle="1" w:styleId="Heading4Char">
    <w:name w:val="Heading 4 Char"/>
    <w:basedOn w:val="DefaultParagraphFont"/>
    <w:link w:val="Heading4"/>
    <w:rsid w:val="004F291C"/>
    <w:rPr>
      <w:rFonts w:ascii="Arial" w:eastAsiaTheme="majorEastAsia" w:hAnsi="Arial" w:cstheme="majorBidi"/>
      <w:b/>
      <w:iCs/>
      <w:snapToGrid w:val="0"/>
      <w:sz w:val="24"/>
    </w:rPr>
  </w:style>
  <w:style w:type="character" w:customStyle="1" w:styleId="BodyTextChar">
    <w:name w:val="Body Text Char"/>
    <w:basedOn w:val="DefaultParagraphFont"/>
    <w:link w:val="BodyText"/>
    <w:rsid w:val="00107079"/>
    <w:rPr>
      <w:rFonts w:ascii="Arial" w:hAnsi="Arial"/>
      <w:b/>
      <w:snapToGrid w:val="0"/>
      <w:u w:val="single"/>
    </w:rPr>
  </w:style>
  <w:style w:type="character" w:styleId="Hyperlink">
    <w:name w:val="Hyperlink"/>
    <w:basedOn w:val="DefaultParagraphFont"/>
    <w:unhideWhenUsed/>
    <w:rsid w:val="007E0C6E"/>
    <w:rPr>
      <w:color w:val="0000FF" w:themeColor="hyperlink"/>
      <w:u w:val="single"/>
    </w:rPr>
  </w:style>
  <w:style w:type="character" w:styleId="UnresolvedMention">
    <w:name w:val="Unresolved Mention"/>
    <w:basedOn w:val="DefaultParagraphFont"/>
    <w:uiPriority w:val="99"/>
    <w:semiHidden/>
    <w:unhideWhenUsed/>
    <w:rsid w:val="007E0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chevrolet.com/media/us/en/chevrolet/vehicles/bolt-ev/2021.tab1.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sla.com/sites/default/files/tesla-model-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arageliving.com/blog/home-garage-sta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bes.com/wheels/cars/tesla/model-x/" TargetMode="External"/><Relationship Id="rId5" Type="http://schemas.openxmlformats.org/officeDocument/2006/relationships/numbering" Target="numbering.xml"/><Relationship Id="rId15" Type="http://schemas.openxmlformats.org/officeDocument/2006/relationships/hyperlink" Target="www.hwsgarage.com/average-garage-siz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bes.com/wheels/news/2022-ford-f-150-lightning-ev-pickup-debuts-300-mile-range-priced-at-40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86B3-2B2F-44DA-9F81-CC52BE516C22}">
  <ds:schemaRefs>
    <ds:schemaRef ds:uri="http://purl.org/dc/dcmitype/"/>
    <ds:schemaRef ds:uri="de349a6f-9dd4-4167-a0ec-0f85ef0207c9"/>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82071710-83e2-4871-b606-0004f14e9c40"/>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E1656DB-4B4B-4E07-BF16-E2D4F4F6E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FCCAF-5586-417B-84C5-7131CBEEC8BF}">
  <ds:schemaRefs>
    <ds:schemaRef ds:uri="http://schemas.microsoft.com/sharepoint/v3/contenttype/forms"/>
  </ds:schemaRefs>
</ds:datastoreItem>
</file>

<file path=customXml/itemProps4.xml><?xml version="1.0" encoding="utf-8"?>
<ds:datastoreItem xmlns:ds="http://schemas.openxmlformats.org/officeDocument/2006/customXml" ds:itemID="{366BD712-9B40-4F1A-B917-AF2F8A29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2015</Words>
  <Characters>11157</Characters>
  <Application>Microsoft Office Word</Application>
  <DocSecurity>0</DocSecurity>
  <Lines>199</Lines>
  <Paragraphs>78</Paragraphs>
  <ScaleCrop>false</ScaleCrop>
  <HeadingPairs>
    <vt:vector size="2" baseType="variant">
      <vt:variant>
        <vt:lpstr>Title</vt:lpstr>
      </vt:variant>
      <vt:variant>
        <vt:i4>1</vt:i4>
      </vt:variant>
    </vt:vector>
  </HeadingPairs>
  <TitlesOfParts>
    <vt:vector size="1" baseType="lpstr">
      <vt:lpstr>SFM Part 2.5 Initial Express Terms Addendum</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SFM-03-22-IET-ISOR Addendum-Pt2.5</dc:title>
  <dc:creator>CBSC</dc:creator>
  <cp:lastModifiedBy>Hagler, Carol@DGS</cp:lastModifiedBy>
  <cp:revision>9</cp:revision>
  <cp:lastPrinted>2021-01-28T23:45:00Z</cp:lastPrinted>
  <dcterms:created xsi:type="dcterms:W3CDTF">2023-02-15T00:33:00Z</dcterms:created>
  <dcterms:modified xsi:type="dcterms:W3CDTF">2023-02-17T19:41:00Z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